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A15B0">
      <w:pPr>
        <w:widowControl w:val="0"/>
        <w:adjustRightInd/>
        <w:snapToGrid/>
        <w:spacing w:after="0" w:line="540" w:lineRule="exact"/>
        <w:ind w:firstLine="640" w:firstLineChars="200"/>
        <w:jc w:val="both"/>
        <w:rPr>
          <w:rFonts w:hint="eastAsia" w:ascii="Times New Roman" w:hAnsi="Times New Roman" w:eastAsia="宋体" w:cs="Times New Roman"/>
          <w:bCs/>
          <w:kern w:val="2"/>
          <w:sz w:val="32"/>
          <w:szCs w:val="32"/>
        </w:rPr>
      </w:pPr>
    </w:p>
    <w:p w14:paraId="2900A36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54EDFB3">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保定市徐水区人民政府办公室</w:t>
      </w:r>
    </w:p>
    <w:p w14:paraId="20CC7AD5">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2021年部门整体支出绩效评价自评报告</w:t>
      </w:r>
    </w:p>
    <w:p w14:paraId="33DB1A11">
      <w:pPr>
        <w:widowControl w:val="0"/>
        <w:adjustRightInd/>
        <w:snapToGrid/>
        <w:spacing w:after="0" w:line="540" w:lineRule="exact"/>
        <w:ind w:firstLine="640" w:firstLineChars="200"/>
        <w:jc w:val="both"/>
        <w:rPr>
          <w:rFonts w:ascii="黑体" w:hAnsi="黑体" w:eastAsia="黑体" w:cs="Times New Roman"/>
          <w:bCs/>
          <w:kern w:val="2"/>
          <w:sz w:val="32"/>
          <w:szCs w:val="32"/>
        </w:rPr>
      </w:pPr>
    </w:p>
    <w:p w14:paraId="2D4EA9A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87FD063">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3A37C59">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681DBC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59259E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160B34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9AF625B">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03D55E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4CEA10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2B85FF7">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5936E2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4030D3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615908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3E155BE">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eastAsia" w:cs="Times New Roman" w:asciiTheme="minorEastAsia" w:hAnsiTheme="minorEastAsia" w:eastAsiaTheme="minorEastAsia"/>
          <w:bCs/>
          <w:kern w:val="2"/>
          <w:sz w:val="36"/>
          <w:szCs w:val="36"/>
        </w:rPr>
        <w:t>2年11月</w:t>
      </w:r>
    </w:p>
    <w:p w14:paraId="3C3059C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3B5EA84">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A143F1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14:paraId="5A1AA9F2">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2ADBC664">
          <w:pPr>
            <w:pStyle w:val="18"/>
            <w:tabs>
              <w:tab w:val="right" w:leader="dot" w:pos="8302"/>
            </w:tabs>
            <w:ind w:left="440"/>
            <w:rPr>
              <w:rFonts w:asciiTheme="minorHAnsi" w:hAnsiTheme="minorHAnsi" w:eastAsiaTheme="minorEastAsia" w:cstheme="minorBidi"/>
              <w:sz w:val="21"/>
              <w:szCs w:val="22"/>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"_Toc119684030" </w:instrText>
          </w:r>
          <w:r>
            <w:fldChar w:fldCharType="separate"/>
          </w:r>
          <w:r>
            <w:rPr>
              <w:rStyle w:val="28"/>
              <w:rFonts w:hint="eastAsia" w:ascii="黑体" w:hAnsi="黑体"/>
            </w:rPr>
            <w:t>第一部分</w:t>
          </w:r>
          <w:r>
            <w:rPr>
              <w:rStyle w:val="28"/>
              <w:rFonts w:ascii="黑体" w:hAnsi="黑体"/>
            </w:rPr>
            <w:t xml:space="preserve">   </w:t>
          </w:r>
          <w:r>
            <w:rPr>
              <w:rStyle w:val="28"/>
              <w:rFonts w:hint="eastAsia" w:ascii="黑体" w:hAnsi="黑体"/>
            </w:rPr>
            <w:t>摘</w:t>
          </w:r>
          <w:r>
            <w:rPr>
              <w:rStyle w:val="28"/>
              <w:rFonts w:ascii="黑体" w:hAnsi="黑体"/>
            </w:rPr>
            <w:t xml:space="preserve">  </w:t>
          </w:r>
          <w:r>
            <w:rPr>
              <w:rStyle w:val="28"/>
              <w:rFonts w:hint="eastAsia" w:ascii="黑体" w:hAnsi="黑体"/>
            </w:rPr>
            <w:t>要</w:t>
          </w:r>
          <w:r>
            <w:tab/>
          </w:r>
          <w:r>
            <w:fldChar w:fldCharType="begin"/>
          </w:r>
          <w:r>
            <w:instrText xml:space="preserve"> PAGEREF _Toc119684030 \h </w:instrText>
          </w:r>
          <w:r>
            <w:fldChar w:fldCharType="separate"/>
          </w:r>
          <w:r>
            <w:t>1</w:t>
          </w:r>
          <w:r>
            <w:fldChar w:fldCharType="end"/>
          </w:r>
          <w:r>
            <w:fldChar w:fldCharType="end"/>
          </w:r>
        </w:p>
        <w:p w14:paraId="52C51BFC">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"_Toc119684031" </w:instrText>
          </w:r>
          <w:r>
            <w:fldChar w:fldCharType="separate"/>
          </w:r>
          <w:r>
            <w:rPr>
              <w:rStyle w:val="28"/>
              <w:rFonts w:hint="eastAsia" w:ascii="黑体" w:hAnsi="黑体"/>
            </w:rPr>
            <w:t>第二部分</w:t>
          </w:r>
          <w:r>
            <w:rPr>
              <w:rStyle w:val="28"/>
              <w:rFonts w:ascii="黑体" w:hAnsi="黑体"/>
            </w:rPr>
            <w:t xml:space="preserve">   </w:t>
          </w:r>
          <w:r>
            <w:rPr>
              <w:rStyle w:val="28"/>
              <w:rFonts w:hint="eastAsia" w:ascii="黑体" w:hAnsi="黑体"/>
            </w:rPr>
            <w:t>绩效评价报告</w:t>
          </w:r>
          <w:r>
            <w:tab/>
          </w:r>
          <w:r>
            <w:fldChar w:fldCharType="begin"/>
          </w:r>
          <w:r>
            <w:instrText xml:space="preserve"> PAGEREF _Toc119684031 \h </w:instrText>
          </w:r>
          <w:r>
            <w:fldChar w:fldCharType="separate"/>
          </w:r>
          <w:r>
            <w:t>6</w:t>
          </w:r>
          <w:r>
            <w:fldChar w:fldCharType="end"/>
          </w:r>
          <w:r>
            <w:fldChar w:fldCharType="end"/>
          </w:r>
        </w:p>
        <w:p w14:paraId="4ABD9BBE">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"_Toc119684032" </w:instrText>
          </w:r>
          <w:r>
            <w:fldChar w:fldCharType="separate"/>
          </w:r>
          <w:r>
            <w:rPr>
              <w:rStyle w:val="28"/>
              <w:rFonts w:hint="eastAsia" w:ascii="楷体" w:hAnsi="楷体" w:eastAsia="楷体" w:cs="楷体"/>
            </w:rPr>
            <w:t>一、保定市徐水区人民政府办公室基本情况</w:t>
          </w:r>
          <w:r>
            <w:tab/>
          </w:r>
          <w:r>
            <w:fldChar w:fldCharType="begin"/>
          </w:r>
          <w:r>
            <w:instrText xml:space="preserve"> PAGEREF _Toc119684032 \h </w:instrText>
          </w:r>
          <w:r>
            <w:fldChar w:fldCharType="separate"/>
          </w:r>
          <w:r>
            <w:t>6</w:t>
          </w:r>
          <w:r>
            <w:fldChar w:fldCharType="end"/>
          </w:r>
          <w:r>
            <w:fldChar w:fldCharType="end"/>
          </w:r>
        </w:p>
        <w:p w14:paraId="09734D7C">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"_Toc119684033" </w:instrText>
          </w:r>
          <w:r>
            <w:fldChar w:fldCharType="separate"/>
          </w:r>
          <w:r>
            <w:rPr>
              <w:rStyle w:val="28"/>
              <w:rFonts w:hint="eastAsia" w:ascii="仿宋_GB2312" w:hAnsi="Tahoma" w:cs="DengXian-Regular"/>
            </w:rPr>
            <w:t>（一）部门职责和工作活动</w:t>
          </w:r>
          <w:r>
            <w:tab/>
          </w:r>
          <w:r>
            <w:fldChar w:fldCharType="begin"/>
          </w:r>
          <w:r>
            <w:instrText xml:space="preserve"> PAGEREF _Toc119684033 \h </w:instrText>
          </w:r>
          <w:r>
            <w:fldChar w:fldCharType="separate"/>
          </w:r>
          <w:r>
            <w:t>6</w:t>
          </w:r>
          <w:r>
            <w:fldChar w:fldCharType="end"/>
          </w:r>
          <w:r>
            <w:fldChar w:fldCharType="end"/>
          </w:r>
        </w:p>
        <w:p w14:paraId="3F153D8F">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"_Toc119684034" </w:instrText>
          </w:r>
          <w:r>
            <w:fldChar w:fldCharType="separate"/>
          </w:r>
          <w:r>
            <w:rPr>
              <w:rStyle w:val="28"/>
              <w:rFonts w:hint="eastAsia" w:ascii="仿宋_GB2312" w:hAnsi="Tahoma" w:cs="DengXian-Regular"/>
            </w:rPr>
            <w:t>（二）部门年度发展规划总体目标和职责分类绩效目标</w:t>
          </w:r>
          <w:r>
            <w:tab/>
          </w:r>
          <w:r>
            <w:fldChar w:fldCharType="begin"/>
          </w:r>
          <w:r>
            <w:instrText xml:space="preserve"> PAGEREF _Toc119684034 \h </w:instrText>
          </w:r>
          <w:r>
            <w:fldChar w:fldCharType="separate"/>
          </w:r>
          <w:r>
            <w:t>6</w:t>
          </w:r>
          <w:r>
            <w:fldChar w:fldCharType="end"/>
          </w:r>
          <w:r>
            <w:fldChar w:fldCharType="end"/>
          </w:r>
        </w:p>
        <w:p w14:paraId="3747380E">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"_Toc119684035" </w:instrText>
          </w:r>
          <w:r>
            <w:fldChar w:fldCharType="separate"/>
          </w:r>
          <w:r>
            <w:rPr>
              <w:rStyle w:val="28"/>
              <w:rFonts w:hint="eastAsia" w:ascii="仿宋_GB2312" w:hAnsiTheme="minorEastAsia"/>
            </w:rPr>
            <w:t>（四）预算支出及决算支出</w:t>
          </w:r>
          <w:r>
            <w:tab/>
          </w:r>
          <w:r>
            <w:fldChar w:fldCharType="begin"/>
          </w:r>
          <w:r>
            <w:instrText xml:space="preserve"> PAGEREF _Toc119684035 \h </w:instrText>
          </w:r>
          <w:r>
            <w:fldChar w:fldCharType="separate"/>
          </w:r>
          <w:r>
            <w:t>10</w:t>
          </w:r>
          <w:r>
            <w:fldChar w:fldCharType="end"/>
          </w:r>
          <w:r>
            <w:fldChar w:fldCharType="end"/>
          </w:r>
        </w:p>
        <w:p w14:paraId="1C6115F8">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"_Toc119684036" </w:instrText>
          </w:r>
          <w:r>
            <w:fldChar w:fldCharType="separate"/>
          </w:r>
          <w:r>
            <w:rPr>
              <w:rStyle w:val="28"/>
              <w:rFonts w:hint="eastAsia" w:ascii="仿宋_GB2312" w:hAnsi="Tahoma" w:cs="DengXian-Regular"/>
            </w:rPr>
            <w:t>（五）“三公”经费预算安排及支出情况</w:t>
          </w:r>
          <w:r>
            <w:tab/>
          </w:r>
          <w:r>
            <w:fldChar w:fldCharType="begin"/>
          </w:r>
          <w:r>
            <w:instrText xml:space="preserve"> PAGEREF _Toc119684036 \h </w:instrText>
          </w:r>
          <w:r>
            <w:fldChar w:fldCharType="separate"/>
          </w:r>
          <w:r>
            <w:t>12</w:t>
          </w:r>
          <w:r>
            <w:fldChar w:fldCharType="end"/>
          </w:r>
          <w:r>
            <w:fldChar w:fldCharType="end"/>
          </w:r>
        </w:p>
        <w:p w14:paraId="2EFE3678">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"_Toc119684037" </w:instrText>
          </w:r>
          <w:r>
            <w:fldChar w:fldCharType="separate"/>
          </w:r>
          <w:r>
            <w:rPr>
              <w:rStyle w:val="28"/>
              <w:rFonts w:hint="eastAsia" w:ascii="黑体"/>
            </w:rPr>
            <w:t>二、部门整体支出绩效评价指标体系设定情况</w:t>
          </w:r>
          <w:r>
            <w:tab/>
          </w:r>
          <w:r>
            <w:fldChar w:fldCharType="begin"/>
          </w:r>
          <w:r>
            <w:instrText xml:space="preserve"> PAGEREF _Toc119684037 \h </w:instrText>
          </w:r>
          <w:r>
            <w:fldChar w:fldCharType="separate"/>
          </w:r>
          <w:r>
            <w:t>13</w:t>
          </w:r>
          <w:r>
            <w:fldChar w:fldCharType="end"/>
          </w:r>
          <w:r>
            <w:fldChar w:fldCharType="end"/>
          </w:r>
        </w:p>
        <w:p w14:paraId="69FAF673">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"_Toc119684038" </w:instrText>
          </w:r>
          <w:r>
            <w:fldChar w:fldCharType="separate"/>
          </w:r>
          <w:r>
            <w:rPr>
              <w:rStyle w:val="28"/>
              <w:rFonts w:hint="eastAsia" w:ascii="楷体" w:hAnsi="楷体" w:eastAsia="楷体"/>
            </w:rPr>
            <w:t>（二）过程（</w:t>
          </w:r>
          <w:r>
            <w:rPr>
              <w:rStyle w:val="28"/>
              <w:rFonts w:ascii="楷体" w:hAnsi="楷体" w:eastAsia="楷体"/>
            </w:rPr>
            <w:t>48</w:t>
          </w:r>
          <w:r>
            <w:rPr>
              <w:rStyle w:val="28"/>
              <w:rFonts w:hint="eastAsia" w:ascii="楷体" w:hAnsi="楷体" w:eastAsia="楷体"/>
            </w:rPr>
            <w:t>分）</w:t>
          </w:r>
          <w:r>
            <w:tab/>
          </w:r>
          <w:r>
            <w:fldChar w:fldCharType="begin"/>
          </w:r>
          <w:r>
            <w:instrText xml:space="preserve"> PAGEREF _Toc119684038 \h </w:instrText>
          </w:r>
          <w:r>
            <w:fldChar w:fldCharType="separate"/>
          </w:r>
          <w:r>
            <w:t>14</w:t>
          </w:r>
          <w:r>
            <w:fldChar w:fldCharType="end"/>
          </w:r>
          <w:r>
            <w:fldChar w:fldCharType="end"/>
          </w:r>
        </w:p>
        <w:p w14:paraId="42B03A58">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"_Toc119684039" </w:instrText>
          </w:r>
          <w:r>
            <w:fldChar w:fldCharType="separate"/>
          </w:r>
          <w:r>
            <w:rPr>
              <w:rStyle w:val="28"/>
              <w:rFonts w:hint="eastAsia" w:ascii="楷体" w:hAnsi="楷体" w:eastAsia="楷体"/>
            </w:rPr>
            <w:t>（三）产出（</w:t>
          </w:r>
          <w:r>
            <w:rPr>
              <w:rStyle w:val="28"/>
              <w:rFonts w:ascii="楷体" w:hAnsi="楷体" w:eastAsia="楷体"/>
            </w:rPr>
            <w:t>25</w:t>
          </w:r>
          <w:r>
            <w:rPr>
              <w:rStyle w:val="28"/>
              <w:rFonts w:hint="eastAsia" w:ascii="楷体" w:hAnsi="楷体" w:eastAsia="楷体"/>
            </w:rPr>
            <w:t>分）</w:t>
          </w:r>
          <w:r>
            <w:tab/>
          </w:r>
          <w:r>
            <w:fldChar w:fldCharType="begin"/>
          </w:r>
          <w:r>
            <w:instrText xml:space="preserve"> PAGEREF _Toc119684039 \h </w:instrText>
          </w:r>
          <w:r>
            <w:fldChar w:fldCharType="separate"/>
          </w:r>
          <w:r>
            <w:t>14</w:t>
          </w:r>
          <w:r>
            <w:fldChar w:fldCharType="end"/>
          </w:r>
          <w:r>
            <w:fldChar w:fldCharType="end"/>
          </w:r>
        </w:p>
        <w:p w14:paraId="28FEDEC8">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"_Toc119684040" </w:instrText>
          </w:r>
          <w:r>
            <w:fldChar w:fldCharType="separate"/>
          </w:r>
          <w:r>
            <w:rPr>
              <w:rStyle w:val="28"/>
              <w:rFonts w:hint="eastAsia" w:ascii="楷体_GB2312" w:eastAsia="楷体_GB2312" w:hAnsiTheme="minorEastAsia"/>
            </w:rPr>
            <w:t>（四）效果（</w:t>
          </w:r>
          <w:r>
            <w:rPr>
              <w:rStyle w:val="28"/>
              <w:rFonts w:ascii="楷体_GB2312" w:eastAsia="楷体_GB2312" w:hAnsiTheme="minorEastAsia"/>
            </w:rPr>
            <w:t>15</w:t>
          </w:r>
          <w:r>
            <w:rPr>
              <w:rStyle w:val="28"/>
              <w:rFonts w:hint="eastAsia" w:ascii="楷体_GB2312" w:eastAsia="楷体_GB2312" w:hAnsiTheme="minorEastAsia"/>
            </w:rPr>
            <w:t>分）</w:t>
          </w:r>
          <w:r>
            <w:tab/>
          </w:r>
          <w:r>
            <w:fldChar w:fldCharType="begin"/>
          </w:r>
          <w:r>
            <w:instrText xml:space="preserve"> PAGEREF _Toc119684040 \h </w:instrText>
          </w:r>
          <w:r>
            <w:fldChar w:fldCharType="separate"/>
          </w:r>
          <w:r>
            <w:t>15</w:t>
          </w:r>
          <w:r>
            <w:fldChar w:fldCharType="end"/>
          </w:r>
          <w:r>
            <w:fldChar w:fldCharType="end"/>
          </w:r>
        </w:p>
        <w:p w14:paraId="04401B04">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"_Toc119684041" </w:instrText>
          </w:r>
          <w:r>
            <w:fldChar w:fldCharType="separate"/>
          </w:r>
          <w:r>
            <w:rPr>
              <w:rStyle w:val="28"/>
              <w:rFonts w:hint="eastAsia" w:ascii="黑体"/>
            </w:rPr>
            <w:t>三、综合绩效评价工作情况</w:t>
          </w:r>
          <w:r>
            <w:tab/>
          </w:r>
          <w:r>
            <w:fldChar w:fldCharType="begin"/>
          </w:r>
          <w:r>
            <w:instrText xml:space="preserve"> PAGEREF _Toc119684041 \h </w:instrText>
          </w:r>
          <w:r>
            <w:fldChar w:fldCharType="separate"/>
          </w:r>
          <w:r>
            <w:t>15</w:t>
          </w:r>
          <w:r>
            <w:fldChar w:fldCharType="end"/>
          </w:r>
          <w:r>
            <w:fldChar w:fldCharType="end"/>
          </w:r>
        </w:p>
        <w:p w14:paraId="63C1CD5D">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"_Toc119684042" </w:instrText>
          </w:r>
          <w:r>
            <w:fldChar w:fldCharType="separate"/>
          </w:r>
          <w:r>
            <w:rPr>
              <w:rStyle w:val="28"/>
              <w:rFonts w:hint="eastAsia" w:ascii="楷体_GB2312" w:eastAsia="楷体_GB2312" w:hAnsiTheme="minorEastAsia"/>
            </w:rPr>
            <w:t>（一）绩效评价目的</w:t>
          </w:r>
          <w:r>
            <w:tab/>
          </w:r>
          <w:r>
            <w:fldChar w:fldCharType="begin"/>
          </w:r>
          <w:r>
            <w:instrText xml:space="preserve"> PAGEREF _Toc119684042 \h </w:instrText>
          </w:r>
          <w:r>
            <w:fldChar w:fldCharType="separate"/>
          </w:r>
          <w:r>
            <w:t>15</w:t>
          </w:r>
          <w:r>
            <w:fldChar w:fldCharType="end"/>
          </w:r>
          <w:r>
            <w:fldChar w:fldCharType="end"/>
          </w:r>
        </w:p>
        <w:p w14:paraId="6BAFDF96">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"_Toc119684043" </w:instrText>
          </w:r>
          <w:r>
            <w:fldChar w:fldCharType="separate"/>
          </w:r>
          <w:r>
            <w:rPr>
              <w:rStyle w:val="28"/>
              <w:rFonts w:hint="eastAsia" w:ascii="楷体_GB2312" w:eastAsia="楷体_GB2312" w:hAnsiTheme="minorEastAsia"/>
            </w:rPr>
            <w:t>（二）绩效评价依据</w:t>
          </w:r>
          <w:r>
            <w:tab/>
          </w:r>
          <w:r>
            <w:fldChar w:fldCharType="begin"/>
          </w:r>
          <w:r>
            <w:instrText xml:space="preserve"> PAGEREF _Toc119684043 \h </w:instrText>
          </w:r>
          <w:r>
            <w:fldChar w:fldCharType="separate"/>
          </w:r>
          <w:r>
            <w:t>15</w:t>
          </w:r>
          <w:r>
            <w:fldChar w:fldCharType="end"/>
          </w:r>
          <w:r>
            <w:fldChar w:fldCharType="end"/>
          </w:r>
        </w:p>
        <w:p w14:paraId="2B7F1EE7">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"_Toc119684044" </w:instrText>
          </w:r>
          <w:r>
            <w:fldChar w:fldCharType="separate"/>
          </w:r>
          <w:r>
            <w:rPr>
              <w:rStyle w:val="28"/>
              <w:rFonts w:hint="eastAsia" w:ascii="楷体_GB2312" w:eastAsia="楷体_GB2312" w:hAnsiTheme="minorEastAsia"/>
            </w:rPr>
            <w:t>（三）绩效评价内容</w:t>
          </w:r>
          <w:r>
            <w:tab/>
          </w:r>
          <w:r>
            <w:fldChar w:fldCharType="begin"/>
          </w:r>
          <w:r>
            <w:instrText xml:space="preserve"> PAGEREF _Toc119684044 \h </w:instrText>
          </w:r>
          <w:r>
            <w:fldChar w:fldCharType="separate"/>
          </w:r>
          <w:r>
            <w:t>16</w:t>
          </w:r>
          <w:r>
            <w:fldChar w:fldCharType="end"/>
          </w:r>
          <w:r>
            <w:fldChar w:fldCharType="end"/>
          </w:r>
        </w:p>
        <w:p w14:paraId="1C38EE7D">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"_Toc119684045" </w:instrText>
          </w:r>
          <w:r>
            <w:fldChar w:fldCharType="separate"/>
          </w:r>
          <w:r>
            <w:rPr>
              <w:rStyle w:val="28"/>
              <w:rFonts w:hint="eastAsia" w:ascii="楷体_GB2312" w:eastAsia="楷体_GB2312" w:hAnsiTheme="minorEastAsia"/>
            </w:rPr>
            <w:t>（四）绩效评价原则</w:t>
          </w:r>
          <w:r>
            <w:tab/>
          </w:r>
          <w:r>
            <w:fldChar w:fldCharType="begin"/>
          </w:r>
          <w:r>
            <w:instrText xml:space="preserve"> PAGEREF _Toc119684045 \h </w:instrText>
          </w:r>
          <w:r>
            <w:fldChar w:fldCharType="separate"/>
          </w:r>
          <w:r>
            <w:t>16</w:t>
          </w:r>
          <w:r>
            <w:fldChar w:fldCharType="end"/>
          </w:r>
          <w:r>
            <w:fldChar w:fldCharType="end"/>
          </w:r>
        </w:p>
        <w:p w14:paraId="299A56F9">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"_Toc119684046" </w:instrText>
          </w:r>
          <w:r>
            <w:fldChar w:fldCharType="separate"/>
          </w:r>
          <w:r>
            <w:rPr>
              <w:rStyle w:val="28"/>
              <w:rFonts w:hint="eastAsia" w:ascii="楷体_GB2312" w:eastAsia="楷体_GB2312" w:hAnsiTheme="minorEastAsia"/>
            </w:rPr>
            <w:t>（五）绩效评价方法</w:t>
          </w:r>
          <w:r>
            <w:tab/>
          </w:r>
          <w:r>
            <w:fldChar w:fldCharType="begin"/>
          </w:r>
          <w:r>
            <w:instrText xml:space="preserve"> PAGEREF _Toc119684046 \h </w:instrText>
          </w:r>
          <w:r>
            <w:fldChar w:fldCharType="separate"/>
          </w:r>
          <w:r>
            <w:t>17</w:t>
          </w:r>
          <w:r>
            <w:fldChar w:fldCharType="end"/>
          </w:r>
          <w:r>
            <w:fldChar w:fldCharType="end"/>
          </w:r>
        </w:p>
        <w:p w14:paraId="0837A8E8">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"_Toc119684047" </w:instrText>
          </w:r>
          <w:r>
            <w:fldChar w:fldCharType="separate"/>
          </w:r>
          <w:r>
            <w:rPr>
              <w:rStyle w:val="28"/>
              <w:rFonts w:hint="eastAsia" w:ascii="黑体"/>
            </w:rPr>
            <w:t>四、绩效评价评分情况</w:t>
          </w:r>
          <w:r>
            <w:tab/>
          </w:r>
          <w:r>
            <w:fldChar w:fldCharType="begin"/>
          </w:r>
          <w:r>
            <w:instrText xml:space="preserve"> PAGEREF _Toc119684047 \h </w:instrText>
          </w:r>
          <w:r>
            <w:fldChar w:fldCharType="separate"/>
          </w:r>
          <w:r>
            <w:t>19</w:t>
          </w:r>
          <w:r>
            <w:fldChar w:fldCharType="end"/>
          </w:r>
          <w:r>
            <w:fldChar w:fldCharType="end"/>
          </w:r>
        </w:p>
        <w:p w14:paraId="2C6E8E84">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"_Toc119684048" </w:instrText>
          </w:r>
          <w:r>
            <w:fldChar w:fldCharType="separate"/>
          </w:r>
          <w:r>
            <w:rPr>
              <w:rStyle w:val="28"/>
              <w:rFonts w:hint="eastAsia" w:ascii="楷体_GB2312" w:eastAsia="楷体_GB2312" w:hAnsiTheme="minorEastAsia"/>
            </w:rPr>
            <w:t>（一）投入（</w:t>
          </w:r>
          <w:r>
            <w:rPr>
              <w:rStyle w:val="28"/>
              <w:rFonts w:ascii="楷体_GB2312" w:eastAsia="楷体_GB2312" w:hAnsiTheme="minorEastAsia"/>
            </w:rPr>
            <w:t>12</w:t>
          </w:r>
          <w:r>
            <w:rPr>
              <w:rStyle w:val="28"/>
              <w:rFonts w:hint="eastAsia" w:ascii="楷体_GB2312" w:eastAsia="楷体_GB2312" w:hAnsiTheme="minorEastAsia"/>
            </w:rPr>
            <w:t>分）</w:t>
          </w:r>
          <w:r>
            <w:tab/>
          </w:r>
          <w:r>
            <w:fldChar w:fldCharType="begin"/>
          </w:r>
          <w:r>
            <w:instrText xml:space="preserve"> PAGEREF _Toc119684048 \h </w:instrText>
          </w:r>
          <w:r>
            <w:fldChar w:fldCharType="separate"/>
          </w:r>
          <w:r>
            <w:t>19</w:t>
          </w:r>
          <w:r>
            <w:fldChar w:fldCharType="end"/>
          </w:r>
          <w:r>
            <w:fldChar w:fldCharType="end"/>
          </w:r>
        </w:p>
        <w:p w14:paraId="4554227B">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"_Toc119684049" </w:instrText>
          </w:r>
          <w:r>
            <w:fldChar w:fldCharType="separate"/>
          </w:r>
          <w:r>
            <w:rPr>
              <w:rStyle w:val="28"/>
              <w:rFonts w:hint="eastAsia" w:ascii="楷体" w:hAnsi="楷体" w:eastAsia="楷体"/>
            </w:rPr>
            <w:t>（二）过程（</w:t>
          </w:r>
          <w:r>
            <w:rPr>
              <w:rStyle w:val="28"/>
              <w:rFonts w:ascii="楷体" w:hAnsi="楷体" w:eastAsia="楷体"/>
            </w:rPr>
            <w:t>48</w:t>
          </w:r>
          <w:r>
            <w:rPr>
              <w:rStyle w:val="28"/>
              <w:rFonts w:hint="eastAsia" w:ascii="楷体" w:hAnsi="楷体" w:eastAsia="楷体"/>
            </w:rPr>
            <w:t>分）</w:t>
          </w:r>
          <w:r>
            <w:tab/>
          </w:r>
          <w:r>
            <w:fldChar w:fldCharType="begin"/>
          </w:r>
          <w:r>
            <w:instrText xml:space="preserve"> PAGEREF _Toc119684049 \h </w:instrText>
          </w:r>
          <w:r>
            <w:fldChar w:fldCharType="separate"/>
          </w:r>
          <w:r>
            <w:t>22</w:t>
          </w:r>
          <w:r>
            <w:fldChar w:fldCharType="end"/>
          </w:r>
          <w:r>
            <w:fldChar w:fldCharType="end"/>
          </w:r>
        </w:p>
        <w:p w14:paraId="4F77DED0">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"_Toc119684050" </w:instrText>
          </w:r>
          <w:r>
            <w:fldChar w:fldCharType="separate"/>
          </w:r>
          <w:r>
            <w:rPr>
              <w:rStyle w:val="28"/>
              <w:rFonts w:hint="eastAsia" w:ascii="楷体" w:hAnsi="楷体" w:eastAsia="楷体"/>
            </w:rPr>
            <w:t>（三）产出（</w:t>
          </w:r>
          <w:r>
            <w:rPr>
              <w:rStyle w:val="28"/>
              <w:rFonts w:ascii="楷体" w:hAnsi="楷体" w:eastAsia="楷体"/>
            </w:rPr>
            <w:t>25</w:t>
          </w:r>
          <w:r>
            <w:rPr>
              <w:rStyle w:val="28"/>
              <w:rFonts w:hint="eastAsia" w:ascii="楷体" w:hAnsi="楷体" w:eastAsia="楷体"/>
            </w:rPr>
            <w:t>分）</w:t>
          </w:r>
          <w:r>
            <w:tab/>
          </w:r>
          <w:r>
            <w:fldChar w:fldCharType="begin"/>
          </w:r>
          <w:r>
            <w:instrText xml:space="preserve"> PAGEREF _Toc119684050 \h </w:instrText>
          </w:r>
          <w:r>
            <w:fldChar w:fldCharType="separate"/>
          </w:r>
          <w:r>
            <w:t>30</w:t>
          </w:r>
          <w:r>
            <w:fldChar w:fldCharType="end"/>
          </w:r>
          <w:r>
            <w:fldChar w:fldCharType="end"/>
          </w:r>
        </w:p>
        <w:p w14:paraId="42D54385">
          <w:pPr>
            <w:pStyle w:val="11"/>
            <w:tabs>
              <w:tab w:val="right" w:leader="dot" w:pos="8302"/>
            </w:tabs>
            <w:ind w:left="880"/>
            <w:rPr>
              <w:rFonts w:asciiTheme="minorHAnsi" w:hAnsiTheme="minorHAnsi" w:eastAsiaTheme="minorEastAsia" w:cstheme="minorBidi"/>
              <w:sz w:val="21"/>
              <w:szCs w:val="22"/>
            </w:rPr>
          </w:pPr>
          <w:r>
            <w:fldChar w:fldCharType="begin"/>
          </w:r>
          <w:r>
            <w:instrText xml:space="preserve"> HYPERLINK \l "_Toc119684051" </w:instrText>
          </w:r>
          <w:r>
            <w:fldChar w:fldCharType="separate"/>
          </w:r>
          <w:r>
            <w:rPr>
              <w:rStyle w:val="28"/>
              <w:rFonts w:hint="eastAsia" w:ascii="楷体" w:hAnsi="楷体" w:eastAsia="楷体"/>
            </w:rPr>
            <w:t>（四）效果（</w:t>
          </w:r>
          <w:r>
            <w:rPr>
              <w:rStyle w:val="28"/>
              <w:rFonts w:ascii="楷体" w:hAnsi="楷体" w:eastAsia="楷体"/>
            </w:rPr>
            <w:t>15</w:t>
          </w:r>
          <w:r>
            <w:rPr>
              <w:rStyle w:val="28"/>
              <w:rFonts w:hint="eastAsia" w:ascii="楷体" w:hAnsi="楷体" w:eastAsia="楷体"/>
            </w:rPr>
            <w:t>分）</w:t>
          </w:r>
          <w:r>
            <w:tab/>
          </w:r>
          <w:r>
            <w:fldChar w:fldCharType="begin"/>
          </w:r>
          <w:r>
            <w:instrText xml:space="preserve"> PAGEREF _Toc119684051 \h </w:instrText>
          </w:r>
          <w:r>
            <w:fldChar w:fldCharType="separate"/>
          </w:r>
          <w:r>
            <w:t>31</w:t>
          </w:r>
          <w:r>
            <w:fldChar w:fldCharType="end"/>
          </w:r>
          <w:r>
            <w:fldChar w:fldCharType="end"/>
          </w:r>
        </w:p>
        <w:p w14:paraId="57FE7533">
          <w:pPr>
            <w:pStyle w:val="18"/>
            <w:tabs>
              <w:tab w:val="right" w:leader="dot" w:pos="8302"/>
            </w:tabs>
            <w:ind w:left="440"/>
            <w:rPr>
              <w:rFonts w:asciiTheme="minorHAnsi" w:hAnsiTheme="minorHAnsi" w:eastAsiaTheme="minorEastAsia" w:cstheme="minorBidi"/>
              <w:sz w:val="21"/>
              <w:szCs w:val="22"/>
            </w:rPr>
          </w:pPr>
          <w:r>
            <w:fldChar w:fldCharType="begin"/>
          </w:r>
          <w:r>
            <w:instrText xml:space="preserve"> HYPERLINK \l "_Toc119684052" </w:instrText>
          </w:r>
          <w:r>
            <w:fldChar w:fldCharType="separate"/>
          </w:r>
          <w:r>
            <w:rPr>
              <w:rStyle w:val="28"/>
              <w:rFonts w:hint="eastAsia" w:ascii="黑体"/>
            </w:rPr>
            <w:t>五、绩效评价发现的问题</w:t>
          </w:r>
          <w:r>
            <w:tab/>
          </w:r>
          <w:r>
            <w:fldChar w:fldCharType="begin"/>
          </w:r>
          <w:r>
            <w:instrText xml:space="preserve"> PAGEREF _Toc119684052 \h </w:instrText>
          </w:r>
          <w:r>
            <w:fldChar w:fldCharType="separate"/>
          </w:r>
          <w:r>
            <w:t>33</w:t>
          </w:r>
          <w:r>
            <w:fldChar w:fldCharType="end"/>
          </w:r>
          <w:r>
            <w:fldChar w:fldCharType="end"/>
          </w:r>
        </w:p>
        <w:p w14:paraId="10B49F52">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6DE11C66">
      <w:pPr>
        <w:pStyle w:val="3"/>
        <w:spacing w:line="540" w:lineRule="exact"/>
        <w:jc w:val="center"/>
        <w:rPr>
          <w:rFonts w:ascii="黑体" w:hAnsi="黑体"/>
          <w:b w:val="0"/>
        </w:rPr>
      </w:pPr>
      <w:bookmarkStart w:id="0" w:name="_Toc119684030"/>
      <w:r>
        <w:rPr>
          <w:rFonts w:hint="eastAsia" w:ascii="黑体" w:hAnsi="黑体"/>
          <w:b w:val="0"/>
        </w:rPr>
        <w:t>第一部分   摘  要</w:t>
      </w:r>
      <w:bookmarkEnd w:id="0"/>
    </w:p>
    <w:p w14:paraId="75FD8E4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eastAsia" w:ascii="仿宋_GB2312" w:eastAsia="仿宋_GB2312" w:cs="DengXian-Regular"/>
          <w:sz w:val="32"/>
          <w:szCs w:val="32"/>
        </w:rPr>
        <w:t>1年部门整体支出情况开展了绩效自评价工作。</w:t>
      </w:r>
    </w:p>
    <w:p w14:paraId="661FCEE9">
      <w:pPr>
        <w:spacing w:line="580" w:lineRule="exact"/>
        <w:ind w:firstLine="630"/>
        <w:rPr>
          <w:rFonts w:ascii="仿宋_GB2312" w:eastAsia="仿宋_GB2312" w:cs="DengXian-Regular"/>
          <w:sz w:val="32"/>
          <w:szCs w:val="32"/>
        </w:rPr>
      </w:pPr>
      <w:r>
        <w:rPr>
          <w:rFonts w:hint="eastAsia" w:ascii="仿宋_GB2312" w:eastAsia="仿宋_GB2312" w:cs="DengXian-Regular"/>
          <w:sz w:val="32"/>
          <w:szCs w:val="32"/>
        </w:rPr>
        <w:t>保定市徐水区人民政府办公室为正科级行政单位，经费保障形式为财政拨款，下设11个股室，分别为综合股、秘书股、信息股、行政股、财务股、人民防空股、专线办、文书室、政务公开办、外事股、政府督查室，主要职责有</w:t>
      </w:r>
      <w:r>
        <w:rPr>
          <w:rFonts w:hint="eastAsia" w:ascii="仿宋_GB2312" w:hAnsi="仿宋" w:eastAsia="仿宋_GB2312"/>
          <w:sz w:val="32"/>
          <w:szCs w:val="32"/>
        </w:rPr>
        <w:t>（一）负责区政府会议的准备、组织和服务工作，协调和督办区政府会议决定事项。（二）组织起草区政府领导重要讲话及其他重要文稿。（三）根据区政府领导意见，对有关事项进行协调，对部门</w:t>
      </w:r>
      <w:r>
        <w:rPr>
          <w:rFonts w:hint="eastAsia" w:ascii="仿宋_GB2312" w:eastAsia="仿宋_GB2312" w:cs="DengXian-Regular"/>
          <w:sz w:val="32"/>
          <w:szCs w:val="32"/>
        </w:rPr>
        <w:t>之间出现的争议问题提出处理意见，报区政府领导决定之间出现的争议问题提出处理意见，报区政府领导决定。（四）研究区政府各部门和各乡镇人民政府、城区办事处、经济开发区管委会请示区政府的事项，提出审核意见，报区政府领导审批（五）组织起草或审核上报市政府、市政府办公室和致函市政府各部门的公文，以及以区政府、区政府办公室名义发布的公文；办理区政府各部门和各乡镇人民政府、城区办事处、经济开发区管委会报送区政府的文件。（六）负责区政府值班工作，及时报告重要情况；负责紧急重要事项的协调上报。（七）国绕全区经济、社会发展中心工作，按照区委，区政府领导的安排和工作部署，深入调查研究，及时了解，掌握经济和社会发展动态并向区政府领导报告，提出建议。（八）组织承办人大代表建议和政协提案工作。（九）负责政务信息公开工作和区政府系统机关电子政务工作。（十）负责区政府和区政府办公室的文书处理、档案管理、印信管理和保密工作。（十一）负责区政府的行政事务和接待工作。（十二）承担区政府政策研究职责；区政府外事工作职责：区地方志编纂工作职责（十三）负责区长热线、短信平台，群众热线等平台的投诉受理工作。(十四)贯彻执行党和国家有关行政机关后勤管理的方针、政策和法律法规,结合本区实际,制定区政府机关后勤事务工作的规定和办法，并组织实施。(十五)督导催办检查区政府各部门、各乡镇政府对上级和本级政府重要文件、区长办公会议、区政府常务会议、政务会议、各类协调会议决定的重要工作以及人民群众来信来访和政府领导同志重要批示的执行落实情况,并向区政府领导报告。(十六)承办区政府领导交办的其它事项。</w:t>
      </w:r>
    </w:p>
    <w:p w14:paraId="5BD9AD6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6D5A502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4B3B6FE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人民政府办公室2021年部门整体支出绩效评价工作。</w:t>
      </w:r>
    </w:p>
    <w:p w14:paraId="1D5E6B4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2021年部门整体支出绩效评价指标体系共设置4个一级指标、7个二级指标、27个三级指标，从投入、过程、产出、效果四个方面对区政府办部门整体支出情况评分定级。指标体系设定满分为100分，绩效评价分值≥90为“优”；80≤分值＜90为“良”；60≤分值＜80为“合格”；60分以下为“差”。</w:t>
      </w:r>
    </w:p>
    <w:p w14:paraId="068AD2F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区政府办单位2021年部门整体支出综合评价得分为90.2分，评价等级为“优”。</w:t>
      </w:r>
    </w:p>
    <w:p w14:paraId="6ADD7FE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政府办2021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0ADC222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14:paraId="3201C91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1.绩效指标方面：预算项目绩效指标不够清晰。</w:t>
      </w:r>
    </w:p>
    <w:p w14:paraId="039D69E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r>
        <w:rPr>
          <w:rFonts w:ascii="仿宋_GB2312" w:eastAsia="仿宋_GB2312" w:cs="DengXian-Regular"/>
          <w:sz w:val="32"/>
          <w:szCs w:val="32"/>
        </w:rPr>
        <w:t>预算和决算数据存在差距</w:t>
      </w:r>
      <w:r>
        <w:rPr>
          <w:rFonts w:hint="eastAsia" w:ascii="仿宋_GB2312" w:eastAsia="仿宋_GB2312" w:cs="DengXian-Regular"/>
          <w:sz w:val="32"/>
          <w:szCs w:val="32"/>
        </w:rPr>
        <w:t>。</w:t>
      </w:r>
    </w:p>
    <w:p w14:paraId="3077E8C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14:paraId="552CD3F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4C9E4E8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664D9BC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14:paraId="004F699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1CA4601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14:paraId="294349B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p>
    <w:p w14:paraId="005ACA6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14:paraId="5817B29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政府办对项目资金进行梳理，督促项目进度和资金拨付进度，应拨付的资金及时拨付，不具备条件的资金及时收回，同时，对于按规定可以结转至下年的中央及省级项目资金，在下年的项目安排时优先考虑。</w:t>
      </w:r>
    </w:p>
    <w:p w14:paraId="1889C48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14:paraId="60D55251">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14:paraId="18EDD64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14:paraId="2F669E6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w:t>
      </w:r>
      <w:r>
        <w:rPr>
          <w:rFonts w:hint="eastAsia" w:ascii="仿宋_GB2312" w:eastAsia="仿宋_GB2312" w:cs="DengXian-Regular"/>
          <w:sz w:val="32"/>
          <w:szCs w:val="32"/>
        </w:rPr>
        <w:t>20</w:t>
      </w:r>
      <w:r>
        <w:rPr>
          <w:rFonts w:ascii="仿宋_GB2312" w:eastAsia="仿宋_GB2312" w:cs="DengXian-Regular"/>
          <w:sz w:val="32"/>
          <w:szCs w:val="32"/>
        </w:rPr>
        <w:t>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2021年预算不增加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14:paraId="451B6D6F">
      <w:pPr>
        <w:pStyle w:val="3"/>
        <w:spacing w:line="540" w:lineRule="exact"/>
        <w:jc w:val="center"/>
        <w:rPr>
          <w:rFonts w:ascii="黑体" w:hAnsi="黑体"/>
          <w:b w:val="0"/>
        </w:rPr>
      </w:pPr>
      <w:bookmarkStart w:id="1" w:name="_Toc119684031"/>
      <w:r>
        <w:rPr>
          <w:rFonts w:hint="eastAsia" w:ascii="黑体" w:hAnsi="黑体"/>
          <w:b w:val="0"/>
        </w:rPr>
        <w:t>第二部分   绩效评价报告</w:t>
      </w:r>
      <w:bookmarkEnd w:id="1"/>
    </w:p>
    <w:p w14:paraId="32A87991">
      <w:pPr>
        <w:pStyle w:val="3"/>
        <w:spacing w:before="0" w:after="0" w:line="360" w:lineRule="auto"/>
        <w:ind w:firstLine="643" w:firstLineChars="200"/>
        <w:rPr>
          <w:rFonts w:ascii="楷体" w:hAnsi="楷体" w:eastAsia="楷体" w:cs="楷体"/>
        </w:rPr>
      </w:pPr>
      <w:bookmarkStart w:id="2" w:name="_Toc119684032"/>
      <w:bookmarkStart w:id="3" w:name="_Toc492652763"/>
      <w:r>
        <w:rPr>
          <w:rFonts w:hint="eastAsia" w:ascii="楷体" w:hAnsi="楷体" w:eastAsia="楷体" w:cs="楷体"/>
        </w:rPr>
        <w:t>一、保定市徐水区人民政府办公室基本情况</w:t>
      </w:r>
      <w:bookmarkEnd w:id="2"/>
      <w:bookmarkEnd w:id="3"/>
      <w:bookmarkStart w:id="4" w:name="_Toc492652764"/>
    </w:p>
    <w:p w14:paraId="7DC927F6">
      <w:pPr>
        <w:pStyle w:val="4"/>
        <w:spacing w:before="0" w:after="0"/>
        <w:ind w:firstLine="643" w:firstLineChars="200"/>
        <w:jc w:val="both"/>
        <w:rPr>
          <w:rFonts w:ascii="仿宋_GB2312" w:hAnsi="Tahoma" w:cs="DengXian-Regular"/>
          <w:sz w:val="32"/>
        </w:rPr>
      </w:pPr>
      <w:bookmarkStart w:id="5" w:name="_Toc119684033"/>
      <w:r>
        <w:rPr>
          <w:rFonts w:hint="eastAsia" w:ascii="仿宋_GB2312" w:hAnsi="Tahoma" w:cs="DengXian-Regular"/>
          <w:sz w:val="32"/>
        </w:rPr>
        <w:t>（一）部门职责和工作活动</w:t>
      </w:r>
      <w:bookmarkEnd w:id="4"/>
      <w:bookmarkEnd w:id="5"/>
    </w:p>
    <w:p w14:paraId="4C32CDE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人民政府办公室职能配置内设机构和人员编制规定》的通知，区政府办为区政府工作部门，正科级单位，下设11个股室。保定市徐水区人民政府办公室根据绩效预算管理改革的相关要求，按照“部门职责—工作活动绩效目标”的层级设立了绩效预算架构，职责活动包括</w:t>
      </w:r>
      <w:bookmarkStart w:id="6" w:name="_Toc465149499"/>
      <w:bookmarkStart w:id="7" w:name="_Toc492652765"/>
      <w:r>
        <w:rPr>
          <w:rFonts w:hint="eastAsia" w:ascii="仿宋_GB2312" w:eastAsia="仿宋_GB2312" w:cs="DengXian-Regular"/>
          <w:sz w:val="32"/>
          <w:szCs w:val="32"/>
        </w:rPr>
        <w:t>在区政府直接领导下，参与政务，开展调查研究，提供决策服务，搞好综合协调，处理日常事务。建设政府网站,维护好区政府应急平台,提升政府电子政务管理与服务水平。做好地方志、人防、法制、档案馆和外事工作，促进全区各项工作顺利推进。</w:t>
      </w:r>
    </w:p>
    <w:p w14:paraId="483FEA67">
      <w:pPr>
        <w:pStyle w:val="4"/>
        <w:spacing w:before="0" w:after="0"/>
        <w:ind w:firstLine="643" w:firstLineChars="200"/>
        <w:jc w:val="both"/>
        <w:rPr>
          <w:rFonts w:ascii="仿宋_GB2312" w:hAnsi="Tahoma" w:cs="DengXian-Regular"/>
          <w:sz w:val="32"/>
        </w:rPr>
      </w:pPr>
      <w:bookmarkStart w:id="8" w:name="_Toc119684034"/>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14:paraId="6A1630D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按照2021年绩效预算编制要求，保定市徐水区人民政府办公室设置的年度发展规划总体目标为：</w:t>
      </w:r>
    </w:p>
    <w:p w14:paraId="6E51FF6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1、综合业务管理经费: 协助区政府领导组织起草或审核以区政府、区政府办公室名义发布的公文；办理区政府各部门和乡镇报送的文电；对区政府部门间出现的争议问题提出处理意见；组织起草区政府领导重要讲话及其他重要文稿；组织专题调研；承办区政府领导交办的其他事项。</w:t>
      </w:r>
    </w:p>
    <w:p w14:paraId="34436992">
      <w:pPr>
        <w:spacing w:after="0" w:line="360" w:lineRule="auto"/>
        <w:ind w:firstLine="640" w:firstLineChars="200"/>
        <w:jc w:val="both"/>
        <w:textAlignment w:val="baseline"/>
        <w:rPr>
          <w:rFonts w:ascii="仿宋" w:hAnsi="仿宋" w:eastAsia="仿宋" w:cs="仿宋"/>
          <w:color w:val="000000"/>
          <w:sz w:val="32"/>
          <w:szCs w:val="32"/>
        </w:rPr>
      </w:pPr>
      <w:r>
        <w:rPr>
          <w:rFonts w:hint="eastAsia" w:ascii="仿宋_GB2312" w:eastAsia="仿宋_GB2312" w:cs="DengXian-Regular"/>
          <w:sz w:val="32"/>
          <w:szCs w:val="32"/>
        </w:rPr>
        <w:t xml:space="preserve">2、政务服务管理与政务公开经费: </w:t>
      </w:r>
      <w:r>
        <w:rPr>
          <w:rFonts w:hint="eastAsia" w:ascii="仿宋" w:hAnsi="仿宋" w:eastAsia="仿宋" w:cs="仿宋"/>
          <w:color w:val="000000"/>
          <w:sz w:val="32"/>
          <w:szCs w:val="32"/>
        </w:rPr>
        <w:t>开展政务公开、会议管理、督查督办、政务联络活动。不断提高信息公开工作业务水平，协助区领导组织会议决定事项的落实，督办重大决策落实。做好区际间政务往来与经济交流工作。负责区级领导公务活动的接待安排。</w:t>
      </w:r>
    </w:p>
    <w:p w14:paraId="085E2B6A">
      <w:pPr>
        <w:spacing w:after="0" w:line="360" w:lineRule="auto"/>
        <w:ind w:firstLine="640" w:firstLineChars="200"/>
        <w:jc w:val="both"/>
        <w:textAlignment w:val="baseline"/>
        <w:rPr>
          <w:rFonts w:ascii="仿宋" w:hAnsi="仿宋" w:eastAsia="仿宋"/>
          <w:color w:val="000000"/>
          <w:sz w:val="32"/>
        </w:rPr>
      </w:pPr>
      <w:r>
        <w:rPr>
          <w:rFonts w:hint="eastAsia" w:ascii="仿宋_GB2312" w:eastAsia="仿宋_GB2312" w:cs="DengXian-Regular"/>
          <w:sz w:val="32"/>
          <w:szCs w:val="32"/>
        </w:rPr>
        <w:t xml:space="preserve">3、综合事务管理经费: </w:t>
      </w:r>
      <w:r>
        <w:rPr>
          <w:rFonts w:hint="eastAsia" w:ascii="仿宋" w:hAnsi="仿宋" w:eastAsia="仿宋" w:cs="仿宋"/>
          <w:color w:val="000000"/>
          <w:sz w:val="32"/>
          <w:szCs w:val="32"/>
        </w:rPr>
        <w:t>以服务领导和机关保障有力为目标，增强优质后勤管理水平，提升服务管理水平，保障区领导和机关工作的正常运转。</w:t>
      </w:r>
      <w:r>
        <w:rPr>
          <w:rFonts w:ascii="仿宋" w:hAnsi="仿宋" w:eastAsia="仿宋"/>
          <w:sz w:val="32"/>
        </w:rPr>
        <w:t>保障区政府领导和机关工作办公环境的措施，更新部分陈旧的办公设备，提升服务管理水平。</w:t>
      </w:r>
    </w:p>
    <w:p w14:paraId="0A02524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4、汽车租赁费：为了保障应急、接待和公务活动需要，我单位租赁三辆长城车，保障公务活动正常开展，提升服务管理水平。</w:t>
      </w:r>
    </w:p>
    <w:p w14:paraId="59EFD28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cs="仿宋"/>
          <w:color w:val="000000"/>
          <w:sz w:val="32"/>
          <w:szCs w:val="32"/>
        </w:rPr>
      </w:pPr>
      <w:r>
        <w:rPr>
          <w:rFonts w:hint="eastAsia" w:ascii="仿宋_GB2312" w:eastAsia="仿宋_GB2312" w:cs="DengXian-Regular"/>
          <w:sz w:val="32"/>
          <w:szCs w:val="32"/>
        </w:rPr>
        <w:t xml:space="preserve">5、政府视频会议数字电路租用费: </w:t>
      </w:r>
      <w:r>
        <w:rPr>
          <w:rFonts w:hint="eastAsia" w:ascii="仿宋" w:hAnsi="仿宋" w:eastAsia="仿宋" w:cs="仿宋"/>
          <w:color w:val="000000"/>
          <w:sz w:val="32"/>
          <w:szCs w:val="32"/>
        </w:rPr>
        <w:t>开展政府电子政务管理于服务工作。提高行政效能和会议效率，适应电视电话会议要求，确保各类会议顺利进行，保障区政府网络系统安全、稳定运行，技术设备安全可用，切实提高技术保障能力和服务水平。</w:t>
      </w:r>
    </w:p>
    <w:p w14:paraId="0BB00DF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6、年鉴出版发行：</w:t>
      </w:r>
      <w:r>
        <w:rPr>
          <w:rFonts w:hint="eastAsia" w:ascii="仿宋" w:hAnsi="仿宋" w:eastAsia="仿宋" w:cs="仿宋"/>
          <w:color w:val="000000"/>
          <w:sz w:val="32"/>
          <w:szCs w:val="32"/>
        </w:rPr>
        <w:t>开展地方志事务管理工作。完成综合年鉴的出版发行，系统汇集上一年度文献信息，真实全面记载县情资料，对今后的区域经济与社会发展起到“鉴古知今”的“资治”作用。</w:t>
      </w:r>
      <w:r>
        <w:rPr>
          <w:rFonts w:hint="eastAsia" w:ascii="仿宋_GB2312" w:eastAsia="仿宋_GB2312" w:cs="DengXian-Regular"/>
          <w:sz w:val="32"/>
          <w:szCs w:val="32"/>
        </w:rPr>
        <w:t>传承优秀文化传统，充分发挥志书“资政、存史、教化”的综合功能，为区域经济社会建设服务，为地方志工作者提供资料和工具。搜集、保存、管理地方文献和资料。</w:t>
      </w:r>
    </w:p>
    <w:p w14:paraId="3B5FA4F7">
      <w:pPr>
        <w:spacing w:after="0" w:line="360" w:lineRule="auto"/>
        <w:ind w:firstLine="640" w:firstLineChars="200"/>
        <w:jc w:val="both"/>
        <w:textAlignment w:val="baseline"/>
        <w:rPr>
          <w:rFonts w:ascii="仿宋" w:hAnsi="仿宋" w:eastAsia="仿宋"/>
          <w:color w:val="000000"/>
          <w:sz w:val="32"/>
        </w:rPr>
      </w:pPr>
      <w:r>
        <w:rPr>
          <w:rFonts w:hint="eastAsia" w:ascii="仿宋_GB2312" w:eastAsia="仿宋_GB2312" w:cs="DengXian-Regular"/>
          <w:sz w:val="32"/>
          <w:szCs w:val="32"/>
        </w:rPr>
        <w:t>7、</w:t>
      </w:r>
      <w:r>
        <w:rPr>
          <w:rFonts w:ascii="仿宋" w:hAnsi="仿宋" w:eastAsia="仿宋"/>
          <w:color w:val="000000"/>
          <w:sz w:val="32"/>
        </w:rPr>
        <w:t>人民防空宣传费用</w:t>
      </w:r>
      <w:r>
        <w:rPr>
          <w:rFonts w:hint="eastAsia" w:ascii="仿宋" w:hAnsi="仿宋" w:eastAsia="仿宋"/>
          <w:color w:val="000000"/>
          <w:sz w:val="32"/>
        </w:rPr>
        <w:t>：</w:t>
      </w:r>
      <w:r>
        <w:rPr>
          <w:rFonts w:ascii="仿宋" w:hAnsi="仿宋" w:eastAsia="仿宋"/>
          <w:color w:val="000000"/>
          <w:sz w:val="32"/>
        </w:rPr>
        <w:t>根据省、市人防办关于加强人民防空宣传工作的意见，建设人防宣教场所和印制人民防空知识宣传手册。</w:t>
      </w:r>
    </w:p>
    <w:p w14:paraId="044529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cs="仿宋"/>
          <w:sz w:val="32"/>
          <w:szCs w:val="32"/>
        </w:rPr>
      </w:pPr>
      <w:r>
        <w:rPr>
          <w:rFonts w:hint="eastAsia" w:ascii="仿宋" w:hAnsi="仿宋" w:eastAsia="仿宋"/>
          <w:color w:val="000000"/>
          <w:sz w:val="32"/>
        </w:rPr>
        <w:t>8、</w:t>
      </w:r>
      <w:r>
        <w:rPr>
          <w:rFonts w:hint="eastAsia" w:ascii="仿宋" w:hAnsi="仿宋" w:eastAsia="仿宋" w:cs="仿宋"/>
          <w:sz w:val="32"/>
          <w:szCs w:val="32"/>
        </w:rPr>
        <w:t>数字电视维护费和增值业务费项目：保障各类视频会议信号优良，确保各类视频会议顺利进行。</w:t>
      </w:r>
    </w:p>
    <w:p w14:paraId="4E538E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9、</w:t>
      </w:r>
      <w:r>
        <w:rPr>
          <w:rFonts w:ascii="仿宋" w:hAnsi="仿宋" w:eastAsia="仿宋"/>
          <w:sz w:val="32"/>
        </w:rPr>
        <w:t>徐水区</w:t>
      </w:r>
      <w:r>
        <w:rPr>
          <w:rFonts w:hint="eastAsia" w:ascii="仿宋" w:hAnsi="仿宋" w:eastAsia="仿宋"/>
          <w:sz w:val="32"/>
        </w:rPr>
        <w:t>双代</w:t>
      </w:r>
      <w:r>
        <w:rPr>
          <w:rFonts w:ascii="仿宋" w:hAnsi="仿宋" w:eastAsia="仿宋"/>
          <w:sz w:val="32"/>
        </w:rPr>
        <w:t>办工作经费</w:t>
      </w:r>
      <w:r>
        <w:rPr>
          <w:rFonts w:hint="eastAsia" w:ascii="仿宋" w:hAnsi="仿宋" w:eastAsia="仿宋"/>
          <w:sz w:val="32"/>
        </w:rPr>
        <w:t>项目：保障双代办工作的正常运行。</w:t>
      </w:r>
    </w:p>
    <w:p w14:paraId="031343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10、</w:t>
      </w:r>
      <w:r>
        <w:rPr>
          <w:rFonts w:ascii="仿宋" w:hAnsi="仿宋" w:eastAsia="仿宋"/>
          <w:sz w:val="32"/>
        </w:rPr>
        <w:t>徐水区</w:t>
      </w:r>
      <w:r>
        <w:rPr>
          <w:rFonts w:hint="eastAsia" w:ascii="仿宋" w:hAnsi="仿宋" w:eastAsia="仿宋"/>
          <w:sz w:val="32"/>
        </w:rPr>
        <w:t>大气</w:t>
      </w:r>
      <w:r>
        <w:rPr>
          <w:rFonts w:ascii="仿宋" w:hAnsi="仿宋" w:eastAsia="仿宋"/>
          <w:sz w:val="32"/>
        </w:rPr>
        <w:t>办工作经费</w:t>
      </w:r>
      <w:r>
        <w:rPr>
          <w:rFonts w:hint="eastAsia" w:ascii="仿宋" w:hAnsi="仿宋" w:eastAsia="仿宋"/>
          <w:sz w:val="32"/>
        </w:rPr>
        <w:t>项目：保障大气办工作的正常运行。</w:t>
      </w:r>
    </w:p>
    <w:p w14:paraId="75B2814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11、</w:t>
      </w:r>
      <w:r>
        <w:rPr>
          <w:rFonts w:ascii="仿宋" w:hAnsi="仿宋" w:eastAsia="仿宋"/>
          <w:sz w:val="32"/>
        </w:rPr>
        <w:t>徐水区</w:t>
      </w:r>
      <w:r>
        <w:rPr>
          <w:rFonts w:hint="eastAsia" w:ascii="仿宋" w:hAnsi="仿宋" w:eastAsia="仿宋"/>
          <w:sz w:val="32"/>
        </w:rPr>
        <w:t>大项目</w:t>
      </w:r>
      <w:r>
        <w:rPr>
          <w:rFonts w:ascii="仿宋" w:hAnsi="仿宋" w:eastAsia="仿宋"/>
          <w:sz w:val="32"/>
        </w:rPr>
        <w:t>办工作经费</w:t>
      </w:r>
      <w:r>
        <w:rPr>
          <w:rFonts w:hint="eastAsia" w:ascii="仿宋" w:hAnsi="仿宋" w:eastAsia="仿宋"/>
          <w:sz w:val="32"/>
        </w:rPr>
        <w:t>项目：保障大项目办工作的正常运行。</w:t>
      </w:r>
    </w:p>
    <w:p w14:paraId="496D4CC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12、OA系统使用费：规范政府办公过程在保障安全的前提下，实现无纸化、移动化、智能化办公提升政府办公效率。</w:t>
      </w:r>
      <w:bookmarkStart w:id="9" w:name="_Toc465149500"/>
      <w:bookmarkStart w:id="10" w:name="_Toc492652766"/>
    </w:p>
    <w:p w14:paraId="6DCE224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2021年区政府办预算收入961.75万元，均为一般公共预算拨款，其中：财政拨款961.75万元，中央财政提前通知转移支付0万元。预算收入按功能分类包含：一般公共服务支出769.66万元，社会保障和就业支出61.76万元，卫生健康支出24.40万元，住房保障支出35.33万元。具体预算收入详见附件2。</w:t>
      </w:r>
    </w:p>
    <w:p w14:paraId="15EC8B81">
      <w:pPr>
        <w:spacing w:after="0" w:line="360" w:lineRule="auto"/>
        <w:ind w:firstLine="640" w:firstLineChars="200"/>
        <w:jc w:val="both"/>
        <w:textAlignment w:val="baseline"/>
        <w:rPr>
          <w:rFonts w:ascii="仿宋_GB2312" w:eastAsia="仿宋_GB2312" w:cs="DengXian-Regular"/>
          <w:color w:val="FF0000"/>
          <w:sz w:val="32"/>
          <w:szCs w:val="32"/>
        </w:rPr>
      </w:pPr>
      <w:r>
        <w:rPr>
          <w:rFonts w:hint="eastAsia" w:ascii="仿宋_GB2312" w:eastAsia="仿宋_GB2312" w:cs="DengXian-Regular"/>
          <w:sz w:val="32"/>
          <w:szCs w:val="32"/>
        </w:rPr>
        <w:t>2021年区政府办决算收入781.59万元，其中：财政拨款收入781.53万元，其他收入0.06万元（全部为利息收入）。决算收入按功能分类包含：一般公共服务支出656.18万元，占比83%；社会保障和就业支出67.80万元，占比9%； 卫生健康支出20.16万元，占比3%；住房保障支出37.45万元，占比5%。具体决算收入详见附件</w:t>
      </w:r>
    </w:p>
    <w:p w14:paraId="7E3E568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14:paraId="00B533ED">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2021度区</w:t>
      </w:r>
      <w:r>
        <w:rPr>
          <w:rFonts w:hint="eastAsia" w:ascii="仿宋_GB2312" w:eastAsia="仿宋_GB2312" w:cs="DengXian-Regular"/>
          <w:b/>
          <w:sz w:val="32"/>
          <w:szCs w:val="32"/>
        </w:rPr>
        <w:t>政府办</w:t>
      </w:r>
      <w:r>
        <w:rPr>
          <w:rFonts w:hint="eastAsia" w:asciiTheme="minorEastAsia" w:hAnsiTheme="minorEastAsia" w:eastAsiaTheme="minorEastAsia" w:cstheme="minorEastAsia"/>
          <w:b/>
          <w:bCs/>
          <w:sz w:val="32"/>
          <w:szCs w:val="32"/>
        </w:rPr>
        <w:t>决算收入结构图</w:t>
      </w:r>
    </w:p>
    <w:p w14:paraId="4055C076">
      <w:pPr>
        <w:spacing w:after="0" w:line="540" w:lineRule="exact"/>
        <w:ind w:firstLine="440" w:firstLineChars="200"/>
        <w:jc w:val="both"/>
        <w:rPr>
          <w:rFonts w:ascii="仿宋_GB2312" w:eastAsia="仿宋_GB2312" w:cs="Times New Roman" w:hAnsiTheme="minorEastAsia"/>
          <w:color w:val="FF0000"/>
          <w:sz w:val="32"/>
          <w:szCs w:val="32"/>
          <w:u w:color="000000"/>
        </w:rPr>
      </w:pPr>
      <w:r>
        <w:drawing>
          <wp:anchor distT="0" distB="0" distL="114300" distR="114300" simplePos="0" relativeHeight="251660288" behindDoc="0" locked="0" layoutInCell="1" allowOverlap="1">
            <wp:simplePos x="0" y="0"/>
            <wp:positionH relativeFrom="column">
              <wp:posOffset>941705</wp:posOffset>
            </wp:positionH>
            <wp:positionV relativeFrom="paragraph">
              <wp:posOffset>20955</wp:posOffset>
            </wp:positionV>
            <wp:extent cx="3604260" cy="2466340"/>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color w:val="FF0000"/>
        </w:rPr>
        <w:pict>
          <v:shape id="TextBox 3" o:spid="_x0000_s1026" o:spt="202" type="#_x0000_t202" style="position:absolute;left:0pt;margin-left:124.3pt;margin-top:8.1pt;height:51.25pt;width:179.05pt;mso-wrap-style:none;z-index:251659264;v-text-anchor:middle;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">
            <v:path/>
            <v:fill on="f" focussize="0,0"/>
            <v:stroke on="f" joinstyle="miter"/>
            <v:imagedata o:title=""/>
            <o:lock v:ext="edit"/>
            <v:textbox style="mso-fit-shape-to-text:t;">
              <w:txbxContent>
                <w:p w14:paraId="59206BD5">
                  <w:pPr>
                    <w:pStyle w:val="20"/>
                    <w:spacing w:before="0" w:beforeAutospacing="0" w:after="0" w:afterAutospacing="0"/>
                  </w:pPr>
                </w:p>
                <w:p w14:paraId="15F0650C"/>
              </w:txbxContent>
            </v:textbox>
          </v:shape>
        </w:pict>
      </w:r>
    </w:p>
    <w:p w14:paraId="0A84B9F0">
      <w:pPr>
        <w:spacing w:after="0" w:line="540" w:lineRule="exact"/>
        <w:ind w:firstLine="640" w:firstLineChars="200"/>
        <w:jc w:val="both"/>
        <w:rPr>
          <w:rFonts w:ascii="仿宋_GB2312" w:eastAsia="仿宋_GB2312" w:cs="Times New Roman" w:hAnsiTheme="minorEastAsia"/>
          <w:color w:val="FF0000"/>
          <w:sz w:val="32"/>
          <w:szCs w:val="32"/>
          <w:u w:color="000000"/>
        </w:rPr>
      </w:pPr>
    </w:p>
    <w:p w14:paraId="2DE1E550">
      <w:pPr>
        <w:spacing w:after="0" w:line="540" w:lineRule="exact"/>
        <w:jc w:val="both"/>
        <w:rPr>
          <w:rFonts w:ascii="仿宋_GB2312" w:eastAsia="仿宋_GB2312" w:cs="DengXian-Regular"/>
          <w:color w:val="FF0000"/>
          <w:sz w:val="32"/>
          <w:szCs w:val="32"/>
        </w:rPr>
      </w:pPr>
    </w:p>
    <w:p w14:paraId="172B54B1">
      <w:pPr>
        <w:spacing w:after="0" w:line="540" w:lineRule="exact"/>
        <w:jc w:val="both"/>
        <w:rPr>
          <w:rFonts w:ascii="仿宋_GB2312" w:eastAsia="仿宋_GB2312" w:cs="DengXian-Regular"/>
          <w:color w:val="FF0000"/>
          <w:sz w:val="32"/>
          <w:szCs w:val="32"/>
        </w:rPr>
      </w:pPr>
    </w:p>
    <w:p w14:paraId="0A59E800">
      <w:pPr>
        <w:spacing w:after="0" w:line="540" w:lineRule="exact"/>
        <w:jc w:val="both"/>
        <w:rPr>
          <w:rFonts w:ascii="仿宋_GB2312" w:eastAsia="仿宋_GB2312" w:cs="DengXian-Regular"/>
          <w:color w:val="FF0000"/>
          <w:sz w:val="32"/>
          <w:szCs w:val="32"/>
        </w:rPr>
      </w:pPr>
    </w:p>
    <w:p w14:paraId="2E570B3D">
      <w:pPr>
        <w:spacing w:after="0" w:line="540" w:lineRule="exact"/>
        <w:jc w:val="both"/>
        <w:rPr>
          <w:rFonts w:ascii="仿宋_GB2312" w:eastAsia="仿宋_GB2312" w:cs="DengXian-Regular"/>
          <w:color w:val="FF0000"/>
          <w:sz w:val="32"/>
          <w:szCs w:val="32"/>
        </w:rPr>
      </w:pPr>
    </w:p>
    <w:p w14:paraId="1C75EB16">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区政府办一般公共预算财政拨款决算收入比年初预算减少180.16万元，完成年初预算的81%。决算收入小于预算收入的主要原因为2021度压减支出。预算收入与决算收入对比情况见图2。</w:t>
      </w:r>
    </w:p>
    <w:p w14:paraId="031418FC">
      <w:pPr>
        <w:spacing w:after="0" w:line="360" w:lineRule="auto"/>
        <w:ind w:firstLine="643" w:firstLineChars="200"/>
        <w:jc w:val="both"/>
        <w:rPr>
          <w:rFonts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2021度区</w:t>
      </w:r>
      <w:r>
        <w:rPr>
          <w:rFonts w:hint="eastAsia" w:ascii="仿宋_GB2312" w:eastAsia="仿宋_GB2312" w:cs="DengXian-Regular"/>
          <w:b/>
          <w:sz w:val="32"/>
          <w:szCs w:val="32"/>
        </w:rPr>
        <w:t>政府</w:t>
      </w:r>
      <w:r>
        <w:rPr>
          <w:rFonts w:hint="eastAsia" w:asciiTheme="minorEastAsia" w:hAnsiTheme="minorEastAsia" w:eastAsiaTheme="minorEastAsia" w:cstheme="minorEastAsia"/>
          <w:b/>
          <w:sz w:val="32"/>
          <w:szCs w:val="32"/>
          <w:u w:color="000000"/>
        </w:rPr>
        <w:t>预算收入与决算收入对比图</w:t>
      </w:r>
    </w:p>
    <w:p w14:paraId="3F2A9A0E">
      <w:pPr>
        <w:spacing w:after="0" w:line="360" w:lineRule="auto"/>
        <w:jc w:val="center"/>
        <w:rPr>
          <w:rFonts w:asciiTheme="minorEastAsia" w:hAnsiTheme="minorEastAsia" w:eastAsiaTheme="minorEastAsia" w:cstheme="minorEastAsia"/>
          <w:b/>
          <w:sz w:val="32"/>
          <w:szCs w:val="32"/>
          <w:u w:color="000000"/>
        </w:rPr>
      </w:pPr>
      <w:r>
        <w:drawing>
          <wp:inline distT="0" distB="0" distL="0" distR="0">
            <wp:extent cx="5278120" cy="266890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03044A">
      <w:pPr>
        <w:pStyle w:val="4"/>
        <w:spacing w:before="0" w:after="0"/>
        <w:ind w:firstLine="643" w:firstLineChars="200"/>
        <w:jc w:val="both"/>
        <w:rPr>
          <w:rFonts w:ascii="仿宋_GB2312" w:hAnsiTheme="minorEastAsia"/>
          <w:sz w:val="32"/>
        </w:rPr>
      </w:pPr>
      <w:bookmarkStart w:id="11" w:name="_Toc119684035"/>
      <w:r>
        <w:rPr>
          <w:rFonts w:hint="eastAsia" w:ascii="仿宋_GB2312" w:hAnsiTheme="minorEastAsia"/>
          <w:sz w:val="32"/>
        </w:rPr>
        <w:t>（四）预算支出及决算</w:t>
      </w:r>
      <w:bookmarkEnd w:id="9"/>
      <w:bookmarkEnd w:id="10"/>
      <w:r>
        <w:rPr>
          <w:rFonts w:hint="eastAsia" w:ascii="仿宋_GB2312" w:hAnsiTheme="minorEastAsia"/>
          <w:sz w:val="32"/>
        </w:rPr>
        <w:t>支出</w:t>
      </w:r>
      <w:bookmarkEnd w:id="11"/>
    </w:p>
    <w:p w14:paraId="338A386B">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2021年度区政府办</w:t>
      </w:r>
      <w:r>
        <w:rPr>
          <w:rFonts w:hint="eastAsia" w:ascii="仿宋_GB2312" w:eastAsia="仿宋_GB2312" w:cs="Times New Roman" w:hAnsiTheme="minorEastAsia"/>
          <w:sz w:val="32"/>
          <w:szCs w:val="32"/>
          <w:u w:color="000000"/>
        </w:rPr>
        <w:t>预算支出安排961.75万元，其中：基本支出759.09万元，项目支出202.66万元。预算支出按功能分类包含：</w:t>
      </w:r>
      <w:r>
        <w:rPr>
          <w:rFonts w:hint="eastAsia" w:ascii="仿宋_GB2312" w:eastAsia="仿宋_GB2312" w:cs="DengXian-Regular"/>
          <w:sz w:val="32"/>
          <w:szCs w:val="32"/>
        </w:rPr>
        <w:t>一般公共服务支出769.66</w:t>
      </w:r>
      <w:r>
        <w:rPr>
          <w:rFonts w:hint="eastAsia" w:ascii="仿宋_GB2312" w:eastAsia="仿宋_GB2312" w:cs="Times New Roman" w:hAnsiTheme="minorEastAsia"/>
          <w:sz w:val="32"/>
          <w:szCs w:val="32"/>
          <w:u w:color="000000"/>
        </w:rPr>
        <w:t>万元，社会保障和就业支出61.76万元，卫生健康支出24.40万元，住房保障支出35.33万元。具体预算支出详见附件2。</w:t>
      </w:r>
    </w:p>
    <w:p w14:paraId="62395C45">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2021年度区政府办</w:t>
      </w:r>
      <w:r>
        <w:rPr>
          <w:rFonts w:hint="eastAsia" w:ascii="仿宋_GB2312" w:eastAsia="仿宋_GB2312" w:cs="Times New Roman" w:hAnsiTheme="minorEastAsia"/>
          <w:sz w:val="32"/>
          <w:szCs w:val="32"/>
          <w:u w:color="000000"/>
        </w:rPr>
        <w:t>决算支出为837.38万元，其中：基本支出623.81万元，项目支出213.57万元。决算支出按功能分类包含：</w:t>
      </w:r>
      <w:r>
        <w:rPr>
          <w:rFonts w:hint="eastAsia" w:ascii="仿宋_GB2312" w:eastAsia="仿宋_GB2312" w:cs="DengXian-Regular"/>
          <w:sz w:val="32"/>
          <w:szCs w:val="32"/>
        </w:rPr>
        <w:t>一般公共服务支出691.44</w:t>
      </w:r>
      <w:r>
        <w:rPr>
          <w:rFonts w:hint="eastAsia" w:ascii="仿宋_GB2312" w:eastAsia="仿宋_GB2312" w:cs="Times New Roman" w:hAnsiTheme="minorEastAsia"/>
          <w:sz w:val="32"/>
          <w:szCs w:val="32"/>
          <w:u w:color="000000"/>
        </w:rPr>
        <w:t>万元，占比83%；社会保障和就业支出88.33万元，占比11%；卫生健康支出20.16万元，占比2%；住房保障支出37.45万元，占比4%。具体决算支出详见附件2。</w:t>
      </w:r>
    </w:p>
    <w:p w14:paraId="1B3C50CF">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14:paraId="153B6318">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b/>
          <w:sz w:val="32"/>
          <w:szCs w:val="32"/>
        </w:rPr>
        <w:t>2021年度区政府办</w:t>
      </w:r>
      <w:r>
        <w:rPr>
          <w:rFonts w:hint="eastAsia" w:asciiTheme="minorEastAsia" w:hAnsiTheme="minorEastAsia" w:eastAsiaTheme="minorEastAsia" w:cstheme="minorEastAsia"/>
          <w:b/>
          <w:bCs/>
          <w:sz w:val="32"/>
          <w:szCs w:val="32"/>
          <w:u w:color="000000"/>
        </w:rPr>
        <w:t>决算支出结构图</w:t>
      </w:r>
    </w:p>
    <w:p w14:paraId="504D1CE5">
      <w:pPr>
        <w:spacing w:after="0" w:line="360" w:lineRule="auto"/>
        <w:jc w:val="both"/>
      </w:pPr>
      <w:r>
        <w:drawing>
          <wp:inline distT="0" distB="0" distL="0" distR="0">
            <wp:extent cx="4973955" cy="3158490"/>
            <wp:effectExtent l="0" t="0" r="17145" b="2286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B3AD88">
      <w:pPr>
        <w:spacing w:after="0" w:line="360" w:lineRule="auto"/>
        <w:jc w:val="both"/>
        <w:rPr>
          <w:rFonts w:ascii="仿宋" w:hAnsi="仿宋" w:eastAsia="仿宋"/>
          <w:snapToGrid w:val="0"/>
          <w:sz w:val="32"/>
          <w:szCs w:val="32"/>
        </w:rPr>
      </w:pPr>
      <w:r>
        <w:rPr>
          <w:rFonts w:hint="eastAsia" w:ascii="仿宋_GB2312" w:eastAsia="仿宋_GB2312" w:cs="DengXian-Regular"/>
          <w:sz w:val="32"/>
          <w:szCs w:val="32"/>
        </w:rPr>
        <w:t xml:space="preserve">    决算支出比年初预算减少124.37万元。决算支出完成年初预算的87%。</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主要原因为2021年度压减支出。</w:t>
      </w:r>
      <w:r>
        <w:rPr>
          <w:rFonts w:hint="eastAsia" w:ascii="仿宋" w:hAnsi="仿宋" w:eastAsia="仿宋"/>
          <w:snapToGrid w:val="0"/>
          <w:sz w:val="32"/>
          <w:szCs w:val="32"/>
        </w:rPr>
        <w:t>预算支出与决算支出对比情况如图4。</w:t>
      </w:r>
    </w:p>
    <w:p w14:paraId="273B245C">
      <w:pPr>
        <w:spacing w:after="0" w:line="360" w:lineRule="auto"/>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b/>
          <w:sz w:val="32"/>
          <w:szCs w:val="32"/>
        </w:rPr>
        <w:t>2021年度区政府办</w:t>
      </w:r>
      <w:r>
        <w:rPr>
          <w:rFonts w:hint="eastAsia" w:asciiTheme="minorEastAsia" w:hAnsiTheme="minorEastAsia" w:eastAsiaTheme="minorEastAsia" w:cstheme="minorEastAsia"/>
          <w:b/>
          <w:bCs/>
          <w:sz w:val="32"/>
          <w:szCs w:val="32"/>
        </w:rPr>
        <w:t>预算支出与决算支出对比图</w:t>
      </w:r>
    </w:p>
    <w:p w14:paraId="70746966">
      <w:pPr>
        <w:spacing w:after="0" w:line="360" w:lineRule="auto"/>
        <w:jc w:val="center"/>
        <w:rPr>
          <w:rFonts w:asciiTheme="minorEastAsia" w:hAnsiTheme="minorEastAsia" w:eastAsiaTheme="minorEastAsia" w:cstheme="minorEastAsia"/>
          <w:b/>
          <w:bCs/>
          <w:sz w:val="32"/>
          <w:szCs w:val="32"/>
        </w:rPr>
      </w:pPr>
      <w:r>
        <w:drawing>
          <wp:inline distT="0" distB="0" distL="0" distR="0">
            <wp:extent cx="5146040" cy="2030730"/>
            <wp:effectExtent l="0" t="0" r="0" b="76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61F0C1">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区政府办2021年实际项目支出213.57万元，决算报表中项目支出3213.57元，实际支出与决算报表差0万元。</w:t>
      </w:r>
    </w:p>
    <w:p w14:paraId="2FD873E6">
      <w:pPr>
        <w:pStyle w:val="4"/>
        <w:spacing w:before="0" w:after="0"/>
        <w:ind w:firstLine="643" w:firstLineChars="200"/>
        <w:jc w:val="both"/>
        <w:rPr>
          <w:rFonts w:ascii="仿宋_GB2312" w:hAnsi="Tahoma" w:cs="DengXian-Regular"/>
          <w:sz w:val="32"/>
        </w:rPr>
      </w:pPr>
      <w:bookmarkStart w:id="12" w:name="_Toc492652769"/>
      <w:bookmarkStart w:id="13" w:name="_Toc465149503"/>
      <w:bookmarkStart w:id="14" w:name="_Toc119684036"/>
      <w:r>
        <w:rPr>
          <w:rFonts w:hint="eastAsia" w:ascii="仿宋_GB2312" w:hAnsi="Tahoma" w:cs="DengXian-Regular"/>
          <w:sz w:val="32"/>
        </w:rPr>
        <w:t>（五）“三公”经费预算安排及支出情况</w:t>
      </w:r>
      <w:bookmarkEnd w:id="12"/>
      <w:bookmarkEnd w:id="13"/>
      <w:bookmarkEnd w:id="14"/>
    </w:p>
    <w:p w14:paraId="6978E79D">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2021年区政府办“三公”经费预算49.9万元（公务用车运行维护费30.9万元，公务接待费19万元），实际支出18.17万元（公务用车运行维护费6.15万元，公务接待费12.02万元），比预算减少31.73万元，节约率64%。2021年“三公”经费预算数与</w:t>
      </w:r>
      <w:r>
        <w:rPr>
          <w:rFonts w:ascii="仿宋_GB2312" w:eastAsia="仿宋_GB2312" w:cs="DengXian-Regular"/>
          <w:sz w:val="32"/>
          <w:szCs w:val="32"/>
        </w:rPr>
        <w:t>20</w:t>
      </w:r>
      <w:r>
        <w:rPr>
          <w:rFonts w:hint="eastAsia" w:ascii="仿宋_GB2312" w:eastAsia="仿宋_GB2312" w:cs="DengXian-Regular"/>
          <w:sz w:val="32"/>
          <w:szCs w:val="32"/>
        </w:rPr>
        <w:t>20年预算数相比减少9.1万，决算数与2020年实际支出相比，减少18.83万元。具体详见表1。</w:t>
      </w:r>
    </w:p>
    <w:p w14:paraId="60B3F484">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区政府办</w:t>
      </w:r>
      <w:r>
        <w:rPr>
          <w:rFonts w:hint="eastAsia" w:asciiTheme="minorEastAsia" w:hAnsiTheme="minorEastAsia" w:eastAsiaTheme="minorEastAsia" w:cstheme="minorEastAsia"/>
          <w:b/>
          <w:bCs/>
          <w:sz w:val="32"/>
          <w:szCs w:val="32"/>
        </w:rPr>
        <w:t>“三公”经费预算及决算明细表</w:t>
      </w:r>
    </w:p>
    <w:p w14:paraId="58DBEA6F">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07E7FB76">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D1664">
            <w:pPr>
              <w:spacing w:after="0"/>
              <w:jc w:val="center"/>
              <w:textAlignment w:val="center"/>
              <w:rPr>
                <w:rFonts w:ascii="宋体" w:hAnsi="宋体" w:eastAsia="宋体" w:cs="宋体"/>
                <w:b/>
                <w:bCs/>
                <w:sz w:val="21"/>
                <w:szCs w:val="21"/>
              </w:rPr>
            </w:pPr>
            <w:r>
              <w:rPr>
                <w:rFonts w:hint="eastAsia" w:ascii="宋体" w:hAnsi="宋体" w:eastAsia="宋体" w:cs="宋体"/>
                <w:b/>
                <w:bCs/>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7BE15A">
            <w:pPr>
              <w:spacing w:after="0"/>
              <w:jc w:val="center"/>
              <w:textAlignment w:val="center"/>
              <w:rPr>
                <w:rFonts w:ascii="宋体" w:hAnsi="宋体" w:eastAsia="宋体" w:cs="宋体"/>
                <w:b/>
                <w:bCs/>
                <w:sz w:val="21"/>
                <w:szCs w:val="21"/>
              </w:rPr>
            </w:pPr>
            <w:r>
              <w:rPr>
                <w:rFonts w:hint="eastAsia" w:ascii="宋体" w:hAnsi="宋体" w:eastAsia="宋体" w:cs="宋体"/>
                <w:b/>
                <w:bCs/>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659E0C">
            <w:pPr>
              <w:spacing w:after="0"/>
              <w:ind w:firstLine="422" w:firstLineChars="200"/>
              <w:jc w:val="center"/>
              <w:textAlignment w:val="center"/>
              <w:rPr>
                <w:rFonts w:ascii="宋体" w:hAnsi="宋体" w:eastAsia="宋体" w:cs="宋体"/>
                <w:b/>
                <w:bCs/>
                <w:sz w:val="21"/>
                <w:szCs w:val="21"/>
              </w:rPr>
            </w:pPr>
            <w:r>
              <w:rPr>
                <w:rFonts w:ascii="宋体" w:hAnsi="宋体" w:eastAsia="宋体" w:cs="宋体"/>
                <w:b/>
                <w:bCs/>
                <w:sz w:val="21"/>
                <w:szCs w:val="21"/>
              </w:rPr>
              <w:t>20</w:t>
            </w:r>
            <w:r>
              <w:rPr>
                <w:rFonts w:hint="eastAsia" w:ascii="宋体" w:hAnsi="宋体" w:eastAsia="宋体" w:cs="宋体"/>
                <w:b/>
                <w:bCs/>
                <w:sz w:val="21"/>
                <w:szCs w:val="21"/>
              </w:rPr>
              <w:t>20年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65C2DC10">
            <w:pPr>
              <w:spacing w:after="0"/>
              <w:ind w:firstLine="422" w:firstLineChars="200"/>
              <w:jc w:val="center"/>
              <w:textAlignment w:val="center"/>
              <w:rPr>
                <w:rFonts w:ascii="宋体" w:hAnsi="宋体" w:eastAsia="宋体" w:cs="宋体"/>
                <w:b/>
                <w:bCs/>
                <w:sz w:val="21"/>
                <w:szCs w:val="21"/>
              </w:rPr>
            </w:pPr>
            <w:r>
              <w:rPr>
                <w:rFonts w:hint="eastAsia" w:ascii="宋体" w:hAnsi="宋体" w:eastAsia="宋体" w:cs="宋体"/>
                <w:b/>
                <w:bCs/>
                <w:sz w:val="21"/>
                <w:szCs w:val="21"/>
              </w:rPr>
              <w:t>2021年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4FF51">
            <w:pPr>
              <w:spacing w:after="0"/>
              <w:ind w:firstLine="422" w:firstLineChars="200"/>
              <w:jc w:val="center"/>
              <w:textAlignment w:val="center"/>
              <w:rPr>
                <w:rFonts w:ascii="宋体" w:hAnsi="宋体" w:eastAsia="宋体" w:cs="宋体"/>
                <w:b/>
                <w:bCs/>
                <w:sz w:val="21"/>
                <w:szCs w:val="21"/>
              </w:rPr>
            </w:pPr>
            <w:r>
              <w:rPr>
                <w:rFonts w:hint="eastAsia" w:ascii="宋体" w:hAnsi="宋体" w:eastAsia="宋体" w:cs="宋体"/>
                <w:b/>
                <w:bCs/>
                <w:sz w:val="21"/>
                <w:szCs w:val="21"/>
              </w:rPr>
              <w:t>环比情况</w:t>
            </w:r>
          </w:p>
        </w:tc>
      </w:tr>
      <w:tr w14:paraId="60EA4E23">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0E6400">
            <w:pPr>
              <w:spacing w:after="0"/>
              <w:ind w:firstLine="422" w:firstLineChars="200"/>
              <w:jc w:val="center"/>
              <w:rPr>
                <w:rFonts w:ascii="宋体" w:hAnsi="宋体" w:eastAsia="宋体" w:cs="宋体"/>
                <w:b/>
                <w:bCs/>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48D99F">
            <w:pPr>
              <w:spacing w:after="0"/>
              <w:ind w:firstLine="422" w:firstLineChars="200"/>
              <w:jc w:val="center"/>
              <w:rPr>
                <w:rFonts w:ascii="宋体" w:hAnsi="宋体" w:eastAsia="宋体" w:cs="宋体"/>
                <w:b/>
                <w:bCs/>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37AF8">
            <w:pPr>
              <w:spacing w:after="0"/>
              <w:jc w:val="center"/>
              <w:textAlignment w:val="center"/>
              <w:rPr>
                <w:rFonts w:ascii="宋体" w:hAnsi="宋体" w:eastAsia="宋体" w:cs="宋体"/>
                <w:b/>
                <w:bCs/>
                <w:sz w:val="21"/>
                <w:szCs w:val="21"/>
              </w:rPr>
            </w:pPr>
            <w:r>
              <w:rPr>
                <w:rFonts w:hint="eastAsia" w:ascii="宋体" w:hAnsi="宋体" w:eastAsia="宋体" w:cs="宋体"/>
                <w:b/>
                <w:bCs/>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CB222A2">
            <w:pPr>
              <w:spacing w:after="0"/>
              <w:jc w:val="center"/>
              <w:textAlignment w:val="center"/>
              <w:rPr>
                <w:rFonts w:ascii="宋体" w:hAnsi="宋体" w:eastAsia="宋体" w:cs="宋体"/>
                <w:b/>
                <w:bCs/>
                <w:sz w:val="21"/>
                <w:szCs w:val="21"/>
              </w:rPr>
            </w:pPr>
            <w:r>
              <w:rPr>
                <w:rFonts w:hint="eastAsia" w:ascii="宋体" w:hAnsi="宋体" w:eastAsia="宋体" w:cs="宋体"/>
                <w:b/>
                <w:bCs/>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5CC67A">
            <w:pPr>
              <w:spacing w:after="0"/>
              <w:jc w:val="center"/>
              <w:textAlignment w:val="center"/>
              <w:rPr>
                <w:rFonts w:ascii="宋体" w:hAnsi="宋体" w:eastAsia="宋体" w:cs="宋体"/>
                <w:b/>
                <w:bCs/>
                <w:sz w:val="21"/>
                <w:szCs w:val="21"/>
              </w:rPr>
            </w:pPr>
            <w:r>
              <w:rPr>
                <w:rFonts w:hint="eastAsia" w:ascii="宋体" w:hAnsi="宋体" w:eastAsia="宋体" w:cs="宋体"/>
                <w:b/>
                <w:bCs/>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EA0039">
            <w:pPr>
              <w:spacing w:after="0"/>
              <w:jc w:val="center"/>
              <w:textAlignment w:val="center"/>
              <w:rPr>
                <w:rFonts w:ascii="宋体" w:hAnsi="宋体" w:eastAsia="宋体" w:cs="宋体"/>
                <w:b/>
                <w:bCs/>
                <w:sz w:val="21"/>
                <w:szCs w:val="21"/>
              </w:rPr>
            </w:pPr>
            <w:r>
              <w:rPr>
                <w:rFonts w:hint="eastAsia" w:ascii="宋体" w:hAnsi="宋体" w:eastAsia="宋体" w:cs="宋体"/>
                <w:b/>
                <w:bCs/>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2C551F">
            <w:pPr>
              <w:spacing w:after="0"/>
              <w:jc w:val="center"/>
              <w:textAlignment w:val="center"/>
              <w:rPr>
                <w:rFonts w:ascii="宋体" w:hAnsi="宋体" w:eastAsia="宋体" w:cs="宋体"/>
                <w:b/>
                <w:bCs/>
                <w:sz w:val="21"/>
                <w:szCs w:val="21"/>
              </w:rPr>
            </w:pPr>
            <w:r>
              <w:rPr>
                <w:rFonts w:hint="eastAsia" w:ascii="宋体" w:hAnsi="宋体" w:eastAsia="宋体" w:cs="宋体"/>
                <w:b/>
                <w:bCs/>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8FCF92">
            <w:pPr>
              <w:spacing w:after="0"/>
              <w:jc w:val="center"/>
              <w:textAlignment w:val="center"/>
              <w:rPr>
                <w:rFonts w:ascii="宋体" w:hAnsi="宋体" w:eastAsia="宋体" w:cs="宋体"/>
                <w:b/>
                <w:bCs/>
                <w:sz w:val="21"/>
                <w:szCs w:val="21"/>
              </w:rPr>
            </w:pPr>
            <w:r>
              <w:rPr>
                <w:rFonts w:hint="eastAsia" w:ascii="宋体" w:hAnsi="宋体" w:eastAsia="宋体" w:cs="宋体"/>
                <w:b/>
                <w:bCs/>
                <w:sz w:val="21"/>
                <w:szCs w:val="21"/>
              </w:rPr>
              <w:t>较上年支出增减金额</w:t>
            </w:r>
          </w:p>
        </w:tc>
      </w:tr>
      <w:tr w14:paraId="0B3DD184">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7F01">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419DC457">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2A86">
            <w:pPr>
              <w:spacing w:after="0"/>
              <w:ind w:firstLine="420" w:firstLineChars="20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19238">
            <w:pPr>
              <w:spacing w:after="0"/>
              <w:ind w:firstLine="420" w:firstLineChars="20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E90B">
            <w:pPr>
              <w:spacing w:after="0"/>
              <w:ind w:firstLine="420" w:firstLineChars="20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0B2D25">
            <w:pPr>
              <w:spacing w:after="0"/>
              <w:ind w:firstLine="420" w:firstLineChars="20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2388DB">
            <w:pPr>
              <w:spacing w:after="0"/>
              <w:ind w:firstLine="420" w:firstLineChars="20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88237F">
            <w:pPr>
              <w:spacing w:after="0"/>
              <w:ind w:firstLine="420" w:firstLineChars="20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14:paraId="49DC1270">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F6AB">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E3B772">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135E">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8062">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B60E">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30.9</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ECDC">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B83BD9">
            <w:pPr>
              <w:spacing w:after="0"/>
              <w:ind w:firstLine="420" w:firstLineChars="20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D969EF">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-18.66</w:t>
            </w:r>
          </w:p>
        </w:tc>
      </w:tr>
      <w:tr w14:paraId="0EEC527D">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EE68">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9579F">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ECB0">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9AF8">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397F">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ABF0">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12.02</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397E34">
            <w:pPr>
              <w:spacing w:after="0"/>
              <w:ind w:firstLine="420" w:firstLineChars="20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D406D5">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-0.17</w:t>
            </w:r>
          </w:p>
        </w:tc>
      </w:tr>
      <w:tr w14:paraId="60BE4EF7">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4B30">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267B9E">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50DD">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D322">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7DB8">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49.9</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C35DD9">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09CF10">
            <w:pPr>
              <w:spacing w:after="0"/>
              <w:ind w:firstLine="420" w:firstLineChars="20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6C6E62">
            <w:pPr>
              <w:spacing w:after="0"/>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-18.83</w:t>
            </w:r>
          </w:p>
        </w:tc>
      </w:tr>
    </w:tbl>
    <w:p w14:paraId="1F4C5291">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2021年底区政府办车辆合计8辆，其中公务用车8辆，其他用车0辆。2021年公务用车购置及运维费年初预算30.9万元，全部为公务用车运行维护费，实际支出6.15万元，比预算减少24.75万元，节约率80%。2021年预算数与</w:t>
      </w:r>
      <w:r>
        <w:rPr>
          <w:rFonts w:ascii="仿宋_GB2312" w:eastAsia="仿宋_GB2312" w:cs="DengXian-Regular"/>
          <w:sz w:val="32"/>
          <w:szCs w:val="32"/>
        </w:rPr>
        <w:t>20</w:t>
      </w:r>
      <w:r>
        <w:rPr>
          <w:rFonts w:hint="eastAsia" w:ascii="仿宋_GB2312" w:eastAsia="仿宋_GB2312" w:cs="DengXian-Regular"/>
          <w:sz w:val="32"/>
          <w:szCs w:val="32"/>
        </w:rPr>
        <w:t>20年预算相比减少9.1万元，决算数与</w:t>
      </w:r>
      <w:r>
        <w:rPr>
          <w:rFonts w:ascii="仿宋_GB2312" w:eastAsia="仿宋_GB2312" w:cs="DengXian-Regular"/>
          <w:sz w:val="32"/>
          <w:szCs w:val="32"/>
        </w:rPr>
        <w:t>20</w:t>
      </w:r>
      <w:r>
        <w:rPr>
          <w:rFonts w:hint="eastAsia" w:ascii="仿宋_GB2312" w:eastAsia="仿宋_GB2312" w:cs="DengXian-Regular"/>
          <w:sz w:val="32"/>
          <w:szCs w:val="32"/>
        </w:rPr>
        <w:t>20年实际支出相比，减少18.66万元。</w:t>
      </w:r>
    </w:p>
    <w:p w14:paraId="3D8DB4BA">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2、公务接待：2021区政府办公务接待费年初预算19万元，实际支出12.02万元，比预算减少了6.98万元，节约率36%。2021年预算数与</w:t>
      </w:r>
      <w:r>
        <w:rPr>
          <w:rFonts w:ascii="仿宋_GB2312" w:eastAsia="仿宋_GB2312" w:cs="DengXian-Regular"/>
          <w:sz w:val="32"/>
          <w:szCs w:val="32"/>
        </w:rPr>
        <w:t>20</w:t>
      </w:r>
      <w:r>
        <w:rPr>
          <w:rFonts w:hint="eastAsia" w:ascii="仿宋_GB2312" w:eastAsia="仿宋_GB2312" w:cs="DengXian-Regular"/>
          <w:sz w:val="32"/>
          <w:szCs w:val="32"/>
        </w:rPr>
        <w:t>20年预算相比无变化，决算数与</w:t>
      </w:r>
      <w:r>
        <w:rPr>
          <w:rFonts w:ascii="仿宋_GB2312" w:eastAsia="仿宋_GB2312" w:cs="DengXian-Regular"/>
          <w:sz w:val="32"/>
          <w:szCs w:val="32"/>
        </w:rPr>
        <w:t>20</w:t>
      </w:r>
      <w:r>
        <w:rPr>
          <w:rFonts w:hint="eastAsia" w:ascii="仿宋_GB2312" w:eastAsia="仿宋_GB2312" w:cs="DengXian-Regular"/>
          <w:sz w:val="32"/>
          <w:szCs w:val="32"/>
        </w:rPr>
        <w:t>20年实际支出相比，减少18.83万元。</w:t>
      </w:r>
    </w:p>
    <w:p w14:paraId="07FA2308">
      <w:pPr>
        <w:pStyle w:val="3"/>
        <w:spacing w:before="0" w:after="0" w:line="360" w:lineRule="auto"/>
        <w:ind w:firstLine="643" w:firstLineChars="200"/>
        <w:rPr>
          <w:rFonts w:ascii="黑体" w:hAnsiTheme="minorEastAsia"/>
          <w:u w:color="000000"/>
        </w:rPr>
      </w:pPr>
      <w:bookmarkStart w:id="15" w:name="_Toc492652770"/>
      <w:bookmarkStart w:id="16" w:name="_Toc119684037"/>
      <w:bookmarkStart w:id="17" w:name="_Toc465149504"/>
      <w:r>
        <w:rPr>
          <w:rFonts w:hint="eastAsia" w:ascii="黑体"/>
        </w:rPr>
        <w:t>二、部门整体支出绩效评价指标体系设定情况</w:t>
      </w:r>
      <w:bookmarkEnd w:id="15"/>
      <w:bookmarkEnd w:id="16"/>
    </w:p>
    <w:p w14:paraId="10351C3A">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根据绩效预算管理改革的有关政策和文件规定，并与保定市徐水区人民政府办公室沟通，绩效评价工作组以绩效预算架构为指导，以部门预算文本及相关资料为基础，制定了部门整体支出绩效评价指标体系。</w:t>
      </w:r>
    </w:p>
    <w:p w14:paraId="2190870E">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8" w:name="_Toc492652771"/>
    </w:p>
    <w:p w14:paraId="7E0A2680">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8"/>
    </w:p>
    <w:p w14:paraId="10376098">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670E7531">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14:paraId="33425450">
      <w:pPr>
        <w:pStyle w:val="4"/>
        <w:spacing w:before="0" w:after="0"/>
        <w:ind w:firstLine="643" w:firstLineChars="200"/>
        <w:jc w:val="both"/>
        <w:rPr>
          <w:rFonts w:ascii="楷体" w:hAnsi="楷体" w:eastAsia="楷体"/>
          <w:sz w:val="32"/>
        </w:rPr>
      </w:pPr>
      <w:bookmarkStart w:id="19" w:name="_Toc119684038"/>
      <w:bookmarkStart w:id="20" w:name="_Toc492652772"/>
      <w:r>
        <w:rPr>
          <w:rFonts w:hint="eastAsia" w:ascii="楷体" w:hAnsi="楷体" w:eastAsia="楷体"/>
          <w:kern w:val="2"/>
          <w:sz w:val="32"/>
        </w:rPr>
        <w:t>（二）过程（48分）</w:t>
      </w:r>
      <w:bookmarkEnd w:id="19"/>
      <w:bookmarkEnd w:id="20"/>
    </w:p>
    <w:p w14:paraId="4FA1C12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069D313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6616746D">
      <w:pPr>
        <w:pStyle w:val="4"/>
        <w:spacing w:before="0" w:after="0"/>
        <w:ind w:firstLine="643" w:firstLineChars="200"/>
        <w:jc w:val="both"/>
        <w:rPr>
          <w:rFonts w:ascii="楷体" w:hAnsi="楷体" w:eastAsia="楷体"/>
          <w:kern w:val="2"/>
          <w:sz w:val="32"/>
        </w:rPr>
      </w:pPr>
      <w:bookmarkStart w:id="21" w:name="_Toc492652773"/>
      <w:bookmarkStart w:id="22" w:name="_Toc119684039"/>
      <w:r>
        <w:rPr>
          <w:rFonts w:hint="eastAsia" w:ascii="楷体" w:hAnsi="楷体" w:eastAsia="楷体"/>
          <w:kern w:val="2"/>
          <w:sz w:val="32"/>
        </w:rPr>
        <w:t>（三）产出（25分）</w:t>
      </w:r>
      <w:bookmarkEnd w:id="21"/>
      <w:bookmarkEnd w:id="22"/>
    </w:p>
    <w:p w14:paraId="20DFC8C5">
      <w:pPr>
        <w:spacing w:after="0" w:line="360" w:lineRule="auto"/>
        <w:ind w:firstLine="640" w:firstLineChars="200"/>
        <w:jc w:val="both"/>
        <w:textAlignment w:val="baseline"/>
        <w:rPr>
          <w:rFonts w:ascii="仿宋_GB2312" w:eastAsia="仿宋_GB2312" w:cs="DengXian-Regular"/>
          <w:sz w:val="32"/>
          <w:szCs w:val="32"/>
        </w:rPr>
      </w:pPr>
      <w:bookmarkStart w:id="23" w:name="_Toc492652774"/>
      <w:r>
        <w:rPr>
          <w:rFonts w:hint="eastAsia" w:ascii="仿宋_GB2312" w:eastAsia="仿宋_GB2312" w:cs="DengXian-Regular"/>
          <w:sz w:val="32"/>
          <w:szCs w:val="32"/>
        </w:rPr>
        <w:t>主要反映结转结余率，项目资金使用率。</w:t>
      </w:r>
    </w:p>
    <w:p w14:paraId="0F9E19A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w:t>
      </w:r>
      <w:bookmarkStart w:id="77" w:name="_GoBack"/>
      <w:bookmarkEnd w:id="77"/>
      <w:r>
        <w:rPr>
          <w:rFonts w:hint="eastAsia" w:ascii="仿宋_GB2312" w:eastAsia="仿宋_GB2312" w:cs="DengXian-Regular"/>
          <w:sz w:val="32"/>
          <w:szCs w:val="32"/>
        </w:rPr>
        <w:t>项目资金使用率。</w:t>
      </w:r>
    </w:p>
    <w:p w14:paraId="69AF775A">
      <w:pPr>
        <w:pStyle w:val="4"/>
        <w:spacing w:before="0" w:after="0"/>
        <w:ind w:firstLine="643" w:firstLineChars="200"/>
        <w:jc w:val="both"/>
        <w:rPr>
          <w:rFonts w:ascii="楷体_GB2312" w:eastAsia="楷体_GB2312" w:hAnsiTheme="minorEastAsia"/>
          <w:sz w:val="32"/>
        </w:rPr>
      </w:pPr>
      <w:bookmarkStart w:id="24" w:name="_Toc119684040"/>
      <w:r>
        <w:rPr>
          <w:rFonts w:hint="eastAsia" w:ascii="楷体_GB2312" w:eastAsia="楷体_GB2312" w:hAnsiTheme="minorEastAsia"/>
          <w:kern w:val="2"/>
          <w:sz w:val="32"/>
        </w:rPr>
        <w:t>（四）效果（15分）</w:t>
      </w:r>
      <w:bookmarkEnd w:id="23"/>
      <w:bookmarkEnd w:id="24"/>
    </w:p>
    <w:p w14:paraId="4DD66FE9">
      <w:pPr>
        <w:spacing w:after="0" w:line="360" w:lineRule="auto"/>
        <w:ind w:firstLine="640" w:firstLineChars="200"/>
        <w:jc w:val="both"/>
        <w:textAlignment w:val="baseline"/>
        <w:rPr>
          <w:rFonts w:ascii="仿宋_GB2312" w:eastAsia="仿宋_GB2312" w:cs="DengXian-Regular"/>
          <w:sz w:val="32"/>
          <w:szCs w:val="32"/>
        </w:rPr>
      </w:pPr>
      <w:bookmarkStart w:id="25"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7F5CB16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14:paraId="04B27547">
      <w:pPr>
        <w:pStyle w:val="3"/>
        <w:spacing w:before="0" w:after="0" w:line="360" w:lineRule="auto"/>
        <w:ind w:firstLine="643" w:firstLineChars="200"/>
        <w:rPr>
          <w:rFonts w:ascii="黑体"/>
        </w:rPr>
      </w:pPr>
      <w:bookmarkStart w:id="26" w:name="_Toc119684041"/>
      <w:r>
        <w:rPr>
          <w:rFonts w:hint="eastAsia" w:ascii="黑体"/>
        </w:rPr>
        <w:t>三、综合绩效评价工作情况</w:t>
      </w:r>
      <w:bookmarkEnd w:id="17"/>
      <w:bookmarkEnd w:id="25"/>
      <w:bookmarkEnd w:id="26"/>
      <w:bookmarkStart w:id="27" w:name="_Toc465149505"/>
      <w:bookmarkStart w:id="28" w:name="_Toc492652776"/>
    </w:p>
    <w:p w14:paraId="4D4EDAB9">
      <w:pPr>
        <w:pStyle w:val="4"/>
        <w:spacing w:before="0" w:after="0"/>
        <w:ind w:firstLine="643" w:firstLineChars="200"/>
        <w:jc w:val="both"/>
        <w:rPr>
          <w:rFonts w:ascii="楷体_GB2312" w:eastAsia="楷体_GB2312" w:hAnsiTheme="minorEastAsia"/>
          <w:sz w:val="32"/>
        </w:rPr>
      </w:pPr>
      <w:bookmarkStart w:id="29" w:name="_Toc119684042"/>
      <w:r>
        <w:rPr>
          <w:rFonts w:hint="eastAsia" w:ascii="楷体_GB2312" w:eastAsia="楷体_GB2312" w:hAnsiTheme="minorEastAsia"/>
          <w:kern w:val="2"/>
          <w:sz w:val="32"/>
        </w:rPr>
        <w:t>（一）绩效评价目的</w:t>
      </w:r>
      <w:bookmarkEnd w:id="27"/>
      <w:bookmarkEnd w:id="28"/>
      <w:bookmarkEnd w:id="29"/>
    </w:p>
    <w:p w14:paraId="6EA725AC">
      <w:pPr>
        <w:spacing w:after="0" w:line="360" w:lineRule="auto"/>
        <w:ind w:firstLine="640" w:firstLineChars="200"/>
        <w:jc w:val="both"/>
        <w:textAlignment w:val="baseline"/>
        <w:rPr>
          <w:rFonts w:ascii="仿宋_GB2312" w:eastAsia="仿宋_GB2312" w:cs="DengXian-Regular"/>
          <w:sz w:val="32"/>
          <w:szCs w:val="32"/>
        </w:rPr>
      </w:pPr>
      <w:bookmarkStart w:id="30" w:name="_Toc492652777"/>
      <w:bookmarkStart w:id="31" w:name="_Toc465149506"/>
      <w:r>
        <w:rPr>
          <w:rFonts w:hint="eastAsia" w:ascii="仿宋_GB2312" w:eastAsia="仿宋_GB2312" w:cs="DengXian-Regular"/>
          <w:sz w:val="32"/>
          <w:szCs w:val="32"/>
        </w:rPr>
        <w:t>通过对区政府办2021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2518C94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7320BBCF">
      <w:pPr>
        <w:pStyle w:val="4"/>
        <w:spacing w:before="0" w:after="0"/>
        <w:ind w:firstLine="643" w:firstLineChars="200"/>
        <w:jc w:val="both"/>
        <w:rPr>
          <w:rFonts w:ascii="楷体_GB2312" w:eastAsia="楷体_GB2312" w:hAnsiTheme="minorEastAsia"/>
          <w:kern w:val="2"/>
          <w:sz w:val="32"/>
        </w:rPr>
      </w:pPr>
      <w:bookmarkStart w:id="32" w:name="_Toc119684043"/>
      <w:r>
        <w:rPr>
          <w:rFonts w:hint="eastAsia" w:ascii="楷体_GB2312" w:eastAsia="楷体_GB2312" w:hAnsiTheme="minorEastAsia"/>
          <w:kern w:val="2"/>
          <w:sz w:val="32"/>
        </w:rPr>
        <w:t>（二）绩效评价依据</w:t>
      </w:r>
      <w:bookmarkEnd w:id="30"/>
      <w:bookmarkEnd w:id="31"/>
      <w:bookmarkEnd w:id="32"/>
    </w:p>
    <w:p w14:paraId="0283AD66">
      <w:pPr>
        <w:spacing w:after="0" w:line="360" w:lineRule="auto"/>
        <w:ind w:firstLine="640" w:firstLineChars="200"/>
        <w:jc w:val="both"/>
        <w:textAlignment w:val="baseline"/>
        <w:rPr>
          <w:rFonts w:ascii="仿宋_GB2312" w:eastAsia="仿宋_GB2312" w:cs="DengXian-Regular"/>
          <w:sz w:val="32"/>
          <w:szCs w:val="32"/>
        </w:rPr>
      </w:pPr>
      <w:bookmarkStart w:id="33"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0E9E1A1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70F9B42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1B9A68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5F42CCD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14:paraId="7866E62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14:paraId="541B9B8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14:paraId="483EC5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4" w:name="_Toc492652778"/>
    </w:p>
    <w:p w14:paraId="1F7EEC93">
      <w:pPr>
        <w:pStyle w:val="4"/>
        <w:spacing w:before="0" w:after="0"/>
        <w:ind w:firstLine="643" w:firstLineChars="200"/>
        <w:jc w:val="both"/>
        <w:rPr>
          <w:rFonts w:ascii="楷体_GB2312" w:eastAsia="楷体_GB2312" w:hAnsiTheme="minorEastAsia"/>
          <w:kern w:val="2"/>
          <w:sz w:val="32"/>
        </w:rPr>
      </w:pPr>
      <w:bookmarkStart w:id="35" w:name="_Toc119684044"/>
      <w:r>
        <w:rPr>
          <w:rFonts w:hint="eastAsia" w:ascii="楷体_GB2312" w:eastAsia="楷体_GB2312" w:hAnsiTheme="minorEastAsia"/>
          <w:kern w:val="2"/>
          <w:sz w:val="32"/>
        </w:rPr>
        <w:t>（三）绩效评价</w:t>
      </w:r>
      <w:bookmarkEnd w:id="34"/>
      <w:r>
        <w:rPr>
          <w:rFonts w:hint="eastAsia" w:ascii="楷体_GB2312" w:eastAsia="楷体_GB2312" w:hAnsiTheme="minorEastAsia"/>
          <w:kern w:val="2"/>
          <w:sz w:val="32"/>
        </w:rPr>
        <w:t>内容</w:t>
      </w:r>
      <w:bookmarkEnd w:id="35"/>
    </w:p>
    <w:bookmarkEnd w:id="33"/>
    <w:p w14:paraId="4EB72436">
      <w:pPr>
        <w:spacing w:after="0" w:line="360" w:lineRule="auto"/>
        <w:ind w:firstLine="640" w:firstLineChars="200"/>
        <w:jc w:val="both"/>
        <w:textAlignment w:val="baseline"/>
        <w:rPr>
          <w:rFonts w:ascii="仿宋_GB2312" w:eastAsia="仿宋_GB2312" w:cs="DengXian-Regular"/>
          <w:sz w:val="32"/>
          <w:szCs w:val="32"/>
        </w:rPr>
      </w:pPr>
      <w:bookmarkStart w:id="36" w:name="_Toc465149508"/>
      <w:bookmarkStart w:id="37" w:name="_Toc492652779"/>
      <w:r>
        <w:rPr>
          <w:rFonts w:hint="eastAsia" w:ascii="仿宋_GB2312" w:eastAsia="仿宋_GB2312" w:cs="DengXian-Regular"/>
          <w:sz w:val="32"/>
          <w:szCs w:val="32"/>
        </w:rPr>
        <w:t>区政府办2021年部门整体支出绩效目标和指标的设置及完成情况；资金预算情况、实际收支情况及结转结余情况；部门履职对社会发展所带来的直接或间接影响及服务对象对部门履职效果的满意程度。</w:t>
      </w:r>
    </w:p>
    <w:p w14:paraId="1AD37ED3">
      <w:pPr>
        <w:pStyle w:val="4"/>
        <w:spacing w:before="0" w:after="0"/>
        <w:ind w:firstLine="643" w:firstLineChars="200"/>
        <w:jc w:val="both"/>
        <w:rPr>
          <w:rFonts w:ascii="楷体_GB2312" w:eastAsia="楷体_GB2312" w:hAnsiTheme="minorEastAsia"/>
          <w:kern w:val="2"/>
          <w:sz w:val="32"/>
        </w:rPr>
      </w:pPr>
      <w:bookmarkStart w:id="38" w:name="_Toc119684045"/>
      <w:r>
        <w:rPr>
          <w:rFonts w:hint="eastAsia" w:ascii="楷体_GB2312" w:eastAsia="楷体_GB2312" w:hAnsiTheme="minorEastAsia"/>
          <w:kern w:val="2"/>
          <w:sz w:val="32"/>
        </w:rPr>
        <w:t>（四）绩效评价原则</w:t>
      </w:r>
      <w:bookmarkEnd w:id="38"/>
    </w:p>
    <w:p w14:paraId="34BF06D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5ABFAC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502E83E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235DF46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0226F378">
      <w:pPr>
        <w:pStyle w:val="4"/>
        <w:spacing w:before="0" w:after="0"/>
        <w:ind w:firstLine="643" w:firstLineChars="200"/>
        <w:jc w:val="both"/>
        <w:rPr>
          <w:rFonts w:ascii="楷体_GB2312" w:eastAsia="楷体_GB2312" w:hAnsiTheme="minorEastAsia"/>
          <w:kern w:val="2"/>
          <w:sz w:val="32"/>
        </w:rPr>
      </w:pPr>
      <w:bookmarkStart w:id="39" w:name="_Toc119684046"/>
      <w:r>
        <w:rPr>
          <w:rFonts w:hint="eastAsia" w:ascii="楷体_GB2312" w:eastAsia="楷体_GB2312" w:hAnsiTheme="minorEastAsia"/>
          <w:kern w:val="2"/>
          <w:sz w:val="32"/>
        </w:rPr>
        <w:t>（五）</w:t>
      </w:r>
      <w:bookmarkEnd w:id="36"/>
      <w:bookmarkStart w:id="40" w:name="_Toc465149509"/>
      <w:r>
        <w:rPr>
          <w:rFonts w:hint="eastAsia" w:ascii="楷体_GB2312" w:eastAsia="楷体_GB2312" w:hAnsiTheme="minorEastAsia"/>
          <w:kern w:val="2"/>
          <w:sz w:val="32"/>
        </w:rPr>
        <w:t>绩效评价方法</w:t>
      </w:r>
      <w:bookmarkEnd w:id="37"/>
      <w:bookmarkEnd w:id="39"/>
      <w:bookmarkEnd w:id="40"/>
    </w:p>
    <w:p w14:paraId="75AC7CDB">
      <w:pPr>
        <w:spacing w:after="0" w:line="360" w:lineRule="auto"/>
        <w:ind w:firstLine="640" w:firstLineChars="200"/>
        <w:jc w:val="both"/>
        <w:textAlignment w:val="baseline"/>
        <w:rPr>
          <w:rFonts w:ascii="仿宋_GB2312" w:eastAsia="仿宋_GB2312" w:cs="DengXian-Regular"/>
          <w:sz w:val="32"/>
          <w:szCs w:val="32"/>
        </w:rPr>
      </w:pPr>
      <w:bookmarkStart w:id="41" w:name="_Toc422314152"/>
      <w:bookmarkStart w:id="42" w:name="_Toc421623217"/>
      <w:bookmarkStart w:id="43" w:name="_Toc492652780"/>
      <w:bookmarkStart w:id="44"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1"/>
      <w:bookmarkEnd w:id="42"/>
    </w:p>
    <w:p w14:paraId="12CA6D6B">
      <w:pPr>
        <w:spacing w:after="0" w:line="360" w:lineRule="auto"/>
        <w:ind w:firstLine="640" w:firstLineChars="200"/>
        <w:jc w:val="both"/>
        <w:textAlignment w:val="baseline"/>
        <w:rPr>
          <w:rFonts w:ascii="仿宋_GB2312" w:eastAsia="仿宋_GB2312" w:cs="DengXian-Regular"/>
          <w:sz w:val="32"/>
          <w:szCs w:val="32"/>
        </w:rPr>
      </w:pPr>
      <w:bookmarkStart w:id="45" w:name="_Toc421623218"/>
      <w:bookmarkStart w:id="46"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5"/>
      <w:bookmarkEnd w:id="46"/>
    </w:p>
    <w:p w14:paraId="2B76FEC7">
      <w:pPr>
        <w:spacing w:after="0" w:line="360" w:lineRule="auto"/>
        <w:ind w:firstLine="640" w:firstLineChars="200"/>
        <w:jc w:val="both"/>
        <w:textAlignment w:val="baseline"/>
        <w:rPr>
          <w:rFonts w:ascii="仿宋_GB2312" w:eastAsia="仿宋_GB2312" w:cs="DengXian-Regular"/>
          <w:sz w:val="32"/>
          <w:szCs w:val="32"/>
        </w:rPr>
      </w:pPr>
      <w:bookmarkStart w:id="47" w:name="_Toc421623220"/>
      <w:bookmarkStart w:id="48"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7"/>
      <w:bookmarkEnd w:id="48"/>
    </w:p>
    <w:p w14:paraId="3B196F74">
      <w:pPr>
        <w:spacing w:after="0" w:line="360" w:lineRule="auto"/>
        <w:ind w:firstLine="640" w:firstLineChars="200"/>
        <w:jc w:val="both"/>
        <w:textAlignment w:val="baseline"/>
        <w:rPr>
          <w:rFonts w:ascii="仿宋_GB2312" w:eastAsia="仿宋_GB2312" w:cs="DengXian-Regular"/>
          <w:sz w:val="32"/>
          <w:szCs w:val="32"/>
        </w:rPr>
      </w:pPr>
      <w:bookmarkStart w:id="49" w:name="_Toc421623221"/>
      <w:bookmarkStart w:id="50"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49"/>
      <w:bookmarkEnd w:id="50"/>
    </w:p>
    <w:p w14:paraId="15E2970B">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3"/>
      <w:bookmarkEnd w:id="44"/>
    </w:p>
    <w:p w14:paraId="69C5F1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62D4E38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752989B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经与区政府办充分沟通，并充分收集相关资料，主要包括部门职责、工作活动、预决算文本、相关管理制度、资金使用等相关资料，为制定绩效评价实施方案和指标体系奠定了基础。</w:t>
      </w:r>
    </w:p>
    <w:p w14:paraId="5D03CAA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0448303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基于对区政府办相关资料的收集，制定绩效评价实施方案和体系,确定最终方案。</w:t>
      </w:r>
    </w:p>
    <w:p w14:paraId="4BEEA1D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7A904A6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政府办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327E83E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1" w:name="_Toc465149511"/>
      <w:bookmarkStart w:id="52" w:name="_Toc492652781"/>
    </w:p>
    <w:p w14:paraId="1BA88F0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7D461862">
      <w:pPr>
        <w:pStyle w:val="3"/>
        <w:spacing w:before="0" w:after="0" w:line="360" w:lineRule="auto"/>
        <w:ind w:firstLine="643" w:firstLineChars="200"/>
        <w:rPr>
          <w:rFonts w:ascii="黑体"/>
        </w:rPr>
      </w:pPr>
      <w:bookmarkStart w:id="53" w:name="_Toc119684047"/>
      <w:r>
        <w:rPr>
          <w:rFonts w:hint="eastAsia" w:ascii="黑体"/>
        </w:rPr>
        <w:t>四、</w:t>
      </w:r>
      <w:bookmarkEnd w:id="51"/>
      <w:bookmarkEnd w:id="52"/>
      <w:bookmarkStart w:id="54" w:name="_Toc492652782"/>
      <w:r>
        <w:rPr>
          <w:rFonts w:hint="eastAsia" w:ascii="黑体"/>
        </w:rPr>
        <w:t>绩效评价评分情况</w:t>
      </w:r>
      <w:bookmarkEnd w:id="53"/>
    </w:p>
    <w:bookmarkEnd w:id="54"/>
    <w:p w14:paraId="37C4B54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区政府办部门整体支出绩效评价总得分为90.2分，综合绩效评价等级为“优”。各项得分情况如下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14:paraId="0FE37B3F">
      <w:pPr>
        <w:pStyle w:val="4"/>
        <w:spacing w:before="0" w:after="0"/>
        <w:ind w:firstLine="643" w:firstLineChars="200"/>
        <w:jc w:val="both"/>
        <w:rPr>
          <w:rFonts w:ascii="楷体_GB2312" w:eastAsia="楷体_GB2312" w:hAnsiTheme="minorEastAsia"/>
          <w:kern w:val="2"/>
          <w:sz w:val="32"/>
        </w:rPr>
      </w:pPr>
      <w:bookmarkStart w:id="55" w:name="_Toc492652783"/>
      <w:bookmarkStart w:id="56" w:name="_Toc119684048"/>
      <w:r>
        <w:rPr>
          <w:rFonts w:hint="eastAsia" w:ascii="楷体_GB2312" w:eastAsia="楷体_GB2312" w:hAnsiTheme="minorEastAsia"/>
          <w:kern w:val="2"/>
          <w:sz w:val="32"/>
        </w:rPr>
        <w:t>（一）</w:t>
      </w:r>
      <w:bookmarkEnd w:id="55"/>
      <w:r>
        <w:rPr>
          <w:rFonts w:hint="eastAsia" w:ascii="楷体_GB2312" w:eastAsia="楷体_GB2312" w:hAnsiTheme="minorEastAsia"/>
          <w:kern w:val="2"/>
          <w:sz w:val="32"/>
        </w:rPr>
        <w:t>投入（12分）</w:t>
      </w:r>
      <w:bookmarkEnd w:id="56"/>
    </w:p>
    <w:p w14:paraId="3B5FB231">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14:paraId="143C3D9E">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2239"/>
        <w:gridCol w:w="738"/>
        <w:gridCol w:w="1134"/>
      </w:tblGrid>
      <w:tr w14:paraId="63029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trPr>
        <w:tc>
          <w:tcPr>
            <w:tcW w:w="1559" w:type="dxa"/>
            <w:vAlign w:val="center"/>
          </w:tcPr>
          <w:p w14:paraId="01116CF8">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14:paraId="49F2867E">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239" w:type="dxa"/>
            <w:vAlign w:val="center"/>
          </w:tcPr>
          <w:p w14:paraId="360BA027">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738" w:type="dxa"/>
            <w:vAlign w:val="center"/>
          </w:tcPr>
          <w:p w14:paraId="6C1E0539">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7AE4396E">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11BBB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exact"/>
        </w:trPr>
        <w:tc>
          <w:tcPr>
            <w:tcW w:w="1559" w:type="dxa"/>
            <w:vMerge w:val="restart"/>
            <w:vAlign w:val="center"/>
          </w:tcPr>
          <w:p w14:paraId="32AD437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75903A2D">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14:paraId="14EA941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目标设定</w:t>
            </w:r>
          </w:p>
          <w:p w14:paraId="7BC45A87">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（6分）</w:t>
            </w:r>
          </w:p>
        </w:tc>
        <w:tc>
          <w:tcPr>
            <w:tcW w:w="2239" w:type="dxa"/>
            <w:vAlign w:val="center"/>
          </w:tcPr>
          <w:p w14:paraId="42DF798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738" w:type="dxa"/>
            <w:vAlign w:val="center"/>
          </w:tcPr>
          <w:p w14:paraId="7C28E78A">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14:paraId="2FE75A9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42E10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1559" w:type="dxa"/>
            <w:vMerge w:val="continue"/>
            <w:vAlign w:val="center"/>
          </w:tcPr>
          <w:p w14:paraId="21A59AEE">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54D6BDB4">
            <w:pPr>
              <w:spacing w:line="420" w:lineRule="exact"/>
              <w:ind w:firstLine="420" w:firstLineChars="200"/>
              <w:jc w:val="center"/>
              <w:rPr>
                <w:rFonts w:cs="宋体" w:asciiTheme="minorEastAsia" w:hAnsiTheme="minorEastAsia" w:eastAsiaTheme="minorEastAsia"/>
                <w:sz w:val="21"/>
                <w:szCs w:val="21"/>
                <w:highlight w:val="yellow"/>
              </w:rPr>
            </w:pPr>
          </w:p>
        </w:tc>
        <w:tc>
          <w:tcPr>
            <w:tcW w:w="2239" w:type="dxa"/>
            <w:vAlign w:val="center"/>
          </w:tcPr>
          <w:p w14:paraId="77B0296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绩效目标明确性</w:t>
            </w:r>
          </w:p>
        </w:tc>
        <w:tc>
          <w:tcPr>
            <w:tcW w:w="738" w:type="dxa"/>
            <w:vAlign w:val="center"/>
          </w:tcPr>
          <w:p w14:paraId="1A6D8F96">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14:paraId="21003F9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7EE93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22EDAEE1">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14:paraId="0278FDD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0B54570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2239" w:type="dxa"/>
            <w:vAlign w:val="center"/>
          </w:tcPr>
          <w:p w14:paraId="74713F6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738" w:type="dxa"/>
            <w:vAlign w:val="center"/>
          </w:tcPr>
          <w:p w14:paraId="74C18C9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5A2E306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14:paraId="5EC63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62826741">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0E7082E3">
            <w:pPr>
              <w:spacing w:line="420" w:lineRule="exact"/>
              <w:ind w:firstLine="420" w:firstLineChars="200"/>
              <w:jc w:val="center"/>
              <w:rPr>
                <w:rFonts w:cs="宋体" w:asciiTheme="minorEastAsia" w:hAnsiTheme="minorEastAsia" w:eastAsiaTheme="minorEastAsia"/>
                <w:sz w:val="21"/>
                <w:szCs w:val="21"/>
                <w:highlight w:val="yellow"/>
              </w:rPr>
            </w:pPr>
          </w:p>
        </w:tc>
        <w:tc>
          <w:tcPr>
            <w:tcW w:w="2239" w:type="dxa"/>
            <w:vAlign w:val="center"/>
          </w:tcPr>
          <w:p w14:paraId="24B4E91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w:t>
            </w:r>
            <w:r>
              <w:rPr>
                <w:rFonts w:cs="宋体" w:asciiTheme="minorEastAsia" w:hAnsiTheme="minorEastAsia" w:eastAsiaTheme="minorEastAsia"/>
                <w:sz w:val="21"/>
                <w:szCs w:val="21"/>
              </w:rPr>
              <w:t>经费”</w:t>
            </w:r>
            <w:r>
              <w:rPr>
                <w:rFonts w:hint="eastAsia" w:cs="宋体" w:asciiTheme="minorEastAsia" w:hAnsiTheme="minorEastAsia" w:eastAsiaTheme="minorEastAsia"/>
                <w:sz w:val="21"/>
                <w:szCs w:val="21"/>
              </w:rPr>
              <w:t>变动率</w:t>
            </w:r>
          </w:p>
        </w:tc>
        <w:tc>
          <w:tcPr>
            <w:tcW w:w="738" w:type="dxa"/>
            <w:vAlign w:val="center"/>
          </w:tcPr>
          <w:p w14:paraId="2E6661B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tcPr>
          <w:p w14:paraId="03C80BB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w:t>
            </w:r>
          </w:p>
        </w:tc>
      </w:tr>
      <w:tr w14:paraId="73407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3561499B">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0F8378A8">
            <w:pPr>
              <w:spacing w:line="420" w:lineRule="exact"/>
              <w:ind w:firstLine="420" w:firstLineChars="200"/>
              <w:jc w:val="center"/>
              <w:rPr>
                <w:rFonts w:cs="宋体" w:asciiTheme="minorEastAsia" w:hAnsiTheme="minorEastAsia" w:eastAsiaTheme="minorEastAsia"/>
                <w:sz w:val="21"/>
                <w:szCs w:val="21"/>
                <w:highlight w:val="yellow"/>
              </w:rPr>
            </w:pPr>
          </w:p>
        </w:tc>
        <w:tc>
          <w:tcPr>
            <w:tcW w:w="2239" w:type="dxa"/>
            <w:vAlign w:val="center"/>
          </w:tcPr>
          <w:p w14:paraId="1227203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w:t>
            </w:r>
            <w:r>
              <w:rPr>
                <w:rFonts w:cs="宋体" w:asciiTheme="minorEastAsia" w:hAnsiTheme="minorEastAsia" w:eastAsiaTheme="minorEastAsia"/>
                <w:sz w:val="21"/>
                <w:szCs w:val="21"/>
              </w:rPr>
              <w:t>支出安排率</w:t>
            </w:r>
          </w:p>
        </w:tc>
        <w:tc>
          <w:tcPr>
            <w:tcW w:w="738" w:type="dxa"/>
            <w:vAlign w:val="center"/>
          </w:tcPr>
          <w:p w14:paraId="1C2292E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tcPr>
          <w:p w14:paraId="49FA611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11427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35CFF302">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2239" w:type="dxa"/>
            <w:vAlign w:val="center"/>
          </w:tcPr>
          <w:p w14:paraId="05436E4B">
            <w:pPr>
              <w:spacing w:line="420" w:lineRule="exact"/>
              <w:ind w:firstLine="420" w:firstLineChars="200"/>
              <w:jc w:val="center"/>
              <w:rPr>
                <w:rFonts w:cs="宋体" w:asciiTheme="minorEastAsia" w:hAnsiTheme="minorEastAsia" w:eastAsiaTheme="minorEastAsia"/>
                <w:sz w:val="21"/>
                <w:szCs w:val="21"/>
                <w:highlight w:val="yellow"/>
              </w:rPr>
            </w:pPr>
          </w:p>
        </w:tc>
        <w:tc>
          <w:tcPr>
            <w:tcW w:w="738" w:type="dxa"/>
            <w:vAlign w:val="center"/>
          </w:tcPr>
          <w:p w14:paraId="6DAE51D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14:paraId="23700C0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9.7</w:t>
            </w:r>
          </w:p>
        </w:tc>
      </w:tr>
    </w:tbl>
    <w:p w14:paraId="3302FA94">
      <w:pPr>
        <w:spacing w:after="0" w:line="360" w:lineRule="auto"/>
        <w:jc w:val="center"/>
        <w:textAlignment w:val="baseline"/>
        <w:rPr>
          <w:rFonts w:asciiTheme="minorEastAsia" w:hAnsiTheme="minorEastAsia" w:eastAsiaTheme="minorEastAsia" w:cstheme="minorEastAsia"/>
          <w:b/>
          <w:bCs/>
          <w:sz w:val="32"/>
          <w:szCs w:val="32"/>
          <w:u w:color="000000"/>
        </w:rPr>
      </w:pPr>
    </w:p>
    <w:p w14:paraId="75A38262">
      <w:pPr>
        <w:spacing w:after="0" w:line="360" w:lineRule="auto"/>
        <w:jc w:val="center"/>
        <w:textAlignment w:val="baseline"/>
        <w:rPr>
          <w:rFonts w:asciiTheme="minorEastAsia" w:hAnsiTheme="minorEastAsia" w:eastAsiaTheme="minorEastAsia" w:cstheme="minorEastAsia"/>
          <w:b/>
          <w:bCs/>
          <w:sz w:val="32"/>
          <w:szCs w:val="32"/>
          <w:u w:color="000000"/>
        </w:rPr>
      </w:pPr>
    </w:p>
    <w:p w14:paraId="6EC01FE4">
      <w:pPr>
        <w:spacing w:after="0" w:line="360" w:lineRule="auto"/>
        <w:jc w:val="center"/>
        <w:textAlignment w:val="baseline"/>
        <w:rPr>
          <w:rFonts w:asciiTheme="minorEastAsia" w:hAnsiTheme="minorEastAsia" w:eastAsiaTheme="minorEastAsia" w:cstheme="minorEastAsia"/>
          <w:b/>
          <w:bCs/>
          <w:sz w:val="32"/>
          <w:szCs w:val="32"/>
          <w:u w:color="000000"/>
        </w:rPr>
      </w:pPr>
    </w:p>
    <w:p w14:paraId="3123A833">
      <w:pPr>
        <w:spacing w:after="0" w:line="360" w:lineRule="auto"/>
        <w:ind w:firstLine="640" w:firstLineChars="200"/>
        <w:jc w:val="both"/>
        <w:textAlignment w:val="baseline"/>
        <w:rPr>
          <w:rFonts w:ascii="仿宋_GB2312" w:eastAsia="仿宋_GB2312" w:cs="DengXian-Regular"/>
          <w:sz w:val="32"/>
          <w:szCs w:val="32"/>
        </w:rPr>
      </w:pPr>
      <w:bookmarkStart w:id="57" w:name="_Toc464638478"/>
      <w:bookmarkStart w:id="58" w:name="_Toc465149513"/>
      <w:r>
        <w:rPr>
          <w:rFonts w:hint="eastAsia" w:ascii="仿宋_GB2312" w:eastAsia="仿宋_GB2312" w:cs="DengXian-Regular"/>
          <w:sz w:val="32"/>
          <w:szCs w:val="32"/>
        </w:rPr>
        <w:t>1.绩效目标设定（6分）</w:t>
      </w:r>
    </w:p>
    <w:p w14:paraId="1125AD7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（1）绩效目标合理性(3分)</w:t>
      </w:r>
    </w:p>
    <w:p w14:paraId="72F8261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6E763E7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保定市徐水区人民政府办公室印发的《保定市徐水区人民政府办公室职能配置内设机构和人员编制规定》和徐水区政府办2021年预算文本—部门职责工作活动绩效目标，评价工作组认为区政府办部门职责符合“三定”方案中所赋予的职责，绩效目标设立依据充分，符合客观实际，与部门职责、工作规划和重点工作相关，工作活动和项目预算安排合理。</w:t>
      </w:r>
    </w:p>
    <w:p w14:paraId="40AA048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14:paraId="3ABE95D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（2）绩效目标明确性（3分）</w:t>
      </w:r>
    </w:p>
    <w:p w14:paraId="2368041E">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7A8ED94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根据区政府办2021年预算文本—部门职责工作活动绩效目标,该指标实际得分3分。</w:t>
      </w:r>
    </w:p>
    <w:p w14:paraId="10DB16E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14:paraId="62CA3FC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（1）在职人员控制率（2分）</w:t>
      </w:r>
    </w:p>
    <w:p w14:paraId="5A862BD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该指标主要考核截至2021年底区政府办在职人员控制情况，通过在职人员控制率衡量。</w:t>
      </w:r>
    </w:p>
    <w:p w14:paraId="7555DD3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14:paraId="5F85209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人民政府办公室职能配置内设机构和人员编制规定》的通知，徐水区政府办人员编制为38人，根据区政府办2021年决算文本-部门基本情况表，截至2021年底，在职人员42人，在职人员控制率=（43/38）*100%=110%。</w:t>
      </w:r>
    </w:p>
    <w:p w14:paraId="155E4A1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14:paraId="4B68E8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（2）“三公</w:t>
      </w:r>
      <w:r>
        <w:rPr>
          <w:rFonts w:ascii="仿宋_GB2312" w:eastAsia="仿宋_GB2312" w:cs="DengXian-Regular"/>
          <w:sz w:val="32"/>
          <w:szCs w:val="32"/>
        </w:rPr>
        <w:t>经费”</w:t>
      </w:r>
      <w:r>
        <w:rPr>
          <w:rFonts w:hint="eastAsia" w:ascii="仿宋_GB2312" w:eastAsia="仿宋_GB2312" w:cs="DengXian-Regular"/>
          <w:sz w:val="32"/>
          <w:szCs w:val="32"/>
        </w:rPr>
        <w:t>变动率（2分）</w:t>
      </w:r>
    </w:p>
    <w:p w14:paraId="2884AAB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该指标主要反应本年度“三公经费”预算数与上年度“三公经费”预算数的变动比率，用以反映和考核部门（单位）对控制重点行政成本的努力程度。</w:t>
      </w:r>
    </w:p>
    <w:p w14:paraId="52E6D50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“三公经费”变动率=[（本年度“三公经费”总额-上年度“三公经费”总额）/上年度“三公经费”总额]×100%。</w:t>
      </w:r>
    </w:p>
    <w:p w14:paraId="02A3078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“三公经费”：年度预算安排的因公出国（境）费、公务车辆购置及运行费和公务招待费。</w:t>
      </w:r>
    </w:p>
    <w:p w14:paraId="35998A8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w:t>
      </w:r>
      <w:r>
        <w:rPr>
          <w:rFonts w:ascii="仿宋_GB2312" w:eastAsia="仿宋_GB2312" w:cs="DengXian-Regular"/>
          <w:sz w:val="32"/>
          <w:szCs w:val="32"/>
        </w:rPr>
        <w:t>1</w:t>
      </w:r>
      <w:r>
        <w:rPr>
          <w:rFonts w:hint="eastAsia" w:ascii="仿宋_GB2312" w:eastAsia="仿宋_GB2312" w:cs="DengXian-Regular"/>
          <w:sz w:val="32"/>
          <w:szCs w:val="32"/>
        </w:rPr>
        <w:t>年预算文本与2020年</w:t>
      </w:r>
      <w:r>
        <w:rPr>
          <w:rFonts w:ascii="仿宋_GB2312" w:eastAsia="仿宋_GB2312" w:cs="DengXian-Regular"/>
          <w:sz w:val="32"/>
          <w:szCs w:val="32"/>
        </w:rPr>
        <w:t>预算文本</w:t>
      </w:r>
      <w:r>
        <w:rPr>
          <w:rFonts w:hint="eastAsia" w:ascii="仿宋_GB2312" w:eastAsia="仿宋_GB2312" w:cs="DengXian-Regular"/>
          <w:sz w:val="32"/>
          <w:szCs w:val="32"/>
        </w:rPr>
        <w:t>中“三公经费”</w:t>
      </w:r>
      <w:r>
        <w:rPr>
          <w:rFonts w:ascii="仿宋_GB2312" w:eastAsia="仿宋_GB2312" w:cs="DengXian-Regular"/>
          <w:sz w:val="32"/>
          <w:szCs w:val="32"/>
        </w:rPr>
        <w:t>预算情况，</w:t>
      </w:r>
      <w:r>
        <w:rPr>
          <w:rFonts w:hint="eastAsia" w:ascii="仿宋_GB2312" w:eastAsia="仿宋_GB2312" w:cs="DengXian-Regular"/>
          <w:sz w:val="32"/>
          <w:szCs w:val="32"/>
        </w:rPr>
        <w:t xml:space="preserve"> “三公经费”变动率=</w:t>
      </w:r>
      <w:r>
        <w:rPr>
          <w:rFonts w:ascii="仿宋_GB2312" w:eastAsia="仿宋_GB2312" w:cs="DengXian-Regular"/>
          <w:sz w:val="32"/>
          <w:szCs w:val="32"/>
        </w:rPr>
        <w:t>（</w:t>
      </w:r>
      <w:r>
        <w:rPr>
          <w:rFonts w:hint="eastAsia" w:ascii="仿宋_GB2312" w:eastAsia="仿宋_GB2312" w:cs="DengXian-Regular"/>
          <w:sz w:val="32"/>
          <w:szCs w:val="32"/>
        </w:rPr>
        <w:t>49.9-59</w:t>
      </w:r>
      <w:r>
        <w:rPr>
          <w:rFonts w:ascii="仿宋_GB2312" w:eastAsia="仿宋_GB2312" w:cs="DengXian-Regular"/>
          <w:sz w:val="32"/>
          <w:szCs w:val="32"/>
        </w:rPr>
        <w:t>）</w:t>
      </w:r>
      <w:r>
        <w:rPr>
          <w:rFonts w:hint="eastAsia" w:ascii="仿宋_GB2312" w:eastAsia="仿宋_GB2312" w:cs="DengXian-Regular"/>
          <w:sz w:val="32"/>
          <w:szCs w:val="32"/>
        </w:rPr>
        <w:t>/59*100</w:t>
      </w:r>
      <w:r>
        <w:rPr>
          <w:rFonts w:ascii="仿宋_GB2312" w:eastAsia="仿宋_GB2312" w:cs="DengXian-Regular"/>
          <w:sz w:val="32"/>
          <w:szCs w:val="32"/>
        </w:rPr>
        <w:t>%=</w:t>
      </w:r>
      <w:r>
        <w:rPr>
          <w:rFonts w:hint="eastAsia" w:ascii="仿宋_GB2312" w:eastAsia="仿宋_GB2312" w:cs="DengXian-Regular"/>
          <w:sz w:val="32"/>
          <w:szCs w:val="32"/>
        </w:rPr>
        <w:t>15</w:t>
      </w:r>
      <w:r>
        <w:rPr>
          <w:rFonts w:ascii="仿宋_GB2312" w:eastAsia="仿宋_GB2312" w:cs="DengXian-Regular"/>
          <w:sz w:val="32"/>
          <w:szCs w:val="32"/>
        </w:rPr>
        <w:t>%。</w:t>
      </w:r>
    </w:p>
    <w:p w14:paraId="1AC1CC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该指标实际得分1.7分。</w:t>
      </w:r>
    </w:p>
    <w:p w14:paraId="44791BF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（3）重点支出</w:t>
      </w:r>
      <w:r>
        <w:rPr>
          <w:rFonts w:ascii="仿宋_GB2312" w:eastAsia="仿宋_GB2312" w:cs="DengXian-Regular"/>
          <w:sz w:val="32"/>
          <w:szCs w:val="32"/>
        </w:rPr>
        <w:t>安排率</w:t>
      </w:r>
      <w:r>
        <w:rPr>
          <w:rFonts w:hint="eastAsia" w:ascii="仿宋_GB2312" w:eastAsia="仿宋_GB2312" w:cs="DengXian-Regular"/>
          <w:sz w:val="32"/>
          <w:szCs w:val="32"/>
        </w:rPr>
        <w:t>（2分）</w:t>
      </w:r>
    </w:p>
    <w:p w14:paraId="01750DB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该指标主要考核本年度预算安排的重点项目支出与部门项目总支出的比率，用以反映和考核部门对履行主要职责或完成重点任务的保障程度。</w:t>
      </w:r>
    </w:p>
    <w:p w14:paraId="1F88574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重点支出安排率=（重点项目支出/项目总支出）×100%。</w:t>
      </w:r>
    </w:p>
    <w:p w14:paraId="0CE9460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根据区政府办2021年</w:t>
      </w:r>
      <w:r>
        <w:rPr>
          <w:rFonts w:ascii="仿宋_GB2312" w:eastAsia="仿宋_GB2312" w:cs="DengXian-Regular"/>
          <w:sz w:val="32"/>
          <w:szCs w:val="32"/>
        </w:rPr>
        <w:t>预算</w:t>
      </w:r>
      <w:r>
        <w:rPr>
          <w:rFonts w:hint="eastAsia" w:ascii="仿宋_GB2312" w:eastAsia="仿宋_GB2312" w:cs="DengXian-Regular"/>
          <w:sz w:val="32"/>
          <w:szCs w:val="32"/>
        </w:rPr>
        <w:t>安排</w:t>
      </w:r>
      <w:r>
        <w:rPr>
          <w:rFonts w:ascii="仿宋_GB2312" w:eastAsia="仿宋_GB2312" w:cs="DengXian-Regular"/>
          <w:sz w:val="32"/>
          <w:szCs w:val="32"/>
        </w:rPr>
        <w:t>及</w:t>
      </w:r>
      <w:r>
        <w:rPr>
          <w:rFonts w:hint="eastAsia" w:ascii="仿宋_GB2312" w:eastAsia="仿宋_GB2312" w:cs="DengXian-Regular"/>
          <w:sz w:val="32"/>
          <w:szCs w:val="32"/>
        </w:rPr>
        <w:t>2021年</w:t>
      </w:r>
      <w:r>
        <w:rPr>
          <w:rFonts w:ascii="仿宋_GB2312" w:eastAsia="仿宋_GB2312" w:cs="DengXian-Regular"/>
          <w:sz w:val="32"/>
          <w:szCs w:val="32"/>
        </w:rPr>
        <w:t>项目支出决算数据，重点支出安排率=（</w:t>
      </w:r>
      <w:r>
        <w:rPr>
          <w:rFonts w:hint="eastAsia" w:ascii="仿宋_GB2312" w:eastAsia="仿宋_GB2312" w:cs="DengXian-Regular"/>
          <w:sz w:val="32"/>
          <w:szCs w:val="32"/>
        </w:rPr>
        <w:t>213.57/213.57</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=100%。</w:t>
      </w:r>
    </w:p>
    <w:p w14:paraId="66654D2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14:paraId="1EDBA8BF">
      <w:pPr>
        <w:spacing w:after="0" w:line="360" w:lineRule="auto"/>
        <w:jc w:val="both"/>
        <w:textAlignment w:val="baseline"/>
        <w:rPr>
          <w:rFonts w:ascii="仿宋_GB2312" w:eastAsia="仿宋_GB2312" w:cs="DengXian-Regular"/>
          <w:sz w:val="32"/>
          <w:szCs w:val="32"/>
        </w:rPr>
      </w:pPr>
    </w:p>
    <w:bookmarkEnd w:id="57"/>
    <w:bookmarkEnd w:id="58"/>
    <w:p w14:paraId="6BB5EB7E">
      <w:pPr>
        <w:pStyle w:val="4"/>
        <w:spacing w:before="0" w:after="0"/>
        <w:ind w:firstLine="643" w:firstLineChars="200"/>
        <w:jc w:val="both"/>
        <w:rPr>
          <w:rFonts w:ascii="楷体" w:hAnsi="楷体" w:eastAsia="楷体"/>
          <w:sz w:val="32"/>
        </w:rPr>
      </w:pPr>
      <w:bookmarkStart w:id="59" w:name="_Toc119684049"/>
      <w:r>
        <w:rPr>
          <w:rFonts w:hint="eastAsia" w:ascii="楷体" w:hAnsi="楷体" w:eastAsia="楷体"/>
          <w:sz w:val="32"/>
        </w:rPr>
        <w:t>（二）过程（48分）</w:t>
      </w:r>
      <w:bookmarkEnd w:id="59"/>
    </w:p>
    <w:p w14:paraId="67EF9813">
      <w:pPr>
        <w:spacing w:after="0" w:line="360" w:lineRule="auto"/>
        <w:ind w:firstLine="640" w:firstLineChars="200"/>
        <w:jc w:val="both"/>
        <w:textAlignment w:val="baseline"/>
        <w:rPr>
          <w:rFonts w:ascii="仿宋_GB2312" w:eastAsia="仿宋_GB2312" w:cs="DengXian-Regular"/>
          <w:sz w:val="32"/>
          <w:szCs w:val="32"/>
        </w:rPr>
      </w:pPr>
      <w:bookmarkStart w:id="60"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14:paraId="14406D46">
      <w:pPr>
        <w:spacing w:after="0" w:line="360" w:lineRule="auto"/>
        <w:ind w:firstLine="640" w:firstLineChars="200"/>
        <w:jc w:val="both"/>
        <w:textAlignment w:val="baseline"/>
        <w:rPr>
          <w:rFonts w:ascii="仿宋_GB2312" w:eastAsia="仿宋_GB2312" w:cs="DengXian-Regular"/>
          <w:sz w:val="32"/>
          <w:szCs w:val="32"/>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6DF4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612A6437">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388" w:type="dxa"/>
            <w:vAlign w:val="center"/>
          </w:tcPr>
          <w:p w14:paraId="75D70538">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277" w:type="dxa"/>
            <w:vAlign w:val="center"/>
          </w:tcPr>
          <w:p w14:paraId="7BCB1273">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155" w:type="dxa"/>
            <w:vAlign w:val="center"/>
          </w:tcPr>
          <w:p w14:paraId="03E55EA5">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分数权重</w:t>
            </w:r>
          </w:p>
        </w:tc>
        <w:tc>
          <w:tcPr>
            <w:tcW w:w="1276" w:type="dxa"/>
            <w:vAlign w:val="center"/>
          </w:tcPr>
          <w:p w14:paraId="4B96D465">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05CD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0D8FBFC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14:paraId="3EF6155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14:paraId="4AF437F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14:paraId="4109E08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w:t>
            </w:r>
            <w:r>
              <w:rPr>
                <w:rFonts w:cs="宋体" w:asciiTheme="minorEastAsia" w:hAnsiTheme="minorEastAsia" w:eastAsiaTheme="minorEastAsia"/>
                <w:sz w:val="21"/>
                <w:szCs w:val="21"/>
              </w:rPr>
              <w:t>完成率</w:t>
            </w:r>
          </w:p>
        </w:tc>
        <w:tc>
          <w:tcPr>
            <w:tcW w:w="1155" w:type="dxa"/>
            <w:vAlign w:val="center"/>
          </w:tcPr>
          <w:p w14:paraId="7E70DD5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79D930C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14:paraId="2983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C3173E6">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17A6023">
            <w:pPr>
              <w:spacing w:line="420" w:lineRule="exact"/>
              <w:jc w:val="center"/>
              <w:rPr>
                <w:rFonts w:cs="宋体" w:asciiTheme="minorEastAsia" w:hAnsiTheme="minorEastAsia" w:eastAsiaTheme="minorEastAsia"/>
                <w:sz w:val="21"/>
                <w:szCs w:val="21"/>
              </w:rPr>
            </w:pPr>
          </w:p>
        </w:tc>
        <w:tc>
          <w:tcPr>
            <w:tcW w:w="2277" w:type="dxa"/>
            <w:vAlign w:val="center"/>
          </w:tcPr>
          <w:p w14:paraId="76C7210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w:t>
            </w:r>
            <w:r>
              <w:rPr>
                <w:rFonts w:cs="宋体" w:asciiTheme="minorEastAsia" w:hAnsiTheme="minorEastAsia" w:eastAsiaTheme="minorEastAsia"/>
                <w:sz w:val="21"/>
                <w:szCs w:val="21"/>
              </w:rPr>
              <w:t>调整率</w:t>
            </w:r>
          </w:p>
        </w:tc>
        <w:tc>
          <w:tcPr>
            <w:tcW w:w="1155" w:type="dxa"/>
            <w:vAlign w:val="center"/>
          </w:tcPr>
          <w:p w14:paraId="0E89960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CB47C7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0.5</w:t>
            </w:r>
          </w:p>
        </w:tc>
      </w:tr>
      <w:tr w14:paraId="23A8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FE875EC">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89019C3">
            <w:pPr>
              <w:spacing w:line="420" w:lineRule="exact"/>
              <w:jc w:val="center"/>
              <w:rPr>
                <w:rFonts w:cs="宋体" w:asciiTheme="minorEastAsia" w:hAnsiTheme="minorEastAsia" w:eastAsiaTheme="minorEastAsia"/>
                <w:sz w:val="21"/>
                <w:szCs w:val="21"/>
              </w:rPr>
            </w:pPr>
          </w:p>
        </w:tc>
        <w:tc>
          <w:tcPr>
            <w:tcW w:w="2277" w:type="dxa"/>
            <w:vAlign w:val="center"/>
          </w:tcPr>
          <w:p w14:paraId="7E00633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支付</w:t>
            </w:r>
            <w:r>
              <w:rPr>
                <w:rFonts w:cs="宋体" w:asciiTheme="minorEastAsia" w:hAnsiTheme="minorEastAsia" w:eastAsiaTheme="minorEastAsia"/>
                <w:sz w:val="21"/>
                <w:szCs w:val="21"/>
              </w:rPr>
              <w:t>进度率</w:t>
            </w:r>
          </w:p>
        </w:tc>
        <w:tc>
          <w:tcPr>
            <w:tcW w:w="1155" w:type="dxa"/>
            <w:vAlign w:val="center"/>
          </w:tcPr>
          <w:p w14:paraId="3406987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53698A5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14:paraId="6EFC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19C54C7">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657AE4B">
            <w:pPr>
              <w:spacing w:line="420" w:lineRule="exact"/>
              <w:jc w:val="center"/>
              <w:rPr>
                <w:rFonts w:cs="宋体" w:asciiTheme="minorEastAsia" w:hAnsiTheme="minorEastAsia" w:eastAsiaTheme="minorEastAsia"/>
                <w:sz w:val="21"/>
                <w:szCs w:val="21"/>
              </w:rPr>
            </w:pPr>
          </w:p>
        </w:tc>
        <w:tc>
          <w:tcPr>
            <w:tcW w:w="2277" w:type="dxa"/>
            <w:vAlign w:val="center"/>
          </w:tcPr>
          <w:p w14:paraId="7623C65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w:t>
            </w:r>
            <w:r>
              <w:rPr>
                <w:rFonts w:cs="宋体" w:asciiTheme="minorEastAsia" w:hAnsiTheme="minorEastAsia" w:eastAsiaTheme="minorEastAsia"/>
                <w:sz w:val="21"/>
                <w:szCs w:val="21"/>
              </w:rPr>
              <w:t>结余率</w:t>
            </w:r>
          </w:p>
        </w:tc>
        <w:tc>
          <w:tcPr>
            <w:tcW w:w="1155" w:type="dxa"/>
            <w:vAlign w:val="center"/>
          </w:tcPr>
          <w:p w14:paraId="657F53B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75720DB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0AE7C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9E9612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3992029">
            <w:pPr>
              <w:spacing w:line="420" w:lineRule="exact"/>
              <w:jc w:val="center"/>
              <w:rPr>
                <w:rFonts w:cs="宋体" w:asciiTheme="minorEastAsia" w:hAnsiTheme="minorEastAsia" w:eastAsiaTheme="minorEastAsia"/>
                <w:sz w:val="21"/>
                <w:szCs w:val="21"/>
              </w:rPr>
            </w:pPr>
          </w:p>
        </w:tc>
        <w:tc>
          <w:tcPr>
            <w:tcW w:w="2277" w:type="dxa"/>
            <w:vAlign w:val="center"/>
          </w:tcPr>
          <w:p w14:paraId="5234C79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w:t>
            </w:r>
            <w:r>
              <w:rPr>
                <w:rFonts w:cs="宋体" w:asciiTheme="minorEastAsia" w:hAnsiTheme="minorEastAsia" w:eastAsiaTheme="minorEastAsia"/>
                <w:sz w:val="21"/>
                <w:szCs w:val="21"/>
              </w:rPr>
              <w:t>结余</w:t>
            </w:r>
            <w:r>
              <w:rPr>
                <w:rFonts w:hint="eastAsia" w:cs="宋体" w:asciiTheme="minorEastAsia" w:hAnsiTheme="minorEastAsia" w:eastAsiaTheme="minorEastAsia"/>
                <w:sz w:val="21"/>
                <w:szCs w:val="21"/>
              </w:rPr>
              <w:t>变动率</w:t>
            </w:r>
          </w:p>
        </w:tc>
        <w:tc>
          <w:tcPr>
            <w:tcW w:w="1155" w:type="dxa"/>
            <w:vAlign w:val="center"/>
          </w:tcPr>
          <w:p w14:paraId="19E9CC6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6A69A97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14:paraId="09E7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1954DE3">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07E03B2">
            <w:pPr>
              <w:spacing w:line="420" w:lineRule="exact"/>
              <w:jc w:val="center"/>
              <w:rPr>
                <w:rFonts w:cs="宋体" w:asciiTheme="minorEastAsia" w:hAnsiTheme="minorEastAsia" w:eastAsiaTheme="minorEastAsia"/>
                <w:sz w:val="21"/>
                <w:szCs w:val="21"/>
              </w:rPr>
            </w:pPr>
          </w:p>
        </w:tc>
        <w:tc>
          <w:tcPr>
            <w:tcW w:w="2277" w:type="dxa"/>
            <w:vAlign w:val="center"/>
          </w:tcPr>
          <w:p w14:paraId="3A23D04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公用</w:t>
            </w:r>
            <w:r>
              <w:rPr>
                <w:rFonts w:cs="宋体" w:asciiTheme="minorEastAsia" w:hAnsiTheme="minorEastAsia" w:eastAsiaTheme="minorEastAsia"/>
                <w:sz w:val="21"/>
                <w:szCs w:val="21"/>
              </w:rPr>
              <w:t>经费</w:t>
            </w:r>
            <w:r>
              <w:rPr>
                <w:rFonts w:hint="eastAsia" w:cs="宋体" w:asciiTheme="minorEastAsia" w:hAnsiTheme="minorEastAsia" w:eastAsiaTheme="minorEastAsia"/>
                <w:sz w:val="21"/>
                <w:szCs w:val="21"/>
              </w:rPr>
              <w:t>控制</w:t>
            </w:r>
            <w:r>
              <w:rPr>
                <w:rFonts w:cs="宋体" w:asciiTheme="minorEastAsia" w:hAnsiTheme="minorEastAsia" w:eastAsiaTheme="minorEastAsia"/>
                <w:sz w:val="21"/>
                <w:szCs w:val="21"/>
              </w:rPr>
              <w:t>率</w:t>
            </w:r>
          </w:p>
        </w:tc>
        <w:tc>
          <w:tcPr>
            <w:tcW w:w="1155" w:type="dxa"/>
            <w:vAlign w:val="center"/>
          </w:tcPr>
          <w:p w14:paraId="11AA219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233701A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6B28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9D43081">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BC137D8">
            <w:pPr>
              <w:spacing w:line="420" w:lineRule="exact"/>
              <w:jc w:val="center"/>
              <w:rPr>
                <w:rFonts w:cs="宋体" w:asciiTheme="minorEastAsia" w:hAnsiTheme="minorEastAsia" w:eastAsiaTheme="minorEastAsia"/>
                <w:sz w:val="21"/>
                <w:szCs w:val="21"/>
              </w:rPr>
            </w:pPr>
          </w:p>
        </w:tc>
        <w:tc>
          <w:tcPr>
            <w:tcW w:w="2277" w:type="dxa"/>
            <w:vAlign w:val="center"/>
          </w:tcPr>
          <w:p w14:paraId="067A733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w:t>
            </w:r>
            <w:r>
              <w:rPr>
                <w:rFonts w:cs="宋体" w:asciiTheme="minorEastAsia" w:hAnsiTheme="minorEastAsia" w:eastAsiaTheme="minorEastAsia"/>
                <w:sz w:val="21"/>
                <w:szCs w:val="21"/>
              </w:rPr>
              <w:t>经费</w:t>
            </w:r>
            <w:r>
              <w:rPr>
                <w:rFonts w:hint="eastAsia" w:cs="宋体" w:asciiTheme="minorEastAsia" w:hAnsiTheme="minorEastAsia" w:eastAsiaTheme="minorEastAsia"/>
                <w:sz w:val="21"/>
                <w:szCs w:val="21"/>
              </w:rPr>
              <w:t>”控制</w:t>
            </w:r>
            <w:r>
              <w:rPr>
                <w:rFonts w:cs="宋体" w:asciiTheme="minorEastAsia" w:hAnsiTheme="minorEastAsia" w:eastAsiaTheme="minorEastAsia"/>
                <w:sz w:val="21"/>
                <w:szCs w:val="21"/>
              </w:rPr>
              <w:t>率</w:t>
            </w:r>
          </w:p>
        </w:tc>
        <w:tc>
          <w:tcPr>
            <w:tcW w:w="1155" w:type="dxa"/>
            <w:vAlign w:val="center"/>
          </w:tcPr>
          <w:p w14:paraId="483E8B6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0DF0E6C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5B26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23615E7">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F3AB220">
            <w:pPr>
              <w:spacing w:line="420" w:lineRule="exact"/>
              <w:jc w:val="center"/>
              <w:rPr>
                <w:rFonts w:cs="宋体" w:asciiTheme="minorEastAsia" w:hAnsiTheme="minorEastAsia" w:eastAsiaTheme="minorEastAsia"/>
                <w:sz w:val="21"/>
                <w:szCs w:val="21"/>
              </w:rPr>
            </w:pPr>
          </w:p>
        </w:tc>
        <w:tc>
          <w:tcPr>
            <w:tcW w:w="2277" w:type="dxa"/>
            <w:vAlign w:val="center"/>
          </w:tcPr>
          <w:p w14:paraId="4CDE347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w:t>
            </w:r>
            <w:r>
              <w:rPr>
                <w:rFonts w:cs="宋体" w:asciiTheme="minorEastAsia" w:hAnsiTheme="minorEastAsia" w:eastAsiaTheme="minorEastAsia"/>
                <w:sz w:val="21"/>
                <w:szCs w:val="21"/>
              </w:rPr>
              <w:t>采购执行率</w:t>
            </w:r>
          </w:p>
        </w:tc>
        <w:tc>
          <w:tcPr>
            <w:tcW w:w="1155" w:type="dxa"/>
            <w:vAlign w:val="center"/>
          </w:tcPr>
          <w:p w14:paraId="0BB20BB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3D6A8CA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4909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AB78C8F">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6713635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14:paraId="029D2AA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14:paraId="47E9201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1C7E3F1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810AC2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6F10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8CA6F3E">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CE986D5">
            <w:pPr>
              <w:spacing w:line="420" w:lineRule="exact"/>
              <w:jc w:val="center"/>
              <w:rPr>
                <w:rFonts w:cs="宋体" w:asciiTheme="minorEastAsia" w:hAnsiTheme="minorEastAsia" w:eastAsiaTheme="minorEastAsia"/>
                <w:sz w:val="21"/>
                <w:szCs w:val="21"/>
              </w:rPr>
            </w:pPr>
          </w:p>
        </w:tc>
        <w:tc>
          <w:tcPr>
            <w:tcW w:w="2277" w:type="dxa"/>
            <w:vAlign w:val="center"/>
          </w:tcPr>
          <w:p w14:paraId="6592664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w:t>
            </w:r>
            <w:r>
              <w:rPr>
                <w:rFonts w:cs="宋体" w:asciiTheme="minorEastAsia" w:hAnsiTheme="minorEastAsia" w:eastAsiaTheme="minorEastAsia"/>
                <w:sz w:val="21"/>
                <w:szCs w:val="21"/>
              </w:rPr>
              <w:t>使用合规性</w:t>
            </w:r>
          </w:p>
        </w:tc>
        <w:tc>
          <w:tcPr>
            <w:tcW w:w="1155" w:type="dxa"/>
            <w:vAlign w:val="center"/>
          </w:tcPr>
          <w:p w14:paraId="1ACBEB0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636453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1FD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D6B432C">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FC359C7">
            <w:pPr>
              <w:spacing w:line="420" w:lineRule="exact"/>
              <w:jc w:val="center"/>
              <w:rPr>
                <w:rFonts w:cs="宋体" w:asciiTheme="minorEastAsia" w:hAnsiTheme="minorEastAsia" w:eastAsiaTheme="minorEastAsia"/>
                <w:sz w:val="21"/>
                <w:szCs w:val="21"/>
              </w:rPr>
            </w:pPr>
          </w:p>
        </w:tc>
        <w:tc>
          <w:tcPr>
            <w:tcW w:w="2277" w:type="dxa"/>
            <w:vAlign w:val="center"/>
          </w:tcPr>
          <w:p w14:paraId="0065EB7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6323E7C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31A8490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42D1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BF4F3FC">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61AC4E4">
            <w:pPr>
              <w:spacing w:line="420" w:lineRule="exact"/>
              <w:jc w:val="center"/>
              <w:rPr>
                <w:rFonts w:cs="宋体" w:asciiTheme="minorEastAsia" w:hAnsiTheme="minorEastAsia" w:eastAsiaTheme="minorEastAsia"/>
                <w:sz w:val="21"/>
                <w:szCs w:val="21"/>
              </w:rPr>
            </w:pPr>
          </w:p>
        </w:tc>
        <w:tc>
          <w:tcPr>
            <w:tcW w:w="2277" w:type="dxa"/>
            <w:vAlign w:val="center"/>
          </w:tcPr>
          <w:p w14:paraId="5D4FA94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03E9C61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B4D442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03A2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212A0FFC">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28DC65A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w:t>
            </w:r>
            <w:r>
              <w:rPr>
                <w:rFonts w:cs="宋体" w:asciiTheme="minorEastAsia" w:hAnsiTheme="minorEastAsia" w:eastAsiaTheme="minorEastAsia"/>
                <w:sz w:val="21"/>
                <w:szCs w:val="21"/>
              </w:rPr>
              <w:t>管理</w:t>
            </w:r>
          </w:p>
          <w:p w14:paraId="193CCD7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14:paraId="4DB517D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w:t>
            </w:r>
            <w:r>
              <w:rPr>
                <w:rFonts w:cs="宋体" w:asciiTheme="minorEastAsia" w:hAnsiTheme="minorEastAsia" w:eastAsiaTheme="minorEastAsia"/>
                <w:sz w:val="21"/>
                <w:szCs w:val="21"/>
              </w:rPr>
              <w:t>健全性</w:t>
            </w:r>
          </w:p>
        </w:tc>
        <w:tc>
          <w:tcPr>
            <w:tcW w:w="1155" w:type="dxa"/>
            <w:vAlign w:val="center"/>
          </w:tcPr>
          <w:p w14:paraId="3362BE5D">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276" w:type="dxa"/>
            <w:vAlign w:val="center"/>
          </w:tcPr>
          <w:p w14:paraId="724D831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1D74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1557" w:type="dxa"/>
            <w:vMerge w:val="continue"/>
            <w:vAlign w:val="center"/>
          </w:tcPr>
          <w:p w14:paraId="6377D28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4834BC5">
            <w:pPr>
              <w:spacing w:line="420" w:lineRule="exact"/>
              <w:jc w:val="center"/>
              <w:rPr>
                <w:rFonts w:cs="宋体" w:asciiTheme="minorEastAsia" w:hAnsiTheme="minorEastAsia" w:eastAsiaTheme="minorEastAsia"/>
                <w:sz w:val="21"/>
                <w:szCs w:val="21"/>
              </w:rPr>
            </w:pPr>
          </w:p>
        </w:tc>
        <w:tc>
          <w:tcPr>
            <w:tcW w:w="2277" w:type="dxa"/>
            <w:vAlign w:val="center"/>
          </w:tcPr>
          <w:p w14:paraId="4B9392F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w:t>
            </w:r>
            <w:r>
              <w:rPr>
                <w:rFonts w:cs="宋体" w:asciiTheme="minorEastAsia" w:hAnsiTheme="minorEastAsia" w:eastAsiaTheme="minorEastAsia"/>
                <w:sz w:val="21"/>
                <w:szCs w:val="21"/>
              </w:rPr>
              <w:t>管理安全性</w:t>
            </w:r>
          </w:p>
        </w:tc>
        <w:tc>
          <w:tcPr>
            <w:tcW w:w="1155" w:type="dxa"/>
            <w:vAlign w:val="center"/>
          </w:tcPr>
          <w:p w14:paraId="5CA66352">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276" w:type="dxa"/>
            <w:vAlign w:val="center"/>
          </w:tcPr>
          <w:p w14:paraId="02F04D0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5613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exact"/>
          <w:jc w:val="center"/>
        </w:trPr>
        <w:tc>
          <w:tcPr>
            <w:tcW w:w="1557" w:type="dxa"/>
            <w:vMerge w:val="continue"/>
            <w:vAlign w:val="center"/>
          </w:tcPr>
          <w:p w14:paraId="3ECE49D0">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FAA1602">
            <w:pPr>
              <w:spacing w:line="420" w:lineRule="exact"/>
              <w:jc w:val="center"/>
              <w:rPr>
                <w:rFonts w:cs="宋体" w:asciiTheme="minorEastAsia" w:hAnsiTheme="minorEastAsia" w:eastAsiaTheme="minorEastAsia"/>
                <w:sz w:val="21"/>
                <w:szCs w:val="21"/>
              </w:rPr>
            </w:pPr>
          </w:p>
        </w:tc>
        <w:tc>
          <w:tcPr>
            <w:tcW w:w="2277" w:type="dxa"/>
            <w:vAlign w:val="center"/>
          </w:tcPr>
          <w:p w14:paraId="759E0F0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固定</w:t>
            </w:r>
            <w:r>
              <w:rPr>
                <w:rFonts w:cs="宋体" w:asciiTheme="minorEastAsia" w:hAnsiTheme="minorEastAsia" w:eastAsiaTheme="minorEastAsia"/>
                <w:sz w:val="21"/>
                <w:szCs w:val="21"/>
              </w:rPr>
              <w:t>资产利用率</w:t>
            </w:r>
          </w:p>
        </w:tc>
        <w:tc>
          <w:tcPr>
            <w:tcW w:w="1155" w:type="dxa"/>
            <w:vAlign w:val="center"/>
          </w:tcPr>
          <w:p w14:paraId="6EDB282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78404E6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6621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4E4FE50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3A735E68">
            <w:pPr>
              <w:spacing w:line="420" w:lineRule="exact"/>
              <w:jc w:val="center"/>
              <w:rPr>
                <w:rFonts w:cs="宋体" w:asciiTheme="minorEastAsia" w:hAnsiTheme="minorEastAsia" w:eastAsiaTheme="minorEastAsia"/>
                <w:sz w:val="21"/>
                <w:szCs w:val="21"/>
              </w:rPr>
            </w:pPr>
          </w:p>
        </w:tc>
        <w:tc>
          <w:tcPr>
            <w:tcW w:w="1155" w:type="dxa"/>
            <w:vAlign w:val="center"/>
          </w:tcPr>
          <w:p w14:paraId="1A1A394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14:paraId="549A913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40.5</w:t>
            </w:r>
          </w:p>
        </w:tc>
      </w:tr>
    </w:tbl>
    <w:p w14:paraId="408F6282">
      <w:pPr>
        <w:spacing w:after="0" w:line="360" w:lineRule="auto"/>
        <w:jc w:val="both"/>
        <w:textAlignment w:val="baseline"/>
        <w:rPr>
          <w:rFonts w:ascii="仿宋_GB2312" w:eastAsia="仿宋_GB2312" w:cs="DengXian-Regular"/>
          <w:sz w:val="32"/>
          <w:szCs w:val="32"/>
        </w:rPr>
      </w:pPr>
    </w:p>
    <w:bookmarkEnd w:id="60"/>
    <w:p w14:paraId="07587DB7">
      <w:pPr>
        <w:spacing w:after="0" w:line="360" w:lineRule="auto"/>
        <w:ind w:firstLine="640" w:firstLineChars="200"/>
        <w:jc w:val="both"/>
        <w:textAlignment w:val="baseline"/>
        <w:rPr>
          <w:rFonts w:ascii="仿宋_GB2312" w:eastAsia="仿宋_GB2312" w:cs="DengXian-Regular"/>
          <w:sz w:val="32"/>
          <w:szCs w:val="32"/>
        </w:rPr>
      </w:pPr>
      <w:bookmarkStart w:id="61" w:name="_Toc464638487"/>
      <w:bookmarkStart w:id="62" w:name="_Toc465149514"/>
      <w:r>
        <w:rPr>
          <w:rFonts w:hint="eastAsia" w:ascii="仿宋_GB2312" w:eastAsia="仿宋_GB2312" w:cs="DengXian-Regular"/>
          <w:sz w:val="32"/>
          <w:szCs w:val="32"/>
        </w:rPr>
        <w:t>1.预算执行（24分）</w:t>
      </w:r>
    </w:p>
    <w:p w14:paraId="5100E3B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w:t>
      </w:r>
      <w:r>
        <w:rPr>
          <w:rFonts w:ascii="仿宋_GB2312" w:eastAsia="仿宋_GB2312" w:cs="DengXian-Regular"/>
          <w:sz w:val="32"/>
          <w:szCs w:val="32"/>
        </w:rPr>
        <w:t>完成</w:t>
      </w:r>
      <w:r>
        <w:rPr>
          <w:rFonts w:hint="eastAsia" w:ascii="仿宋_GB2312" w:eastAsia="仿宋_GB2312" w:cs="DengXian-Regular"/>
          <w:sz w:val="32"/>
          <w:szCs w:val="32"/>
        </w:rPr>
        <w:t>率（2分）</w:t>
      </w:r>
    </w:p>
    <w:p w14:paraId="3E20AA3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该指标主要评价部门本年度预算完成数与预算数的比率，用以反映和考核部门（单位）预算完成程度。</w:t>
      </w:r>
    </w:p>
    <w:p w14:paraId="58F13F4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预算完成率=（预算完成数/预算数）×100%。</w:t>
      </w:r>
    </w:p>
    <w:p w14:paraId="21FD607A">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预算完成数：部门（单位）本年度实际完成的预算数。</w:t>
      </w:r>
    </w:p>
    <w:p w14:paraId="33D3C973">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预算数：财政部门批复的本年度部门（单位）预算数。</w:t>
      </w:r>
    </w:p>
    <w:p w14:paraId="4E6E9966">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ascii="仿宋_GB2312" w:eastAsia="仿宋_GB2312" w:cs="DengXian-Regular"/>
          <w:sz w:val="32"/>
          <w:szCs w:val="32"/>
        </w:rPr>
        <w:t>区政府办</w:t>
      </w:r>
      <w:r>
        <w:rPr>
          <w:rFonts w:hint="eastAsia" w:ascii="仿宋_GB2312" w:eastAsia="仿宋_GB2312" w:cs="DengXian-Regular"/>
          <w:sz w:val="32"/>
          <w:szCs w:val="32"/>
        </w:rPr>
        <w:t>2021年</w:t>
      </w:r>
      <w:r>
        <w:rPr>
          <w:rFonts w:ascii="仿宋_GB2312" w:eastAsia="仿宋_GB2312" w:cs="DengXian-Regular"/>
          <w:sz w:val="32"/>
          <w:szCs w:val="32"/>
        </w:rPr>
        <w:t>预算文本、决算文本</w:t>
      </w:r>
      <w:r>
        <w:rPr>
          <w:rFonts w:hint="eastAsia" w:ascii="仿宋_GB2312" w:eastAsia="仿宋_GB2312" w:cs="DengXian-Regular"/>
          <w:sz w:val="32"/>
          <w:szCs w:val="32"/>
        </w:rPr>
        <w:t>，预算完成率=（838.25/961.75）×100%</w:t>
      </w:r>
      <w:r>
        <w:rPr>
          <w:rFonts w:ascii="仿宋_GB2312" w:eastAsia="仿宋_GB2312" w:cs="DengXian-Regular"/>
          <w:sz w:val="32"/>
          <w:szCs w:val="32"/>
        </w:rPr>
        <w:t>=8</w:t>
      </w:r>
      <w:r>
        <w:rPr>
          <w:rFonts w:hint="eastAsia" w:ascii="仿宋_GB2312" w:eastAsia="仿宋_GB2312" w:cs="DengXian-Regular"/>
          <w:sz w:val="32"/>
          <w:szCs w:val="32"/>
        </w:rPr>
        <w:t>7.15</w:t>
      </w:r>
      <w:r>
        <w:rPr>
          <w:rFonts w:ascii="仿宋_GB2312" w:eastAsia="仿宋_GB2312" w:cs="DengXian-Regular"/>
          <w:sz w:val="32"/>
          <w:szCs w:val="32"/>
        </w:rPr>
        <w:t>%</w:t>
      </w:r>
      <w:r>
        <w:rPr>
          <w:rFonts w:hint="eastAsia" w:ascii="仿宋_GB2312" w:eastAsia="仿宋_GB2312" w:cs="DengXian-Regular"/>
          <w:sz w:val="32"/>
          <w:szCs w:val="32"/>
        </w:rPr>
        <w:t>。预算</w:t>
      </w:r>
      <w:r>
        <w:rPr>
          <w:rFonts w:ascii="仿宋_GB2312" w:eastAsia="仿宋_GB2312" w:cs="DengXian-Regular"/>
          <w:sz w:val="32"/>
          <w:szCs w:val="32"/>
        </w:rPr>
        <w:t>完成率低于</w:t>
      </w:r>
      <w:r>
        <w:rPr>
          <w:rFonts w:hint="eastAsia" w:ascii="仿宋_GB2312" w:eastAsia="仿宋_GB2312" w:cs="DengXian-Regular"/>
          <w:sz w:val="32"/>
          <w:szCs w:val="32"/>
        </w:rPr>
        <w:t>90</w:t>
      </w:r>
      <w:r>
        <w:rPr>
          <w:rFonts w:ascii="仿宋_GB2312" w:eastAsia="仿宋_GB2312" w:cs="DengXian-Regular"/>
          <w:sz w:val="32"/>
          <w:szCs w:val="32"/>
        </w:rPr>
        <w:t>%，扣</w:t>
      </w:r>
      <w:r>
        <w:rPr>
          <w:rFonts w:hint="eastAsia" w:ascii="仿宋_GB2312" w:eastAsia="仿宋_GB2312" w:cs="DengXian-Regular"/>
          <w:sz w:val="32"/>
          <w:szCs w:val="32"/>
        </w:rPr>
        <w:t>1分</w:t>
      </w:r>
      <w:r>
        <w:rPr>
          <w:rFonts w:ascii="仿宋_GB2312" w:eastAsia="仿宋_GB2312" w:cs="DengXian-Regular"/>
          <w:sz w:val="32"/>
          <w:szCs w:val="32"/>
        </w:rPr>
        <w:t>。</w:t>
      </w:r>
    </w:p>
    <w:p w14:paraId="0709756C">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7AAF60C2">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w:t>
      </w:r>
      <w:r>
        <w:rPr>
          <w:rFonts w:ascii="仿宋_GB2312" w:eastAsia="仿宋_GB2312" w:cs="DengXian-Regular"/>
          <w:sz w:val="32"/>
          <w:szCs w:val="32"/>
        </w:rPr>
        <w:t>调整率</w:t>
      </w: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分）</w:t>
      </w:r>
    </w:p>
    <w:p w14:paraId="654965CC">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该指标主要评价本年度预算调整数与预算数的比率，用以反映和考核部门预算的调整程度。</w:t>
      </w:r>
    </w:p>
    <w:p w14:paraId="20CB095C">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预算调整率=（预算调整数/预算数）×100%。</w:t>
      </w:r>
    </w:p>
    <w:p w14:paraId="256F8D15">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预算调整数：部门（单位）在本年度内涉及预算的追加、追减或结构调整的资金总和（因落实国家政策、发生不可抗力、上级部门或本级党委政府临时交办而产生的调整除外）。</w:t>
      </w:r>
    </w:p>
    <w:p w14:paraId="74A2295A">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根据区政府办提供的保定市徐水区财政局下发的预算指标文件， 2021年</w:t>
      </w:r>
      <w:r>
        <w:rPr>
          <w:rFonts w:ascii="仿宋_GB2312" w:eastAsia="仿宋_GB2312" w:cs="DengXian-Regular"/>
          <w:sz w:val="32"/>
          <w:szCs w:val="32"/>
        </w:rPr>
        <w:t>调整预算金额</w:t>
      </w:r>
      <w:r>
        <w:rPr>
          <w:rFonts w:hint="eastAsia" w:ascii="仿宋_GB2312" w:eastAsia="仿宋_GB2312" w:cs="DengXian-Regular"/>
          <w:sz w:val="32"/>
          <w:szCs w:val="32"/>
        </w:rPr>
        <w:t>123.5万元</w:t>
      </w:r>
      <w:r>
        <w:rPr>
          <w:rFonts w:ascii="仿宋_GB2312" w:eastAsia="仿宋_GB2312" w:cs="DengXian-Regular"/>
          <w:sz w:val="32"/>
          <w:szCs w:val="32"/>
        </w:rPr>
        <w:t>，预算调整率=（</w:t>
      </w:r>
      <w:r>
        <w:rPr>
          <w:rFonts w:hint="eastAsia" w:ascii="仿宋_GB2312" w:eastAsia="仿宋_GB2312" w:cs="DengXian-Regular"/>
          <w:sz w:val="32"/>
          <w:szCs w:val="32"/>
        </w:rPr>
        <w:t>123.5/961.75</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w:t>
      </w:r>
      <w:r>
        <w:rPr>
          <w:rFonts w:hint="eastAsia" w:ascii="仿宋_GB2312" w:eastAsia="仿宋_GB2312" w:cs="DengXian-Regular"/>
          <w:sz w:val="32"/>
          <w:szCs w:val="32"/>
        </w:rPr>
        <w:t>12.84</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扣</w:t>
      </w:r>
      <w:r>
        <w:rPr>
          <w:rFonts w:hint="eastAsia" w:ascii="仿宋_GB2312" w:eastAsia="仿宋_GB2312" w:cs="DengXian-Regular"/>
          <w:sz w:val="32"/>
          <w:szCs w:val="32"/>
        </w:rPr>
        <w:t>3.5分</w:t>
      </w:r>
      <w:r>
        <w:rPr>
          <w:rFonts w:ascii="仿宋_GB2312" w:eastAsia="仿宋_GB2312" w:cs="DengXian-Regular"/>
          <w:sz w:val="32"/>
          <w:szCs w:val="32"/>
        </w:rPr>
        <w:t>。</w:t>
      </w:r>
    </w:p>
    <w:p w14:paraId="7A392D06">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0.</w:t>
      </w:r>
      <w:r>
        <w:rPr>
          <w:rFonts w:hint="eastAsia" w:ascii="仿宋_GB2312" w:eastAsia="仿宋_GB2312" w:cs="DengXian-Regular"/>
          <w:sz w:val="32"/>
          <w:szCs w:val="32"/>
        </w:rPr>
        <w:t>5分。</w:t>
      </w:r>
    </w:p>
    <w:p w14:paraId="542ABF72">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（3）支付</w:t>
      </w:r>
      <w:r>
        <w:rPr>
          <w:rFonts w:ascii="仿宋_GB2312" w:eastAsia="仿宋_GB2312" w:cs="DengXian-Regular"/>
          <w:sz w:val="32"/>
          <w:szCs w:val="32"/>
        </w:rPr>
        <w:t>进度率</w:t>
      </w:r>
      <w:r>
        <w:rPr>
          <w:rFonts w:hint="eastAsia" w:ascii="仿宋_GB2312" w:eastAsia="仿宋_GB2312" w:cs="DengXian-Regular"/>
          <w:sz w:val="32"/>
          <w:szCs w:val="32"/>
        </w:rPr>
        <w:t>（2分）</w:t>
      </w:r>
    </w:p>
    <w:p w14:paraId="3056AF7D">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该指标主要评价实际支付进度与既定支付进度的比率，用以反映和考核部门（单位）预算执行的及时性和均衡性程度。</w:t>
      </w:r>
    </w:p>
    <w:p w14:paraId="342D6D05">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支付进度率=（实际支付进度/既定支付进度）×100%。</w:t>
      </w:r>
    </w:p>
    <w:p w14:paraId="7787047A">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ascii="仿宋_GB2312" w:eastAsia="仿宋_GB2312" w:cs="DengXian-Regular"/>
          <w:sz w:val="32"/>
          <w:szCs w:val="32"/>
        </w:rPr>
        <w:t>保定市徐水区财政局</w:t>
      </w:r>
      <w:r>
        <w:rPr>
          <w:rFonts w:hint="eastAsia" w:ascii="仿宋_GB2312" w:eastAsia="仿宋_GB2312" w:cs="DengXian-Regular"/>
          <w:sz w:val="32"/>
          <w:szCs w:val="32"/>
        </w:rPr>
        <w:t>关于对2021年</w:t>
      </w:r>
      <w:r>
        <w:rPr>
          <w:rFonts w:ascii="仿宋_GB2312" w:eastAsia="仿宋_GB2312" w:cs="DengXian-Regular"/>
          <w:sz w:val="32"/>
          <w:szCs w:val="32"/>
        </w:rPr>
        <w:t>部门绩效运行监控结果应用情况的通报》</w:t>
      </w:r>
      <w:r>
        <w:rPr>
          <w:rFonts w:hint="eastAsia" w:ascii="仿宋_GB2312" w:eastAsia="仿宋_GB2312" w:cs="DengXian-Regular"/>
          <w:sz w:val="32"/>
          <w:szCs w:val="32"/>
        </w:rPr>
        <w:t>，</w:t>
      </w:r>
      <w:r>
        <w:rPr>
          <w:rFonts w:ascii="仿宋_GB2312" w:eastAsia="仿宋_GB2312" w:cs="DengXian-Regular"/>
          <w:sz w:val="32"/>
          <w:szCs w:val="32"/>
        </w:rPr>
        <w:t>我部门扣减系数为</w:t>
      </w:r>
      <w:r>
        <w:rPr>
          <w:rFonts w:hint="eastAsia" w:ascii="仿宋_GB2312" w:eastAsia="仿宋_GB2312" w:cs="DengXian-Regular"/>
          <w:sz w:val="32"/>
          <w:szCs w:val="32"/>
        </w:rPr>
        <w:t>4.18</w:t>
      </w:r>
      <w:r>
        <w:rPr>
          <w:rFonts w:ascii="仿宋_GB2312" w:eastAsia="仿宋_GB2312" w:cs="DengXian-Regular"/>
          <w:sz w:val="32"/>
          <w:szCs w:val="32"/>
        </w:rPr>
        <w:t>%，</w:t>
      </w:r>
      <w:r>
        <w:rPr>
          <w:rFonts w:hint="eastAsia" w:ascii="仿宋_GB2312" w:eastAsia="仿宋_GB2312" w:cs="DengXian-Regular"/>
          <w:sz w:val="32"/>
          <w:szCs w:val="32"/>
        </w:rPr>
        <w:t>2021年6月份</w:t>
      </w:r>
      <w:r>
        <w:rPr>
          <w:rFonts w:ascii="仿宋_GB2312" w:eastAsia="仿宋_GB2312" w:cs="DengXian-Regular"/>
          <w:sz w:val="32"/>
          <w:szCs w:val="32"/>
        </w:rPr>
        <w:t>和</w:t>
      </w:r>
      <w:r>
        <w:rPr>
          <w:rFonts w:hint="eastAsia" w:ascii="仿宋_GB2312" w:eastAsia="仿宋_GB2312" w:cs="DengXian-Regular"/>
          <w:sz w:val="32"/>
          <w:szCs w:val="32"/>
        </w:rPr>
        <w:t>9月份</w:t>
      </w:r>
      <w:r>
        <w:rPr>
          <w:rFonts w:ascii="仿宋_GB2312" w:eastAsia="仿宋_GB2312" w:cs="DengXian-Regular"/>
          <w:sz w:val="32"/>
          <w:szCs w:val="32"/>
        </w:rPr>
        <w:t>部门预算支出进度，未达到财政要去，扣</w:t>
      </w:r>
      <w:r>
        <w:rPr>
          <w:rFonts w:hint="eastAsia" w:ascii="仿宋_GB2312" w:eastAsia="仿宋_GB2312" w:cs="DengXian-Regular"/>
          <w:sz w:val="32"/>
          <w:szCs w:val="32"/>
        </w:rPr>
        <w:t>1分</w:t>
      </w:r>
      <w:r>
        <w:rPr>
          <w:rFonts w:ascii="仿宋_GB2312" w:eastAsia="仿宋_GB2312" w:cs="DengXian-Regular"/>
          <w:sz w:val="32"/>
          <w:szCs w:val="32"/>
        </w:rPr>
        <w:t>。</w:t>
      </w:r>
    </w:p>
    <w:p w14:paraId="5A340833">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0D16462C">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（4）结转</w:t>
      </w:r>
      <w:r>
        <w:rPr>
          <w:rFonts w:ascii="仿宋_GB2312" w:eastAsia="仿宋_GB2312" w:cs="DengXian-Regular"/>
          <w:sz w:val="32"/>
          <w:szCs w:val="32"/>
        </w:rPr>
        <w:t>结余率</w:t>
      </w:r>
      <w:r>
        <w:rPr>
          <w:rFonts w:hint="eastAsia" w:ascii="仿宋_GB2312" w:eastAsia="仿宋_GB2312" w:cs="DengXian-Regular"/>
          <w:sz w:val="32"/>
          <w:szCs w:val="32"/>
        </w:rPr>
        <w:t>（4分）</w:t>
      </w:r>
    </w:p>
    <w:p w14:paraId="2F248955">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该指标主要评价本年度结转结余总额与支出预算数的比率，用以反映和考核部门（单位）对本年度结转结余资金的实际控制程度。</w:t>
      </w:r>
    </w:p>
    <w:p w14:paraId="477C6425">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结转结余率=结转结余总额/支出预算数×100%。</w:t>
      </w:r>
    </w:p>
    <w:p w14:paraId="5698F6A2">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区政府办202</w:t>
      </w:r>
      <w:r>
        <w:rPr>
          <w:rFonts w:ascii="仿宋_GB2312" w:eastAsia="仿宋_GB2312" w:cs="DengXian-Regular"/>
          <w:sz w:val="32"/>
          <w:szCs w:val="32"/>
        </w:rPr>
        <w:t>1</w:t>
      </w:r>
      <w:r>
        <w:rPr>
          <w:rFonts w:hint="eastAsia" w:ascii="仿宋_GB2312" w:eastAsia="仿宋_GB2312" w:cs="DengXian-Regular"/>
          <w:sz w:val="32"/>
          <w:szCs w:val="32"/>
        </w:rPr>
        <w:t>年决算文本，部门决算年末</w:t>
      </w:r>
      <w:r>
        <w:rPr>
          <w:rFonts w:ascii="仿宋_GB2312" w:eastAsia="仿宋_GB2312" w:cs="DengXian-Regular"/>
          <w:sz w:val="32"/>
          <w:szCs w:val="32"/>
        </w:rPr>
        <w:t>结转</w:t>
      </w:r>
      <w:r>
        <w:rPr>
          <w:rFonts w:hint="eastAsia" w:ascii="仿宋_GB2312" w:eastAsia="仿宋_GB2312" w:cs="DengXian-Regular"/>
          <w:sz w:val="32"/>
          <w:szCs w:val="32"/>
        </w:rPr>
        <w:t>和</w:t>
      </w:r>
      <w:r>
        <w:rPr>
          <w:rFonts w:ascii="仿宋_GB2312" w:eastAsia="仿宋_GB2312" w:cs="DengXian-Regular"/>
          <w:sz w:val="32"/>
          <w:szCs w:val="32"/>
        </w:rPr>
        <w:t>结余</w:t>
      </w:r>
      <w:r>
        <w:rPr>
          <w:rFonts w:hint="eastAsia" w:ascii="仿宋_GB2312" w:eastAsia="仿宋_GB2312" w:cs="DengXian-Regular"/>
          <w:sz w:val="32"/>
          <w:szCs w:val="32"/>
        </w:rPr>
        <w:t>资金0.87万元，结转结余率</w:t>
      </w:r>
      <w:r>
        <w:rPr>
          <w:rFonts w:ascii="仿宋_GB2312" w:eastAsia="仿宋_GB2312" w:cs="DengXian-Regular"/>
          <w:sz w:val="32"/>
          <w:szCs w:val="32"/>
        </w:rPr>
        <w:t>=</w:t>
      </w:r>
      <w:r>
        <w:rPr>
          <w:rFonts w:hint="eastAsia" w:ascii="仿宋_GB2312" w:eastAsia="仿宋_GB2312" w:cs="DengXian-Regular"/>
          <w:sz w:val="32"/>
          <w:szCs w:val="32"/>
        </w:rPr>
        <w:t>（0.87/961.75</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%=0.0</w:t>
      </w:r>
      <w:r>
        <w:rPr>
          <w:rFonts w:hint="eastAsia" w:ascii="仿宋_GB2312" w:eastAsia="仿宋_GB2312" w:cs="DengXian-Regular"/>
          <w:sz w:val="32"/>
          <w:szCs w:val="32"/>
        </w:rPr>
        <w:t>1</w:t>
      </w:r>
      <w:r>
        <w:rPr>
          <w:rFonts w:ascii="仿宋_GB2312" w:eastAsia="仿宋_GB2312" w:cs="DengXian-Regular"/>
          <w:sz w:val="32"/>
          <w:szCs w:val="32"/>
        </w:rPr>
        <w:t>%</w:t>
      </w:r>
      <w:r>
        <w:rPr>
          <w:rFonts w:hint="eastAsia" w:ascii="仿宋_GB2312" w:eastAsia="仿宋_GB2312" w:cs="DengXian-Regular"/>
          <w:sz w:val="32"/>
          <w:szCs w:val="32"/>
        </w:rPr>
        <w:t>。</w:t>
      </w:r>
    </w:p>
    <w:p w14:paraId="495CABB0">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63C46089">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（5）结转</w:t>
      </w:r>
      <w:r>
        <w:rPr>
          <w:rFonts w:ascii="仿宋_GB2312" w:eastAsia="仿宋_GB2312" w:cs="DengXian-Regular"/>
          <w:sz w:val="32"/>
          <w:szCs w:val="32"/>
        </w:rPr>
        <w:t>结余变动率</w:t>
      </w:r>
      <w:r>
        <w:rPr>
          <w:rFonts w:hint="eastAsia" w:ascii="仿宋_GB2312" w:eastAsia="仿宋_GB2312" w:cs="DengXian-Regular"/>
          <w:sz w:val="32"/>
          <w:szCs w:val="32"/>
        </w:rPr>
        <w:t>（3分）</w:t>
      </w:r>
    </w:p>
    <w:p w14:paraId="40739831">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该指标主要本年度结转结余资金总额与上年度结转结余资金总额的变动比率，用以反映和考核部门（单位）对控制结转结余资金的努力程度。</w:t>
      </w:r>
    </w:p>
    <w:p w14:paraId="2C3AEAA0">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结转结余变动率=[（本年度累计结转结余资金总额-上年度累计结转结余资金总额）/上年度累计结转结余资金总额]×100%。</w:t>
      </w:r>
    </w:p>
    <w:p w14:paraId="054BDAF5">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w:t>
      </w:r>
      <w:r>
        <w:rPr>
          <w:rFonts w:ascii="仿宋_GB2312" w:eastAsia="仿宋_GB2312" w:cs="DengXian-Regular"/>
          <w:sz w:val="32"/>
          <w:szCs w:val="32"/>
        </w:rPr>
        <w:t>1</w:t>
      </w:r>
      <w:r>
        <w:rPr>
          <w:rFonts w:hint="eastAsia" w:ascii="仿宋_GB2312" w:eastAsia="仿宋_GB2312" w:cs="DengXian-Regular"/>
          <w:sz w:val="32"/>
          <w:szCs w:val="32"/>
        </w:rPr>
        <w:t>年决算文本本，结转</w:t>
      </w:r>
      <w:r>
        <w:rPr>
          <w:rFonts w:ascii="仿宋_GB2312" w:eastAsia="仿宋_GB2312" w:cs="DengXian-Regular"/>
          <w:sz w:val="32"/>
          <w:szCs w:val="32"/>
        </w:rPr>
        <w:t>结余变动率=</w:t>
      </w:r>
      <w:r>
        <w:rPr>
          <w:rFonts w:hint="eastAsia" w:ascii="仿宋_GB2312" w:eastAsia="仿宋_GB2312" w:cs="DengXian-Regular"/>
          <w:sz w:val="32"/>
          <w:szCs w:val="32"/>
        </w:rPr>
        <w:t>[</w:t>
      </w:r>
      <w:r>
        <w:rPr>
          <w:rFonts w:ascii="仿宋_GB2312" w:eastAsia="仿宋_GB2312" w:cs="DengXian-Regular"/>
          <w:sz w:val="32"/>
          <w:szCs w:val="32"/>
        </w:rPr>
        <w:t>（</w:t>
      </w:r>
      <w:r>
        <w:rPr>
          <w:rFonts w:hint="eastAsia" w:ascii="仿宋_GB2312" w:eastAsia="仿宋_GB2312" w:cs="DengXian-Regular"/>
          <w:sz w:val="32"/>
          <w:szCs w:val="32"/>
        </w:rPr>
        <w:t>0.87-56.67</w:t>
      </w:r>
      <w:r>
        <w:rPr>
          <w:rFonts w:ascii="仿宋_GB2312" w:eastAsia="仿宋_GB2312" w:cs="DengXian-Regular"/>
          <w:sz w:val="32"/>
          <w:szCs w:val="32"/>
        </w:rPr>
        <w:t>）</w:t>
      </w:r>
      <w:r>
        <w:rPr>
          <w:rFonts w:hint="eastAsia" w:ascii="仿宋_GB2312" w:eastAsia="仿宋_GB2312" w:cs="DengXian-Regular"/>
          <w:sz w:val="32"/>
          <w:szCs w:val="32"/>
        </w:rPr>
        <w:t>/56.67]*100%=98.46%,变动率</w:t>
      </w:r>
      <w:r>
        <w:rPr>
          <w:rFonts w:ascii="仿宋_GB2312" w:eastAsia="仿宋_GB2312" w:cs="DengXian-Regular"/>
          <w:sz w:val="32"/>
          <w:szCs w:val="32"/>
        </w:rPr>
        <w:t>较大，</w:t>
      </w:r>
      <w:r>
        <w:rPr>
          <w:rFonts w:hint="eastAsia" w:ascii="仿宋_GB2312" w:eastAsia="仿宋_GB2312" w:cs="DengXian-Regular"/>
          <w:sz w:val="32"/>
          <w:szCs w:val="32"/>
        </w:rPr>
        <w:t>扣减2分。</w:t>
      </w:r>
    </w:p>
    <w:p w14:paraId="1C65D59F">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该指标实际得分1分。</w:t>
      </w:r>
    </w:p>
    <w:p w14:paraId="049BBAA9">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（6）公用</w:t>
      </w:r>
      <w:r>
        <w:rPr>
          <w:rFonts w:ascii="仿宋_GB2312" w:eastAsia="仿宋_GB2312" w:cs="DengXian-Regular"/>
          <w:sz w:val="32"/>
          <w:szCs w:val="32"/>
        </w:rPr>
        <w:t>经费</w:t>
      </w:r>
      <w:r>
        <w:rPr>
          <w:rFonts w:hint="eastAsia" w:ascii="仿宋_GB2312" w:eastAsia="仿宋_GB2312" w:cs="DengXian-Regular"/>
          <w:sz w:val="32"/>
          <w:szCs w:val="32"/>
        </w:rPr>
        <w:t>控制率（3分）</w:t>
      </w:r>
    </w:p>
    <w:p w14:paraId="38939E02">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该指标主要评价部门本年度实际支出的公用经费总额与预算安排的公用经费总额的比率，用以反映和考核部门对机构运转成本的实际控制程度。</w:t>
      </w:r>
    </w:p>
    <w:p w14:paraId="53978127">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14:paraId="12B22E08">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w:t>
      </w:r>
      <w:r>
        <w:rPr>
          <w:rFonts w:ascii="仿宋_GB2312" w:eastAsia="仿宋_GB2312" w:cs="DengXian-Regular"/>
          <w:sz w:val="32"/>
          <w:szCs w:val="32"/>
        </w:rPr>
        <w:t>1</w:t>
      </w:r>
      <w:r>
        <w:rPr>
          <w:rFonts w:hint="eastAsia" w:ascii="仿宋_GB2312" w:eastAsia="仿宋_GB2312" w:cs="DengXian-Regular"/>
          <w:sz w:val="32"/>
          <w:szCs w:val="32"/>
        </w:rPr>
        <w:t>年预算文本及决算文本，公用经费控制率=（77.49/90.9）×100%=85.25%，公用</w:t>
      </w:r>
      <w:r>
        <w:rPr>
          <w:rFonts w:ascii="仿宋_GB2312" w:eastAsia="仿宋_GB2312" w:cs="DengXian-Regular"/>
          <w:sz w:val="32"/>
          <w:szCs w:val="32"/>
        </w:rPr>
        <w:t>经费实际支出</w:t>
      </w:r>
      <w:r>
        <w:rPr>
          <w:rFonts w:hint="eastAsia" w:ascii="仿宋_GB2312" w:eastAsia="仿宋_GB2312" w:cs="DengXian-Regular"/>
          <w:sz w:val="32"/>
          <w:szCs w:val="32"/>
        </w:rPr>
        <w:t>未</w:t>
      </w:r>
      <w:r>
        <w:rPr>
          <w:rFonts w:ascii="仿宋_GB2312" w:eastAsia="仿宋_GB2312" w:cs="DengXian-Regular"/>
          <w:sz w:val="32"/>
          <w:szCs w:val="32"/>
        </w:rPr>
        <w:t>预算安排。</w:t>
      </w:r>
    </w:p>
    <w:p w14:paraId="37914A93">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bookmarkEnd w:id="61"/>
    <w:bookmarkEnd w:id="62"/>
    <w:p w14:paraId="54755AE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（7）“三公”经费控制率（3分）</w:t>
      </w:r>
    </w:p>
    <w:p w14:paraId="47ED862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08E191E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4F9832D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根据区政府办2021年预算文本及决算文本，“三公”经费年初预算数49.9万元，年末决算数18.1万元，“三公”经费控制率=（年末决算数/年初预算数）*100%=36%</w:t>
      </w:r>
      <w:r>
        <w:rPr>
          <w:rFonts w:ascii="Arial" w:hAnsi="Arial" w:eastAsia="仿宋_GB2312" w:cs="Arial"/>
          <w:sz w:val="32"/>
          <w:szCs w:val="32"/>
        </w:rPr>
        <w:t>≤</w:t>
      </w:r>
      <w:r>
        <w:rPr>
          <w:rFonts w:hint="eastAsia" w:ascii="仿宋_GB2312" w:eastAsia="仿宋_GB2312" w:cs="DengXian-Regular"/>
          <w:sz w:val="32"/>
          <w:szCs w:val="32"/>
        </w:rPr>
        <w:t>100%。</w:t>
      </w:r>
    </w:p>
    <w:p w14:paraId="0E8F943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14:paraId="508CD1F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（8）政府采购执行率（3分）</w:t>
      </w:r>
    </w:p>
    <w:p w14:paraId="58876B8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14:paraId="0D967F2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14:paraId="012F523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根据区政府办2021年预算文本及决算文本，政府采购年初预算数0元，年末决算数3.039万元，政府采购执行率为303%。</w:t>
      </w:r>
    </w:p>
    <w:p w14:paraId="4726721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p w14:paraId="240B00F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14:paraId="37D370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4E1847C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493BC9B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区政府办工作制度涵盖了财务制度、网络安全制度、公务用车制度等相关制度，经检查区政府办付款流程审批单、资产盘点表等资料，区政府办已按照相关管理制度的规定执行。</w:t>
      </w:r>
    </w:p>
    <w:p w14:paraId="3A98315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14:paraId="56C3E37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（2）资金使用合规性（4分）</w:t>
      </w:r>
    </w:p>
    <w:p w14:paraId="1B42BA9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14:paraId="46995D5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2021年明细账、会计凭证等相关资料，区政府办资金使用符合相关会计准则和财务制度，资金拨付有完备的审批程序和手续，资金使用符合部门预算批复的用途，未发现截留、挤占、挪用财政资金的情况。</w:t>
      </w:r>
    </w:p>
    <w:p w14:paraId="3557D02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14:paraId="4821ED5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（3）预决算信息公开性（4分）</w:t>
      </w:r>
    </w:p>
    <w:p w14:paraId="4F7916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6E2A8E2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区政府办2021年按政府信息公开的有关要求在保定市徐水区人民政府网公开了2021年的预决算情况、部门责任清单、行政监督清单等相关信息。</w:t>
      </w:r>
    </w:p>
    <w:p w14:paraId="41D8E99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14:paraId="38C99DE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（4）基础信息完善性（4分）</w:t>
      </w:r>
    </w:p>
    <w:p w14:paraId="3AD926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396E8F9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根据区政府办提供的会计账簿、凭证及其他相关资料，区政府办会计信息资料真实完整，</w:t>
      </w:r>
    </w:p>
    <w:p w14:paraId="29233CE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14:paraId="5668041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3.资产</w:t>
      </w:r>
      <w:r>
        <w:rPr>
          <w:rFonts w:ascii="仿宋_GB2312" w:eastAsia="仿宋_GB2312" w:cs="DengXian-Regular"/>
          <w:sz w:val="32"/>
          <w:szCs w:val="32"/>
        </w:rPr>
        <w:t>管理</w:t>
      </w:r>
      <w:r>
        <w:rPr>
          <w:rFonts w:hint="eastAsia" w:ascii="仿宋_GB2312" w:eastAsia="仿宋_GB2312" w:cs="DengXian-Regular"/>
          <w:sz w:val="32"/>
          <w:szCs w:val="32"/>
        </w:rPr>
        <w:t>（8分）</w:t>
      </w:r>
    </w:p>
    <w:p w14:paraId="5EF1492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w:t>
      </w:r>
      <w:r>
        <w:rPr>
          <w:rFonts w:ascii="仿宋_GB2312" w:eastAsia="仿宋_GB2312" w:cs="DengXian-Regular"/>
          <w:sz w:val="32"/>
          <w:szCs w:val="32"/>
        </w:rPr>
        <w:t>制度健全性</w:t>
      </w: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分）</w:t>
      </w:r>
    </w:p>
    <w:p w14:paraId="285391AD">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该指标主要评价部门为加强资产管理、规范资产管理行为而制定的管理制度是否健全完整，用以反映和考核部门资产管理制度对完成主要职责或促进社会发展的保障情况。</w:t>
      </w:r>
    </w:p>
    <w:p w14:paraId="6897C2C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w:t>
      </w:r>
      <w:r>
        <w:rPr>
          <w:rFonts w:ascii="仿宋_GB2312" w:eastAsia="仿宋_GB2312" w:cs="DengXian-Regular"/>
          <w:sz w:val="32"/>
          <w:szCs w:val="32"/>
        </w:rPr>
        <w:t>工作制度</w:t>
      </w:r>
      <w:r>
        <w:rPr>
          <w:rFonts w:hint="eastAsia" w:ascii="仿宋_GB2312" w:eastAsia="仿宋_GB2312" w:cs="DengXian-Regular"/>
          <w:sz w:val="32"/>
          <w:szCs w:val="32"/>
        </w:rPr>
        <w:t>包含</w:t>
      </w:r>
      <w:r>
        <w:rPr>
          <w:rFonts w:ascii="仿宋_GB2312" w:eastAsia="仿宋_GB2312" w:cs="DengXian-Regular"/>
          <w:sz w:val="32"/>
          <w:szCs w:val="32"/>
        </w:rPr>
        <w:t>了资产管理制度，规定了资产购置、登记、管理、处置</w:t>
      </w:r>
      <w:r>
        <w:rPr>
          <w:rFonts w:hint="eastAsia" w:ascii="仿宋_GB2312" w:eastAsia="仿宋_GB2312" w:cs="DengXian-Regular"/>
          <w:sz w:val="32"/>
          <w:szCs w:val="32"/>
        </w:rPr>
        <w:t>等</w:t>
      </w:r>
      <w:r>
        <w:rPr>
          <w:rFonts w:ascii="仿宋_GB2312" w:eastAsia="仿宋_GB2312" w:cs="DengXian-Regular"/>
          <w:sz w:val="32"/>
          <w:szCs w:val="32"/>
        </w:rPr>
        <w:t>环节</w:t>
      </w:r>
      <w:r>
        <w:rPr>
          <w:rFonts w:hint="eastAsia" w:ascii="仿宋_GB2312" w:eastAsia="仿宋_GB2312" w:cs="DengXian-Regular"/>
          <w:sz w:val="32"/>
          <w:szCs w:val="32"/>
        </w:rPr>
        <w:t>管理</w:t>
      </w:r>
      <w:r>
        <w:rPr>
          <w:rFonts w:ascii="仿宋_GB2312" w:eastAsia="仿宋_GB2312" w:cs="DengXian-Regular"/>
          <w:sz w:val="32"/>
          <w:szCs w:val="32"/>
        </w:rPr>
        <w:t>。在</w:t>
      </w:r>
      <w:r>
        <w:rPr>
          <w:rFonts w:hint="eastAsia" w:ascii="仿宋_GB2312" w:eastAsia="仿宋_GB2312" w:cs="DengXian-Regular"/>
          <w:sz w:val="32"/>
          <w:szCs w:val="32"/>
        </w:rPr>
        <w:t>日常</w:t>
      </w:r>
      <w:r>
        <w:rPr>
          <w:rFonts w:ascii="仿宋_GB2312" w:eastAsia="仿宋_GB2312" w:cs="DengXian-Regular"/>
          <w:sz w:val="32"/>
          <w:szCs w:val="32"/>
        </w:rPr>
        <w:t>工作中，严格按照</w:t>
      </w:r>
      <w:r>
        <w:rPr>
          <w:rFonts w:hint="eastAsia" w:ascii="仿宋_GB2312" w:eastAsia="仿宋_GB2312" w:cs="DengXian-Regular"/>
          <w:sz w:val="32"/>
          <w:szCs w:val="32"/>
        </w:rPr>
        <w:t>管理</w:t>
      </w:r>
      <w:r>
        <w:rPr>
          <w:rFonts w:ascii="仿宋_GB2312" w:eastAsia="仿宋_GB2312" w:cs="DengXian-Regular"/>
          <w:sz w:val="32"/>
          <w:szCs w:val="32"/>
        </w:rPr>
        <w:t>制度执行，保障了资产管理的科学性、准确性。</w:t>
      </w:r>
    </w:p>
    <w:p w14:paraId="5B6B86F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30FB7D3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（2）资产</w:t>
      </w:r>
      <w:r>
        <w:rPr>
          <w:rFonts w:ascii="仿宋_GB2312" w:eastAsia="仿宋_GB2312" w:cs="DengXian-Regular"/>
          <w:sz w:val="32"/>
          <w:szCs w:val="32"/>
        </w:rPr>
        <w:t>管理安全性</w:t>
      </w: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分）</w:t>
      </w:r>
    </w:p>
    <w:p w14:paraId="356133C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该指标主要评价部门的资产是否保存完整、使用合规、配置合理、处置规范、收入及时足额上缴，用以反映和考核部门（单位）资产安全运行情况。</w:t>
      </w:r>
    </w:p>
    <w:p w14:paraId="58A6EAF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区政府办加强</w:t>
      </w:r>
      <w:r>
        <w:rPr>
          <w:rFonts w:ascii="仿宋_GB2312" w:eastAsia="仿宋_GB2312" w:cs="DengXian-Regular"/>
          <w:sz w:val="32"/>
          <w:szCs w:val="32"/>
        </w:rPr>
        <w:t>资产管理、严格执行资产管理制度规定，定期盘点资产，加强日常</w:t>
      </w:r>
      <w:r>
        <w:rPr>
          <w:rFonts w:hint="eastAsia" w:ascii="仿宋_GB2312" w:eastAsia="仿宋_GB2312" w:cs="DengXian-Regular"/>
          <w:sz w:val="32"/>
          <w:szCs w:val="32"/>
        </w:rPr>
        <w:t>维护</w:t>
      </w:r>
      <w:r>
        <w:rPr>
          <w:rFonts w:ascii="仿宋_GB2312" w:eastAsia="仿宋_GB2312" w:cs="DengXian-Regular"/>
          <w:sz w:val="32"/>
          <w:szCs w:val="32"/>
        </w:rPr>
        <w:t>，规范</w:t>
      </w:r>
      <w:r>
        <w:rPr>
          <w:rFonts w:hint="eastAsia" w:ascii="仿宋_GB2312" w:eastAsia="仿宋_GB2312" w:cs="DengXian-Regular"/>
          <w:sz w:val="32"/>
          <w:szCs w:val="32"/>
        </w:rPr>
        <w:t>处置</w:t>
      </w:r>
      <w:r>
        <w:rPr>
          <w:rFonts w:ascii="仿宋_GB2312" w:eastAsia="仿宋_GB2312" w:cs="DengXian-Regular"/>
          <w:sz w:val="32"/>
          <w:szCs w:val="32"/>
        </w:rPr>
        <w:t>资产，处置收入按要求上缴财政</w:t>
      </w:r>
      <w:r>
        <w:rPr>
          <w:rFonts w:hint="eastAsia" w:ascii="仿宋_GB2312" w:eastAsia="仿宋_GB2312" w:cs="DengXian-Regular"/>
          <w:sz w:val="32"/>
          <w:szCs w:val="32"/>
        </w:rPr>
        <w:t>，</w:t>
      </w:r>
      <w:r>
        <w:rPr>
          <w:rFonts w:ascii="仿宋_GB2312" w:eastAsia="仿宋_GB2312" w:cs="DengXian-Regular"/>
          <w:sz w:val="32"/>
          <w:szCs w:val="32"/>
        </w:rPr>
        <w:t>资产安全运行情况良好。</w:t>
      </w:r>
    </w:p>
    <w:p w14:paraId="6AAEBA5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3E325C5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）固定</w:t>
      </w:r>
      <w:r>
        <w:rPr>
          <w:rFonts w:ascii="仿宋_GB2312" w:eastAsia="仿宋_GB2312" w:cs="DengXian-Regular"/>
          <w:sz w:val="32"/>
          <w:szCs w:val="32"/>
        </w:rPr>
        <w:t>资产利用率</w:t>
      </w:r>
      <w:r>
        <w:rPr>
          <w:rFonts w:hint="eastAsia" w:ascii="仿宋_GB2312" w:eastAsia="仿宋_GB2312" w:cs="DengXian-Regular"/>
          <w:sz w:val="32"/>
          <w:szCs w:val="32"/>
        </w:rPr>
        <w:t>（</w:t>
      </w:r>
      <w:r>
        <w:rPr>
          <w:rFonts w:ascii="仿宋_GB2312" w:eastAsia="仿宋_GB2312" w:cs="DengXian-Regular"/>
          <w:sz w:val="32"/>
          <w:szCs w:val="32"/>
        </w:rPr>
        <w:t>2</w:t>
      </w:r>
      <w:r>
        <w:rPr>
          <w:rFonts w:hint="eastAsia" w:ascii="仿宋_GB2312" w:eastAsia="仿宋_GB2312" w:cs="DengXian-Regular"/>
          <w:sz w:val="32"/>
          <w:szCs w:val="32"/>
        </w:rPr>
        <w:t>分）</w:t>
      </w:r>
    </w:p>
    <w:p w14:paraId="6D29B29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该指标主要评价部门实际在用固定资产总额与所有固定资产总额的比率，用以反映和考核部门（单位）固定资产使用效率程度。</w:t>
      </w:r>
    </w:p>
    <w:p w14:paraId="29A8111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固定资产利用率=（实际在用固定资产总额/所有固定资产总额）×100%。</w:t>
      </w:r>
    </w:p>
    <w:p w14:paraId="4B4D470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w:t>
      </w:r>
      <w:r>
        <w:rPr>
          <w:rFonts w:ascii="仿宋_GB2312" w:eastAsia="仿宋_GB2312" w:cs="DengXian-Regular"/>
          <w:sz w:val="32"/>
          <w:szCs w:val="32"/>
        </w:rPr>
        <w:t>目前资产使用情况良好，固定资产利用率=（</w:t>
      </w:r>
      <w:r>
        <w:rPr>
          <w:rFonts w:hint="eastAsia" w:ascii="仿宋_GB2312" w:eastAsia="仿宋_GB2312" w:cs="DengXian-Regular"/>
          <w:sz w:val="32"/>
          <w:szCs w:val="32"/>
        </w:rPr>
        <w:t>365.49/365.49</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资产利用率较高。</w:t>
      </w:r>
    </w:p>
    <w:p w14:paraId="2AC79EB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14:paraId="4CD1130F">
      <w:pPr>
        <w:pStyle w:val="4"/>
        <w:spacing w:before="0" w:after="0"/>
        <w:ind w:firstLine="643" w:firstLineChars="200"/>
        <w:jc w:val="both"/>
        <w:rPr>
          <w:rFonts w:ascii="楷体" w:hAnsi="楷体" w:eastAsia="楷体"/>
          <w:sz w:val="32"/>
        </w:rPr>
      </w:pPr>
      <w:bookmarkStart w:id="63" w:name="_Toc119684050"/>
      <w:r>
        <w:rPr>
          <w:rFonts w:hint="eastAsia" w:ascii="楷体" w:hAnsi="楷体" w:eastAsia="楷体"/>
          <w:sz w:val="32"/>
        </w:rPr>
        <w:t>（三）产出（25分）</w:t>
      </w:r>
      <w:bookmarkEnd w:id="63"/>
    </w:p>
    <w:p w14:paraId="124B2D3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14:paraId="65F91121">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27575BBD">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21E20510">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0508CF3B">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3E798844">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5E9625AE">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11B6E027">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52908D43">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right w:val="single" w:color="000000" w:sz="4" w:space="0"/>
            </w:tcBorders>
            <w:vAlign w:val="center"/>
          </w:tcPr>
          <w:p w14:paraId="4693FB7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14:paraId="750F782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14:paraId="26F1A49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16173C0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5ED2A142">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853" w:type="dxa"/>
            <w:tcBorders>
              <w:top w:val="single" w:color="000000" w:sz="4" w:space="0"/>
              <w:left w:val="single" w:color="000000" w:sz="4" w:space="0"/>
              <w:bottom w:val="single" w:color="000000" w:sz="4" w:space="0"/>
              <w:right w:val="single" w:color="000000" w:sz="4" w:space="0"/>
            </w:tcBorders>
            <w:vAlign w:val="center"/>
          </w:tcPr>
          <w:p w14:paraId="6C441BD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r>
      <w:tr w14:paraId="50F45898">
        <w:tblPrEx>
          <w:tblCellMar>
            <w:top w:w="15" w:type="dxa"/>
            <w:left w:w="15" w:type="dxa"/>
            <w:bottom w:w="15" w:type="dxa"/>
            <w:right w:w="15" w:type="dxa"/>
          </w:tblCellMar>
        </w:tblPrEx>
        <w:trPr>
          <w:trHeight w:val="397" w:hRule="exact"/>
          <w:jc w:val="center"/>
        </w:trPr>
        <w:tc>
          <w:tcPr>
            <w:tcW w:w="1577" w:type="dxa"/>
            <w:vMerge w:val="continue"/>
            <w:tcBorders>
              <w:left w:val="single" w:color="000000" w:sz="4" w:space="0"/>
              <w:right w:val="single" w:color="000000" w:sz="4" w:space="0"/>
            </w:tcBorders>
            <w:vAlign w:val="center"/>
          </w:tcPr>
          <w:p w14:paraId="12267A80">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08FFFC88">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3BFEA42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w:t>
            </w:r>
            <w:r>
              <w:rPr>
                <w:rFonts w:cs="宋体" w:asciiTheme="minorEastAsia" w:hAnsiTheme="minorEastAsia" w:eastAsiaTheme="minorEastAsia"/>
                <w:sz w:val="21"/>
                <w:szCs w:val="21"/>
              </w:rPr>
              <w:t>及时率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5BE1F875">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853" w:type="dxa"/>
            <w:tcBorders>
              <w:top w:val="single" w:color="000000" w:sz="4" w:space="0"/>
              <w:left w:val="single" w:color="000000" w:sz="4" w:space="0"/>
              <w:bottom w:val="single" w:color="000000" w:sz="4" w:space="0"/>
              <w:right w:val="single" w:color="000000" w:sz="4" w:space="0"/>
            </w:tcBorders>
            <w:vAlign w:val="center"/>
          </w:tcPr>
          <w:p w14:paraId="5D67C69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r>
      <w:tr w14:paraId="6A6CAA1A">
        <w:tblPrEx>
          <w:tblCellMar>
            <w:top w:w="15" w:type="dxa"/>
            <w:left w:w="15" w:type="dxa"/>
            <w:bottom w:w="15" w:type="dxa"/>
            <w:right w:w="15" w:type="dxa"/>
          </w:tblCellMar>
        </w:tblPrEx>
        <w:trPr>
          <w:trHeight w:val="397" w:hRule="exact"/>
          <w:jc w:val="center"/>
        </w:trPr>
        <w:tc>
          <w:tcPr>
            <w:tcW w:w="1577" w:type="dxa"/>
            <w:vMerge w:val="continue"/>
            <w:tcBorders>
              <w:left w:val="single" w:color="000000" w:sz="4" w:space="0"/>
              <w:right w:val="single" w:color="000000" w:sz="4" w:space="0"/>
            </w:tcBorders>
            <w:vAlign w:val="center"/>
          </w:tcPr>
          <w:p w14:paraId="4159A475">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6F066E3C">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49B4D65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w:t>
            </w:r>
            <w:r>
              <w:rPr>
                <w:rFonts w:cs="宋体" w:asciiTheme="minorEastAsia" w:hAnsiTheme="minorEastAsia" w:eastAsiaTheme="minorEastAsia"/>
                <w:sz w:val="21"/>
                <w:szCs w:val="21"/>
              </w:rPr>
              <w:t>达标率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5C7AC690">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853" w:type="dxa"/>
            <w:tcBorders>
              <w:top w:val="single" w:color="000000" w:sz="4" w:space="0"/>
              <w:left w:val="single" w:color="000000" w:sz="4" w:space="0"/>
              <w:bottom w:val="single" w:color="000000" w:sz="4" w:space="0"/>
              <w:right w:val="single" w:color="000000" w:sz="4" w:space="0"/>
            </w:tcBorders>
            <w:vAlign w:val="center"/>
          </w:tcPr>
          <w:p w14:paraId="2CADA12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r>
      <w:tr w14:paraId="1E0B5373">
        <w:tblPrEx>
          <w:tblCellMar>
            <w:top w:w="15" w:type="dxa"/>
            <w:left w:w="15" w:type="dxa"/>
            <w:bottom w:w="15" w:type="dxa"/>
            <w:right w:w="15" w:type="dxa"/>
          </w:tblCellMar>
        </w:tblPrEx>
        <w:trPr>
          <w:trHeight w:val="397" w:hRule="exact"/>
          <w:jc w:val="center"/>
        </w:trPr>
        <w:tc>
          <w:tcPr>
            <w:tcW w:w="1577" w:type="dxa"/>
            <w:vMerge w:val="continue"/>
            <w:tcBorders>
              <w:left w:val="single" w:color="000000" w:sz="4" w:space="0"/>
              <w:bottom w:val="single" w:color="000000" w:sz="4" w:space="0"/>
              <w:right w:val="single" w:color="000000" w:sz="4" w:space="0"/>
            </w:tcBorders>
            <w:vAlign w:val="center"/>
          </w:tcPr>
          <w:p w14:paraId="4981FDE9">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1B0E910D">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15D05AC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w:t>
            </w:r>
            <w:r>
              <w:rPr>
                <w:rFonts w:cs="宋体" w:asciiTheme="minorEastAsia" w:hAnsiTheme="minorEastAsia" w:eastAsiaTheme="minorEastAsia"/>
                <w:sz w:val="21"/>
                <w:szCs w:val="21"/>
              </w:rPr>
              <w:t>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4208FFF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853" w:type="dxa"/>
            <w:tcBorders>
              <w:top w:val="single" w:color="000000" w:sz="4" w:space="0"/>
              <w:left w:val="single" w:color="000000" w:sz="4" w:space="0"/>
              <w:bottom w:val="single" w:color="000000" w:sz="4" w:space="0"/>
              <w:right w:val="single" w:color="000000" w:sz="4" w:space="0"/>
            </w:tcBorders>
            <w:vAlign w:val="center"/>
          </w:tcPr>
          <w:p w14:paraId="7D0D786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r>
      <w:tr w14:paraId="4F1AF401">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0DF87CF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59E3D62E">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A4A31E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FD1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bl>
    <w:p w14:paraId="7F21E86C">
      <w:pPr>
        <w:spacing w:after="0" w:line="360" w:lineRule="auto"/>
        <w:textAlignment w:val="baseline"/>
        <w:rPr>
          <w:rFonts w:asciiTheme="minorEastAsia" w:hAnsiTheme="minorEastAsia" w:eastAsiaTheme="minorEastAsia" w:cstheme="minorEastAsia"/>
          <w:b/>
          <w:bCs/>
          <w:sz w:val="32"/>
          <w:szCs w:val="32"/>
        </w:rPr>
      </w:pPr>
    </w:p>
    <w:p w14:paraId="1BD40016">
      <w:pPr>
        <w:spacing w:after="0" w:line="360" w:lineRule="auto"/>
        <w:ind w:firstLine="640" w:firstLineChars="200"/>
        <w:jc w:val="both"/>
        <w:textAlignment w:val="baseline"/>
        <w:rPr>
          <w:rFonts w:ascii="仿宋_GB2312" w:eastAsia="仿宋_GB2312" w:cs="DengXian-Regular"/>
          <w:sz w:val="32"/>
          <w:szCs w:val="32"/>
        </w:rPr>
      </w:pPr>
      <w:bookmarkStart w:id="64" w:name="_Toc464638518"/>
      <w:bookmarkStart w:id="65" w:name="_Toc465149515"/>
      <w:r>
        <w:rPr>
          <w:rFonts w:hint="eastAsia" w:ascii="仿宋_GB2312" w:eastAsia="仿宋_GB2312" w:cs="DengXian-Regular"/>
          <w:sz w:val="32"/>
          <w:szCs w:val="32"/>
        </w:rPr>
        <w:t>（1）实际</w:t>
      </w:r>
      <w:r>
        <w:rPr>
          <w:rFonts w:ascii="仿宋_GB2312" w:eastAsia="仿宋_GB2312" w:cs="DengXian-Regular"/>
          <w:sz w:val="32"/>
          <w:szCs w:val="32"/>
        </w:rPr>
        <w:t>完成率</w:t>
      </w:r>
      <w:r>
        <w:rPr>
          <w:rFonts w:hint="eastAsia" w:ascii="仿宋_GB2312" w:eastAsia="仿宋_GB2312" w:cs="DengXian-Regular"/>
          <w:sz w:val="32"/>
          <w:szCs w:val="32"/>
        </w:rPr>
        <w:t>（</w:t>
      </w:r>
      <w:r>
        <w:rPr>
          <w:rFonts w:ascii="仿宋_GB2312" w:eastAsia="仿宋_GB2312" w:cs="DengXian-Regular"/>
          <w:sz w:val="32"/>
          <w:szCs w:val="32"/>
        </w:rPr>
        <w:t>6</w:t>
      </w:r>
      <w:r>
        <w:rPr>
          <w:rFonts w:hint="eastAsia" w:ascii="仿宋_GB2312" w:eastAsia="仿宋_GB2312" w:cs="DengXian-Regular"/>
          <w:sz w:val="32"/>
          <w:szCs w:val="32"/>
        </w:rPr>
        <w:t>分）</w:t>
      </w:r>
    </w:p>
    <w:p w14:paraId="1FFA860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w:t>
      </w:r>
      <w:r>
        <w:rPr>
          <w:rFonts w:ascii="仿宋_GB2312" w:eastAsia="仿宋_GB2312" w:cs="DengXian-Regular"/>
          <w:sz w:val="32"/>
          <w:szCs w:val="32"/>
        </w:rPr>
        <w:t>指标反映部门</w:t>
      </w:r>
      <w:r>
        <w:rPr>
          <w:rFonts w:hint="eastAsia" w:ascii="仿宋_GB2312" w:eastAsia="仿宋_GB2312" w:cs="DengXian-Regular"/>
          <w:sz w:val="32"/>
          <w:szCs w:val="32"/>
        </w:rPr>
        <w:t>履行职责而实际完成工作数与计划工作数的比率，用以反映和考核部门履职工作任务目标的实现程度。</w:t>
      </w:r>
    </w:p>
    <w:p w14:paraId="052E441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2021年全区各部门考核中我单位</w:t>
      </w:r>
      <w:r>
        <w:rPr>
          <w:rFonts w:ascii="仿宋_GB2312" w:eastAsia="仿宋_GB2312" w:cs="DengXian-Regular"/>
          <w:sz w:val="32"/>
          <w:szCs w:val="32"/>
        </w:rPr>
        <w:t>考核等次为优秀，较好的完成了当年的工作任务</w:t>
      </w:r>
      <w:r>
        <w:rPr>
          <w:rFonts w:hint="eastAsia" w:ascii="仿宋_GB2312" w:eastAsia="仿宋_GB2312" w:cs="DengXian-Regular"/>
          <w:sz w:val="32"/>
          <w:szCs w:val="32"/>
        </w:rPr>
        <w:t>。</w:t>
      </w:r>
    </w:p>
    <w:p w14:paraId="53B0291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6</w:t>
      </w:r>
      <w:r>
        <w:rPr>
          <w:rFonts w:hint="eastAsia" w:ascii="仿宋_GB2312" w:eastAsia="仿宋_GB2312" w:cs="DengXian-Regular"/>
          <w:sz w:val="32"/>
          <w:szCs w:val="32"/>
        </w:rPr>
        <w:t>分。</w:t>
      </w:r>
    </w:p>
    <w:p w14:paraId="05E244A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ascii="仿宋_GB2312" w:eastAsia="仿宋_GB2312" w:cs="DengXian-Regular"/>
          <w:sz w:val="32"/>
          <w:szCs w:val="32"/>
        </w:rPr>
        <w:t>）</w:t>
      </w:r>
      <w:r>
        <w:rPr>
          <w:rFonts w:hint="eastAsia" w:ascii="仿宋_GB2312" w:eastAsia="仿宋_GB2312" w:cs="DengXian-Regular"/>
          <w:sz w:val="32"/>
          <w:szCs w:val="32"/>
        </w:rPr>
        <w:t>完成及时率（</w:t>
      </w:r>
      <w:r>
        <w:rPr>
          <w:rFonts w:ascii="仿宋_GB2312" w:eastAsia="仿宋_GB2312" w:cs="DengXian-Regular"/>
          <w:sz w:val="32"/>
          <w:szCs w:val="32"/>
        </w:rPr>
        <w:t>6</w:t>
      </w:r>
      <w:r>
        <w:rPr>
          <w:rFonts w:hint="eastAsia" w:ascii="仿宋_GB2312" w:eastAsia="仿宋_GB2312" w:cs="DengXian-Regular"/>
          <w:sz w:val="32"/>
          <w:szCs w:val="32"/>
        </w:rPr>
        <w:t>分）</w:t>
      </w:r>
    </w:p>
    <w:p w14:paraId="6AA94CA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该指标主要评价2021区政府办在履职尽责中及时完成的实际工作情况。</w:t>
      </w:r>
    </w:p>
    <w:p w14:paraId="1DB70CB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督查调研工作重大决策部署落实的调研工作完成率100%，督查督办案件按时办结率100%。</w:t>
      </w:r>
      <w:r>
        <w:rPr>
          <w:rFonts w:ascii="仿宋_GB2312" w:eastAsia="仿宋_GB2312" w:cs="DengXian-Regular"/>
          <w:sz w:val="32"/>
          <w:szCs w:val="32"/>
        </w:rPr>
        <w:t xml:space="preserve"> </w:t>
      </w:r>
    </w:p>
    <w:p w14:paraId="573BCC2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该指标实际得分6分。</w:t>
      </w:r>
    </w:p>
    <w:p w14:paraId="3DDF0F1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w:t>
      </w:r>
      <w:r>
        <w:rPr>
          <w:rFonts w:hint="eastAsia" w:ascii="仿宋_GB2312" w:eastAsia="仿宋_GB2312" w:cs="DengXian-Regular"/>
          <w:sz w:val="32"/>
          <w:szCs w:val="32"/>
        </w:rPr>
        <w:t>质量</w:t>
      </w:r>
      <w:r>
        <w:rPr>
          <w:rFonts w:ascii="仿宋_GB2312" w:eastAsia="仿宋_GB2312" w:cs="DengXian-Regular"/>
          <w:sz w:val="32"/>
          <w:szCs w:val="32"/>
        </w:rPr>
        <w:t>达标利率（</w:t>
      </w:r>
      <w:r>
        <w:rPr>
          <w:rFonts w:hint="eastAsia" w:ascii="仿宋_GB2312" w:eastAsia="仿宋_GB2312" w:cs="DengXian-Regular"/>
          <w:sz w:val="32"/>
          <w:szCs w:val="32"/>
        </w:rPr>
        <w:t>6分</w:t>
      </w:r>
      <w:r>
        <w:rPr>
          <w:rFonts w:ascii="仿宋_GB2312" w:eastAsia="仿宋_GB2312" w:cs="DengXian-Regular"/>
          <w:sz w:val="32"/>
          <w:szCs w:val="32"/>
        </w:rPr>
        <w:t>）</w:t>
      </w:r>
    </w:p>
    <w:p w14:paraId="3F06120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该指标主要评价2021区政府办在履职尽责中质量达标的实际工作完成情况,完成率100%。</w:t>
      </w:r>
    </w:p>
    <w:p w14:paraId="003B102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该指标实际得分6分。</w:t>
      </w:r>
    </w:p>
    <w:p w14:paraId="7DE791D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重点</w:t>
      </w:r>
      <w:r>
        <w:rPr>
          <w:rFonts w:ascii="仿宋_GB2312" w:eastAsia="仿宋_GB2312" w:cs="DengXian-Regular"/>
          <w:sz w:val="32"/>
          <w:szCs w:val="32"/>
        </w:rPr>
        <w:t>工作办结率（7</w:t>
      </w:r>
      <w:r>
        <w:rPr>
          <w:rFonts w:hint="eastAsia" w:ascii="仿宋_GB2312" w:eastAsia="仿宋_GB2312" w:cs="DengXian-Regular"/>
          <w:sz w:val="32"/>
          <w:szCs w:val="32"/>
        </w:rPr>
        <w:t>分</w:t>
      </w:r>
      <w:r>
        <w:rPr>
          <w:rFonts w:ascii="仿宋_GB2312" w:eastAsia="仿宋_GB2312" w:cs="DengXian-Regular"/>
          <w:sz w:val="32"/>
          <w:szCs w:val="32"/>
        </w:rPr>
        <w:t>）</w:t>
      </w:r>
    </w:p>
    <w:p w14:paraId="5253442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该项指标主要评价2021重点工作任务。督查调研工作中督办案件整改落实率达98%。</w:t>
      </w:r>
    </w:p>
    <w:p w14:paraId="3CBB413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该指标实际得分7分。</w:t>
      </w:r>
    </w:p>
    <w:p w14:paraId="2DA6081E">
      <w:pPr>
        <w:pStyle w:val="4"/>
        <w:spacing w:before="0" w:after="0"/>
        <w:ind w:firstLine="643" w:firstLineChars="200"/>
        <w:jc w:val="both"/>
        <w:rPr>
          <w:rFonts w:ascii="楷体" w:hAnsi="楷体" w:eastAsia="楷体"/>
          <w:sz w:val="32"/>
        </w:rPr>
      </w:pPr>
      <w:bookmarkStart w:id="66" w:name="_Toc119684051"/>
      <w:r>
        <w:rPr>
          <w:rFonts w:hint="eastAsia" w:ascii="楷体" w:hAnsi="楷体" w:eastAsia="楷体"/>
          <w:sz w:val="32"/>
        </w:rPr>
        <w:t>（四）效果</w:t>
      </w:r>
      <w:bookmarkEnd w:id="64"/>
      <w:bookmarkEnd w:id="65"/>
      <w:r>
        <w:rPr>
          <w:rFonts w:hint="eastAsia" w:ascii="楷体" w:hAnsi="楷体" w:eastAsia="楷体"/>
          <w:sz w:val="32"/>
        </w:rPr>
        <w:t>（15分）</w:t>
      </w:r>
      <w:bookmarkEnd w:id="66"/>
    </w:p>
    <w:p w14:paraId="2689BE2B">
      <w:pPr>
        <w:spacing w:after="0" w:line="360" w:lineRule="auto"/>
        <w:ind w:firstLine="640" w:firstLineChars="200"/>
        <w:jc w:val="both"/>
        <w:textAlignment w:val="baseline"/>
        <w:rPr>
          <w:rFonts w:ascii="仿宋_GB2312" w:eastAsia="仿宋_GB2312" w:cs="DengXian-Regular"/>
          <w:sz w:val="32"/>
          <w:szCs w:val="32"/>
        </w:rPr>
      </w:pPr>
      <w:bookmarkStart w:id="67"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66C44FA9">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14:paraId="6E669476">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5B6C4ACF">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18089F0F">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12FCC331">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3B64BE63">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5B53A7E6">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0EE7949D">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2E660349">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14:paraId="6C5E3D7A">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227BEC6D">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2E5217DF">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3092FD4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115BC24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1216D10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14:paraId="7B589874">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756F0632">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7AC54D28">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7F50711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6F007F5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3ADC46F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62AAB6DE">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0B67AEA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5D26E95B">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580425C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6C108FE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67"/>
    </w:tbl>
    <w:p w14:paraId="57A76BA8">
      <w:pPr>
        <w:spacing w:after="0" w:line="360" w:lineRule="auto"/>
        <w:ind w:firstLine="640" w:firstLineChars="200"/>
        <w:jc w:val="both"/>
        <w:textAlignment w:val="baseline"/>
        <w:rPr>
          <w:rFonts w:ascii="仿宋_GB2312" w:eastAsia="仿宋_GB2312" w:cs="DengXian-Regular"/>
          <w:sz w:val="32"/>
          <w:szCs w:val="32"/>
        </w:rPr>
      </w:pPr>
      <w:bookmarkStart w:id="68" w:name="_Toc492652784"/>
      <w:bookmarkStart w:id="69" w:name="_Toc465149516"/>
      <w:bookmarkStart w:id="70" w:name="_Toc464638561"/>
      <w:r>
        <w:rPr>
          <w:rFonts w:hint="eastAsia" w:ascii="仿宋_GB2312" w:eastAsia="仿宋_GB2312" w:cs="DengXian-Regular"/>
          <w:sz w:val="32"/>
          <w:szCs w:val="32"/>
        </w:rPr>
        <w:t>1.部门整体效益（10分）</w:t>
      </w:r>
    </w:p>
    <w:p w14:paraId="2DC218B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14:paraId="2FD80DD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经查看区政府办提供的相关资料，区政府办履行职责对社会发展所带来的社会效益较显著，有效的提高了社会公众的参与重大决策调研意识，减少了社会不稳定因素。</w:t>
      </w:r>
    </w:p>
    <w:p w14:paraId="37CDA80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该项指标实际得分10分。</w:t>
      </w:r>
    </w:p>
    <w:p w14:paraId="63E0930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14:paraId="00D6B656">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14:paraId="438A053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14:paraId="37BC3CEC">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14:paraId="1F3E8ADD">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2AB6BF41">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552E15F4">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0642B6DD">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5A6B727B">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14C1AC78">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5E4058B8">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25DBB83C">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20AE5839">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6DF47EF5">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对徐水区政府办民生实事工作落实情况是否满意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7A86EA1F">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4800</w:t>
            </w:r>
          </w:p>
        </w:tc>
        <w:tc>
          <w:tcPr>
            <w:tcW w:w="1134" w:type="dxa"/>
            <w:tcBorders>
              <w:top w:val="single" w:color="000000" w:sz="4" w:space="0"/>
              <w:left w:val="single" w:color="000000" w:sz="4" w:space="0"/>
              <w:bottom w:val="single" w:color="000000" w:sz="4" w:space="0"/>
              <w:right w:val="single" w:color="000000" w:sz="4" w:space="0"/>
            </w:tcBorders>
            <w:vAlign w:val="center"/>
          </w:tcPr>
          <w:p w14:paraId="776D875F">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218" w:type="dxa"/>
            <w:tcBorders>
              <w:top w:val="single" w:color="000000" w:sz="4" w:space="0"/>
              <w:left w:val="single" w:color="000000" w:sz="4" w:space="0"/>
              <w:bottom w:val="single" w:color="000000" w:sz="4" w:space="0"/>
              <w:right w:val="single" w:color="000000" w:sz="4" w:space="0"/>
            </w:tcBorders>
            <w:vAlign w:val="center"/>
          </w:tcPr>
          <w:p w14:paraId="0C9CFBA0">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502673DC">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3A861377">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98</w:t>
            </w:r>
          </w:p>
        </w:tc>
      </w:tr>
      <w:tr w14:paraId="66CD5FFC">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5B518CF7">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对徐水区政府办督查调研工作情况是否满意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7C9FFF48">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4700</w:t>
            </w:r>
          </w:p>
        </w:tc>
        <w:tc>
          <w:tcPr>
            <w:tcW w:w="1134" w:type="dxa"/>
            <w:tcBorders>
              <w:top w:val="single" w:color="000000" w:sz="4" w:space="0"/>
              <w:left w:val="single" w:color="000000" w:sz="4" w:space="0"/>
              <w:bottom w:val="single" w:color="000000" w:sz="4" w:space="0"/>
              <w:right w:val="single" w:color="000000" w:sz="4" w:space="0"/>
            </w:tcBorders>
            <w:vAlign w:val="center"/>
          </w:tcPr>
          <w:p w14:paraId="4DDC56D6">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150</w:t>
            </w:r>
          </w:p>
        </w:tc>
        <w:tc>
          <w:tcPr>
            <w:tcW w:w="1218" w:type="dxa"/>
            <w:tcBorders>
              <w:top w:val="single" w:color="000000" w:sz="4" w:space="0"/>
              <w:left w:val="single" w:color="000000" w:sz="4" w:space="0"/>
              <w:bottom w:val="single" w:color="000000" w:sz="4" w:space="0"/>
              <w:right w:val="single" w:color="000000" w:sz="4" w:space="0"/>
            </w:tcBorders>
            <w:vAlign w:val="center"/>
          </w:tcPr>
          <w:p w14:paraId="7D0B8840">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32585177">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5EEAAE72">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97</w:t>
            </w:r>
          </w:p>
        </w:tc>
      </w:tr>
      <w:tr w14:paraId="43789541">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2AA32209">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对徐水区政府办信息收集、民意调查工作了解程度如何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14:paraId="7D9C9C1B">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4800</w:t>
            </w:r>
          </w:p>
        </w:tc>
        <w:tc>
          <w:tcPr>
            <w:tcW w:w="1134" w:type="dxa"/>
            <w:tcBorders>
              <w:top w:val="single" w:color="000000" w:sz="4" w:space="0"/>
              <w:left w:val="single" w:color="000000" w:sz="4" w:space="0"/>
              <w:bottom w:val="single" w:color="000000" w:sz="4" w:space="0"/>
              <w:right w:val="single" w:color="000000" w:sz="4" w:space="0"/>
            </w:tcBorders>
            <w:vAlign w:val="center"/>
          </w:tcPr>
          <w:p w14:paraId="1EDD907A">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218" w:type="dxa"/>
            <w:tcBorders>
              <w:top w:val="single" w:color="000000" w:sz="4" w:space="0"/>
              <w:left w:val="single" w:color="000000" w:sz="4" w:space="0"/>
              <w:bottom w:val="single" w:color="000000" w:sz="4" w:space="0"/>
              <w:right w:val="single" w:color="000000" w:sz="4" w:space="0"/>
            </w:tcBorders>
            <w:vAlign w:val="center"/>
          </w:tcPr>
          <w:p w14:paraId="5691BDA0">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44DF1C7B">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694EE208">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98</w:t>
            </w:r>
          </w:p>
        </w:tc>
      </w:tr>
    </w:tbl>
    <w:p w14:paraId="23234626">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14:paraId="59D744A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5975AB8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14:paraId="787EB67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经计算，总体得分为97.6分，小于(大于）90分，评价等级为“优”。</w:t>
      </w:r>
    </w:p>
    <w:p w14:paraId="1197E987">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该指标实际得分5分。</w:t>
      </w:r>
    </w:p>
    <w:p w14:paraId="12223D8D">
      <w:pPr>
        <w:pStyle w:val="3"/>
        <w:keepNext w:val="0"/>
        <w:keepLines w:val="0"/>
        <w:suppressLineNumbers/>
        <w:spacing w:before="0" w:after="0" w:line="360" w:lineRule="auto"/>
        <w:ind w:firstLine="643" w:firstLineChars="200"/>
        <w:rPr>
          <w:rFonts w:ascii="黑体"/>
        </w:rPr>
      </w:pPr>
      <w:bookmarkStart w:id="71" w:name="_Toc119684052"/>
      <w:r>
        <w:rPr>
          <w:rFonts w:hint="eastAsia" w:ascii="黑体"/>
        </w:rPr>
        <w:t>五、绩效评价发现的问题</w:t>
      </w:r>
      <w:bookmarkEnd w:id="68"/>
      <w:bookmarkEnd w:id="69"/>
      <w:bookmarkEnd w:id="70"/>
      <w:bookmarkEnd w:id="71"/>
      <w:bookmarkStart w:id="72" w:name="_Toc492652789"/>
    </w:p>
    <w:p w14:paraId="379E4C3B">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区政府办</w:t>
      </w:r>
      <w:r>
        <w:rPr>
          <w:rFonts w:hint="eastAsia" w:ascii="仿宋_GB2312" w:eastAsia="仿宋_GB2312" w:cs="Times New Roman" w:hAnsiTheme="minorEastAsia"/>
          <w:sz w:val="32"/>
          <w:szCs w:val="32"/>
          <w:u w:color="000000"/>
        </w:rPr>
        <w:t>2021部门整体支出基本按相关要求执行预算、决算，完成了绩效目标，资金使用效益良好。通过评价，也发现一些不足之处，具体情况如下：</w:t>
      </w:r>
      <w:bookmarkStart w:id="73" w:name="_Toc20723"/>
    </w:p>
    <w:bookmarkEnd w:id="72"/>
    <w:bookmarkEnd w:id="73"/>
    <w:p w14:paraId="2906C317">
      <w:pPr>
        <w:spacing w:after="0" w:line="360" w:lineRule="auto"/>
        <w:jc w:val="both"/>
        <w:textAlignment w:val="baseline"/>
        <w:rPr>
          <w:rFonts w:ascii="仿宋_GB2312" w:eastAsia="仿宋_GB2312" w:cs="Times New Roman" w:hAnsiTheme="minorEastAsia"/>
          <w:sz w:val="32"/>
          <w:szCs w:val="32"/>
          <w:u w:color="000000"/>
        </w:rPr>
      </w:pPr>
      <w:bookmarkStart w:id="74" w:name="_Toc465149521"/>
      <w:r>
        <w:rPr>
          <w:rFonts w:hint="eastAsia" w:ascii="仿宋_GB2312" w:eastAsia="仿宋_GB2312" w:cs="Times New Roman" w:hAnsiTheme="minorEastAsia"/>
          <w:sz w:val="32"/>
          <w:szCs w:val="32"/>
          <w:u w:color="000000"/>
        </w:rPr>
        <w:t>1.部分绩效指标方面：绩效指标设置应更加明确，增强绩效指标的针对性。</w:t>
      </w:r>
    </w:p>
    <w:p w14:paraId="466AC9BC">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14:paraId="72AFF0B5">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14:paraId="7E0F03D0">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4.项目资金使用率方面：在预算执行过程中，应合理调度专项资金，提高项目资金的使用效益。</w:t>
      </w:r>
    </w:p>
    <w:p w14:paraId="431B35B2">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 保定市徐水区</w:t>
      </w:r>
      <w:r>
        <w:rPr>
          <w:rFonts w:hint="eastAsia" w:ascii="仿宋_GB2312" w:eastAsia="仿宋_GB2312" w:cs="DengXian-Regular"/>
          <w:sz w:val="32"/>
          <w:szCs w:val="32"/>
        </w:rPr>
        <w:t>人民政府办公室</w:t>
      </w:r>
      <w:r>
        <w:rPr>
          <w:rFonts w:hint="eastAsia" w:ascii="仿宋_GB2312" w:eastAsia="仿宋_GB2312" w:cs="Times New Roman" w:hAnsiTheme="minorEastAsia"/>
          <w:sz w:val="32"/>
          <w:szCs w:val="32"/>
          <w:u w:color="000000"/>
        </w:rPr>
        <w:t>部门基本情况及主要职责</w:t>
      </w:r>
    </w:p>
    <w:p w14:paraId="45286130">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rPr>
        <w:t>1度保定市徐水区</w:t>
      </w:r>
      <w:r>
        <w:rPr>
          <w:rFonts w:hint="eastAsia" w:ascii="仿宋_GB2312" w:eastAsia="仿宋_GB2312" w:cs="DengXian-Regular"/>
          <w:sz w:val="32"/>
          <w:szCs w:val="32"/>
        </w:rPr>
        <w:t>人民政府办公室</w:t>
      </w:r>
      <w:r>
        <w:rPr>
          <w:rFonts w:hint="eastAsia" w:ascii="仿宋_GB2312" w:eastAsia="仿宋_GB2312" w:cs="Times New Roman" w:hAnsiTheme="minorEastAsia"/>
          <w:sz w:val="32"/>
          <w:szCs w:val="32"/>
          <w:u w:color="000000"/>
        </w:rPr>
        <w:t>收支预算及决算明细表</w:t>
      </w:r>
    </w:p>
    <w:p w14:paraId="7F00DC8D">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5" w:name="_Toc465149534"/>
      <w:r>
        <w:rPr>
          <w:rFonts w:hint="eastAsia" w:ascii="仿宋_GB2312" w:eastAsia="仿宋_GB2312" w:cs="Times New Roman" w:hAnsiTheme="minorEastAsia"/>
          <w:sz w:val="32"/>
          <w:szCs w:val="32"/>
          <w:u w:color="000000"/>
        </w:rPr>
        <w:t>3.</w:t>
      </w:r>
      <w:bookmarkEnd w:id="75"/>
      <w:r>
        <w:rPr>
          <w:rFonts w:hint="eastAsia" w:ascii="仿宋_GB2312" w:eastAsia="仿宋_GB2312" w:cs="Times New Roman" w:hAnsiTheme="minorEastAsia"/>
          <w:sz w:val="32"/>
          <w:szCs w:val="32"/>
          <w:u w:color="000000"/>
        </w:rPr>
        <w:t>部门整体支出绩效评价指标体系</w:t>
      </w:r>
    </w:p>
    <w:p w14:paraId="5A2B2E0A">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6" w:name="_Toc465149544"/>
      <w:r>
        <w:rPr>
          <w:rFonts w:hint="eastAsia" w:ascii="仿宋_GB2312" w:eastAsia="仿宋_GB2312" w:cs="Times New Roman" w:hAnsiTheme="minorEastAsia"/>
          <w:sz w:val="32"/>
          <w:szCs w:val="32"/>
          <w:u w:color="000000"/>
        </w:rPr>
        <w:t>4.</w:t>
      </w:r>
      <w:bookmarkEnd w:id="76"/>
      <w:r>
        <w:rPr>
          <w:rFonts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rPr>
        <w:t>1保定市徐水区</w:t>
      </w:r>
      <w:r>
        <w:rPr>
          <w:rFonts w:hint="eastAsia" w:ascii="仿宋_GB2312" w:eastAsia="仿宋_GB2312" w:cs="DengXian-Regular"/>
          <w:sz w:val="32"/>
          <w:szCs w:val="32"/>
        </w:rPr>
        <w:t>人民政府办公室</w:t>
      </w:r>
      <w:r>
        <w:rPr>
          <w:rFonts w:hint="eastAsia" w:ascii="仿宋_GB2312" w:eastAsia="仿宋_GB2312" w:cs="Times New Roman" w:hAnsiTheme="minorEastAsia"/>
          <w:sz w:val="32"/>
          <w:szCs w:val="32"/>
          <w:u w:color="000000"/>
        </w:rPr>
        <w:t>工作活动绩效目标、绩效指标一览表</w:t>
      </w:r>
      <w:bookmarkEnd w:id="74"/>
    </w:p>
    <w:p w14:paraId="5A537A50">
      <w:pPr>
        <w:spacing w:line="540" w:lineRule="exact"/>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45E51">
    <w:pPr>
      <w:pStyle w:val="14"/>
      <w:jc w:val="center"/>
    </w:pPr>
  </w:p>
  <w:p w14:paraId="7B5068D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F3DA">
    <w:pPr>
      <w:pStyle w:val="14"/>
      <w:jc w:val="center"/>
    </w:pPr>
    <w:r>
      <w:fldChar w:fldCharType="begin"/>
    </w:r>
    <w:r>
      <w:instrText xml:space="preserve"> PAGE   \* MERGEFORMAT </w:instrText>
    </w:r>
    <w:r>
      <w:fldChar w:fldCharType="separate"/>
    </w:r>
    <w:r>
      <w:rPr>
        <w:lang w:val="zh-CN"/>
      </w:rPr>
      <w:t>34</w:t>
    </w:r>
    <w:r>
      <w:rPr>
        <w:lang w:val="zh-CN"/>
      </w:rPr>
      <w:fldChar w:fldCharType="end"/>
    </w:r>
  </w:p>
  <w:p w14:paraId="7D981F56">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6141"/>
    <w:rsid w:val="00077648"/>
    <w:rsid w:val="00080E48"/>
    <w:rsid w:val="00085E77"/>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31C9"/>
    <w:rsid w:val="000C52FB"/>
    <w:rsid w:val="000C55E6"/>
    <w:rsid w:val="000C6D5A"/>
    <w:rsid w:val="000D09B2"/>
    <w:rsid w:val="000D7C38"/>
    <w:rsid w:val="000E0902"/>
    <w:rsid w:val="000E3830"/>
    <w:rsid w:val="000E6D40"/>
    <w:rsid w:val="000F070B"/>
    <w:rsid w:val="000F3158"/>
    <w:rsid w:val="000F364D"/>
    <w:rsid w:val="000F4432"/>
    <w:rsid w:val="000F465E"/>
    <w:rsid w:val="000F5E8C"/>
    <w:rsid w:val="001000B2"/>
    <w:rsid w:val="00104C6C"/>
    <w:rsid w:val="0010560E"/>
    <w:rsid w:val="00105C46"/>
    <w:rsid w:val="0010612A"/>
    <w:rsid w:val="00106FF7"/>
    <w:rsid w:val="00107111"/>
    <w:rsid w:val="001073D6"/>
    <w:rsid w:val="00107819"/>
    <w:rsid w:val="0011574B"/>
    <w:rsid w:val="00116132"/>
    <w:rsid w:val="00117B9C"/>
    <w:rsid w:val="00117E7D"/>
    <w:rsid w:val="00120EA6"/>
    <w:rsid w:val="00122196"/>
    <w:rsid w:val="00122874"/>
    <w:rsid w:val="0012439D"/>
    <w:rsid w:val="0012587C"/>
    <w:rsid w:val="0013591D"/>
    <w:rsid w:val="00141DE8"/>
    <w:rsid w:val="00144105"/>
    <w:rsid w:val="00145B4E"/>
    <w:rsid w:val="0015382C"/>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1851"/>
    <w:rsid w:val="001B30D5"/>
    <w:rsid w:val="001B382A"/>
    <w:rsid w:val="001B5C88"/>
    <w:rsid w:val="001B6CE6"/>
    <w:rsid w:val="001C046D"/>
    <w:rsid w:val="001C1412"/>
    <w:rsid w:val="001C391F"/>
    <w:rsid w:val="001C5135"/>
    <w:rsid w:val="001C5B0E"/>
    <w:rsid w:val="001C796E"/>
    <w:rsid w:val="001D1367"/>
    <w:rsid w:val="001D429D"/>
    <w:rsid w:val="001D5041"/>
    <w:rsid w:val="001D5A7C"/>
    <w:rsid w:val="001D76AA"/>
    <w:rsid w:val="001E21EA"/>
    <w:rsid w:val="001E288A"/>
    <w:rsid w:val="001E3ABB"/>
    <w:rsid w:val="001E4C24"/>
    <w:rsid w:val="001E5935"/>
    <w:rsid w:val="001E5C43"/>
    <w:rsid w:val="001F07B6"/>
    <w:rsid w:val="001F0B92"/>
    <w:rsid w:val="001F1094"/>
    <w:rsid w:val="001F2F0E"/>
    <w:rsid w:val="001F33AA"/>
    <w:rsid w:val="001F6236"/>
    <w:rsid w:val="00200051"/>
    <w:rsid w:val="00202D5A"/>
    <w:rsid w:val="002059CF"/>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346AB"/>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85A5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4AC4"/>
    <w:rsid w:val="003D7B2A"/>
    <w:rsid w:val="003E266C"/>
    <w:rsid w:val="003E3C05"/>
    <w:rsid w:val="003E67D7"/>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6140"/>
    <w:rsid w:val="004370A2"/>
    <w:rsid w:val="00445C28"/>
    <w:rsid w:val="004468B5"/>
    <w:rsid w:val="00451E9F"/>
    <w:rsid w:val="004551F1"/>
    <w:rsid w:val="00456648"/>
    <w:rsid w:val="00457E00"/>
    <w:rsid w:val="00461E7C"/>
    <w:rsid w:val="004639E0"/>
    <w:rsid w:val="00463A6D"/>
    <w:rsid w:val="00465A21"/>
    <w:rsid w:val="0047047F"/>
    <w:rsid w:val="00472039"/>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4DA3"/>
    <w:rsid w:val="00525074"/>
    <w:rsid w:val="00525520"/>
    <w:rsid w:val="005319EE"/>
    <w:rsid w:val="00531BE2"/>
    <w:rsid w:val="00532297"/>
    <w:rsid w:val="00536FE7"/>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3848"/>
    <w:rsid w:val="005A79F9"/>
    <w:rsid w:val="005C048D"/>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458DA"/>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176"/>
    <w:rsid w:val="006A0330"/>
    <w:rsid w:val="006A3AE1"/>
    <w:rsid w:val="006A3B57"/>
    <w:rsid w:val="006A6AB2"/>
    <w:rsid w:val="006B117D"/>
    <w:rsid w:val="006B19B7"/>
    <w:rsid w:val="006B29FF"/>
    <w:rsid w:val="006B392C"/>
    <w:rsid w:val="006B4CC0"/>
    <w:rsid w:val="006B65B0"/>
    <w:rsid w:val="006C5198"/>
    <w:rsid w:val="006C6A07"/>
    <w:rsid w:val="006D48FC"/>
    <w:rsid w:val="006E0A3D"/>
    <w:rsid w:val="006E27F1"/>
    <w:rsid w:val="006E5BC8"/>
    <w:rsid w:val="006E7CBA"/>
    <w:rsid w:val="006F222F"/>
    <w:rsid w:val="006F7B69"/>
    <w:rsid w:val="00700688"/>
    <w:rsid w:val="0070241F"/>
    <w:rsid w:val="007024A9"/>
    <w:rsid w:val="00703C96"/>
    <w:rsid w:val="007130D7"/>
    <w:rsid w:val="00713E98"/>
    <w:rsid w:val="00715591"/>
    <w:rsid w:val="00715AE8"/>
    <w:rsid w:val="0072516F"/>
    <w:rsid w:val="00725D44"/>
    <w:rsid w:val="00727CCF"/>
    <w:rsid w:val="0073034D"/>
    <w:rsid w:val="00731ADC"/>
    <w:rsid w:val="007330F2"/>
    <w:rsid w:val="00733DB0"/>
    <w:rsid w:val="00735043"/>
    <w:rsid w:val="007359DF"/>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4289"/>
    <w:rsid w:val="00787F88"/>
    <w:rsid w:val="0079721A"/>
    <w:rsid w:val="007A095C"/>
    <w:rsid w:val="007A0AF8"/>
    <w:rsid w:val="007A283A"/>
    <w:rsid w:val="007A65C8"/>
    <w:rsid w:val="007A6B16"/>
    <w:rsid w:val="007A7AC4"/>
    <w:rsid w:val="007B639C"/>
    <w:rsid w:val="007B7036"/>
    <w:rsid w:val="007C0870"/>
    <w:rsid w:val="007C2D10"/>
    <w:rsid w:val="007C457D"/>
    <w:rsid w:val="007C53F3"/>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402"/>
    <w:rsid w:val="00822851"/>
    <w:rsid w:val="00824A75"/>
    <w:rsid w:val="0082509A"/>
    <w:rsid w:val="00825A51"/>
    <w:rsid w:val="00825D53"/>
    <w:rsid w:val="008272DF"/>
    <w:rsid w:val="00831065"/>
    <w:rsid w:val="008337A7"/>
    <w:rsid w:val="00833CA4"/>
    <w:rsid w:val="00835BCB"/>
    <w:rsid w:val="00836773"/>
    <w:rsid w:val="00836E6A"/>
    <w:rsid w:val="008410D0"/>
    <w:rsid w:val="00841559"/>
    <w:rsid w:val="0084558B"/>
    <w:rsid w:val="00845656"/>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A7DB0"/>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38A2"/>
    <w:rsid w:val="00994269"/>
    <w:rsid w:val="0099439A"/>
    <w:rsid w:val="00994737"/>
    <w:rsid w:val="009A0F00"/>
    <w:rsid w:val="009A37AE"/>
    <w:rsid w:val="009A4059"/>
    <w:rsid w:val="009A47EF"/>
    <w:rsid w:val="009B1979"/>
    <w:rsid w:val="009B1E1B"/>
    <w:rsid w:val="009B2CC0"/>
    <w:rsid w:val="009B4C38"/>
    <w:rsid w:val="009B72C2"/>
    <w:rsid w:val="009C0DAB"/>
    <w:rsid w:val="009C1E20"/>
    <w:rsid w:val="009D0378"/>
    <w:rsid w:val="009D08C9"/>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24BB"/>
    <w:rsid w:val="00A353F1"/>
    <w:rsid w:val="00A357B0"/>
    <w:rsid w:val="00A35B22"/>
    <w:rsid w:val="00A42B99"/>
    <w:rsid w:val="00A479B6"/>
    <w:rsid w:val="00A50D3C"/>
    <w:rsid w:val="00A532E3"/>
    <w:rsid w:val="00A54D9C"/>
    <w:rsid w:val="00A559E7"/>
    <w:rsid w:val="00A57200"/>
    <w:rsid w:val="00A57865"/>
    <w:rsid w:val="00A62B31"/>
    <w:rsid w:val="00A64850"/>
    <w:rsid w:val="00A65003"/>
    <w:rsid w:val="00A65202"/>
    <w:rsid w:val="00A678AD"/>
    <w:rsid w:val="00A73299"/>
    <w:rsid w:val="00A7536B"/>
    <w:rsid w:val="00A80356"/>
    <w:rsid w:val="00A816B6"/>
    <w:rsid w:val="00A82D81"/>
    <w:rsid w:val="00A85990"/>
    <w:rsid w:val="00A96E79"/>
    <w:rsid w:val="00AA2033"/>
    <w:rsid w:val="00AA4A07"/>
    <w:rsid w:val="00AA6230"/>
    <w:rsid w:val="00AB22A3"/>
    <w:rsid w:val="00AB632D"/>
    <w:rsid w:val="00AC5444"/>
    <w:rsid w:val="00AC70E1"/>
    <w:rsid w:val="00AD1D29"/>
    <w:rsid w:val="00AD328E"/>
    <w:rsid w:val="00AD5147"/>
    <w:rsid w:val="00AE0837"/>
    <w:rsid w:val="00AE11C8"/>
    <w:rsid w:val="00AE2DA9"/>
    <w:rsid w:val="00AE355C"/>
    <w:rsid w:val="00AE4EFC"/>
    <w:rsid w:val="00AE5731"/>
    <w:rsid w:val="00AE6D50"/>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26002"/>
    <w:rsid w:val="00B313B2"/>
    <w:rsid w:val="00B337AE"/>
    <w:rsid w:val="00B34582"/>
    <w:rsid w:val="00B34A43"/>
    <w:rsid w:val="00B36912"/>
    <w:rsid w:val="00B404A0"/>
    <w:rsid w:val="00B4256A"/>
    <w:rsid w:val="00B432AB"/>
    <w:rsid w:val="00B43D28"/>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3717"/>
    <w:rsid w:val="00BC60E6"/>
    <w:rsid w:val="00BE66AA"/>
    <w:rsid w:val="00BE73B9"/>
    <w:rsid w:val="00BF18E7"/>
    <w:rsid w:val="00BF444F"/>
    <w:rsid w:val="00BF77F5"/>
    <w:rsid w:val="00C01D8A"/>
    <w:rsid w:val="00C023EF"/>
    <w:rsid w:val="00C15415"/>
    <w:rsid w:val="00C16FE4"/>
    <w:rsid w:val="00C172EB"/>
    <w:rsid w:val="00C22F98"/>
    <w:rsid w:val="00C2363B"/>
    <w:rsid w:val="00C26560"/>
    <w:rsid w:val="00C27680"/>
    <w:rsid w:val="00C3062F"/>
    <w:rsid w:val="00C32E7A"/>
    <w:rsid w:val="00C408D9"/>
    <w:rsid w:val="00C41024"/>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36A97"/>
    <w:rsid w:val="00D403B8"/>
    <w:rsid w:val="00D44435"/>
    <w:rsid w:val="00D45C1B"/>
    <w:rsid w:val="00D45E14"/>
    <w:rsid w:val="00D51C9A"/>
    <w:rsid w:val="00D5318C"/>
    <w:rsid w:val="00D53371"/>
    <w:rsid w:val="00D53BD5"/>
    <w:rsid w:val="00D55621"/>
    <w:rsid w:val="00D6000E"/>
    <w:rsid w:val="00D713D6"/>
    <w:rsid w:val="00D72DAF"/>
    <w:rsid w:val="00D73764"/>
    <w:rsid w:val="00D75BB9"/>
    <w:rsid w:val="00D76276"/>
    <w:rsid w:val="00D77919"/>
    <w:rsid w:val="00D8083C"/>
    <w:rsid w:val="00D85F8D"/>
    <w:rsid w:val="00D87F81"/>
    <w:rsid w:val="00D90E39"/>
    <w:rsid w:val="00D9779D"/>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694D"/>
    <w:rsid w:val="00DD7F91"/>
    <w:rsid w:val="00DE0985"/>
    <w:rsid w:val="00DE42BF"/>
    <w:rsid w:val="00DE4A1A"/>
    <w:rsid w:val="00DE4E11"/>
    <w:rsid w:val="00DE53FE"/>
    <w:rsid w:val="00DE6ED8"/>
    <w:rsid w:val="00DE7A4B"/>
    <w:rsid w:val="00DF4DB3"/>
    <w:rsid w:val="00E00A5F"/>
    <w:rsid w:val="00E05D64"/>
    <w:rsid w:val="00E06FA6"/>
    <w:rsid w:val="00E07ABB"/>
    <w:rsid w:val="00E07D8F"/>
    <w:rsid w:val="00E13762"/>
    <w:rsid w:val="00E14E2F"/>
    <w:rsid w:val="00E1552D"/>
    <w:rsid w:val="00E1640B"/>
    <w:rsid w:val="00E208A7"/>
    <w:rsid w:val="00E317A6"/>
    <w:rsid w:val="00E3190E"/>
    <w:rsid w:val="00E31F05"/>
    <w:rsid w:val="00E32285"/>
    <w:rsid w:val="00E34295"/>
    <w:rsid w:val="00E3667E"/>
    <w:rsid w:val="00E4228D"/>
    <w:rsid w:val="00E4254E"/>
    <w:rsid w:val="00E4608C"/>
    <w:rsid w:val="00E502A2"/>
    <w:rsid w:val="00E50E3C"/>
    <w:rsid w:val="00E521B6"/>
    <w:rsid w:val="00E52931"/>
    <w:rsid w:val="00E53ACE"/>
    <w:rsid w:val="00E5519B"/>
    <w:rsid w:val="00E55FEE"/>
    <w:rsid w:val="00E57BD3"/>
    <w:rsid w:val="00E57D38"/>
    <w:rsid w:val="00E65332"/>
    <w:rsid w:val="00E65F77"/>
    <w:rsid w:val="00E670CD"/>
    <w:rsid w:val="00E67E82"/>
    <w:rsid w:val="00E67EA9"/>
    <w:rsid w:val="00E7727F"/>
    <w:rsid w:val="00E83519"/>
    <w:rsid w:val="00E91889"/>
    <w:rsid w:val="00E91F0F"/>
    <w:rsid w:val="00E944E2"/>
    <w:rsid w:val="00E95797"/>
    <w:rsid w:val="00E95C54"/>
    <w:rsid w:val="00E96103"/>
    <w:rsid w:val="00EA027D"/>
    <w:rsid w:val="00EB22CF"/>
    <w:rsid w:val="00EB3414"/>
    <w:rsid w:val="00EB39DD"/>
    <w:rsid w:val="00EB40E4"/>
    <w:rsid w:val="00EB67BA"/>
    <w:rsid w:val="00EC16F8"/>
    <w:rsid w:val="00EC2A82"/>
    <w:rsid w:val="00EC306F"/>
    <w:rsid w:val="00EC408E"/>
    <w:rsid w:val="00EC41F2"/>
    <w:rsid w:val="00EC4E40"/>
    <w:rsid w:val="00EC4EB3"/>
    <w:rsid w:val="00EC5617"/>
    <w:rsid w:val="00EC7C9E"/>
    <w:rsid w:val="00ED230D"/>
    <w:rsid w:val="00ED2440"/>
    <w:rsid w:val="00EE1C0B"/>
    <w:rsid w:val="00EE59D0"/>
    <w:rsid w:val="00EE7FF3"/>
    <w:rsid w:val="00EF1504"/>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450F6"/>
    <w:rsid w:val="00F47445"/>
    <w:rsid w:val="00F50379"/>
    <w:rsid w:val="00F5212A"/>
    <w:rsid w:val="00F55102"/>
    <w:rsid w:val="00F57115"/>
    <w:rsid w:val="00F6298B"/>
    <w:rsid w:val="00F63B02"/>
    <w:rsid w:val="00F65350"/>
    <w:rsid w:val="00F65519"/>
    <w:rsid w:val="00F65C21"/>
    <w:rsid w:val="00F700A6"/>
    <w:rsid w:val="00F760D1"/>
    <w:rsid w:val="00F8151A"/>
    <w:rsid w:val="00F83788"/>
    <w:rsid w:val="00F84D69"/>
    <w:rsid w:val="00F85054"/>
    <w:rsid w:val="00F87AEF"/>
    <w:rsid w:val="00F87C14"/>
    <w:rsid w:val="00F92559"/>
    <w:rsid w:val="00F94F61"/>
    <w:rsid w:val="00FA0A09"/>
    <w:rsid w:val="00FA17B4"/>
    <w:rsid w:val="00FA3581"/>
    <w:rsid w:val="00FB10B8"/>
    <w:rsid w:val="00FB24BA"/>
    <w:rsid w:val="00FB28C8"/>
    <w:rsid w:val="00FB381D"/>
    <w:rsid w:val="00FB4DE9"/>
    <w:rsid w:val="00FB6172"/>
    <w:rsid w:val="00FB6492"/>
    <w:rsid w:val="00FC007D"/>
    <w:rsid w:val="00FC131A"/>
    <w:rsid w:val="00FC224A"/>
    <w:rsid w:val="00FC43D6"/>
    <w:rsid w:val="00FD2208"/>
    <w:rsid w:val="00FD2EC4"/>
    <w:rsid w:val="00FD63D3"/>
    <w:rsid w:val="00FD717D"/>
    <w:rsid w:val="00FE44CF"/>
    <w:rsid w:val="00FE4823"/>
    <w:rsid w:val="00FE4B82"/>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473FC5"/>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799212598425"/>
          <c:y val="0.210648148148148"/>
          <c:w val="0.463888888888889"/>
          <c:h val="0.773148148148148"/>
        </c:manualLayout>
      </c:layout>
      <c:pieChart>
        <c:varyColors val="1"/>
        <c:ser>
          <c:idx val="0"/>
          <c:order val="0"/>
          <c:explosion val="6"/>
          <c:dPt>
            <c:idx val="0"/>
            <c:bubble3D val="0"/>
          </c:dPt>
          <c:dPt>
            <c:idx val="1"/>
            <c:bubble3D val="0"/>
          </c:dPt>
          <c:dPt>
            <c:idx val="2"/>
            <c:bubble3D val="0"/>
          </c:dPt>
          <c:dPt>
            <c:idx val="3"/>
            <c:bubble3D val="0"/>
          </c:dPt>
          <c:dLbls>
            <c:dLbl>
              <c:idx val="0"/>
              <c:layout>
                <c:manualLayout>
                  <c:x val="-0.183711614173228"/>
                  <c:y val="-0.24240522018081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767.87,82.20%</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0345581802275"/>
                  <c:y val="0.004240667833187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105.45,11.29%</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21.03,2.25%</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39.82,4.26%</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决算收入结构图!$C$5:$F$5</c:f>
              <c:strCache>
                <c:ptCount val="4"/>
                <c:pt idx="0">
                  <c:v>一般公共服务支出</c:v>
                </c:pt>
                <c:pt idx="1">
                  <c:v>社会保障和就业支出</c:v>
                </c:pt>
                <c:pt idx="2">
                  <c:v>卫生健康支出</c:v>
                </c:pt>
                <c:pt idx="3">
                  <c:v>住房保障支出</c:v>
                </c:pt>
              </c:strCache>
            </c:strRef>
          </c:cat>
          <c:val>
            <c:numRef>
              <c:f>决算收入结构图!$C$6:$F$6</c:f>
              <c:numCache>
                <c:formatCode>0.00%</c:formatCode>
                <c:ptCount val="4"/>
                <c:pt idx="0">
                  <c:v>0.839545030002943</c:v>
                </c:pt>
                <c:pt idx="1">
                  <c:v>0.0867462480328561</c:v>
                </c:pt>
                <c:pt idx="2">
                  <c:v>0.0257935746363183</c:v>
                </c:pt>
                <c:pt idx="3">
                  <c:v>0.0479151473278829</c:v>
                </c:pt>
              </c:numCache>
            </c:numRef>
          </c:val>
        </c:ser>
        <c:ser>
          <c:idx val="1"/>
          <c:order val="1"/>
          <c:explosion val="0"/>
          <c:dPt>
            <c:idx val="0"/>
            <c:bubble3D val="0"/>
          </c:dPt>
          <c:dPt>
            <c:idx val="1"/>
            <c:bubble3D val="0"/>
          </c:dPt>
          <c:dPt>
            <c:idx val="2"/>
            <c:bubble3D val="0"/>
          </c:dPt>
          <c:dPt>
            <c:idx val="3"/>
            <c:bubble3D val="0"/>
          </c:dPt>
          <c:dLbls>
            <c:delete val="1"/>
          </c:dLbls>
          <c:cat>
            <c:strRef>
              <c:f>决算收入结构图!$C$5:$F$5</c:f>
              <c:strCache>
                <c:ptCount val="4"/>
                <c:pt idx="0">
                  <c:v>一般公共服务支出</c:v>
                </c:pt>
                <c:pt idx="1">
                  <c:v>社会保障和就业支出</c:v>
                </c:pt>
                <c:pt idx="2">
                  <c:v>卫生健康支出</c:v>
                </c:pt>
                <c:pt idx="3">
                  <c:v>住房保障支出</c:v>
                </c:pt>
              </c:strCache>
            </c:strRef>
          </c:cat>
          <c:val>
            <c:numRef>
              <c:f>决算收入结构图!$C$7:$F$7</c:f>
              <c:numCache>
                <c:formatCode>General</c:formatCode>
                <c:ptCount val="4"/>
                <c:pt idx="0">
                  <c:v>656.18</c:v>
                </c:pt>
                <c:pt idx="1">
                  <c:v>67.8</c:v>
                </c:pt>
                <c:pt idx="2">
                  <c:v>20.16</c:v>
                </c:pt>
                <c:pt idx="3">
                  <c:v>37.45</c:v>
                </c:pt>
              </c:numCache>
            </c:numRef>
          </c:val>
        </c:ser>
        <c:dLbls>
          <c:showLegendKey val="0"/>
          <c:showVal val="0"/>
          <c:showCatName val="0"/>
          <c:showSerName val="0"/>
          <c:showPercent val="0"/>
          <c:showBubbleSize val="0"/>
          <c:showLeaderLines val="0"/>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ac8df42-c67f-4854-8f81-ede3a43dbada}"/>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en-US"/>
              <a:t>2021</a:t>
            </a:r>
            <a:r>
              <a:rPr lang="zh-CN"/>
              <a:t>年预算收入与决算收入对比图</a:t>
            </a:r>
            <a:endParaRPr lang="zh-CN"/>
          </a:p>
        </c:rich>
      </c:tx>
      <c:layout>
        <c:manualLayout>
          <c:xMode val="edge"/>
          <c:yMode val="edge"/>
          <c:x val="0.264623172103487"/>
          <c:y val="0.0324074074074074"/>
        </c:manualLayout>
      </c:layout>
      <c:overlay val="0"/>
      <c:spPr>
        <a:noFill/>
        <a:ln>
          <a:noFill/>
        </a:ln>
        <a:effectLst/>
      </c:spPr>
    </c:title>
    <c:autoTitleDeleted val="0"/>
    <c:plotArea>
      <c:layout>
        <c:manualLayout>
          <c:layoutTarget val="inner"/>
          <c:xMode val="edge"/>
          <c:yMode val="edge"/>
          <c:x val="0.1809870067262"/>
          <c:y val="0.214280661390878"/>
          <c:w val="0.701756349333884"/>
          <c:h val="0.388045181380035"/>
        </c:manualLayout>
      </c:layout>
      <c:barChart>
        <c:barDir val="col"/>
        <c:grouping val="clustered"/>
        <c:varyColors val="0"/>
        <c:ser>
          <c:idx val="0"/>
          <c:order val="0"/>
          <c:tx>
            <c:strRef>
              <c:f>预算收入与决算收入!$C$5</c:f>
              <c:strCache>
                <c:ptCount val="1"/>
                <c:pt idx="0">
                  <c:v>预算</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预算收入与决算收入!$D$4:$G$4</c:f>
              <c:strCache>
                <c:ptCount val="4"/>
                <c:pt idx="0">
                  <c:v>一般公共服务支出</c:v>
                </c:pt>
                <c:pt idx="1">
                  <c:v>社会保障和就业支出</c:v>
                </c:pt>
                <c:pt idx="2">
                  <c:v>卫生健康支出支出</c:v>
                </c:pt>
                <c:pt idx="3">
                  <c:v>住房保障支出</c:v>
                </c:pt>
              </c:strCache>
            </c:strRef>
          </c:cat>
          <c:val>
            <c:numRef>
              <c:f>预算收入与决算收入!$D$5:$G$5</c:f>
              <c:numCache>
                <c:formatCode>0.00_ </c:formatCode>
                <c:ptCount val="4"/>
                <c:pt idx="0">
                  <c:v>769.66</c:v>
                </c:pt>
                <c:pt idx="1">
                  <c:v>61.76</c:v>
                </c:pt>
                <c:pt idx="2">
                  <c:v>24.4</c:v>
                </c:pt>
                <c:pt idx="3">
                  <c:v>35.33</c:v>
                </c:pt>
              </c:numCache>
            </c:numRef>
          </c:val>
        </c:ser>
        <c:ser>
          <c:idx val="1"/>
          <c:order val="1"/>
          <c:tx>
            <c:strRef>
              <c:f>预算收入与决算收入!$C$6</c:f>
              <c:strCache>
                <c:ptCount val="1"/>
                <c:pt idx="0">
                  <c:v>决算</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预算收入与决算收入!$D$4:$G$4</c:f>
              <c:strCache>
                <c:ptCount val="4"/>
                <c:pt idx="0">
                  <c:v>一般公共服务支出</c:v>
                </c:pt>
                <c:pt idx="1">
                  <c:v>社会保障和就业支出</c:v>
                </c:pt>
                <c:pt idx="2">
                  <c:v>卫生健康支出支出</c:v>
                </c:pt>
                <c:pt idx="3">
                  <c:v>住房保障支出</c:v>
                </c:pt>
              </c:strCache>
            </c:strRef>
          </c:cat>
          <c:val>
            <c:numRef>
              <c:f>预算收入与决算收入!$D$6:$G$6</c:f>
              <c:numCache>
                <c:formatCode>0.00_ </c:formatCode>
                <c:ptCount val="4"/>
                <c:pt idx="0">
                  <c:v>656.18</c:v>
                </c:pt>
                <c:pt idx="1">
                  <c:v>67.8</c:v>
                </c:pt>
                <c:pt idx="2">
                  <c:v>20.16</c:v>
                </c:pt>
                <c:pt idx="3">
                  <c:v>37.45</c:v>
                </c:pt>
              </c:numCache>
            </c:numRef>
          </c:val>
        </c:ser>
        <c:dLbls>
          <c:showLegendKey val="0"/>
          <c:showVal val="1"/>
          <c:showCatName val="0"/>
          <c:showSerName val="0"/>
          <c:showPercent val="0"/>
          <c:showBubbleSize val="0"/>
        </c:dLbls>
        <c:gapWidth val="100"/>
        <c:overlap val="-24"/>
        <c:axId val="85753216"/>
        <c:axId val="86021632"/>
      </c:barChart>
      <c:catAx>
        <c:axId val="85753216"/>
        <c:scaling>
          <c:orientation val="minMax"/>
        </c:scaling>
        <c:delete val="0"/>
        <c:axPos val="b"/>
        <c:title>
          <c:tx>
            <c:rich>
              <a:bodyPr rot="0" spcFirstLastPara="1" vertOverflow="ellipsis" vert="horz" wrap="square" anchor="ctr" anchorCtr="1"/>
              <a:lstStyle/>
              <a:p>
                <a:pPr>
                  <a:defRPr lang="zh-CN" sz="900" b="1" i="0" u="none" strike="noStrike" kern="1200" baseline="0">
                    <a:solidFill>
                      <a:schemeClr val="tx2"/>
                    </a:solidFill>
                    <a:latin typeface="+mn-lt"/>
                    <a:ea typeface="+mn-ea"/>
                    <a:cs typeface="+mn-cs"/>
                  </a:defRPr>
                </a:pPr>
                <a:r>
                  <a:rPr lang="zh-CN"/>
                  <a:t>单位：万元</a:t>
                </a:r>
                <a:endParaRPr lang="zh-CN"/>
              </a:p>
            </c:rich>
          </c:tx>
          <c:layout>
            <c:manualLayout>
              <c:xMode val="edge"/>
              <c:yMode val="edge"/>
              <c:x val="0.654285664143394"/>
              <c:y val="0.830550295137158"/>
            </c:manualLayout>
          </c:layout>
          <c:overlay val="0"/>
          <c:spPr>
            <a:noFill/>
            <a:ln>
              <a:noFill/>
            </a:ln>
            <a:effectLst/>
          </c:spPr>
        </c:title>
        <c:numFmt formatCode="General" sourceLinked="1"/>
        <c:majorTickMark val="out"/>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86021632"/>
        <c:crosses val="autoZero"/>
        <c:auto val="1"/>
        <c:lblAlgn val="ctr"/>
        <c:lblOffset val="100"/>
        <c:noMultiLvlLbl val="0"/>
      </c:catAx>
      <c:valAx>
        <c:axId val="86021632"/>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0.00_ "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85753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a3bc36b8-c998-4cc9-a60e-9ca15b2e1340}"/>
      </c:ext>
    </c:extLst>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800" b="0" i="0" baseline="0">
                <a:effectLst/>
              </a:rPr>
              <a:t>2021</a:t>
            </a:r>
            <a:r>
              <a:rPr lang="zh-CN" altLang="zh-CN" sz="1800" b="0" i="0" baseline="0">
                <a:effectLst/>
              </a:rPr>
              <a:t>年决算支出结构图</a:t>
            </a:r>
            <a:endParaRPr lang="zh-CN" altLang="zh-CN">
              <a:effectLst/>
            </a:endParaRPr>
          </a:p>
        </c:rich>
      </c:tx>
      <c:layout/>
      <c:overlay val="0"/>
      <c:spPr>
        <a:noFill/>
        <a:ln>
          <a:noFill/>
        </a:ln>
        <a:effectLst/>
      </c:spPr>
    </c:title>
    <c:autoTitleDeleted val="0"/>
    <c:plotArea>
      <c:layout>
        <c:manualLayout>
          <c:layoutTarget val="inner"/>
          <c:xMode val="edge"/>
          <c:yMode val="edge"/>
          <c:x val="0.29734279446225"/>
          <c:y val="0.261496961640126"/>
          <c:w val="0.396590113735783"/>
          <c:h val="0.660983522892972"/>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217755443886097"/>
                  <c:y val="-0.238540068855029"/>
                </c:manualLayout>
              </c:layout>
              <c:tx>
                <c:rich>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r>
                      <a:rPr lang="en-US" altLang="zh-CN"/>
                      <a:t>691.05</a:t>
                    </a:r>
                    <a:r>
                      <a:rPr lang="zh-CN" altLang="en-US"/>
                      <a:t>，</a:t>
                    </a:r>
                    <a:r>
                      <a:rPr lang="en-US" altLang="zh-CN"/>
                      <a:t> 82.64%</a:t>
                    </a:r>
                    <a:endParaRPr lang="en-US" altLang="zh-CN"/>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67211165187266"/>
                      <c:h val="0.0911972780261971"/>
                    </c:manualLayout>
                  </c15:layout>
                </c:ext>
              </c:extLst>
            </c:dLbl>
            <c:dLbl>
              <c:idx val="1"/>
              <c:layout>
                <c:manualLayout>
                  <c:x val="-0.0667938538932633"/>
                  <c:y val="0.0124044911052785"/>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84.33,10.08%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6551295699298"/>
                  <c:y val="-0.0188251347954244"/>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21.03,2.51%</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69339288353031"/>
                  <c:y val="-0.035689522525004"/>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39.82,4.76%</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决算支出结构图!$C$4:$F$4</c:f>
              <c:strCache>
                <c:ptCount val="4"/>
                <c:pt idx="0">
                  <c:v>一般公共服务支出</c:v>
                </c:pt>
                <c:pt idx="1">
                  <c:v>社会保障和就业支出</c:v>
                </c:pt>
                <c:pt idx="2">
                  <c:v>卫生健康支出</c:v>
                </c:pt>
                <c:pt idx="3">
                  <c:v>住房保障支出</c:v>
                </c:pt>
              </c:strCache>
            </c:strRef>
          </c:cat>
          <c:val>
            <c:numRef>
              <c:f>决算支出结构图!$C$5:$F$5</c:f>
              <c:numCache>
                <c:formatCode>0.00%</c:formatCode>
                <c:ptCount val="4"/>
                <c:pt idx="0">
                  <c:v>0.825718311877523</c:v>
                </c:pt>
                <c:pt idx="1">
                  <c:v>0.105483770808952</c:v>
                </c:pt>
                <c:pt idx="2">
                  <c:v>0.0240750913563734</c:v>
                </c:pt>
                <c:pt idx="3">
                  <c:v>0.0447228259571521</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1" vertOverflow="ellipsis" vert="horz" wrap="square" lIns="38100" tIns="19050" rIns="38100" bIns="19050" anchor="ctr" anchorCtr="1"/>
                  <a:lstStyle/>
                  <a:p>
                    <a:fld id="{8c49651f-1c83-4964-aba5-32961c52df88}"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决算支出结构图!$C$4:$F$4</c:f>
              <c:strCache>
                <c:ptCount val="4"/>
                <c:pt idx="0">
                  <c:v>一般公共服务支出</c:v>
                </c:pt>
                <c:pt idx="1">
                  <c:v>社会保障和就业支出</c:v>
                </c:pt>
                <c:pt idx="2">
                  <c:v>卫生健康支出</c:v>
                </c:pt>
                <c:pt idx="3">
                  <c:v>住房保障支出</c:v>
                </c:pt>
              </c:strCache>
            </c:strRef>
          </c:cat>
          <c:val>
            <c:numRef>
              <c:f>决算支出结构图!$C$6:$F$6</c:f>
              <c:numCache>
                <c:formatCode>General</c:formatCode>
                <c:ptCount val="4"/>
                <c:pt idx="0">
                  <c:v>691.44</c:v>
                </c:pt>
                <c:pt idx="1">
                  <c:v>88.33</c:v>
                </c:pt>
                <c:pt idx="2">
                  <c:v>20.16</c:v>
                </c:pt>
                <c:pt idx="3">
                  <c:v>37.45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f05b70d-a47a-4c33-ad2a-6eca6570666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en-US"/>
              <a:t>2020</a:t>
            </a:r>
            <a:r>
              <a:rPr lang="zh-CN"/>
              <a:t>年预算</a:t>
            </a:r>
            <a:r>
              <a:rPr lang="zh-CN" altLang="en-US"/>
              <a:t>支出</a:t>
            </a:r>
            <a:r>
              <a:rPr lang="zh-CN"/>
              <a:t>与决算</a:t>
            </a:r>
            <a:r>
              <a:rPr lang="zh-CN" altLang="en-US"/>
              <a:t>支出</a:t>
            </a:r>
            <a:r>
              <a:rPr lang="zh-CN"/>
              <a:t>对比图</a:t>
            </a:r>
            <a:endParaRPr lang="zh-CN"/>
          </a:p>
        </c:rich>
      </c:tx>
      <c:layout>
        <c:manualLayout>
          <c:xMode val="edge"/>
          <c:yMode val="edge"/>
          <c:x val="0.264623172103487"/>
          <c:y val="0.0324074074074074"/>
        </c:manualLayout>
      </c:layout>
      <c:overlay val="0"/>
      <c:spPr>
        <a:noFill/>
        <a:ln>
          <a:noFill/>
        </a:ln>
        <a:effectLst/>
      </c:spPr>
    </c:title>
    <c:autoTitleDeleted val="0"/>
    <c:plotArea>
      <c:layout>
        <c:manualLayout>
          <c:layoutTarget val="inner"/>
          <c:xMode val="edge"/>
          <c:yMode val="edge"/>
          <c:x val="0.1809870067262"/>
          <c:y val="0.214280661390878"/>
          <c:w val="0.701756349333884"/>
          <c:h val="0.388045181380035"/>
        </c:manualLayout>
      </c:layout>
      <c:barChart>
        <c:barDir val="col"/>
        <c:grouping val="clustered"/>
        <c:varyColors val="0"/>
        <c:ser>
          <c:idx val="0"/>
          <c:order val="0"/>
          <c:tx>
            <c:strRef>
              <c:f>预算支出与决算支出!$C$5</c:f>
              <c:strCache>
                <c:ptCount val="1"/>
                <c:pt idx="0">
                  <c:v>预算</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预算支出与决算支出!$D$4:$G$4</c:f>
              <c:strCache>
                <c:ptCount val="4"/>
                <c:pt idx="0">
                  <c:v>一般公共服务支出</c:v>
                </c:pt>
                <c:pt idx="1">
                  <c:v>社会保障和就业支出</c:v>
                </c:pt>
                <c:pt idx="2">
                  <c:v>卫生健康支出支出</c:v>
                </c:pt>
                <c:pt idx="3">
                  <c:v>住房保障支出</c:v>
                </c:pt>
              </c:strCache>
            </c:strRef>
          </c:cat>
          <c:val>
            <c:numRef>
              <c:f>预算支出与决算支出!$D$5:$G$5</c:f>
              <c:numCache>
                <c:formatCode>0.00_ </c:formatCode>
                <c:ptCount val="4"/>
                <c:pt idx="0">
                  <c:v>832.41</c:v>
                </c:pt>
                <c:pt idx="1">
                  <c:v>77.51</c:v>
                </c:pt>
                <c:pt idx="2">
                  <c:v>25.69</c:v>
                </c:pt>
                <c:pt idx="3">
                  <c:v>37.78</c:v>
                </c:pt>
              </c:numCache>
            </c:numRef>
          </c:val>
        </c:ser>
        <c:ser>
          <c:idx val="1"/>
          <c:order val="1"/>
          <c:tx>
            <c:strRef>
              <c:f>预算支出与决算支出!$C$6</c:f>
              <c:strCache>
                <c:ptCount val="1"/>
                <c:pt idx="0">
                  <c:v>决算</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预算支出与决算支出!$D$4:$G$4</c:f>
              <c:strCache>
                <c:ptCount val="4"/>
                <c:pt idx="0">
                  <c:v>一般公共服务支出</c:v>
                </c:pt>
                <c:pt idx="1">
                  <c:v>社会保障和就业支出</c:v>
                </c:pt>
                <c:pt idx="2">
                  <c:v>卫生健康支出支出</c:v>
                </c:pt>
                <c:pt idx="3">
                  <c:v>住房保障支出</c:v>
                </c:pt>
              </c:strCache>
            </c:strRef>
          </c:cat>
          <c:val>
            <c:numRef>
              <c:f>预算支出与决算支出!$D$6:$G$6</c:f>
              <c:numCache>
                <c:formatCode>0.00_ </c:formatCode>
                <c:ptCount val="4"/>
                <c:pt idx="0">
                  <c:v>811.63</c:v>
                </c:pt>
                <c:pt idx="1">
                  <c:v>87.62</c:v>
                </c:pt>
                <c:pt idx="2">
                  <c:v>56.72</c:v>
                </c:pt>
                <c:pt idx="3">
                  <c:v>35.55</c:v>
                </c:pt>
              </c:numCache>
            </c:numRef>
          </c:val>
        </c:ser>
        <c:dLbls>
          <c:showLegendKey val="0"/>
          <c:showVal val="1"/>
          <c:showCatName val="0"/>
          <c:showSerName val="0"/>
          <c:showPercent val="0"/>
          <c:showBubbleSize val="0"/>
        </c:dLbls>
        <c:gapWidth val="100"/>
        <c:overlap val="-24"/>
        <c:axId val="153295104"/>
        <c:axId val="153330048"/>
      </c:barChart>
      <c:catAx>
        <c:axId val="153295104"/>
        <c:scaling>
          <c:orientation val="minMax"/>
        </c:scaling>
        <c:delete val="0"/>
        <c:axPos val="b"/>
        <c:title>
          <c:tx>
            <c:rich>
              <a:bodyPr rot="0" spcFirstLastPara="1" vertOverflow="ellipsis" vert="horz" wrap="square" anchor="ctr" anchorCtr="1"/>
              <a:lstStyle/>
              <a:p>
                <a:pPr>
                  <a:defRPr lang="zh-CN" sz="900" b="1" i="0" u="none" strike="noStrike" kern="1200" baseline="0">
                    <a:solidFill>
                      <a:schemeClr val="tx2"/>
                    </a:solidFill>
                    <a:latin typeface="+mn-lt"/>
                    <a:ea typeface="+mn-ea"/>
                    <a:cs typeface="+mn-cs"/>
                  </a:defRPr>
                </a:pPr>
                <a:r>
                  <a:rPr lang="zh-CN"/>
                  <a:t>单位：万元</a:t>
                </a:r>
                <a:endParaRPr lang="zh-CN"/>
              </a:p>
            </c:rich>
          </c:tx>
          <c:layout>
            <c:manualLayout>
              <c:xMode val="edge"/>
              <c:yMode val="edge"/>
              <c:x val="0.654285664143394"/>
              <c:y val="0.830550295137158"/>
            </c:manualLayout>
          </c:layout>
          <c:overlay val="0"/>
          <c:spPr>
            <a:noFill/>
            <a:ln>
              <a:noFill/>
            </a:ln>
            <a:effectLst/>
          </c:spPr>
        </c:title>
        <c:numFmt formatCode="General" sourceLinked="1"/>
        <c:majorTickMark val="out"/>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153330048"/>
        <c:crosses val="autoZero"/>
        <c:auto val="1"/>
        <c:lblAlgn val="ctr"/>
        <c:lblOffset val="100"/>
        <c:noMultiLvlLbl val="0"/>
      </c:catAx>
      <c:valAx>
        <c:axId val="153330048"/>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0.00_ "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153295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extLst>
      <c:ext uri="{0b15fc19-7d7d-44ad-8c2d-2c3a37ce22c3}">
        <chartProps xmlns="https://web.wps.cn/et/2018/main" chartId="{000f7959-47ed-4707-a06b-07269312299d}"/>
      </c:ext>
    </c:extLst>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0.74667</cdr:x>
      <cdr:y>0.19028</cdr:y>
    </cdr:from>
    <cdr:to>
      <cdr:x>0.965</cdr:x>
      <cdr:y>0.27361</cdr:y>
    </cdr:to>
    <cdr:sp>
      <cdr:nvSpPr>
        <cdr:cNvPr id="2" name="矩形 1"/>
        <cdr:cNvSpPr/>
      </cdr:nvSpPr>
      <cdr:spPr xmlns:a="http://schemas.openxmlformats.org/drawingml/2006/main">
        <a:xfrm xmlns:a="http://schemas.openxmlformats.org/drawingml/2006/main">
          <a:off x="3413760" y="521970"/>
          <a:ext cx="998220" cy="2286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单位：万元</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70498-A72C-4BCE-B7D7-D0DF893FF7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12969</Words>
  <Characters>13929</Characters>
  <Lines>114</Lines>
  <Paragraphs>32</Paragraphs>
  <TotalTime>3224</TotalTime>
  <ScaleCrop>false</ScaleCrop>
  <LinksUpToDate>false</LinksUpToDate>
  <CharactersWithSpaces>14094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cp:lastModifiedBy>
  <cp:lastPrinted>2022-11-20T07:35:00Z</cp:lastPrinted>
  <dcterms:modified xsi:type="dcterms:W3CDTF">2025-05-12T09:27:32Z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eyJoZGlkIjoiMjlkYzY4OWUyOTQzMWU3YjZlYWQ2ZGE3YzY0ZWU4MTIiLCJ1c2VySWQiOiIyNjY1Mzg0NzkifQ==</vt:lpwstr>
  </property>
  <property fmtid="{D5CDD505-2E9C-101B-9397-08002B2CF9AE}" pid="4" name="ICV">
    <vt:lpwstr>19C7FE15222B4159936A0EDA169479EB_12</vt:lpwstr>
  </property>
</Properties>
</file>