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徐政财字〔2022〕96号附件</w:t>
      </w:r>
      <w:r>
        <w:rPr>
          <w:rFonts w:ascii="黑体" w:hAnsi="黑体" w:eastAsia="黑体" w:cs="黑体"/>
          <w:bCs/>
          <w:kern w:val="2"/>
          <w:sz w:val="32"/>
          <w:szCs w:val="32"/>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保定市徐水区东史端镇人民政府202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年11月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2"/>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9"/>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一、保定市徐水区XXX基本情况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7</w:t>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t>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21</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23</w:t>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23</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36</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t>38</w:t>
          </w:r>
          <w:r>
            <w:rPr>
              <w:rFonts w:hint="eastAsia" w:asciiTheme="majorEastAsia" w:hAnsiTheme="majorEastAsia" w:eastAsiaTheme="majorEastAsia" w:cstheme="majorEastAsia"/>
              <w:sz w:val="24"/>
            </w:rPr>
            <w:fldChar w:fldCharType="end"/>
          </w:r>
        </w:p>
        <w:p>
          <w:pPr>
            <w:pStyle w:val="19"/>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40</w:t>
          </w:r>
          <w:r>
            <w:rPr>
              <w:rFonts w:hint="eastAsia" w:asciiTheme="majorEastAsia" w:hAnsiTheme="majorEastAsia" w:eastAsiaTheme="majorEastAsia" w:cstheme="majorEastAsia"/>
              <w:b/>
              <w:bCs/>
              <w:sz w:val="24"/>
            </w:rPr>
            <w:fldChar w:fldCharType="end"/>
          </w:r>
        </w:p>
        <w:p>
          <w:pPr>
            <w:pStyle w:val="19"/>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t>40</w:t>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2021年部门整体支出情况开展了绩效自评价工作。</w:t>
      </w:r>
    </w:p>
    <w:p>
      <w:pPr>
        <w:spacing w:line="360" w:lineRule="auto"/>
        <w:ind w:firstLine="640" w:firstLineChars="200"/>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sz w:val="32"/>
          <w:szCs w:val="32"/>
        </w:rPr>
        <w:t>保定市徐水区东史端镇人民政府为正科级行政单位，经费保障形式为财政拨款，</w:t>
      </w:r>
      <w:r>
        <w:rPr>
          <w:rFonts w:hint="eastAsia" w:ascii="仿宋" w:hAnsi="仿宋" w:eastAsia="仿宋" w:cs="DengXian-Regular"/>
          <w:color w:val="000000" w:themeColor="text1"/>
          <w:sz w:val="32"/>
          <w:szCs w:val="32"/>
          <w14:textFill>
            <w14:solidFill>
              <w14:schemeClr w14:val="tx1"/>
            </w14:solidFill>
          </w14:textFill>
        </w:rPr>
        <w:t xml:space="preserve">下设4个办公室，4个财政拨款事业单位：分别为党政综合办公室、党建工作办公室、应急管理办公室、自然资源和生态环境办公室、综合行政执法队、行政综合服务中心、农业综合服务中心、退役军人服务站。主要职责有： </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（二）加强党对基层治理的全面领导，统筹抓好基层党建工作和基层党组织各项制度建设。推进全面从严治党，强化“两个责任”，确保党的路线方针政策在基层得到全面贯彻落实。</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（三）讨论和决定本乡镇经济建设、政治建设、文化建设、社会建设、生态文明建设和党的建设以及乡村振兴中的重大问题。</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（四）组织召开本级人民代表大会，充分行使重大事项决定权、监督权和任免权，做好人大代表工作，联系选民、反映群众意见和要求。</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 群众获得感和幸福感。</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（八）加强乡镇党委自身建设和村党组织建设，以及其他隶属乡镇党委的党组织建设，抓好发展党员工作，加强党员队伍建设。维护和执行党的纪律，监督党员干部和其他任何工作人员严格遵守国家法律法规。</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（九）按照干部管理权限，负责对干部的教育、培训、选拔、考核和监督工作。协助管理上级有关部门驻乡镇单位的干部。做好人才服务工作。</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spacing w:line="360" w:lineRule="auto"/>
        <w:ind w:firstLine="640" w:firstLineChars="200"/>
        <w:rPr>
          <w:rFonts w:ascii="仿宋" w:hAnsi="仿宋" w:eastAsia="仿宋" w:cs="DengXian-Regular"/>
          <w:sz w:val="32"/>
          <w:szCs w:val="32"/>
        </w:rPr>
      </w:pPr>
      <w:r>
        <w:rPr>
          <w:rFonts w:ascii="仿宋" w:hAnsi="仿宋" w:eastAsia="仿宋" w:cs="DengXian-Regular"/>
          <w:sz w:val="32"/>
          <w:szCs w:val="32"/>
        </w:rPr>
        <w:t>（十二）承办上级党委、人大、政府交办的其他事项。</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东史端镇人民政府2021年部门整体支出绩效评价工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徐水区东史端镇人民政府2021年部门整体支出绩效评价指标体系共设置</w:t>
      </w:r>
      <w:r>
        <w:rPr>
          <w:rFonts w:hint="eastAsia" w:ascii="仿宋" w:hAnsi="仿宋" w:eastAsia="仿宋" w:cs="DengXian-Regular"/>
          <w:color w:val="000000" w:themeColor="text1"/>
          <w:sz w:val="32"/>
          <w:szCs w:val="32"/>
          <w14:textFill>
            <w14:solidFill>
              <w14:schemeClr w14:val="tx1"/>
            </w14:solidFill>
          </w14:textFill>
        </w:rPr>
        <w:t>4个一级指标、7个二级指标、27个三级指标，从投入、</w:t>
      </w:r>
      <w:r>
        <w:rPr>
          <w:rFonts w:hint="eastAsia" w:ascii="仿宋" w:hAnsi="仿宋" w:eastAsia="仿宋" w:cs="DengXian-Regular"/>
          <w:sz w:val="32"/>
          <w:szCs w:val="32"/>
        </w:rPr>
        <w:t>过程、产出、效果四个方面对徐水区东史端镇人民政府部门整体支出情况评分定级。指标体系设定满分为100分，绩效评价分值≥90为“优”；80≤分值＜90为“良”；60≤分值＜80为“合格”；60分以下为“差”。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sz w:val="32"/>
          <w:szCs w:val="32"/>
        </w:rPr>
        <w:t>徐水区东史端镇人民政府2021年部门整体支出综合评价得分为</w:t>
      </w:r>
      <w:r>
        <w:rPr>
          <w:rFonts w:hint="eastAsia" w:ascii="仿宋" w:hAnsi="仿宋" w:eastAsia="仿宋" w:cs="DengXian-Regular"/>
          <w:color w:val="000000" w:themeColor="text1"/>
          <w:sz w:val="32"/>
          <w:szCs w:val="32"/>
          <w14:textFill>
            <w14:solidFill>
              <w14:schemeClr w14:val="tx1"/>
            </w14:solidFill>
          </w14:textFill>
        </w:rPr>
        <w:t>90.2分，评价等级为“优”。</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评价，徐水区东史端镇人民政府2021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color w:val="000000" w:themeColor="text1"/>
          <w:sz w:val="32"/>
          <w:szCs w:val="32"/>
          <w14:textFill>
            <w14:solidFill>
              <w14:schemeClr w14:val="tx1"/>
            </w14:solidFill>
          </w14:textFill>
        </w:rPr>
        <w:t>通过本次绩效评价工作，发现我单位在以下几个方面在一些不足之处，具体如下：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1.绩效指标方面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2.预算决算比较</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3.预算追加方面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4.政府采购方面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5.项目资金使用率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6.部分基础数据信息方面</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针对此次绩效评价过程中发现的问题，我们建议：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1.增强绩效指标设置的明确性</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2.提高预算编制质量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3.强化政府采购执行</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建议严格按照《中华人民共和国政府采购法》及河北省2017年《政府采购集中采购目录和限额标准》的相关规定，执行政府采购，加快预算执行进度，提高政府采购效率。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4.提高项目资金使用率</w:t>
      </w:r>
    </w:p>
    <w:p>
      <w:pPr>
        <w:spacing w:after="0" w:line="360" w:lineRule="auto"/>
        <w:ind w:firstLine="640" w:firstLineChars="200"/>
        <w:jc w:val="both"/>
        <w:textAlignment w:val="baseline"/>
        <w:rPr>
          <w:rFonts w:ascii="仿宋" w:hAnsi="仿宋" w:eastAsia="仿宋" w:cs="Times New Roman"/>
          <w:sz w:val="32"/>
          <w:szCs w:val="32"/>
          <w:u w:color="000000"/>
        </w:rPr>
      </w:pPr>
      <w:r>
        <w:rPr>
          <w:rFonts w:hint="eastAsia" w:ascii="仿宋" w:hAnsi="仿宋" w:eastAsia="仿宋" w:cs="Times New Roman"/>
          <w:sz w:val="32"/>
          <w:szCs w:val="32"/>
          <w:u w:color="000000"/>
        </w:rPr>
        <w:t>建议</w:t>
      </w:r>
      <w:r>
        <w:rPr>
          <w:rFonts w:hint="eastAsia" w:ascii="仿宋" w:hAnsi="仿宋" w:eastAsia="仿宋" w:cs="DengXian-Regular"/>
          <w:sz w:val="32"/>
          <w:szCs w:val="32"/>
        </w:rPr>
        <w:t>徐水区东史端镇人民政府</w:t>
      </w:r>
      <w:r>
        <w:rPr>
          <w:rFonts w:hint="eastAsia" w:ascii="仿宋" w:hAnsi="仿宋" w:eastAsia="仿宋" w:cs="Times New Roman"/>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w:t>
      </w:r>
      <w:r>
        <w:rPr>
          <w:rFonts w:ascii="仿宋" w:hAnsi="仿宋" w:eastAsia="仿宋" w:cs="DengXian-Regular"/>
          <w:sz w:val="32"/>
          <w:szCs w:val="32"/>
        </w:rPr>
        <w:t>.完善基础信息管理</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建议严格按照档案管理的相关规定对基础数据信息档案资料及时归档保存，保证项目资料的完整性和可查阅性。</w:t>
      </w:r>
    </w:p>
    <w:p>
      <w:pPr>
        <w:pStyle w:val="3"/>
        <w:spacing w:line="540" w:lineRule="exact"/>
        <w:jc w:val="center"/>
        <w:rPr>
          <w:rFonts w:ascii="黑体" w:hAnsi="黑体"/>
          <w:b w:val="0"/>
        </w:rPr>
      </w:pPr>
      <w:r>
        <w:rPr>
          <w:rFonts w:hint="eastAsia" w:ascii="黑体" w:hAnsi="黑体"/>
          <w:b w:val="0"/>
        </w:rPr>
        <w:t>第二部分   绩效评价报告</w:t>
      </w:r>
    </w:p>
    <w:p>
      <w:pPr>
        <w:pStyle w:val="3"/>
        <w:spacing w:before="0" w:after="0" w:line="360" w:lineRule="auto"/>
        <w:ind w:firstLine="643" w:firstLineChars="200"/>
        <w:rPr>
          <w:rFonts w:ascii="楷体" w:hAnsi="楷体" w:eastAsia="楷体" w:cs="楷体"/>
        </w:rPr>
      </w:pPr>
      <w:r>
        <w:rPr>
          <w:rFonts w:hint="eastAsia" w:ascii="楷体" w:hAnsi="楷体" w:eastAsia="楷体" w:cs="楷体"/>
        </w:rPr>
        <w:t>一、保定市徐水区东史端镇人民政府单位基本情况</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（一）部门职责和工作活动</w:t>
      </w:r>
    </w:p>
    <w:p>
      <w:pPr>
        <w:spacing w:line="360" w:lineRule="auto"/>
        <w:ind w:firstLine="561"/>
        <w:rPr>
          <w:rFonts w:ascii="仿宋" w:hAnsi="仿宋" w:eastAsia="仿宋"/>
          <w:color w:val="000000" w:themeColor="text1"/>
          <w:sz w:val="32"/>
          <w:szCs w:val="32"/>
          <w14:textFill>
            <w14:solidFill>
              <w14:schemeClr w14:val="tx1"/>
            </w14:solidFill>
          </w14:textFill>
        </w:rPr>
      </w:pPr>
      <w:r>
        <w:rPr>
          <w:rFonts w:hint="eastAsia" w:ascii="仿宋" w:hAnsi="仿宋" w:eastAsia="仿宋" w:cs="DengXian-Regular"/>
          <w:sz w:val="32"/>
          <w:szCs w:val="32"/>
        </w:rPr>
        <w:t>根据中共保定市徐水区委办公室、保定市徐水区人民政府办公室关于印发《保定市徐水区东史端镇人民政府单位职能配置内设机构和人员编制规定》的通知，徐水区东史端镇人民政府单位为区政府工作部门，正科级单位，</w:t>
      </w:r>
      <w:r>
        <w:rPr>
          <w:rFonts w:hint="eastAsia" w:ascii="仿宋" w:hAnsi="仿宋" w:eastAsia="仿宋" w:cs="DengXian-Regular"/>
          <w:color w:val="000000" w:themeColor="text1"/>
          <w:sz w:val="32"/>
          <w:szCs w:val="32"/>
          <w14:textFill>
            <w14:solidFill>
              <w14:schemeClr w14:val="tx1"/>
            </w14:solidFill>
          </w14:textFill>
        </w:rPr>
        <w:t>下设4个办公室,4个财政拨款事业单位。</w:t>
      </w:r>
      <w:r>
        <w:rPr>
          <w:rFonts w:hint="eastAsia" w:ascii="仿宋" w:hAnsi="仿宋" w:eastAsia="仿宋" w:cs="DengXian-Regular"/>
          <w:sz w:val="32"/>
          <w:szCs w:val="32"/>
        </w:rPr>
        <w:t>徐水区东史端镇人民政府根据绩效预算管理改革的相关要求，按照“部门职责—工作活动绩效目标”的层级设立了绩效预算架构，职责活动包括:</w:t>
      </w:r>
      <w:r>
        <w:rPr>
          <w:rFonts w:hint="eastAsia" w:ascii="仿宋" w:hAnsi="仿宋" w:eastAsia="仿宋"/>
          <w:color w:val="000000" w:themeColor="text1"/>
          <w:sz w:val="32"/>
          <w:szCs w:val="32"/>
          <w14:textFill>
            <w14:solidFill>
              <w14:schemeClr w14:val="tx1"/>
            </w14:solidFill>
          </w14:textFill>
        </w:rPr>
        <w:t xml:space="preserve"> 1.政法综治稳定和国家安全；2.社会管理与服务； 3.水利科技支撑和公共服务；４.政务管理； 5.环境污染综合防治； 6.交通运输基础设施养护、维护；7.农村文化建设； 8.安全生产综合监督管理； 9.防灾减灾救灾。</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（二）部门年度发展规划总体目标和职责分类绩效目标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按照2020年绩效预算编制要求，徐水区东史端镇人民政府设置的年度发展规划总体目标为：</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640" w:firstLineChars="200"/>
        <w:rPr>
          <w:rFonts w:ascii="仿宋" w:hAnsi="仿宋" w:eastAsia="仿宋" w:cs="Times New Roman"/>
          <w:sz w:val="32"/>
          <w:szCs w:val="32"/>
          <w:u w:color="000000"/>
        </w:rPr>
      </w:pPr>
      <w:r>
        <w:rPr>
          <w:rFonts w:ascii="仿宋" w:hAnsi="仿宋" w:eastAsia="仿宋" w:cs="Times New Roman"/>
          <w:sz w:val="32"/>
          <w:szCs w:val="32"/>
          <w:u w:color="000000"/>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w:t>
      </w:r>
      <w:r>
        <w:rPr>
          <w:rFonts w:hint="eastAsia" w:ascii="仿宋" w:hAnsi="仿宋" w:eastAsia="仿宋" w:cs="Times New Roman"/>
          <w:sz w:val="32"/>
          <w:szCs w:val="32"/>
          <w:u w:color="000000"/>
          <w:lang w:eastAsia="zh-CN"/>
        </w:rPr>
        <w:t>秆禁</w:t>
      </w:r>
      <w:r>
        <w:rPr>
          <w:rFonts w:ascii="仿宋" w:hAnsi="仿宋" w:eastAsia="仿宋" w:cs="Times New Roman"/>
          <w:sz w:val="32"/>
          <w:szCs w:val="32"/>
          <w:u w:color="000000"/>
        </w:rPr>
        <w:t>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after="0" w:line="360" w:lineRule="auto"/>
        <w:ind w:firstLine="640" w:firstLineChars="200"/>
        <w:jc w:val="both"/>
        <w:textAlignment w:val="baseline"/>
        <w:rPr>
          <w:rFonts w:ascii="仿宋" w:hAnsi="仿宋" w:eastAsia="仿宋" w:cs="DengXian-Regular"/>
          <w:color w:val="000000" w:themeColor="text1"/>
          <w:sz w:val="32"/>
          <w:szCs w:val="32"/>
          <w14:textFill>
            <w14:solidFill>
              <w14:schemeClr w14:val="tx1"/>
            </w14:solidFill>
          </w14:textFill>
        </w:rPr>
      </w:pPr>
      <w:r>
        <w:rPr>
          <w:rFonts w:hint="eastAsia" w:ascii="仿宋" w:hAnsi="仿宋" w:eastAsia="仿宋" w:cs="DengXian-Regular"/>
          <w:color w:val="000000" w:themeColor="text1"/>
          <w:sz w:val="32"/>
          <w:szCs w:val="32"/>
          <w14:textFill>
            <w14:solidFill>
              <w14:schemeClr w14:val="tx1"/>
            </w14:solidFill>
          </w14:textFill>
        </w:rPr>
        <w:t>职责分类绩效目标为：</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仿宋" w:hAnsi="仿宋" w:eastAsia="仿宋"/>
          <w:sz w:val="32"/>
          <w:szCs w:val="32"/>
        </w:rPr>
      </w:pPr>
      <w:r>
        <w:rPr>
          <w:rFonts w:ascii="仿宋" w:hAnsi="仿宋" w:eastAsia="仿宋"/>
          <w:sz w:val="32"/>
          <w:szCs w:val="32"/>
        </w:rPr>
        <w:t>（一）维护社会稳定，保障镇村稳定</w:t>
      </w:r>
    </w:p>
    <w:p>
      <w:pPr>
        <w:pStyle w:val="75"/>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jc w:val="left"/>
        <w:rPr>
          <w:rFonts w:ascii="Times New Roman" w:hAnsi="Times New Roman" w:eastAsia="Times New Roman"/>
          <w:b/>
          <w:sz w:val="32"/>
          <w:szCs w:val="32"/>
        </w:rPr>
      </w:pPr>
      <w:r>
        <w:rPr>
          <w:rFonts w:ascii="仿宋" w:hAnsi="仿宋" w:eastAsia="仿宋"/>
          <w:sz w:val="32"/>
          <w:szCs w:val="32"/>
        </w:rPr>
        <w:t>绩效目标：协调维护社会稳定和国家安全，以创建和谐稳定的社会环境为目标。</w:t>
      </w:r>
    </w:p>
    <w:p>
      <w:pPr>
        <w:pStyle w:val="75"/>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360" w:lineRule="auto"/>
        <w:ind w:left="210"/>
        <w:rPr>
          <w:rFonts w:ascii="仿宋" w:hAnsi="仿宋" w:eastAsia="仿宋"/>
          <w:sz w:val="32"/>
          <w:szCs w:val="32"/>
        </w:rPr>
      </w:pPr>
      <w:r>
        <w:rPr>
          <w:rFonts w:ascii="仿宋" w:hAnsi="仿宋" w:eastAsia="仿宋"/>
          <w:sz w:val="32"/>
          <w:szCs w:val="32"/>
        </w:rPr>
        <w:t>绩效指标：矛盾纠纷调处率达到80%以上；协调督导事项化解率80%以上；稳定水平提高。</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left"/>
        <w:rPr>
          <w:rFonts w:ascii="仿宋" w:hAnsi="仿宋" w:eastAsia="仿宋"/>
          <w:sz w:val="32"/>
          <w:szCs w:val="32"/>
        </w:rPr>
      </w:pPr>
      <w:r>
        <w:rPr>
          <w:rFonts w:ascii="仿宋" w:hAnsi="仿宋" w:eastAsia="仿宋"/>
          <w:sz w:val="32"/>
          <w:szCs w:val="32"/>
        </w:rPr>
        <w:t>（二）维持村级组织正常运转，促进发展</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（三）完善农村经营管理，维护村情。</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绩效目标：保障华龙路及环村林带占地补偿项目资金按时、足额发放到位。</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绩效指标：资金到位率及补贴发放率达到100%以上；群众满意度达到90%以上。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（四）加强农村文化建设文化资源共享</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w:t>
      </w:r>
      <w:r>
        <w:rPr>
          <w:sz w:val="32"/>
          <w:szCs w:val="32"/>
        </w:rPr>
        <w:t xml:space="preserve"> </w:t>
      </w:r>
      <w:r>
        <w:rPr>
          <w:rFonts w:ascii="仿宋" w:hAnsi="仿宋" w:eastAsia="仿宋"/>
          <w:sz w:val="32"/>
          <w:szCs w:val="32"/>
        </w:rPr>
        <w:t>实现文化资源共享，群众满意度达到90%以上。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（五）乡镇综合事务管理，保障正常运转</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绩效目标：扎实做好人大、党建、纪检、团委等各项工作，保障机关工作正常运转，财政资金使用效益。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（六）做好大气污染防治，改善农村人居环境</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宋体" w:hAnsi="宋体" w:eastAsia="宋体"/>
          <w:sz w:val="32"/>
          <w:szCs w:val="32"/>
        </w:rPr>
      </w:pPr>
      <w:r>
        <w:rPr>
          <w:rFonts w:ascii="仿宋" w:hAnsi="仿宋" w:eastAsia="仿宋"/>
          <w:sz w:val="32"/>
          <w:szCs w:val="32"/>
        </w:rPr>
        <w:t xml:space="preserve">绩效指标：生活垃圾定点存放清运率，重点村垃圾收集、处理完成率达到90%以上； </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（七）落实安全生产诚信管理</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（八）实现镇村地震安全建设常态化</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pPr>
        <w:pStyle w:val="75"/>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pPr>
        <w:spacing w:after="0" w:line="360" w:lineRule="auto"/>
        <w:ind w:firstLine="640" w:firstLineChars="200"/>
        <w:jc w:val="both"/>
        <w:textAlignment w:val="baseline"/>
        <w:rPr>
          <w:rFonts w:ascii="仿宋" w:hAnsi="仿宋" w:eastAsia="仿宋" w:cs="DengXian-Regular"/>
          <w:color w:val="FF0000"/>
          <w:sz w:val="32"/>
          <w:szCs w:val="32"/>
        </w:rPr>
      </w:pPr>
    </w:p>
    <w:p>
      <w:pPr>
        <w:spacing w:after="0" w:line="360" w:lineRule="auto"/>
        <w:ind w:firstLine="643" w:firstLineChars="200"/>
        <w:jc w:val="both"/>
        <w:textAlignment w:val="baseline"/>
        <w:rPr>
          <w:rFonts w:ascii="仿宋" w:hAnsi="仿宋" w:eastAsia="仿宋" w:cs="DengXian-Regular"/>
          <w:b/>
          <w:sz w:val="32"/>
          <w:szCs w:val="32"/>
        </w:rPr>
      </w:pPr>
      <w:r>
        <w:rPr>
          <w:rFonts w:hint="eastAsia" w:ascii="仿宋" w:hAnsi="仿宋" w:eastAsia="仿宋" w:cs="DengXian-Regular"/>
          <w:b/>
          <w:sz w:val="32"/>
          <w:szCs w:val="32"/>
        </w:rPr>
        <w:t>（三）部门预算收入及决算收入</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2021年</w:t>
      </w:r>
      <w:r>
        <w:rPr>
          <w:rFonts w:hint="eastAsia" w:ascii="仿宋" w:hAnsi="仿宋" w:eastAsia="仿宋"/>
          <w:sz w:val="32"/>
          <w:szCs w:val="32"/>
        </w:rPr>
        <w:t>徐水区东史端镇人民政府</w:t>
      </w:r>
      <w:r>
        <w:rPr>
          <w:rFonts w:hint="eastAsia" w:ascii="仿宋" w:hAnsi="仿宋" w:eastAsia="仿宋" w:cs="DengXian-Regular"/>
          <w:sz w:val="32"/>
          <w:szCs w:val="32"/>
        </w:rPr>
        <w:t>预算收入</w:t>
      </w:r>
      <w:r>
        <w:rPr>
          <w:rFonts w:hint="eastAsia" w:ascii="仿宋" w:hAnsi="仿宋" w:eastAsia="仿宋"/>
          <w:sz w:val="32"/>
          <w:szCs w:val="32"/>
        </w:rPr>
        <w:t>2874.08</w:t>
      </w:r>
      <w:r>
        <w:rPr>
          <w:rFonts w:hint="eastAsia" w:ascii="仿宋" w:hAnsi="仿宋" w:eastAsia="仿宋" w:cs="DengXian-Regular"/>
          <w:sz w:val="32"/>
          <w:szCs w:val="32"/>
        </w:rPr>
        <w:t>万元，</w:t>
      </w:r>
      <w:r>
        <w:rPr>
          <w:rFonts w:ascii="仿宋" w:hAnsi="仿宋" w:eastAsia="仿宋"/>
          <w:sz w:val="32"/>
          <w:szCs w:val="32"/>
        </w:rPr>
        <w:t>其中：一般公共预算收入</w:t>
      </w:r>
      <w:r>
        <w:rPr>
          <w:rFonts w:hint="eastAsia" w:ascii="仿宋" w:hAnsi="仿宋" w:eastAsia="仿宋"/>
          <w:sz w:val="32"/>
          <w:szCs w:val="32"/>
        </w:rPr>
        <w:t>2827.05</w:t>
      </w:r>
      <w:r>
        <w:rPr>
          <w:rFonts w:ascii="仿宋" w:hAnsi="仿宋" w:eastAsia="仿宋"/>
          <w:sz w:val="32"/>
          <w:szCs w:val="32"/>
        </w:rPr>
        <w:t>万元，基金预算收入</w:t>
      </w:r>
      <w:r>
        <w:rPr>
          <w:rFonts w:hint="eastAsia" w:ascii="仿宋" w:hAnsi="仿宋" w:eastAsia="仿宋"/>
          <w:sz w:val="32"/>
          <w:szCs w:val="32"/>
        </w:rPr>
        <w:t>47.03</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cs="DengXian-Regular"/>
          <w:sz w:val="32"/>
          <w:szCs w:val="32"/>
        </w:rPr>
        <w:t>其中：财政拨款2674.08万元，中央财政提前通知转移支付200万元。预算收入按功能分类包含：一般公共服务支出1152.74万元，公共安全支出8.55万元，文化旅游体育与传媒支出1.5万元，社会保障和就业支出158.61万元，卫生健康支出44.43万元，城乡社区支出47.03万元，农林水支出1388.11万元，住房保障支出71.7万元，灾害防治及应急管理支出1.41万元。具体预算收入详见附件2。</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2021年徐水区东史端镇人民政府决算收入3030.99万元，其中：财政拨款收入3030.79万元，其他收入0.2万元（全部为利息收入）。决算收入按功能分类包含：一般公共服务支出958.35万元，占比31.62%；公共安全支出0.09万元，占比0.01%;科学技术支出5万元，占比0.16%；文化旅游体育与传媒支出3.2万元，占比0.11%；社会保障和就业支出165.25万元，占比5.45%；卫生健康支出45.22万元，占比1.49%；节能环保支出28.65万元，占比0.95%；城乡社区支出263.83万元，占比8.7%；农林水支出1485.61万元，占比49.01%；住房保障支出74.58万元，占比2.46%；灾害防治及应急管理支出1.21万元占比0.04%。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2021年度</w:t>
      </w:r>
      <w:r>
        <w:rPr>
          <w:rFonts w:hint="eastAsia" w:ascii="仿宋_GB2312" w:eastAsia="仿宋_GB2312" w:cs="DengXian-Regular"/>
          <w:sz w:val="32"/>
          <w:szCs w:val="32"/>
        </w:rPr>
        <w:t>东史端镇人民政府</w:t>
      </w:r>
      <w:r>
        <w:rPr>
          <w:rFonts w:hint="eastAsia" w:asciiTheme="minorEastAsia" w:hAnsiTheme="minorEastAsia" w:eastAsiaTheme="minorEastAsia" w:cstheme="minorEastAsia"/>
          <w:b/>
          <w:bCs/>
          <w:sz w:val="32"/>
          <w:szCs w:val="32"/>
        </w:rPr>
        <w:t>决算收入结构图</w:t>
      </w:r>
    </w:p>
    <w:p>
      <w:pPr>
        <w:spacing w:after="0" w:line="360" w:lineRule="auto"/>
        <w:ind w:firstLine="640" w:firstLineChars="200"/>
        <w:rPr>
          <w:rFonts w:ascii="仿宋_GB2312" w:eastAsia="仿宋_GB2312" w:cs="DengXian-Regular"/>
          <w:sz w:val="32"/>
          <w:szCs w:val="32"/>
        </w:rPr>
      </w:pPr>
      <w:r>
        <w:rPr>
          <w:rFonts w:ascii="仿宋_GB2312" w:eastAsia="仿宋_GB2312" w:cs="DengXian-Regular"/>
          <w:sz w:val="32"/>
          <w:szCs w:val="32"/>
        </w:rPr>
        <w:drawing>
          <wp:inline distT="0" distB="0" distL="0" distR="0">
            <wp:extent cx="5278120" cy="3079115"/>
            <wp:effectExtent l="19050" t="0" r="17780" b="698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徐水区东史端镇人民政府一般公共预算财政拨款决算收入比年初预算增加156.91万元，完成年初预算的105.46%；决算收入大于预算收入的主要原因为2021年度我单位新增项目、新增人员及工资普调等。政府基金预算收入比年初预算增加216.8万元，完成年初预算的560.98%。决算收入大于预算收入的主要原因为2021年度我单位增加了交回土地承包权后涉及农民养老补贴等项目预算收入与决算收入对比情况见图2。</w:t>
      </w:r>
    </w:p>
    <w:p>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2021年度徐水区东史端镇人民政府预算收入与决算收入对比图</w:t>
      </w:r>
    </w:p>
    <w:p>
      <w:pPr>
        <w:spacing w:after="0" w:line="360" w:lineRule="auto"/>
        <w:jc w:val="center"/>
        <w:rPr>
          <w:rFonts w:ascii="仿宋_GB2312" w:eastAsia="仿宋_GB2312" w:cs="Times New Roman" w:hAnsiTheme="minorEastAsia"/>
          <w:bCs/>
          <w:sz w:val="32"/>
          <w:szCs w:val="32"/>
          <w:u w:color="000000"/>
        </w:rPr>
      </w:pPr>
      <w:r>
        <w:rPr>
          <w:rFonts w:asciiTheme="minorEastAsia" w:hAnsiTheme="minorEastAsia" w:eastAsiaTheme="minorEastAsia" w:cstheme="minorEastAsia"/>
          <w:b/>
          <w:sz w:val="32"/>
          <w:szCs w:val="32"/>
          <w:u w:color="000000"/>
        </w:rPr>
        <w:drawing>
          <wp:inline distT="0" distB="0" distL="0" distR="0">
            <wp:extent cx="5278120" cy="5495925"/>
            <wp:effectExtent l="19050" t="0" r="17780" b="0"/>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（四）预算支出及决算支出</w:t>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2021年度徐水区东史端镇人民政府预算支出安排2874.08万元，其中：基本支出1358.21万元，项目支出1515.87万元。预算支出按功能分类包含：一般公共服务支出1152.74万元，公共安全支出8.55万元，文化旅游体育与传媒支出1.5万元，社会保障和就业支出158.61万元，卫生健康支出44.43万元，城乡社区支出47.03万元，农林水支出1388.11万元，住房保障支出71.7万元，灾害防治及应急管理支出1.41万元。具体预算支出详见附件2。</w:t>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2021年度保定市徐水区东史端镇人民政府决算支出为3145.54万元，其中：基本支出1246.43万元，项目支出1899.11万元。决算支出按功能分类包含：一般公共服务支出1051.69万元，占比33.42%；公共安全支出0.09万元，占比0.01%；科学技术支出5万元，占比0.16%；文化旅游体育与传媒支出6.17万元，占比0.2%；社会保障和就业支出183.49万元，占比5.83%；卫生健康支出45.22万元，占比1.44%；节能环保支出28.65万元，占比0.91%；城乡社区支出263.83万元，占比8.39%；农林水支出1485.61万元，占比47.23%；住房保障支出74.58万元，占比2.37%；灾害防治及应急管理支出1.21万,占比0.04%；元。具体决算支出详见附件2。</w:t>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2021年度东史端镇人民政府</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pPr>
      <w:r>
        <w:rPr>
          <w:rFonts w:hint="eastAsia"/>
        </w:rPr>
        <w:drawing>
          <wp:inline distT="0" distB="0" distL="0" distR="0">
            <wp:extent cx="5278120" cy="3079115"/>
            <wp:effectExtent l="19050" t="0" r="17780" b="6985"/>
            <wp:docPr id="1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财政拨款决算支出比年初预算增加271.46万元。决算支出完成年初预算的109.45%。决算支出大于预算支出的主要原因为2021年度我单位追加项目增加，新增人员及工资普调等。预算支出与决算支出对比情况如图4。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2021年度东史端镇人民政府</w:t>
      </w:r>
      <w:r>
        <w:rPr>
          <w:rFonts w:hint="eastAsia" w:asciiTheme="minorEastAsia" w:hAnsiTheme="minorEastAsia" w:eastAsiaTheme="minorEastAsia" w:cstheme="minorEastAsia"/>
          <w:b/>
          <w:bCs/>
          <w:sz w:val="32"/>
          <w:szCs w:val="32"/>
        </w:rPr>
        <w:t>预算支出与决算支出对比图</w:t>
      </w:r>
    </w:p>
    <w:p>
      <w:pPr>
        <w:spacing w:after="0" w:line="360" w:lineRule="auto"/>
        <w:rPr>
          <w:rFonts w:ascii="仿宋_GB2312" w:eastAsia="仿宋_GB2312" w:cs="DengXian-Regular"/>
          <w:sz w:val="32"/>
          <w:szCs w:val="32"/>
        </w:rPr>
      </w:pPr>
    </w:p>
    <w:p>
      <w:pPr>
        <w:spacing w:after="0" w:line="360" w:lineRule="auto"/>
        <w:ind w:firstLine="640" w:firstLineChars="200"/>
        <w:jc w:val="both"/>
        <w:rPr>
          <w:rFonts w:hint="eastAsia" w:ascii="仿宋" w:hAnsi="仿宋" w:eastAsia="仿宋" w:cs="DengXian-Regular"/>
          <w:sz w:val="32"/>
          <w:szCs w:val="32"/>
        </w:rPr>
      </w:pPr>
    </w:p>
    <w:p>
      <w:pPr>
        <w:spacing w:after="0" w:line="360" w:lineRule="auto"/>
        <w:ind w:firstLine="640" w:firstLineChars="200"/>
        <w:jc w:val="both"/>
        <w:rPr>
          <w:rFonts w:hint="eastAsia" w:ascii="仿宋" w:hAnsi="仿宋" w:eastAsia="仿宋" w:cs="DengXian-Regular"/>
          <w:sz w:val="32"/>
          <w:szCs w:val="32"/>
        </w:rPr>
      </w:pPr>
    </w:p>
    <w:p>
      <w:pPr>
        <w:spacing w:after="0" w:line="360" w:lineRule="auto"/>
        <w:ind w:firstLine="640" w:firstLineChars="200"/>
        <w:jc w:val="both"/>
        <w:rPr>
          <w:rFonts w:hint="eastAsia" w:ascii="仿宋" w:hAnsi="仿宋" w:eastAsia="仿宋" w:cs="DengXian-Regular"/>
          <w:sz w:val="32"/>
          <w:szCs w:val="32"/>
        </w:rPr>
      </w:pPr>
      <w:r>
        <w:rPr>
          <w:rFonts w:ascii="仿宋" w:hAnsi="仿宋" w:eastAsia="仿宋" w:cs="DengXian-Regular"/>
          <w:sz w:val="32"/>
          <w:szCs w:val="32"/>
        </w:rPr>
        <w:drawing>
          <wp:inline distT="0" distB="0" distL="0" distR="0">
            <wp:extent cx="5391150" cy="4933950"/>
            <wp:effectExtent l="19050" t="0" r="19050" b="0"/>
            <wp:docPr id="1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东史端镇人民政府2021年实际项目支出1899.11万元，决算报表中项目支出1899.11万元，实际支出与决算报表一致。</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（五）“三公”经费预算安排及支出情况</w:t>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2021年我单位“三公”经费预算26.9万元（公务用车运行维护费18万元，公务接待费8.9万元），实际支出2.90万元（公务用车运行维护费2.90万元，公务接待费0万元），比预算减少24万元，节约率89.22%。2021年“三公”经费预算数与2020年预算数相比无变化，决算数与2020年实际支出相比，减少5.26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东史端镇人民政府单位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4"/>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2020年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2021年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-5.26</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2.90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-5.26</w:t>
            </w:r>
          </w:p>
        </w:tc>
      </w:tr>
    </w:tbl>
    <w:p>
      <w:pPr>
        <w:spacing w:line="580" w:lineRule="exact"/>
        <w:ind w:firstLine="640" w:firstLineChars="200"/>
        <w:rPr>
          <w:rFonts w:ascii="仿宋_GB2312" w:hAnsi="Times New Roman" w:eastAsia="仿宋_GB2312" w:cs="DengXian-Regular"/>
          <w:sz w:val="32"/>
          <w:szCs w:val="32"/>
        </w:rPr>
      </w:pPr>
      <w:r>
        <w:rPr>
          <w:rFonts w:hint="eastAsia" w:ascii="仿宋" w:hAnsi="仿宋" w:eastAsia="仿宋" w:cs="DengXian-Regular"/>
          <w:sz w:val="32"/>
          <w:szCs w:val="32"/>
        </w:rPr>
        <w:t>1、公务用车：2021年底我单位车辆合计4辆，其中，机要通信用车1辆，应急保障用车1辆，执法执勤用车1辆，其他用车1辆，其他用车主要是用于维稳、护路、</w:t>
      </w:r>
      <w:r>
        <w:rPr>
          <w:rFonts w:hint="eastAsia" w:ascii="仿宋" w:hAnsi="仿宋" w:eastAsia="仿宋" w:cs="仿宋_GB2312"/>
          <w:sz w:val="32"/>
          <w:szCs w:val="32"/>
        </w:rPr>
        <w:t>征迁等事项</w:t>
      </w:r>
      <w:r>
        <w:rPr>
          <w:rFonts w:hint="eastAsia" w:ascii="仿宋_GB2312" w:hAnsi="Times New Roman" w:eastAsia="仿宋_GB2312" w:cs="DengXian-Regular"/>
          <w:sz w:val="32"/>
          <w:szCs w:val="32"/>
        </w:rPr>
        <w:t>。</w:t>
      </w:r>
      <w:r>
        <w:rPr>
          <w:rFonts w:hint="eastAsia" w:ascii="仿宋" w:hAnsi="仿宋" w:eastAsia="仿宋" w:cs="DengXian-Regular"/>
          <w:sz w:val="32"/>
          <w:szCs w:val="32"/>
        </w:rPr>
        <w:t>2021年公务用车购置及运维费年初预算18万元，全部为公务用车运行维护费，实际支出2.9万元。2021年预算数与2020年预算相比无变化，决算数与2020年实际支出相比减少5.26万元。</w:t>
      </w:r>
    </w:p>
    <w:p>
      <w:pPr>
        <w:spacing w:after="0" w:line="360" w:lineRule="auto"/>
        <w:ind w:firstLine="640" w:firstLineChars="200"/>
        <w:jc w:val="both"/>
        <w:rPr>
          <w:rFonts w:ascii="仿宋" w:hAnsi="仿宋" w:eastAsia="仿宋" w:cs="DengXian-Regular"/>
          <w:sz w:val="32"/>
          <w:szCs w:val="32"/>
        </w:rPr>
      </w:pPr>
      <w:r>
        <w:rPr>
          <w:rFonts w:hint="eastAsia" w:ascii="仿宋" w:hAnsi="仿宋" w:eastAsia="仿宋" w:cs="DengXian-Regular"/>
          <w:sz w:val="32"/>
          <w:szCs w:val="32"/>
        </w:rPr>
        <w:t>2、公务接待：2021年我单位公务接待费年初预算8.9万元，实际支出0万元，比预算减少了8.9万元，节约率100%。2021年预算数与2020年预算相比无变化，决算数与2020年实际支出相比无变化。</w:t>
      </w:r>
    </w:p>
    <w:p>
      <w:pPr>
        <w:pStyle w:val="3"/>
        <w:spacing w:before="0" w:after="0" w:line="360" w:lineRule="auto"/>
        <w:ind w:firstLine="643" w:firstLineChars="200"/>
        <w:rPr>
          <w:rFonts w:ascii="黑体" w:hAnsiTheme="minorEastAsia"/>
          <w:u w:color="000000"/>
        </w:rPr>
      </w:pPr>
      <w:r>
        <w:rPr>
          <w:rFonts w:hint="eastAsia" w:ascii="黑体"/>
        </w:rPr>
        <w:t>二、部门整体支出绩效评价指标体系设定情况</w:t>
      </w:r>
    </w:p>
    <w:p>
      <w:pPr>
        <w:spacing w:after="0" w:line="360" w:lineRule="auto"/>
        <w:ind w:firstLine="640" w:firstLineChars="200"/>
        <w:rPr>
          <w:rFonts w:ascii="仿宋" w:hAnsi="仿宋" w:eastAsia="仿宋" w:cs="DengXian-Regular"/>
          <w:sz w:val="32"/>
          <w:szCs w:val="32"/>
        </w:rPr>
      </w:pPr>
      <w:r>
        <w:rPr>
          <w:rFonts w:hint="eastAsia" w:ascii="仿宋" w:hAnsi="仿宋" w:eastAsia="仿宋" w:cs="DengXian-Regular"/>
          <w:sz w:val="32"/>
          <w:szCs w:val="32"/>
        </w:rPr>
        <w:t>根据绩效预算管理改革的有关政策和文件规定，我单位绩效评价工作组以绩效预算架构为指导，以部门预算文本及相关资料为基础，制定了部门整体支出绩效评价指标体系。</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（一）投入（12分）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主要反映绩效目标设定是否合理、科学，绩效指标的制定是否清晰、可衡量，预算编制是否完整，项目预算是否细化及在职人员控制情况。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（二）过程（48分）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（三）产出（25分）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主要反映结转结余率，项目资金使用率</w:t>
      </w:r>
      <w:bookmarkStart w:id="6" w:name="_GoBack"/>
      <w:bookmarkEnd w:id="6"/>
      <w:r>
        <w:rPr>
          <w:rFonts w:hint="eastAsia" w:ascii="仿宋" w:hAnsi="仿宋" w:eastAsia="仿宋" w:cs="DengXian-Regular"/>
          <w:sz w:val="32"/>
          <w:szCs w:val="32"/>
        </w:rPr>
        <w:t>。</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r>
        <w:rPr>
          <w:rFonts w:hint="eastAsia" w:ascii="楷体_GB2312" w:eastAsia="楷体_GB2312" w:hAnsiTheme="minorEastAsia"/>
          <w:kern w:val="2"/>
          <w:sz w:val="32"/>
        </w:rPr>
        <w:t>（四）效果（15分）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r>
        <w:rPr>
          <w:rFonts w:hint="eastAsia" w:ascii="黑体"/>
        </w:rPr>
        <w:t>三、综合绩效评价工作情况</w:t>
      </w:r>
    </w:p>
    <w:p>
      <w:pPr>
        <w:pStyle w:val="4"/>
        <w:spacing w:before="0" w:after="0"/>
        <w:ind w:firstLine="643" w:firstLineChars="200"/>
        <w:jc w:val="both"/>
        <w:rPr>
          <w:rFonts w:ascii="楷体_GB2312" w:eastAsia="楷体_GB2312" w:hAnsiTheme="minorEastAsia"/>
          <w:sz w:val="32"/>
        </w:rPr>
      </w:pPr>
      <w:r>
        <w:rPr>
          <w:rFonts w:hint="eastAsia" w:ascii="楷体_GB2312" w:eastAsia="楷体_GB2312" w:hAnsiTheme="minorEastAsia"/>
          <w:kern w:val="2"/>
          <w:sz w:val="32"/>
        </w:rPr>
        <w:t>（一）绩效评价目的</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通过对我单位2021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（二）绩效评价依据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w:t>
      </w:r>
      <w:r>
        <w:rPr>
          <w:rFonts w:ascii="仿宋" w:hAnsi="仿宋" w:eastAsia="仿宋" w:cs="DengXian-Regular"/>
          <w:sz w:val="32"/>
          <w:szCs w:val="32"/>
        </w:rPr>
        <w:t>《中华人民共和国预算法》；</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w:t>
      </w:r>
      <w:r>
        <w:rPr>
          <w:rFonts w:ascii="仿宋" w:hAnsi="仿宋" w:eastAsia="仿宋" w:cs="DengXian-Regular"/>
          <w:sz w:val="32"/>
          <w:szCs w:val="32"/>
        </w:rPr>
        <w:t>《河北省财政支出绩效评价管理办法》（冀财预</w:t>
      </w:r>
      <w:r>
        <w:rPr>
          <w:rFonts w:hint="eastAsia" w:ascii="仿宋" w:hAnsi="仿宋" w:eastAsia="仿宋" w:cs="DengXian-Regular"/>
          <w:sz w:val="32"/>
          <w:szCs w:val="32"/>
        </w:rPr>
        <w:t xml:space="preserve">〔2011〕68号）； </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4.中共河北省委河北省人民政府</w:t>
      </w:r>
      <w:r>
        <w:rPr>
          <w:rFonts w:ascii="仿宋" w:hAnsi="仿宋" w:eastAsia="仿宋" w:cs="DengXian-Regular"/>
          <w:sz w:val="32"/>
          <w:szCs w:val="32"/>
        </w:rPr>
        <w:t>《</w:t>
      </w:r>
      <w:r>
        <w:rPr>
          <w:rFonts w:hint="eastAsia" w:ascii="仿宋" w:hAnsi="仿宋" w:eastAsia="仿宋" w:cs="DengXian-Regular"/>
          <w:sz w:val="32"/>
          <w:szCs w:val="32"/>
        </w:rPr>
        <w:t>关于全面实施预算绩效管理的实施意见</w:t>
      </w:r>
      <w:r>
        <w:rPr>
          <w:rFonts w:ascii="仿宋" w:hAnsi="仿宋" w:eastAsia="仿宋" w:cs="DengXian-Regular"/>
          <w:sz w:val="32"/>
          <w:szCs w:val="32"/>
        </w:rPr>
        <w:t>》（冀</w:t>
      </w:r>
      <w:r>
        <w:rPr>
          <w:rFonts w:hint="eastAsia" w:ascii="仿宋" w:hAnsi="仿宋" w:eastAsia="仿宋" w:cs="DengXian-Regular"/>
          <w:sz w:val="32"/>
          <w:szCs w:val="32"/>
        </w:rPr>
        <w:t>发〔2018〕54</w:t>
      </w:r>
      <w:r>
        <w:rPr>
          <w:rFonts w:ascii="仿宋" w:hAnsi="仿宋" w:eastAsia="仿宋" w:cs="DengXian-Regular"/>
          <w:sz w:val="32"/>
          <w:szCs w:val="32"/>
        </w:rPr>
        <w:t>号）</w:t>
      </w:r>
      <w:r>
        <w:rPr>
          <w:rFonts w:hint="eastAsia" w:ascii="仿宋" w:hAnsi="仿宋" w:eastAsia="仿宋" w:cs="DengXian-Regular"/>
          <w:sz w:val="32"/>
          <w:szCs w:val="32"/>
        </w:rPr>
        <w:t>；</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7.其他与部门绩效评价工作相关的文件。</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（三）绩效评价内容</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我单位2021年部门整体支出绩效目标和指标的设置及完成情况；资金预算情况、实际收支情况及结转结余情况；部门履职对社会发展所带来的直接或间接影响及服务对象对部门履职效果的满意程度。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（四）绩效评价原则</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（五）绩效评价方法</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本次评价采取</w:t>
      </w:r>
      <w:r>
        <w:rPr>
          <w:rFonts w:hint="eastAsia" w:ascii="仿宋" w:hAnsi="仿宋" w:eastAsia="仿宋" w:cs="DengXian-Regular"/>
          <w:sz w:val="32"/>
          <w:szCs w:val="32"/>
        </w:rPr>
        <w:t>目标比较法、</w:t>
      </w:r>
      <w:r>
        <w:rPr>
          <w:rFonts w:ascii="仿宋" w:hAnsi="仿宋" w:eastAsia="仿宋" w:cs="DengXian-Regular"/>
          <w:sz w:val="32"/>
          <w:szCs w:val="32"/>
        </w:rPr>
        <w:t>定量和定性评价相结合和综合评价相结合</w:t>
      </w:r>
      <w:r>
        <w:rPr>
          <w:rFonts w:hint="eastAsia" w:ascii="仿宋" w:hAnsi="仿宋" w:eastAsia="仿宋" w:cs="DengXian-Regular"/>
          <w:sz w:val="32"/>
          <w:szCs w:val="32"/>
        </w:rPr>
        <w:t>的方式</w:t>
      </w:r>
      <w:r>
        <w:rPr>
          <w:rFonts w:ascii="仿宋" w:hAnsi="仿宋" w:eastAsia="仿宋" w:cs="DengXian-Regular"/>
          <w:sz w:val="32"/>
          <w:szCs w:val="32"/>
        </w:rPr>
        <w:t>，运用审查、</w:t>
      </w:r>
      <w:r>
        <w:rPr>
          <w:rFonts w:hint="eastAsia" w:ascii="仿宋" w:hAnsi="仿宋" w:eastAsia="仿宋" w:cs="DengXian-Regular"/>
          <w:sz w:val="32"/>
          <w:szCs w:val="32"/>
        </w:rPr>
        <w:t>询问查证和问卷调查</w:t>
      </w:r>
      <w:r>
        <w:rPr>
          <w:rFonts w:ascii="仿宋" w:hAnsi="仿宋" w:eastAsia="仿宋" w:cs="DengXian-Regular"/>
          <w:sz w:val="32"/>
          <w:szCs w:val="32"/>
        </w:rPr>
        <w:t>等方法开展</w:t>
      </w:r>
      <w:r>
        <w:rPr>
          <w:rFonts w:hint="eastAsia" w:ascii="仿宋" w:hAnsi="仿宋" w:eastAsia="仿宋" w:cs="DengXian-Regular"/>
          <w:sz w:val="32"/>
          <w:szCs w:val="32"/>
        </w:rPr>
        <w:t>绩效</w:t>
      </w:r>
      <w:r>
        <w:rPr>
          <w:rFonts w:ascii="仿宋" w:hAnsi="仿宋" w:eastAsia="仿宋" w:cs="DengXian-Regular"/>
          <w:sz w:val="32"/>
          <w:szCs w:val="32"/>
        </w:rPr>
        <w:t>评价工作。</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1</w:t>
      </w:r>
      <w:r>
        <w:rPr>
          <w:rFonts w:hint="eastAsia" w:ascii="仿宋" w:hAnsi="仿宋" w:eastAsia="仿宋" w:cs="DengXian-Regular"/>
          <w:sz w:val="32"/>
          <w:szCs w:val="32"/>
        </w:rPr>
        <w:t>.</w:t>
      </w:r>
      <w:r>
        <w:rPr>
          <w:rFonts w:ascii="仿宋" w:hAnsi="仿宋" w:eastAsia="仿宋" w:cs="DengXian-Regular"/>
          <w:sz w:val="32"/>
          <w:szCs w:val="32"/>
        </w:rPr>
        <w:t>审查法：通过审查被评价单位的</w:t>
      </w:r>
      <w:r>
        <w:rPr>
          <w:rFonts w:hint="eastAsia" w:ascii="仿宋" w:hAnsi="仿宋" w:eastAsia="仿宋" w:cs="DengXian-Regular"/>
          <w:sz w:val="32"/>
          <w:szCs w:val="32"/>
        </w:rPr>
        <w:t>预算文本</w:t>
      </w:r>
      <w:r>
        <w:rPr>
          <w:rFonts w:ascii="仿宋" w:hAnsi="仿宋" w:eastAsia="仿宋" w:cs="DengXian-Regular"/>
          <w:sz w:val="32"/>
          <w:szCs w:val="32"/>
        </w:rPr>
        <w:t>、</w:t>
      </w:r>
      <w:r>
        <w:rPr>
          <w:rFonts w:hint="eastAsia" w:ascii="仿宋" w:hAnsi="仿宋" w:eastAsia="仿宋" w:cs="DengXian-Regular"/>
          <w:sz w:val="32"/>
          <w:szCs w:val="32"/>
        </w:rPr>
        <w:t>决算文本</w:t>
      </w:r>
      <w:r>
        <w:rPr>
          <w:rFonts w:ascii="仿宋" w:hAnsi="仿宋" w:eastAsia="仿宋" w:cs="DengXian-Regular"/>
          <w:sz w:val="32"/>
          <w:szCs w:val="32"/>
        </w:rPr>
        <w:t>、</w:t>
      </w:r>
      <w:r>
        <w:rPr>
          <w:rFonts w:hint="eastAsia" w:ascii="仿宋" w:hAnsi="仿宋" w:eastAsia="仿宋" w:cs="DengXian-Regular"/>
          <w:sz w:val="32"/>
          <w:szCs w:val="32"/>
        </w:rPr>
        <w:t>会计账簿、支出凭证、项目完成情况</w:t>
      </w:r>
      <w:r>
        <w:rPr>
          <w:rFonts w:ascii="仿宋" w:hAnsi="仿宋" w:eastAsia="仿宋" w:cs="DengXian-Regular"/>
          <w:sz w:val="32"/>
          <w:szCs w:val="32"/>
        </w:rPr>
        <w:t>等</w:t>
      </w:r>
      <w:r>
        <w:rPr>
          <w:rFonts w:hint="eastAsia" w:ascii="仿宋" w:hAnsi="仿宋" w:eastAsia="仿宋" w:cs="DengXian-Regular"/>
          <w:sz w:val="32"/>
          <w:szCs w:val="32"/>
        </w:rPr>
        <w:t>相关</w:t>
      </w:r>
      <w:r>
        <w:rPr>
          <w:rFonts w:ascii="仿宋" w:hAnsi="仿宋" w:eastAsia="仿宋" w:cs="DengXian-Regular"/>
          <w:sz w:val="32"/>
          <w:szCs w:val="32"/>
        </w:rPr>
        <w:t>资料，分析资金</w:t>
      </w:r>
      <w:r>
        <w:rPr>
          <w:rFonts w:hint="eastAsia" w:ascii="仿宋" w:hAnsi="仿宋" w:eastAsia="仿宋" w:cs="DengXian-Regular"/>
          <w:sz w:val="32"/>
          <w:szCs w:val="32"/>
        </w:rPr>
        <w:t>收</w:t>
      </w:r>
      <w:r>
        <w:rPr>
          <w:rFonts w:ascii="仿宋" w:hAnsi="仿宋" w:eastAsia="仿宋" w:cs="DengXian-Regular"/>
          <w:sz w:val="32"/>
          <w:szCs w:val="32"/>
        </w:rPr>
        <w:t>支的合理性</w:t>
      </w:r>
      <w:r>
        <w:rPr>
          <w:rFonts w:hint="eastAsia" w:ascii="仿宋" w:hAnsi="仿宋" w:eastAsia="仿宋" w:cs="DengXian-Regular"/>
          <w:sz w:val="32"/>
          <w:szCs w:val="32"/>
        </w:rPr>
        <w:t>和</w:t>
      </w:r>
      <w:r>
        <w:rPr>
          <w:rFonts w:ascii="仿宋" w:hAnsi="仿宋" w:eastAsia="仿宋" w:cs="DengXian-Regular"/>
          <w:sz w:val="32"/>
          <w:szCs w:val="32"/>
        </w:rPr>
        <w:t>合规性</w:t>
      </w:r>
      <w:r>
        <w:rPr>
          <w:rFonts w:hint="eastAsia" w:ascii="仿宋" w:hAnsi="仿宋" w:eastAsia="仿宋" w:cs="DengXian-Regular"/>
          <w:sz w:val="32"/>
          <w:szCs w:val="32"/>
        </w:rPr>
        <w:t>、预算执行及管理情况、绩效目标和指标的设置及完成情况、部门整体效益</w:t>
      </w:r>
      <w:r>
        <w:rPr>
          <w:rFonts w:ascii="仿宋" w:hAnsi="仿宋" w:eastAsia="仿宋" w:cs="DengXian-Regular"/>
          <w:sz w:val="32"/>
          <w:szCs w:val="32"/>
        </w:rPr>
        <w:t>。</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2.询问查证</w:t>
      </w:r>
      <w:r>
        <w:rPr>
          <w:rFonts w:ascii="仿宋" w:hAnsi="仿宋" w:eastAsia="仿宋" w:cs="DengXian-Regular"/>
          <w:sz w:val="32"/>
          <w:szCs w:val="32"/>
        </w:rPr>
        <w:t>法：</w:t>
      </w:r>
      <w:r>
        <w:rPr>
          <w:rFonts w:hint="eastAsia" w:ascii="仿宋" w:hAnsi="仿宋" w:eastAsia="仿宋" w:cs="DengXian-Regular"/>
          <w:sz w:val="32"/>
          <w:szCs w:val="32"/>
        </w:rPr>
        <w:t>在比较分析相关资料的基础上，通过询问的形式，核查项目资料是否真实、合理，从而对部门整体支出情况作出初步的判断和评价</w:t>
      </w:r>
      <w:r>
        <w:rPr>
          <w:rFonts w:ascii="仿宋" w:hAnsi="仿宋" w:eastAsia="仿宋" w:cs="DengXian-Regular"/>
          <w:sz w:val="32"/>
          <w:szCs w:val="32"/>
        </w:rPr>
        <w:t>。</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3.问卷调查</w:t>
      </w:r>
      <w:r>
        <w:rPr>
          <w:rFonts w:ascii="仿宋" w:hAnsi="仿宋" w:eastAsia="仿宋" w:cs="DengXian-Regular"/>
          <w:sz w:val="32"/>
          <w:szCs w:val="32"/>
        </w:rPr>
        <w:t>法：通过</w:t>
      </w:r>
      <w:r>
        <w:rPr>
          <w:rFonts w:hint="eastAsia" w:ascii="仿宋" w:hAnsi="仿宋" w:eastAsia="仿宋" w:cs="DengXian-Regular"/>
          <w:sz w:val="32"/>
          <w:szCs w:val="32"/>
        </w:rPr>
        <w:t>设计调查问卷，在一定范围内随机发放，并收集分析调查问卷，</w:t>
      </w:r>
      <w:r>
        <w:rPr>
          <w:rFonts w:ascii="仿宋" w:hAnsi="仿宋" w:eastAsia="仿宋" w:cs="DengXian-Regular"/>
          <w:sz w:val="32"/>
          <w:szCs w:val="32"/>
        </w:rPr>
        <w:t>对财政支出的效果进行</w:t>
      </w:r>
      <w:r>
        <w:rPr>
          <w:rFonts w:hint="eastAsia" w:ascii="仿宋" w:hAnsi="仿宋" w:eastAsia="仿宋" w:cs="DengXian-Regular"/>
          <w:sz w:val="32"/>
          <w:szCs w:val="32"/>
        </w:rPr>
        <w:t>评价</w:t>
      </w:r>
      <w:r>
        <w:rPr>
          <w:rFonts w:ascii="仿宋" w:hAnsi="仿宋" w:eastAsia="仿宋" w:cs="DengXian-Regular"/>
          <w:sz w:val="32"/>
          <w:szCs w:val="32"/>
        </w:rPr>
        <w:t>，</w:t>
      </w:r>
      <w:r>
        <w:rPr>
          <w:rFonts w:hint="eastAsia" w:ascii="仿宋" w:hAnsi="仿宋" w:eastAsia="仿宋" w:cs="DengXian-Regular"/>
          <w:sz w:val="32"/>
          <w:szCs w:val="32"/>
        </w:rPr>
        <w:t>了解服务对象对部门履职效果</w:t>
      </w:r>
      <w:r>
        <w:rPr>
          <w:rFonts w:ascii="仿宋" w:hAnsi="仿宋" w:eastAsia="仿宋" w:cs="DengXian-Regular"/>
          <w:sz w:val="32"/>
          <w:szCs w:val="32"/>
        </w:rPr>
        <w:t>的满意</w:t>
      </w:r>
      <w:r>
        <w:rPr>
          <w:rFonts w:hint="eastAsia" w:ascii="仿宋" w:hAnsi="仿宋" w:eastAsia="仿宋" w:cs="DengXian-Regular"/>
          <w:sz w:val="32"/>
          <w:szCs w:val="32"/>
        </w:rPr>
        <w:t>程</w:t>
      </w:r>
      <w:r>
        <w:rPr>
          <w:rFonts w:ascii="仿宋" w:hAnsi="仿宋" w:eastAsia="仿宋" w:cs="DengXian-Regular"/>
          <w:sz w:val="32"/>
          <w:szCs w:val="32"/>
        </w:rPr>
        <w:t>度。</w:t>
      </w:r>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1.前期准备阶段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2.制定绩效评价实施方案和体系</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基于我单位相关资料的收集，制定绩效评价实施方案和体系,确定最终方案。</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3.组织实施阶段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绩效评价实施方案和指标体系，对我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4.撰写绩效评价报告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r>
        <w:rPr>
          <w:rFonts w:hint="eastAsia" w:ascii="黑体"/>
        </w:rPr>
        <w:t>四、绩效评价评分情况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我单位部门整体支出绩效评价总得分为90.2分，综合绩效评价等级为“优”。各项得分情况如下：</w:t>
      </w:r>
      <w:r>
        <w:rPr>
          <w:rFonts w:ascii="仿宋" w:hAnsi="仿宋" w:eastAsia="仿宋" w:cs="DengXian-Regular"/>
          <w:sz w:val="32"/>
          <w:szCs w:val="32"/>
        </w:rPr>
        <w:t xml:space="preserve"> </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（一）投入（12分）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 w:hAnsi="仿宋" w:eastAsia="仿宋"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4"/>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1.绩效目标设定（6分）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（1）绩效目标合理性(2分)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通过对比保定市徐水区委办公室及保定市徐水区人民政府办公室印发的《保定市徐水区东史端镇人民政府职能配置内设机构和人员编制规定》和徐水区东史端镇人民政府2021年预算文本—部门职责工作活动绩效目标，我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（2）绩效目标科学性（2分）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根据区我单位2021年预算文本—部门职责工作活动绩效目标（详见附件4），绩效目标与部门履职、年度工作任务相符；工作活动有明确的绩效目标，绩效目标与部门职责目标、部门年度工作目标一致。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（3）绩效目标明确性（2分）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根据我单位2021年预算文本—部门职责工作活动绩效目标,该指标实际得分2分。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2.预算配置（6分）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（1）预算编制完整性（2分）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根据我单位2021年预算文本及相关会计资料，我单位所有收入均已纳入部门预算，部门支出按基本支出、项目支出分别编制。</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（2）项目预算细化率（2分）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部门项目支出预算表，东史端镇人民政府2021年预算项目共28个（详见附件2-2-2），涉及资金1583.22万元，所有项目均细化到具体用款单位及项目资金额度。项目预算细化率=（1583.22/1583.22）*100%=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（3）在职人员控制率（2分）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该指标主要考核截至2021年底我单位在职人员控制情况，通过在职人员控制率衡量。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在职人员控制率=决算在职人员/编制数×100%。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保定市徐水区委办公室及保定市徐水区人民政府办公室关于印发《保定市徐水区东史端镇人民政府职能配置内设机构和人员编制规定》的通知，徐水区东史端镇人民政府人员编制为48人，根据我单位2021年决算文本-部门基本情况表，截至2021年底，在职人员100人，在职人员控制率=（100/48）*100%=208.33%。</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该指标实际得分0分。</w:t>
      </w:r>
    </w:p>
    <w:p>
      <w:pPr>
        <w:pStyle w:val="4"/>
        <w:spacing w:before="0" w:after="0"/>
        <w:ind w:firstLine="643" w:firstLineChars="200"/>
        <w:jc w:val="both"/>
        <w:rPr>
          <w:rFonts w:ascii="楷体" w:hAnsi="楷体" w:eastAsia="楷体"/>
          <w:sz w:val="32"/>
        </w:rPr>
      </w:pPr>
      <w:r>
        <w:rPr>
          <w:rFonts w:hint="eastAsia" w:ascii="楷体" w:hAnsi="楷体" w:eastAsia="楷体"/>
          <w:sz w:val="32"/>
        </w:rPr>
        <w:t>（二）过程（48分）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40.2</w:t>
            </w:r>
          </w:p>
        </w:tc>
      </w:tr>
    </w:tbl>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1.预算执行（24分）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（1）预算收入调整率（2分）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的预算指标文件，其中：徐财预指[2021]3-1007号追加信访问题及解决部分退役士兵岗位、待遇资金2万元；徐财预指[2021]1-1016号追加兑付交回承包土地农民养老保险补贴资金72.98万元；徐财预指[2021]1-1171号追加驻宗教重点村基层治理工作队工作经费16万元；徐财预指[2021]3-1004号追加村级组织建设维护资金10.50万元；保财农[2021]10号追加下达2021年市级扶持村级集体经济补助资金5万元；徐财预指[2021]1-1203号追加秸秆垃圾禁烧工作费用和三级禁烧网格员补贴资金11.75万元；徐财预指[2021]3-1032号追加第二季度政法稳定工作经费10万元；保财教[2021]6号追加2021年省级支持市县科技创新和科学普及专项资金（科技特派员专项经费）5万元；徐财预指[2021]1－1233号追加新冠疫苗接种工作经费4万元；保财教[2020]73号追加2021年中央补助地方美术馆、公共图书馆、文化馆（站）免费开放补助资金1.7万元；徐财预指[2021]1-1281号追加京港澳高速绿化带遗留问题资金95万元；保财农[2020]98号追加提前下达2021年中央农村综合改革转移支付资金30万元；保财农[2020]93号追加提前下达2021年省级农村综合改革转移支付资金15万元；保财农[2021]56号追加2021年中央农村综合改革转移支付资金（农村公益事业建设项目）34万元；徐财预指[2021]3-0009号追加日常公用经费0.51万元；徐财预指[2021]3-1083号追加村级组织建设维护资金3万元；徐财预指[2021]1-1384号追加锅炉低氮改造资金16.9万元；徐财预指[2021]1-1436号追加东史端镇违建拆除经费8万元；徐财预指[2021]1-1474号追加兑付交回承包土地农民养老保险补贴资金54.1万元；我单位2021年度预算收入的追加数为395.44万元，年初预算数为2874.08万元，预算收入调整率为13.76%，预算调整增加了13.76个百分点，超过10%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（2）收入完成率（4分）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收入完成率=（决算收入/预算收入）×100%。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根据我单位2021年预算文本、决算文本，2021年收入预算数2874.08万元，收入决算数3030.99万元，收入完成率=（3030.99/2874.08）*100%=105.46%。</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（3）预算支出调整率（2分）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徐财预指[2021]3-1007号追加信访问题及解决部分退役士兵岗位、待遇资金2万元；徐财预指[2021]1-1016号追加兑付交回承包土地农民养老保险补贴资金72.98万元；徐财预指[2021]1-1171号追加驻宗教重点村基层治理工作队工作经费16万元；徐财预指[2021]3-1004号追加村级组织建设维护资金10.50万元；保财农[2021]10号追加下达2021年市级扶持村级集体经济补助资金5万元；徐财预指[2021]1-1203号追加秸秆垃圾禁烧工作费用和三级禁烧网格员补贴资金11.75万元；徐财预指[2021]3-1032号追加第二季度政法稳定工作经费10万元；保财教[2021]6号追加2021年省级支持市县科技创新和科学普及专项资金（科技特派员专项经费）5万元；徐财预指[2021]1－1233号追加新冠疫苗接种工作经费4万元；保财教[2020]73号追加2021年中央补助地方美术馆、公共图书馆、文化馆（站）免费开放补助资金1.7万元；徐财预指[2021]1-1281号追加京港澳高速绿化带遗留问题资金95万元；保财农[2020]98号追加提前下达2021年中央农村综合改革转移支付资金30万元；保财农[2020]93号追加提前下达2021年省级农村综合改革转移支付资金15万元；保财农[2021]56号追加2021年中央农村综合改革转移支付资金（农村公益事业建设项目）34万元；徐财预指[2021]3-0009号追加日常公用经费0.51万元；徐财预指[2021]3-1083号追加村级组织建设维护资金3万元；徐财预指[2021]1-1384号追加锅炉低氮改造资金16.9万元；徐财预指[2021]1-1436号追加东史端镇违建拆除经费8万元；徐财预指[2021]1-1474号追加兑付交回承包土地农民养老保险补贴资金54.1万元；我单位2021年度预算收入的追加数为395.44万元，年初预算数为2874.08万元，预算收入调整率为13.76%，预算调整增加了13.76个百分点，超过10%。该项指标实际得分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（4）财政拨款支出完成率（4分）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我单位提供的2021年决算文本，部门决算财政拨款支出数3145.54万元，财政拨款收入数3030.79万元，财政拨款支出率=（财政拨款支出数/财政拨款收入数）*100%=103.79%</w:t>
      </w:r>
      <w:r>
        <w:rPr>
          <w:rFonts w:ascii="仿宋" w:hAnsi="仿宋" w:eastAsia="仿宋" w:cs="DengXian-Regular"/>
          <w:sz w:val="32"/>
          <w:szCs w:val="32"/>
        </w:rPr>
        <w:t>≥</w:t>
      </w:r>
      <w:r>
        <w:rPr>
          <w:rFonts w:hint="eastAsia" w:ascii="仿宋" w:hAnsi="仿宋" w:eastAsia="仿宋" w:cs="DengXian-Regular"/>
          <w:sz w:val="32"/>
          <w:szCs w:val="32"/>
        </w:rPr>
        <w:t>90%。我单位2021年年初结转和结余115.28万元，故支出数大于收入数。</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（5）“三公”经费控制率（3分）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“三公”经费控制率=（实际支出数/预算数）*100%。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根据我单位2021年预算文本及决算文本，“三公”经费年初预算数26.9万元，年末决算数2.9万元，“三公”经费控制率=（年末决算数/年初预算数）*100%=10.78%</w:t>
      </w:r>
      <w:r>
        <w:rPr>
          <w:rFonts w:ascii="仿宋" w:hAnsi="仿宋" w:eastAsia="仿宋" w:cs="DengXian-Regular"/>
          <w:sz w:val="32"/>
          <w:szCs w:val="32"/>
        </w:rPr>
        <w:t>≤</w:t>
      </w:r>
      <w:r>
        <w:rPr>
          <w:rFonts w:hint="eastAsia" w:ascii="仿宋" w:hAnsi="仿宋" w:eastAsia="仿宋" w:cs="DengXian-Regular"/>
          <w:sz w:val="32"/>
          <w:szCs w:val="32"/>
        </w:rPr>
        <w:t>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（6）政府采购执行率（3分）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根据我单位2021年预算文本及决算文本，政府采购年初预算数0万元，年末决算数200.75万元，政府采购执行率为0。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该指标实际得分为0分。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（7）资金使用合规性（3分）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明细账、会计凭证等相关资料，我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（8）决算真实性（3分）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经核查我单位2021年决算文本、明细账及总账，我单位决算文本数据均与明细账、总账一致。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该指标实际得分3分。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2.预算管理（16分）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（1）管理制度健全性（4分）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我单位工作制度涵盖了财务制度、网络安全制度、公务用车制度等相关制度，经检查我单位付款流程审批单、资产盘点表等资料，我单位已按照相关管理制度的规定执行。</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（2）预决算信息公开性（4分）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2021年按政府信息公开的有关要求在保定市徐水区人民政府网公开了2021年的预算情况、部门责任清单、行政监督清单等相关信息；2021年决算待财政局批复后在规定时间内按政府信息公开的有关要求进行公开。</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（3）基础信息完善性（4分）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根据我单位提供的会计账簿、凭证及其他相关资料，我单位会计信息资料真实完整，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（4）资产管理规范性（4分）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建立了固定资产台账、无形资产台账，资产保存完整，2021年新增资产48.8万元，包含：办公设备（8.06万元）、家具（4.45万元）、图书（0.49万元），调拨清洗车（35.8万元），2021资产购置手续完备，配置符合要求，资产管理整体较规范。</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3.绩效评价（8分）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（1）绩效自评覆盖率（4分）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徐水区财政局《关于开展2021年度财政专项资金部门绩效自评价工作的通知》及徐水区东史端镇人民政府2021年一般项目部门绩效自评表，我单位2021年开展绩效自评的项目数为28个，年初预算文本项目数24个，要求自评项目个数28个，自评覆盖率为85%。</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该指标实际得分3.4分。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（2）绩效评价优等率（4分）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绩效评价优等率=（结果达到优等的数量/参评数量）*100%。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我单位2021年参评数量28个，绩效评价结果达到优等的数量27个，绩效评价优等率为96%。</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该指标实际得分3.8分。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（三）产出（25分）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该一级指标包含责任履行一个二级指标，主要反映结转结余率，项目资金使用率，完成及时率，质量达标率，重点工作办结率。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4"/>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ascii="宋体" w:hAnsi="宋体" w:eastAsia="宋体" w:cs="宋体"/>
                <w:sz w:val="21"/>
                <w:szCs w:val="21"/>
              </w:rPr>
            </w:pPr>
            <w:r>
              <w:rPr>
                <w:rFonts w:hint="eastAsia" w:ascii="宋体" w:hAnsi="宋体" w:eastAsia="宋体" w:cs="DengXian-Regular"/>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1.结转结余率（5分）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结转结余率=（本年结转结余数/决算收入数）*100%。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根据我单位2021年决算文本及相关资料，我单位2021年结转结余资金0.73万元，决算收入3030.99万元，结转结余率0.02%，小于5%。</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2.项目资金使用率（5分）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我单位2021年实际支出项目资金总额1899.11万元，年初预算共24个项目，预算数1515.87万元，年中追加项目资金383.24万元，项目资金使用率为100%。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3.完成及时率（5分）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该指标主要评价项目的完成及时情况，通过项目完成率来衡量。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完成及时率=（部门在规定时限内及时完成的实际项目数/计划项目数的比率）*100%。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本单位2021年年初预算项目及追加项目全部在规定时限内完成，完成及时率达到100%。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4. 质量达标率（5分）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该指标主要评价项目是否按照绩效标准实施，通过达到绩效标准值的实际项目数与计划项目数的比率来衡量。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质量达标率=(达到绩效标准值的实际项目数/计划项目数的比率)*100%。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本单位2021年预算项目全部按照绩效标准实施并全部完成，质量达标率100%。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5.重点工作办结率（5分）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该指标主要评价重点工作办结情况，通过重点工作办结率来衡量。</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重点工作办结率=（部门（单位）年度重点工作实际完成数/交办或下达数的比率）*100%。</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本单位2021年重点工作如维稳、扶贫、文化等工作完成数与交办的重点工作数的比率。</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本单位2021年重点工作如维稳、扶贫、文化等 重点工作全部按要求办结。</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（四）效果（15分）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4"/>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tbl>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1.部门整体效益（10分）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经查看本单位提供的相关资料，本单位履行职责对社会发展所带来的社会效益较显著，有效的推进了农业产业化、促进了农民增收；通过调解民事纠纷，维护了社会稳定；丰富了农村业余文化生活等。</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该项指标实际得分10分。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2.考评满意度（5分）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该指标主要评价社会公众或部门的服务对象对部门履职效果的满意程度。</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4"/>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单项满意度得分=总分数/总人数</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总体满意度得分=∑1/3各单项满意度得分</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经计算，总体得分为100分，大于90分，评价等级为“优”。</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该指标实际得分5分。</w:t>
      </w:r>
    </w:p>
    <w:bookmarkEnd w:id="0"/>
    <w:p>
      <w:pPr>
        <w:pStyle w:val="3"/>
        <w:keepNext w:val="0"/>
        <w:keepLines w:val="0"/>
        <w:suppressLineNumbers/>
        <w:spacing w:before="0" w:after="0" w:line="360" w:lineRule="auto"/>
        <w:ind w:firstLine="643" w:firstLineChars="200"/>
        <w:rPr>
          <w:rFonts w:ascii="黑体"/>
        </w:rPr>
      </w:pPr>
      <w:bookmarkStart w:id="1" w:name="_Toc13757"/>
      <w:r>
        <w:rPr>
          <w:rFonts w:hint="eastAsia" w:ascii="黑体"/>
        </w:rPr>
        <w:t>五、绩效评价发现的问题</w:t>
      </w:r>
      <w:bookmarkEnd w:id="1"/>
      <w:bookmarkStart w:id="2" w:name="_Toc492652789"/>
      <w:r>
        <w:rPr>
          <w:rFonts w:hint="eastAsia" w:ascii="黑体"/>
        </w:rPr>
        <w:t>及建议</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通过对各指标得分及扣分原因的分析，我单位2021年部门整体支出基本按相关要求执行预算、决算，完成了绩效目标，资金使用效益良好。通过评价，也发现一些不足之处，具体情况如下：</w:t>
      </w:r>
      <w:bookmarkStart w:id="3" w:name="_Toc20723"/>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1.</w:t>
      </w:r>
      <w:r>
        <w:rPr>
          <w:rFonts w:hint="eastAsia" w:ascii="仿宋" w:hAnsi="仿宋" w:eastAsia="仿宋" w:cs="DengXian-Regular"/>
          <w:sz w:val="32"/>
          <w:szCs w:val="32"/>
        </w:rPr>
        <w:t>部分绩效指标方面：绩效指标设置应更加明确，增强绩效指标的针对性。</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2.</w:t>
      </w:r>
      <w:r>
        <w:rPr>
          <w:rFonts w:hint="eastAsia" w:ascii="仿宋" w:hAnsi="仿宋" w:eastAsia="仿宋" w:cs="DengXian-Regular"/>
          <w:sz w:val="32"/>
          <w:szCs w:val="32"/>
        </w:rPr>
        <w:t>预算决算比较：在预算执行过程中，应加强预算监控。</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3.</w:t>
      </w:r>
      <w:r>
        <w:rPr>
          <w:rFonts w:hint="eastAsia" w:ascii="仿宋" w:hAnsi="仿宋" w:eastAsia="仿宋" w:cs="DengXian-Regular"/>
          <w:sz w:val="32"/>
          <w:szCs w:val="32"/>
        </w:rPr>
        <w:t>预算追加方面</w:t>
      </w:r>
      <w:r>
        <w:rPr>
          <w:rFonts w:ascii="仿宋" w:hAnsi="仿宋" w:eastAsia="仿宋" w:cs="DengXian-Regular"/>
          <w:sz w:val="32"/>
          <w:szCs w:val="32"/>
        </w:rPr>
        <w:t>:</w:t>
      </w:r>
      <w:r>
        <w:rPr>
          <w:rFonts w:hint="eastAsia" w:ascii="仿宋" w:hAnsi="仿宋" w:eastAsia="仿宋" w:cs="DengXian-Regular"/>
          <w:sz w:val="32"/>
          <w:szCs w:val="32"/>
        </w:rPr>
        <w:t>年初预算应更加细化，减少追加项目。</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4.</w:t>
      </w:r>
      <w:r>
        <w:rPr>
          <w:rFonts w:hint="eastAsia" w:ascii="仿宋" w:hAnsi="仿宋" w:eastAsia="仿宋" w:cs="DengXian-Regular"/>
          <w:sz w:val="32"/>
          <w:szCs w:val="32"/>
        </w:rPr>
        <w:t>政府采购方面</w:t>
      </w:r>
      <w:r>
        <w:rPr>
          <w:rFonts w:ascii="仿宋" w:hAnsi="仿宋" w:eastAsia="仿宋" w:cs="DengXian-Regular"/>
          <w:sz w:val="32"/>
          <w:szCs w:val="32"/>
        </w:rPr>
        <w:t>:</w:t>
      </w:r>
      <w:r>
        <w:rPr>
          <w:rFonts w:hint="eastAsia" w:ascii="仿宋" w:hAnsi="仿宋" w:eastAsia="仿宋" w:cs="DengXian-Regular"/>
          <w:sz w:val="32"/>
          <w:szCs w:val="32"/>
        </w:rPr>
        <w:t>应编制政府采购预算。</w:t>
      </w:r>
    </w:p>
    <w:p>
      <w:pPr>
        <w:spacing w:after="0" w:line="360" w:lineRule="auto"/>
        <w:ind w:firstLine="640" w:firstLineChars="200"/>
        <w:jc w:val="both"/>
        <w:textAlignment w:val="baseline"/>
        <w:rPr>
          <w:rFonts w:ascii="仿宋" w:hAnsi="仿宋" w:eastAsia="仿宋" w:cs="DengXian-Regular"/>
          <w:sz w:val="32"/>
          <w:szCs w:val="32"/>
        </w:rPr>
      </w:pPr>
      <w:r>
        <w:rPr>
          <w:rFonts w:ascii="仿宋" w:hAnsi="仿宋" w:eastAsia="仿宋" w:cs="DengXian-Regular"/>
          <w:sz w:val="32"/>
          <w:szCs w:val="32"/>
        </w:rPr>
        <w:t>5.</w:t>
      </w:r>
      <w:r>
        <w:rPr>
          <w:rFonts w:hint="eastAsia" w:ascii="仿宋" w:hAnsi="仿宋" w:eastAsia="仿宋" w:cs="DengXian-Regular"/>
          <w:sz w:val="32"/>
          <w:szCs w:val="32"/>
        </w:rPr>
        <w:t>项目资金使用率方面：在预算执行过程中，应合理调度专项资金，提高项目资金的使用效益。</w:t>
      </w:r>
    </w:p>
    <w:bookmarkEnd w:id="2"/>
    <w:bookmarkEnd w:id="3"/>
    <w:p>
      <w:pPr>
        <w:spacing w:after="0" w:line="360" w:lineRule="auto"/>
        <w:ind w:firstLine="640" w:firstLineChars="200"/>
        <w:jc w:val="both"/>
        <w:textAlignment w:val="baseline"/>
        <w:rPr>
          <w:rFonts w:ascii="仿宋" w:hAnsi="仿宋" w:eastAsia="仿宋" w:cs="DengXian-Regular"/>
          <w:sz w:val="32"/>
          <w:szCs w:val="32"/>
        </w:rPr>
      </w:pP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附件：1.保定市徐水区徐水区东史端镇人民政府基本情况及主要职责</w:t>
      </w:r>
    </w:p>
    <w:p>
      <w:pPr>
        <w:spacing w:after="0" w:line="360" w:lineRule="auto"/>
        <w:ind w:firstLine="640" w:firstLineChars="200"/>
        <w:jc w:val="both"/>
        <w:textAlignment w:val="baseline"/>
        <w:rPr>
          <w:rFonts w:ascii="仿宋" w:hAnsi="仿宋" w:eastAsia="仿宋" w:cs="DengXian-Regular"/>
          <w:sz w:val="32"/>
          <w:szCs w:val="32"/>
        </w:rPr>
      </w:pPr>
      <w:r>
        <w:rPr>
          <w:rFonts w:hint="eastAsia" w:ascii="仿宋" w:hAnsi="仿宋" w:eastAsia="仿宋" w:cs="DengXian-Regular"/>
          <w:sz w:val="32"/>
          <w:szCs w:val="32"/>
        </w:rPr>
        <w:t>2.</w:t>
      </w:r>
      <w:r>
        <w:rPr>
          <w:rFonts w:ascii="仿宋" w:hAnsi="仿宋" w:eastAsia="仿宋" w:cs="DengXian-Regular"/>
          <w:sz w:val="32"/>
          <w:szCs w:val="32"/>
        </w:rPr>
        <w:t>202</w:t>
      </w:r>
      <w:r>
        <w:rPr>
          <w:rFonts w:hint="eastAsia" w:ascii="仿宋" w:hAnsi="仿宋" w:eastAsia="仿宋" w:cs="DengXian-Regular"/>
          <w:sz w:val="32"/>
          <w:szCs w:val="32"/>
        </w:rPr>
        <w:t>1年度保定市徐水区东史端镇人民政府收支预算及决算明细表</w:t>
      </w:r>
    </w:p>
    <w:p>
      <w:pPr>
        <w:spacing w:after="0" w:line="360" w:lineRule="auto"/>
        <w:ind w:firstLine="640" w:firstLineChars="200"/>
        <w:jc w:val="both"/>
        <w:textAlignment w:val="baseline"/>
        <w:rPr>
          <w:rFonts w:ascii="仿宋" w:hAnsi="仿宋" w:eastAsia="仿宋" w:cs="DengXian-Regular"/>
          <w:sz w:val="32"/>
          <w:szCs w:val="32"/>
        </w:rPr>
      </w:pPr>
      <w:bookmarkStart w:id="4" w:name="_Toc465149534"/>
      <w:r>
        <w:rPr>
          <w:rFonts w:hint="eastAsia" w:ascii="仿宋" w:hAnsi="仿宋" w:eastAsia="仿宋" w:cs="DengXian-Regular"/>
          <w:sz w:val="32"/>
          <w:szCs w:val="32"/>
        </w:rPr>
        <w:t>3.</w:t>
      </w:r>
      <w:bookmarkEnd w:id="4"/>
      <w:r>
        <w:rPr>
          <w:rFonts w:hint="eastAsia" w:ascii="仿宋" w:hAnsi="仿宋" w:eastAsia="仿宋" w:cs="DengXian-Regular"/>
          <w:sz w:val="32"/>
          <w:szCs w:val="32"/>
        </w:rPr>
        <w:t>部门整体支出绩效评价指标体系</w:t>
      </w:r>
    </w:p>
    <w:p>
      <w:pPr>
        <w:spacing w:after="0" w:line="360" w:lineRule="auto"/>
        <w:ind w:firstLine="640" w:firstLineChars="200"/>
        <w:jc w:val="both"/>
        <w:textAlignment w:val="baseline"/>
        <w:rPr>
          <w:rFonts w:ascii="仿宋" w:hAnsi="仿宋" w:eastAsia="仿宋" w:cs="DengXian-Regular"/>
          <w:sz w:val="32"/>
          <w:szCs w:val="32"/>
        </w:rPr>
      </w:pPr>
      <w:bookmarkStart w:id="5" w:name="_Toc465149544"/>
      <w:r>
        <w:rPr>
          <w:rFonts w:hint="eastAsia" w:ascii="仿宋" w:hAnsi="仿宋" w:eastAsia="仿宋" w:cs="DengXian-Regular"/>
          <w:sz w:val="32"/>
          <w:szCs w:val="32"/>
        </w:rPr>
        <w:t>4.</w:t>
      </w:r>
      <w:bookmarkEnd w:id="5"/>
      <w:r>
        <w:rPr>
          <w:rFonts w:ascii="仿宋" w:hAnsi="仿宋" w:eastAsia="仿宋" w:cs="DengXian-Regular"/>
          <w:sz w:val="32"/>
          <w:szCs w:val="32"/>
        </w:rPr>
        <w:t>202</w:t>
      </w:r>
      <w:r>
        <w:rPr>
          <w:rFonts w:hint="eastAsia" w:ascii="仿宋" w:hAnsi="仿宋" w:eastAsia="仿宋" w:cs="DengXian-Regular"/>
          <w:sz w:val="32"/>
          <w:szCs w:val="32"/>
        </w:rPr>
        <w:t>1年徐水区东史端镇人民政府工作活动绩效目标、绩效指标一览表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39</w:t>
    </w:r>
    <w:r>
      <w:rPr>
        <w:lang w:val="zh-CN"/>
      </w:rPr>
      <w:fldChar w:fldCharType="end"/>
    </w:r>
  </w:p>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TU1YTkyNjQyYTJmZTcyNjczNmEwOWYyYTA5ZGM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3D0A"/>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47DEF"/>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7BE"/>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62AE"/>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29BE"/>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D18DF"/>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57B79"/>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0E14"/>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2342"/>
    <w:rsid w:val="00B036CB"/>
    <w:rsid w:val="00B130D5"/>
    <w:rsid w:val="00B13566"/>
    <w:rsid w:val="00B13A54"/>
    <w:rsid w:val="00B14220"/>
    <w:rsid w:val="00B14E25"/>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A661B"/>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0AB8"/>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650A02"/>
    <w:rsid w:val="159F345A"/>
    <w:rsid w:val="15E43EF8"/>
    <w:rsid w:val="16A81136"/>
    <w:rsid w:val="16AC4207"/>
    <w:rsid w:val="178A56FB"/>
    <w:rsid w:val="17A8647B"/>
    <w:rsid w:val="18253B4C"/>
    <w:rsid w:val="18DE2F69"/>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2B0438"/>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1D557FF"/>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3"/>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4"/>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5"/>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6"/>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7"/>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4"/>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2"/>
    <w:unhideWhenUsed/>
    <w:qFormat/>
    <w:uiPriority w:val="99"/>
  </w:style>
  <w:style w:type="paragraph" w:styleId="10">
    <w:name w:val="Body Text"/>
    <w:basedOn w:val="1"/>
    <w:link w:val="45"/>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6"/>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Date"/>
    <w:basedOn w:val="1"/>
    <w:next w:val="1"/>
    <w:link w:val="76"/>
    <w:semiHidden/>
    <w:unhideWhenUsed/>
    <w:qFormat/>
    <w:uiPriority w:val="99"/>
    <w:pPr>
      <w:ind w:left="100" w:leftChars="2500"/>
    </w:pPr>
  </w:style>
  <w:style w:type="paragraph" w:styleId="14">
    <w:name w:val="Balloon Text"/>
    <w:basedOn w:val="1"/>
    <w:link w:val="47"/>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5">
    <w:name w:val="footer"/>
    <w:basedOn w:val="1"/>
    <w:link w:val="39"/>
    <w:unhideWhenUsed/>
    <w:qFormat/>
    <w:uiPriority w:val="99"/>
    <w:pPr>
      <w:tabs>
        <w:tab w:val="center" w:pos="4153"/>
        <w:tab w:val="right" w:pos="8306"/>
      </w:tabs>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8">
    <w:name w:val="footnote text"/>
    <w:basedOn w:val="1"/>
    <w:link w:val="48"/>
    <w:qFormat/>
    <w:uiPriority w:val="99"/>
    <w:pPr>
      <w:widowControl w:val="0"/>
      <w:adjustRightInd/>
      <w:spacing w:after="0"/>
    </w:pPr>
    <w:rPr>
      <w:rFonts w:ascii="Times New Roman" w:hAnsi="Times New Roman" w:eastAsia="宋体" w:cs="Times New Roman"/>
      <w:kern w:val="2"/>
      <w:sz w:val="18"/>
      <w:szCs w:val="18"/>
    </w:rPr>
  </w:style>
  <w:style w:type="paragraph" w:styleId="19">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20">
    <w:name w:val="HTML Preformatted"/>
    <w:basedOn w:val="1"/>
    <w:link w:val="49"/>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1">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2">
    <w:name w:val="Title"/>
    <w:basedOn w:val="1"/>
    <w:next w:val="1"/>
    <w:link w:val="71"/>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3">
    <w:name w:val="annotation subject"/>
    <w:basedOn w:val="9"/>
    <w:next w:val="9"/>
    <w:link w:val="43"/>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6">
    <w:name w:val="page number"/>
    <w:basedOn w:val="25"/>
    <w:qFormat/>
    <w:uiPriority w:val="99"/>
  </w:style>
  <w:style w:type="character" w:styleId="27">
    <w:name w:val="FollowedHyperlink"/>
    <w:basedOn w:val="25"/>
    <w:unhideWhenUsed/>
    <w:qFormat/>
    <w:uiPriority w:val="99"/>
    <w:rPr>
      <w:color w:val="800080"/>
      <w:u w:val="single"/>
    </w:rPr>
  </w:style>
  <w:style w:type="character" w:styleId="28">
    <w:name w:val="Emphasis"/>
    <w:qFormat/>
    <w:uiPriority w:val="99"/>
    <w:rPr>
      <w:color w:val="CC0000"/>
    </w:rPr>
  </w:style>
  <w:style w:type="character" w:styleId="29">
    <w:name w:val="Hyperlink"/>
    <w:qFormat/>
    <w:uiPriority w:val="99"/>
    <w:rPr>
      <w:color w:val="0000FF"/>
      <w:u w:val="single"/>
    </w:rPr>
  </w:style>
  <w:style w:type="character" w:styleId="30">
    <w:name w:val="annotation reference"/>
    <w:basedOn w:val="25"/>
    <w:qFormat/>
    <w:uiPriority w:val="99"/>
    <w:rPr>
      <w:sz w:val="21"/>
      <w:szCs w:val="21"/>
    </w:rPr>
  </w:style>
  <w:style w:type="character" w:styleId="31">
    <w:name w:val="footnote reference"/>
    <w:basedOn w:val="25"/>
    <w:qFormat/>
    <w:uiPriority w:val="99"/>
    <w:rPr>
      <w:vertAlign w:val="superscript"/>
    </w:rPr>
  </w:style>
  <w:style w:type="character" w:customStyle="1" w:styleId="32">
    <w:name w:val="标题 1 Char"/>
    <w:basedOn w:val="25"/>
    <w:link w:val="2"/>
    <w:qFormat/>
    <w:uiPriority w:val="99"/>
    <w:rPr>
      <w:rFonts w:ascii="Times New Roman" w:hAnsi="Times New Roman" w:eastAsia="黑体" w:cs="Times New Roman"/>
      <w:b/>
      <w:bCs/>
      <w:color w:val="000000"/>
      <w:kern w:val="44"/>
      <w:sz w:val="36"/>
      <w:szCs w:val="44"/>
      <w:u w:color="000000"/>
    </w:rPr>
  </w:style>
  <w:style w:type="character" w:customStyle="1" w:styleId="33">
    <w:name w:val="标题 2 Char"/>
    <w:basedOn w:val="25"/>
    <w:link w:val="3"/>
    <w:qFormat/>
    <w:uiPriority w:val="99"/>
    <w:rPr>
      <w:rFonts w:ascii="Arial" w:hAnsi="Arial" w:eastAsia="黑体" w:cs="Times New Roman"/>
      <w:b/>
      <w:bCs/>
      <w:kern w:val="2"/>
      <w:sz w:val="32"/>
      <w:szCs w:val="32"/>
    </w:rPr>
  </w:style>
  <w:style w:type="character" w:customStyle="1" w:styleId="34">
    <w:name w:val="标题 3 Char"/>
    <w:basedOn w:val="25"/>
    <w:link w:val="4"/>
    <w:qFormat/>
    <w:uiPriority w:val="99"/>
    <w:rPr>
      <w:rFonts w:ascii="Times New Roman" w:hAnsi="Times New Roman" w:eastAsia="仿宋_GB2312" w:cs="Times New Roman"/>
      <w:b/>
      <w:bCs/>
      <w:sz w:val="30"/>
      <w:szCs w:val="32"/>
      <w:u w:color="000000"/>
    </w:rPr>
  </w:style>
  <w:style w:type="character" w:customStyle="1" w:styleId="35">
    <w:name w:val="标题 4 Char"/>
    <w:basedOn w:val="25"/>
    <w:link w:val="5"/>
    <w:qFormat/>
    <w:uiPriority w:val="0"/>
    <w:rPr>
      <w:rFonts w:asciiTheme="majorHAnsi" w:hAnsiTheme="majorHAnsi" w:eastAsiaTheme="majorEastAsia" w:cstheme="majorBidi"/>
      <w:b/>
      <w:bCs/>
      <w:kern w:val="2"/>
      <w:sz w:val="28"/>
      <w:szCs w:val="28"/>
    </w:rPr>
  </w:style>
  <w:style w:type="character" w:customStyle="1" w:styleId="36">
    <w:name w:val="标题 5 Char"/>
    <w:basedOn w:val="25"/>
    <w:link w:val="6"/>
    <w:qFormat/>
    <w:uiPriority w:val="0"/>
    <w:rPr>
      <w:rFonts w:ascii="Times New Roman" w:hAnsi="Times New Roman" w:eastAsia="宋体" w:cs="Times New Roman"/>
      <w:b/>
      <w:bCs/>
      <w:kern w:val="2"/>
      <w:sz w:val="28"/>
      <w:szCs w:val="28"/>
    </w:rPr>
  </w:style>
  <w:style w:type="character" w:customStyle="1" w:styleId="37">
    <w:name w:val="标题 6 Char"/>
    <w:basedOn w:val="25"/>
    <w:link w:val="7"/>
    <w:qFormat/>
    <w:uiPriority w:val="0"/>
    <w:rPr>
      <w:rFonts w:asciiTheme="majorHAnsi" w:hAnsiTheme="majorHAnsi" w:eastAsiaTheme="majorEastAsia" w:cstheme="majorBidi"/>
      <w:b/>
      <w:bCs/>
      <w:kern w:val="2"/>
      <w:sz w:val="24"/>
      <w:szCs w:val="24"/>
    </w:rPr>
  </w:style>
  <w:style w:type="character" w:customStyle="1" w:styleId="38">
    <w:name w:val="页眉 Char"/>
    <w:basedOn w:val="25"/>
    <w:link w:val="16"/>
    <w:qFormat/>
    <w:uiPriority w:val="99"/>
    <w:rPr>
      <w:rFonts w:ascii="Tahoma" w:hAnsi="Tahoma"/>
      <w:sz w:val="18"/>
      <w:szCs w:val="18"/>
    </w:rPr>
  </w:style>
  <w:style w:type="character" w:customStyle="1" w:styleId="39">
    <w:name w:val="页脚 Char"/>
    <w:basedOn w:val="25"/>
    <w:link w:val="15"/>
    <w:qFormat/>
    <w:uiPriority w:val="99"/>
    <w:rPr>
      <w:rFonts w:ascii="Tahoma" w:hAnsi="Tahoma"/>
      <w:sz w:val="18"/>
      <w:szCs w:val="18"/>
    </w:rPr>
  </w:style>
  <w:style w:type="paragraph" w:customStyle="1" w:styleId="40">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1">
    <w:name w:val="List Paragraph"/>
    <w:basedOn w:val="1"/>
    <w:qFormat/>
    <w:uiPriority w:val="99"/>
    <w:pPr>
      <w:ind w:firstLine="420" w:firstLineChars="200"/>
    </w:pPr>
  </w:style>
  <w:style w:type="character" w:customStyle="1" w:styleId="42">
    <w:name w:val="批注文字 Char"/>
    <w:basedOn w:val="25"/>
    <w:link w:val="9"/>
    <w:qFormat/>
    <w:uiPriority w:val="99"/>
    <w:rPr>
      <w:rFonts w:ascii="Tahoma" w:hAnsi="Tahoma"/>
    </w:rPr>
  </w:style>
  <w:style w:type="character" w:customStyle="1" w:styleId="43">
    <w:name w:val="批注主题 Char"/>
    <w:basedOn w:val="42"/>
    <w:link w:val="23"/>
    <w:qFormat/>
    <w:uiPriority w:val="99"/>
    <w:rPr>
      <w:rFonts w:ascii="Times New Roman" w:hAnsi="Times New Roman" w:eastAsia="宋体" w:cs="Times New Roman"/>
      <w:b/>
      <w:bCs/>
      <w:kern w:val="2"/>
      <w:sz w:val="21"/>
      <w:szCs w:val="24"/>
    </w:rPr>
  </w:style>
  <w:style w:type="character" w:customStyle="1" w:styleId="44">
    <w:name w:val="文档结构图 Char"/>
    <w:basedOn w:val="25"/>
    <w:link w:val="8"/>
    <w:semiHidden/>
    <w:qFormat/>
    <w:uiPriority w:val="99"/>
    <w:rPr>
      <w:rFonts w:ascii="Times New Roman" w:hAnsi="Times New Roman" w:eastAsia="宋体" w:cs="Times New Roman"/>
      <w:kern w:val="2"/>
      <w:sz w:val="21"/>
      <w:szCs w:val="24"/>
      <w:shd w:val="clear" w:color="auto" w:fill="000080"/>
    </w:rPr>
  </w:style>
  <w:style w:type="character" w:customStyle="1" w:styleId="45">
    <w:name w:val="正文文本 Char"/>
    <w:basedOn w:val="25"/>
    <w:link w:val="10"/>
    <w:qFormat/>
    <w:uiPriority w:val="99"/>
    <w:rPr>
      <w:rFonts w:ascii="Times New Roman" w:hAnsi="Times New Roman" w:eastAsia="宋体" w:cs="Times New Roman"/>
      <w:kern w:val="2"/>
      <w:sz w:val="21"/>
      <w:szCs w:val="24"/>
    </w:rPr>
  </w:style>
  <w:style w:type="character" w:customStyle="1" w:styleId="46">
    <w:name w:val="纯文本 Char"/>
    <w:basedOn w:val="25"/>
    <w:link w:val="12"/>
    <w:qFormat/>
    <w:uiPriority w:val="99"/>
    <w:rPr>
      <w:rFonts w:ascii="宋体" w:hAnsi="Times New Roman" w:eastAsia="宋体" w:cs="Times New Roman"/>
      <w:color w:val="000000"/>
      <w:sz w:val="21"/>
      <w:szCs w:val="20"/>
      <w:u w:color="000000"/>
    </w:rPr>
  </w:style>
  <w:style w:type="character" w:customStyle="1" w:styleId="47">
    <w:name w:val="批注框文本 Char"/>
    <w:basedOn w:val="25"/>
    <w:link w:val="14"/>
    <w:qFormat/>
    <w:uiPriority w:val="99"/>
    <w:rPr>
      <w:rFonts w:ascii="Times New Roman" w:hAnsi="Times New Roman" w:eastAsia="宋体" w:cs="Times New Roman"/>
      <w:kern w:val="2"/>
      <w:sz w:val="18"/>
      <w:szCs w:val="18"/>
    </w:rPr>
  </w:style>
  <w:style w:type="character" w:customStyle="1" w:styleId="48">
    <w:name w:val="脚注文本 Char"/>
    <w:basedOn w:val="25"/>
    <w:link w:val="18"/>
    <w:qFormat/>
    <w:uiPriority w:val="99"/>
    <w:rPr>
      <w:rFonts w:ascii="Times New Roman" w:hAnsi="Times New Roman" w:eastAsia="宋体" w:cs="Times New Roman"/>
      <w:kern w:val="2"/>
      <w:sz w:val="18"/>
      <w:szCs w:val="18"/>
    </w:rPr>
  </w:style>
  <w:style w:type="character" w:customStyle="1" w:styleId="49">
    <w:name w:val="HTML 预设格式 Char"/>
    <w:basedOn w:val="25"/>
    <w:link w:val="20"/>
    <w:qFormat/>
    <w:uiPriority w:val="0"/>
    <w:rPr>
      <w:rFonts w:ascii="宋体" w:hAnsi="宋体" w:eastAsia="宋体" w:cs="宋体"/>
      <w:sz w:val="24"/>
      <w:szCs w:val="24"/>
    </w:rPr>
  </w:style>
  <w:style w:type="paragraph" w:customStyle="1" w:styleId="50">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1">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2">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3">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4">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5">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6">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7">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8">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9">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60">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1">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2">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4">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5">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6">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7">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8">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9">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70">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1">
    <w:name w:val="标题 Char"/>
    <w:basedOn w:val="25"/>
    <w:link w:val="22"/>
    <w:qFormat/>
    <w:uiPriority w:val="0"/>
    <w:rPr>
      <w:rFonts w:eastAsia="宋体" w:asciiTheme="majorHAnsi" w:hAnsiTheme="majorHAnsi" w:cstheme="majorBidi"/>
      <w:b/>
      <w:bCs/>
      <w:kern w:val="2"/>
      <w:sz w:val="32"/>
      <w:szCs w:val="32"/>
    </w:rPr>
  </w:style>
  <w:style w:type="paragraph" w:customStyle="1" w:styleId="72">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73">
    <w:name w:val="font01"/>
    <w:basedOn w:val="25"/>
    <w:qFormat/>
    <w:uiPriority w:val="0"/>
    <w:rPr>
      <w:rFonts w:hint="eastAsia" w:ascii="宋体" w:hAnsi="宋体" w:eastAsia="宋体" w:cs="宋体"/>
      <w:b/>
      <w:color w:val="000000"/>
      <w:sz w:val="32"/>
      <w:szCs w:val="32"/>
      <w:u w:val="none"/>
    </w:rPr>
  </w:style>
  <w:style w:type="character" w:customStyle="1" w:styleId="74">
    <w:name w:val="font21"/>
    <w:basedOn w:val="25"/>
    <w:qFormat/>
    <w:uiPriority w:val="0"/>
    <w:rPr>
      <w:rFonts w:hint="default" w:ascii="Times New Roman" w:hAnsi="Times New Roman" w:cs="Times New Roman"/>
      <w:b/>
      <w:color w:val="000000"/>
      <w:sz w:val="32"/>
      <w:szCs w:val="32"/>
      <w:u w:val="none"/>
    </w:rPr>
  </w:style>
  <w:style w:type="paragraph" w:customStyle="1" w:styleId="75">
    <w:name w:val="正文1"/>
    <w:basedOn w:val="1"/>
    <w:qFormat/>
    <w:uiPriority w:val="0"/>
    <w:pPr>
      <w:adjustRightInd/>
      <w:snapToGrid/>
      <w:spacing w:after="0"/>
      <w:jc w:val="both"/>
    </w:pPr>
    <w:rPr>
      <w:rFonts w:ascii="Calibri" w:hAnsi="Calibri" w:eastAsia="Calibri" w:cs="Times New Roman"/>
      <w:sz w:val="21"/>
      <w:szCs w:val="20"/>
      <w:lang w:eastAsia="en-US"/>
    </w:rPr>
  </w:style>
  <w:style w:type="character" w:customStyle="1" w:styleId="76">
    <w:name w:val="日期 Char"/>
    <w:basedOn w:val="25"/>
    <w:link w:val="13"/>
    <w:semiHidden/>
    <w:qFormat/>
    <w:uiPriority w:val="99"/>
    <w:rPr>
      <w:rFonts w:ascii="Tahoma" w:hAnsi="Tahoma"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2021年决算收入结构图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Pt>
            <c:idx val="11"/>
            <c:bubble3D val="0"/>
          </c:dPt>
          <c:dPt>
            <c:idx val="12"/>
            <c:bubble3D val="0"/>
          </c:dPt>
          <c:dPt>
            <c:idx val="13"/>
            <c:bubble3D val="0"/>
          </c:dPt>
          <c:dPt>
            <c:idx val="14"/>
            <c:bubble3D val="0"/>
          </c:dPt>
          <c:dPt>
            <c:idx val="15"/>
            <c:bubble3D val="0"/>
          </c:dPt>
          <c:dPt>
            <c:idx val="16"/>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31.62%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0.01%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0.16%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0502521731222481"/>
                  <c:y val="0.029330830449658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0.11%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5.45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1.49%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0.95%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8.7%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8"/>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49.01%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9"/>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2.46%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0.04%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'Sheet1'!$A$2:$A$18</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'Sheet1'!$B$2:$B$18</c:f>
              <c:numCache>
                <c:formatCode>0.00%</c:formatCode>
                <c:ptCount val="17"/>
                <c:pt idx="0">
                  <c:v>0.3162</c:v>
                </c:pt>
                <c:pt idx="1">
                  <c:v>0.0001</c:v>
                </c:pt>
                <c:pt idx="2">
                  <c:v>0.0016</c:v>
                </c:pt>
                <c:pt idx="3">
                  <c:v>0.0011</c:v>
                </c:pt>
                <c:pt idx="4">
                  <c:v>0.0545</c:v>
                </c:pt>
                <c:pt idx="5">
                  <c:v>0.0149</c:v>
                </c:pt>
                <c:pt idx="6">
                  <c:v>0.00950000000000001</c:v>
                </c:pt>
                <c:pt idx="7">
                  <c:v>0.087</c:v>
                </c:pt>
                <c:pt idx="8">
                  <c:v>0.4901</c:v>
                </c:pt>
                <c:pt idx="9">
                  <c:v>0.0246</c:v>
                </c:pt>
                <c:pt idx="10">
                  <c:v>0.0004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预算收入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'Sheet1'!$B$2:$B$12</c:f>
              <c:numCache>
                <c:formatCode>General</c:formatCode>
                <c:ptCount val="11"/>
                <c:pt idx="0">
                  <c:v>1152.74</c:v>
                </c:pt>
                <c:pt idx="1">
                  <c:v>8.55</c:v>
                </c:pt>
                <c:pt idx="2">
                  <c:v>0</c:v>
                </c:pt>
                <c:pt idx="3">
                  <c:v>1.5</c:v>
                </c:pt>
                <c:pt idx="4">
                  <c:v>158.61</c:v>
                </c:pt>
                <c:pt idx="5">
                  <c:v>44.43</c:v>
                </c:pt>
                <c:pt idx="7">
                  <c:v>47.03</c:v>
                </c:pt>
                <c:pt idx="8">
                  <c:v>1388.11</c:v>
                </c:pt>
                <c:pt idx="9">
                  <c:v>71.7</c:v>
                </c:pt>
                <c:pt idx="10">
                  <c:v>1.41</c:v>
                </c:pt>
              </c:numCache>
            </c:numRef>
          </c:val>
        </c:ser>
        <c:ser>
          <c:idx val="1"/>
          <c:order val="1"/>
          <c:tx>
            <c:strRef>
              <c:f>'Sheet1'!$C$1</c:f>
              <c:strCache>
                <c:ptCount val="1"/>
                <c:pt idx="0">
                  <c:v>决算收入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'Sheet1'!$C$2:$C$12</c:f>
              <c:numCache>
                <c:formatCode>General</c:formatCode>
                <c:ptCount val="11"/>
                <c:pt idx="0">
                  <c:v>958.349999999999</c:v>
                </c:pt>
                <c:pt idx="1">
                  <c:v>0.09</c:v>
                </c:pt>
                <c:pt idx="2">
                  <c:v>5</c:v>
                </c:pt>
                <c:pt idx="3">
                  <c:v>3.2</c:v>
                </c:pt>
                <c:pt idx="4">
                  <c:v>165.25</c:v>
                </c:pt>
                <c:pt idx="5">
                  <c:v>45.22</c:v>
                </c:pt>
                <c:pt idx="6">
                  <c:v>28.65</c:v>
                </c:pt>
                <c:pt idx="7">
                  <c:v>263.83</c:v>
                </c:pt>
                <c:pt idx="8">
                  <c:v>1485.61</c:v>
                </c:pt>
                <c:pt idx="9">
                  <c:v>74.58</c:v>
                </c:pt>
                <c:pt idx="10">
                  <c:v>1.21</c:v>
                </c:pt>
              </c:numCache>
            </c:numRef>
          </c:val>
        </c:ser>
        <c:dLbls>
          <c:showLegendKey val="0"/>
          <c:showVal val="1"/>
          <c:showCatName val="0"/>
          <c:showSerName val="0"/>
          <c:showPercent val="0"/>
          <c:showBubbleSize val="0"/>
        </c:dLbls>
        <c:gapWidth val="150"/>
        <c:overlap val="-25"/>
        <c:axId val="279981440"/>
        <c:axId val="280012288"/>
      </c:barChart>
      <c:catAx>
        <c:axId val="27998144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012288"/>
        <c:crosses val="autoZero"/>
        <c:auto val="1"/>
        <c:lblAlgn val="ctr"/>
        <c:lblOffset val="100"/>
        <c:noMultiLvlLbl val="0"/>
      </c:catAx>
      <c:valAx>
        <c:axId val="280012288"/>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7998144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2021年决算支出结构图</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33.42%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0.01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0.16%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5.83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1.44%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0.91%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8.39%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8"/>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47.23%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9"/>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2.37%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0.04%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'Sheet1'!$B$2:$B$12</c:f>
              <c:numCache>
                <c:formatCode>0.00%</c:formatCode>
                <c:ptCount val="11"/>
                <c:pt idx="0">
                  <c:v>0.3342</c:v>
                </c:pt>
                <c:pt idx="1">
                  <c:v>0.0001</c:v>
                </c:pt>
                <c:pt idx="2">
                  <c:v>0.0016</c:v>
                </c:pt>
                <c:pt idx="3">
                  <c:v>0.002</c:v>
                </c:pt>
                <c:pt idx="4">
                  <c:v>0.0583</c:v>
                </c:pt>
                <c:pt idx="5">
                  <c:v>0.0144</c:v>
                </c:pt>
                <c:pt idx="6">
                  <c:v>0.0091</c:v>
                </c:pt>
                <c:pt idx="7">
                  <c:v>0.0839</c:v>
                </c:pt>
                <c:pt idx="8">
                  <c:v>0.4723</c:v>
                </c:pt>
                <c:pt idx="9">
                  <c:v>0.0237</c:v>
                </c:pt>
                <c:pt idx="10">
                  <c:v>0.0004</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2021</a:t>
            </a:r>
            <a:r>
              <a:rPr lang="zh-CN" altLang="en-US"/>
              <a:t>年预算支出与决算支出对比图</a:t>
            </a:r>
            <a:endParaRPr lang="zh-CN" altLang="en-US"/>
          </a:p>
        </c:rich>
      </c:tx>
      <c:layout/>
      <c:overlay val="0"/>
    </c:title>
    <c:autoTitleDeleted val="0"/>
    <c:plotArea>
      <c:layout/>
      <c:barChart>
        <c:barDir val="col"/>
        <c:grouping val="clustered"/>
        <c:varyColors val="0"/>
        <c:ser>
          <c:idx val="0"/>
          <c:order val="0"/>
          <c:tx>
            <c:strRef>
              <c:f>'Sheet1'!$B$1</c:f>
              <c:strCache>
                <c:ptCount val="1"/>
                <c:pt idx="0">
                  <c:v>预算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'Sheet1'!$B$2:$B$12</c:f>
              <c:numCache>
                <c:formatCode>General</c:formatCode>
                <c:ptCount val="11"/>
                <c:pt idx="0">
                  <c:v>1152.74</c:v>
                </c:pt>
                <c:pt idx="1">
                  <c:v>8.55</c:v>
                </c:pt>
                <c:pt idx="2">
                  <c:v>0</c:v>
                </c:pt>
                <c:pt idx="3">
                  <c:v>1.5</c:v>
                </c:pt>
                <c:pt idx="4">
                  <c:v>158.61</c:v>
                </c:pt>
                <c:pt idx="5">
                  <c:v>44.43</c:v>
                </c:pt>
                <c:pt idx="7">
                  <c:v>47.03</c:v>
                </c:pt>
                <c:pt idx="8">
                  <c:v>1388.11</c:v>
                </c:pt>
                <c:pt idx="9">
                  <c:v>71.7</c:v>
                </c:pt>
                <c:pt idx="10">
                  <c:v>1.41</c:v>
                </c:pt>
              </c:numCache>
            </c:numRef>
          </c:val>
        </c:ser>
        <c:ser>
          <c:idx val="1"/>
          <c:order val="1"/>
          <c:tx>
            <c:strRef>
              <c:f>'Sheet1'!$C$1</c:f>
              <c:strCache>
                <c:ptCount val="1"/>
                <c:pt idx="0">
                  <c:v>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'Sheet1'!$A$2:$A$12</c:f>
              <c:strCache>
                <c:ptCount val="11"/>
                <c:pt idx="0">
                  <c:v>一般公共服务支出</c:v>
                </c:pt>
                <c:pt idx="1">
                  <c:v>公共安全支出</c:v>
                </c:pt>
                <c:pt idx="2">
                  <c:v>科学技术支出</c:v>
                </c:pt>
                <c:pt idx="3">
                  <c:v>文化旅游体育与传媒支出</c:v>
                </c:pt>
                <c:pt idx="4">
                  <c:v>社会保障和就业支出</c:v>
                </c:pt>
                <c:pt idx="5">
                  <c:v>卫生健康支出</c:v>
                </c:pt>
                <c:pt idx="6">
                  <c:v>节能环保支出</c:v>
                </c:pt>
                <c:pt idx="7">
                  <c:v>城乡社区支出</c:v>
                </c:pt>
                <c:pt idx="8">
                  <c:v>农林水支出</c:v>
                </c:pt>
                <c:pt idx="9">
                  <c:v>住房保障支出</c:v>
                </c:pt>
                <c:pt idx="10">
                  <c:v>灾害防治及应急管理支出</c:v>
                </c:pt>
              </c:strCache>
            </c:strRef>
          </c:cat>
          <c:val>
            <c:numRef>
              <c:f>'Sheet1'!$C$2:$C$12</c:f>
              <c:numCache>
                <c:formatCode>General</c:formatCode>
                <c:ptCount val="11"/>
                <c:pt idx="0">
                  <c:v>1051.69</c:v>
                </c:pt>
                <c:pt idx="1">
                  <c:v>0.09</c:v>
                </c:pt>
                <c:pt idx="2">
                  <c:v>5</c:v>
                </c:pt>
                <c:pt idx="3">
                  <c:v>6.17</c:v>
                </c:pt>
                <c:pt idx="4">
                  <c:v>183.49</c:v>
                </c:pt>
                <c:pt idx="5">
                  <c:v>45.22</c:v>
                </c:pt>
                <c:pt idx="6">
                  <c:v>28.65</c:v>
                </c:pt>
                <c:pt idx="7">
                  <c:v>263.83</c:v>
                </c:pt>
                <c:pt idx="8">
                  <c:v>1485.61</c:v>
                </c:pt>
                <c:pt idx="9">
                  <c:v>74.58</c:v>
                </c:pt>
                <c:pt idx="10">
                  <c:v>1.21</c:v>
                </c:pt>
              </c:numCache>
            </c:numRef>
          </c:val>
        </c:ser>
        <c:dLbls>
          <c:showLegendKey val="0"/>
          <c:showVal val="1"/>
          <c:showCatName val="0"/>
          <c:showSerName val="0"/>
          <c:showPercent val="0"/>
          <c:showBubbleSize val="0"/>
        </c:dLbls>
        <c:gapWidth val="150"/>
        <c:overlap val="-25"/>
        <c:axId val="280828160"/>
        <c:axId val="280876544"/>
      </c:barChart>
      <c:catAx>
        <c:axId val="2808281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876544"/>
        <c:crosses val="autoZero"/>
        <c:auto val="1"/>
        <c:lblAlgn val="ctr"/>
        <c:lblOffset val="100"/>
        <c:noMultiLvlLbl val="0"/>
      </c:catAx>
      <c:valAx>
        <c:axId val="280876544"/>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82816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D88E0B-053D-48E5-844C-F5D9001B527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15598</Words>
  <Characters>17280</Characters>
  <Lines>135</Lines>
  <Paragraphs>38</Paragraphs>
  <TotalTime>3</TotalTime>
  <ScaleCrop>false</ScaleCrop>
  <LinksUpToDate>false</LinksUpToDate>
  <CharactersWithSpaces>17459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2022-11-18T08:53:00Z</dcterms:created>
  <dc:creator>Administrator</dc:creator>
  <cp:lastModifiedBy>user</cp:lastModifiedBy>
  <cp:lastPrinted>2021-07-09T01:47:00Z</cp:lastPrinted>
  <dcterms:modified xsi:type="dcterms:W3CDTF">2025-05-12T08:45:30Z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6E74B1CCCBA7427585C411B6BE92BA67_13</vt:lpwstr>
  </property>
</Properties>
</file>