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left"/>
        <w:rPr>
          <w:rFonts w:ascii="仿宋_GB2312" w:hAnsi="宋体" w:cs="宋体"/>
          <w:color w:val="000000"/>
          <w:sz w:val="32"/>
          <w:szCs w:val="32"/>
        </w:rPr>
      </w:pPr>
      <w:bookmarkStart w:id="2" w:name="_GoBack"/>
      <w:bookmarkEnd w:id="2"/>
      <w:r>
        <w:rPr>
          <w:rFonts w:hint="eastAsia" w:ascii="仿宋_GB2312" w:hAnsi="宋体" w:cs="宋体"/>
          <w:color w:val="000000"/>
          <w:sz w:val="32"/>
          <w:szCs w:val="32"/>
        </w:rPr>
        <w:t>附件1</w:t>
      </w:r>
    </w:p>
    <w:p>
      <w:pPr>
        <w:spacing w:line="360" w:lineRule="auto"/>
        <w:jc w:val="center"/>
        <w:rPr>
          <w:rFonts w:ascii="宋体" w:hAnsi="宋体" w:eastAsia="宋体"/>
          <w:b/>
          <w:sz w:val="44"/>
          <w:szCs w:val="44"/>
        </w:rPr>
      </w:pPr>
      <w:r>
        <w:rPr>
          <w:rFonts w:hint="eastAsia" w:ascii="宋体" w:hAnsi="宋体" w:eastAsia="宋体"/>
          <w:b/>
          <w:sz w:val="44"/>
          <w:szCs w:val="44"/>
        </w:rPr>
        <w:t>保定市徐水区东史端镇人民政府事业</w:t>
      </w:r>
    </w:p>
    <w:p>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val="en-US" w:eastAsia="zh-CN"/>
        </w:rPr>
        <w:t>单位</w:t>
      </w:r>
      <w:r>
        <w:rPr>
          <w:rFonts w:ascii="宋体" w:hAnsi="宋体" w:eastAsia="宋体"/>
          <w:b/>
          <w:sz w:val="44"/>
          <w:szCs w:val="44"/>
        </w:rPr>
        <w:t>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预算法》、《地方预决算公开操作规程》等文件规定，现将我单位预算信息公开如下：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rPr>
        <w:t>单位</w:t>
      </w:r>
      <w:r>
        <w:rPr>
          <w:rFonts w:ascii="方正小标宋_GBK" w:eastAsia="方正小标宋_GBK"/>
          <w:sz w:val="44"/>
        </w:rPr>
        <w:t>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pPr>
        <w:pStyle w:val="10"/>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hAnsi="Times New Roman" w:eastAsia="Times New Roman"/>
          <w:sz w:val="28"/>
        </w:rPr>
      </w:pPr>
      <w:r>
        <w:rPr>
          <w:rFonts w:ascii="仿宋" w:hAnsi="仿宋" w:eastAsia="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（二）加强党对基层治理的全面领导，统筹抓好基层党建工作和基层党组织各项制度建设。推进全面从严治党，强化“两个责任”，确保党的路线方针政策在基层得到全面贯彻落实。</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（三）讨论和决定本乡镇经济建设、政治建设、文化建设、社会建设、生态文明建设和党的建设以及乡村振兴中的重大问题。</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（四）组织召开本级人民代表大会，充分行使重大事项决定权、监督权和任免权，做好人大代表工作，联系选民、反映群众意见和要求。</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 群众获得感和幸福感。</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0"/>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hAnsi="Times New Roman" w:eastAsia="Times New Roman"/>
          <w:sz w:val="28"/>
        </w:rPr>
      </w:pPr>
      <w:r>
        <w:rPr>
          <w:rFonts w:ascii="仿宋" w:hAnsi="仿宋" w:eastAsia="仿宋"/>
          <w:sz w:val="28"/>
        </w:rPr>
        <w:t>（七）乡镇党委领导乡镇政权机关、群团组织和其他各类组织，加强指导和规范，支持和保证这些机关和组织依照国家法律法规以及各自章程履行职责。坚持党管武装的根本原则和制度，协调各方办量，对乡镇人民武装工作实行统一领导。</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（九）按照干部管理权限，负责对干部的教育、培训、选拔、考核和监督工作。协助管理上级有关部门驻乡镇单位的干部。做好人才服务工作。</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hAnsi="Times New Roman" w:eastAsia="Times New Roman"/>
          <w:sz w:val="28"/>
        </w:rPr>
      </w:pPr>
      <w:r>
        <w:rPr>
          <w:rFonts w:ascii="仿宋" w:hAnsi="仿宋" w:eastAsia="仿宋"/>
          <w:sz w:val="28"/>
        </w:rPr>
        <w:t>（十二）承办上级党委、人大、政府交办的其他事项。</w:t>
      </w:r>
    </w:p>
    <w:p>
      <w:pPr>
        <w:spacing w:line="360" w:lineRule="auto"/>
        <w:ind w:firstLine="640" w:firstLineChars="200"/>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top w:val="single" w:color="auto" w:sz="4" w:space="0"/>
              <w:bottom w:val="single" w:color="auto" w:sz="4" w:space="0"/>
            </w:tcBorders>
            <w:vAlign w:val="center"/>
          </w:tcPr>
          <w:p>
            <w:pPr>
              <w:spacing w:line="300" w:lineRule="exact"/>
              <w:jc w:val="left"/>
              <w:rPr>
                <w:rFonts w:ascii="仿宋" w:hAnsi="仿宋" w:eastAsia="仿宋"/>
                <w:sz w:val="32"/>
                <w:szCs w:val="32"/>
              </w:rPr>
            </w:pPr>
            <w:r>
              <w:rPr>
                <w:rFonts w:hint="eastAsia" w:ascii="仿宋" w:hAnsi="仿宋" w:eastAsia="仿宋"/>
                <w:sz w:val="32"/>
                <w:szCs w:val="32"/>
              </w:rPr>
              <w:t>东史端镇（事业）</w:t>
            </w:r>
          </w:p>
        </w:tc>
        <w:tc>
          <w:tcPr>
            <w:tcW w:w="1701" w:type="dxa"/>
            <w:vAlign w:val="center"/>
          </w:tcPr>
          <w:p>
            <w:pPr>
              <w:spacing w:line="300" w:lineRule="exact"/>
              <w:jc w:val="center"/>
              <w:rPr>
                <w:rFonts w:ascii="仿宋" w:hAnsi="仿宋" w:eastAsia="仿宋"/>
                <w:sz w:val="32"/>
                <w:szCs w:val="32"/>
              </w:rPr>
            </w:pPr>
            <w:r>
              <w:rPr>
                <w:rFonts w:hint="eastAsia" w:ascii="仿宋" w:hAnsi="仿宋" w:eastAsia="仿宋"/>
                <w:sz w:val="32"/>
                <w:szCs w:val="32"/>
              </w:rPr>
              <w:t>行政</w:t>
            </w:r>
          </w:p>
        </w:tc>
        <w:tc>
          <w:tcPr>
            <w:tcW w:w="1418" w:type="dxa"/>
            <w:vAlign w:val="center"/>
          </w:tcPr>
          <w:p>
            <w:pPr>
              <w:spacing w:line="300" w:lineRule="exact"/>
              <w:jc w:val="center"/>
              <w:rPr>
                <w:rFonts w:ascii="仿宋" w:hAnsi="仿宋" w:eastAsia="仿宋"/>
                <w:sz w:val="32"/>
                <w:szCs w:val="32"/>
              </w:rPr>
            </w:pPr>
            <w:r>
              <w:rPr>
                <w:rFonts w:hint="eastAsia" w:ascii="仿宋" w:hAnsi="仿宋" w:eastAsia="仿宋"/>
                <w:sz w:val="32"/>
                <w:szCs w:val="32"/>
              </w:rPr>
              <w:t>正科级</w:t>
            </w:r>
          </w:p>
        </w:tc>
        <w:tc>
          <w:tcPr>
            <w:tcW w:w="3260" w:type="dxa"/>
            <w:vAlign w:val="center"/>
          </w:tcPr>
          <w:p>
            <w:pPr>
              <w:spacing w:line="300" w:lineRule="exact"/>
              <w:jc w:val="center"/>
              <w:rPr>
                <w:rFonts w:ascii="仿宋" w:hAnsi="仿宋" w:eastAsia="仿宋"/>
                <w:sz w:val="28"/>
                <w:szCs w:val="28"/>
              </w:rPr>
            </w:pPr>
            <w:r>
              <w:rPr>
                <w:rFonts w:hint="eastAsia" w:ascii="仿宋" w:hAnsi="仿宋" w:eastAsia="仿宋"/>
                <w:sz w:val="28"/>
                <w:szCs w:val="28"/>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预算中。我单位的收支包含在单位预算中。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2022年预算收入为</w:t>
      </w:r>
      <w:r>
        <w:rPr>
          <w:rFonts w:hint="eastAsia" w:ascii="仿宋" w:hAnsi="仿宋" w:eastAsia="仿宋"/>
          <w:sz w:val="32"/>
          <w:szCs w:val="32"/>
        </w:rPr>
        <w:t>1216.31</w:t>
      </w:r>
      <w:r>
        <w:rPr>
          <w:rFonts w:ascii="仿宋" w:hAnsi="仿宋" w:eastAsia="仿宋"/>
          <w:sz w:val="32"/>
          <w:szCs w:val="32"/>
        </w:rPr>
        <w:t>万元,其中：一般公共预算收入</w:t>
      </w:r>
      <w:r>
        <w:rPr>
          <w:rFonts w:hint="eastAsia" w:ascii="仿宋" w:hAnsi="仿宋" w:eastAsia="仿宋"/>
          <w:sz w:val="32"/>
          <w:szCs w:val="32"/>
        </w:rPr>
        <w:t>1216.31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val="en-US" w:eastAsia="zh-CN"/>
        </w:rPr>
        <w:t>单位</w:t>
      </w:r>
      <w:r>
        <w:rPr>
          <w:rFonts w:ascii="仿宋" w:hAnsi="仿宋" w:eastAsia="仿宋"/>
          <w:sz w:val="32"/>
          <w:szCs w:val="32"/>
        </w:rPr>
        <w:t>支出预算：</w:t>
      </w:r>
      <w:r>
        <w:rPr>
          <w:rFonts w:hint="eastAsia" w:ascii="仿宋" w:hAnsi="仿宋" w:eastAsia="仿宋"/>
          <w:sz w:val="32"/>
          <w:szCs w:val="32"/>
        </w:rPr>
        <w:t>1216.31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基本支出1216.31万元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1176.91</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39.40</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项目支出0</w:t>
      </w:r>
      <w:r>
        <w:rPr>
          <w:rFonts w:ascii="仿宋" w:hAnsi="仿宋" w:eastAsia="仿宋"/>
          <w:sz w:val="32"/>
          <w:szCs w:val="32"/>
        </w:rPr>
        <w:t>万元</w:t>
      </w:r>
    </w:p>
    <w:p>
      <w:pPr>
        <w:spacing w:line="360" w:lineRule="auto"/>
        <w:ind w:firstLine="640" w:firstLineChars="200"/>
        <w:rPr>
          <w:rFonts w:ascii="仿宋" w:hAnsi="仿宋" w:eastAsia="仿宋"/>
          <w:b/>
          <w:sz w:val="32"/>
          <w:szCs w:val="32"/>
        </w:rPr>
      </w:pPr>
      <w:r>
        <w:rPr>
          <w:rFonts w:ascii="仿宋" w:hAnsi="仿宋" w:eastAsia="仿宋"/>
          <w:sz w:val="32"/>
          <w:szCs w:val="32"/>
        </w:rPr>
        <w:t xml:space="preserve">    </w:t>
      </w: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本年度预算收支安排1216.31万元，较上年增加375.79</w:t>
      </w:r>
      <w:r>
        <w:rPr>
          <w:rFonts w:ascii="仿宋" w:hAnsi="仿宋" w:eastAsia="仿宋"/>
          <w:sz w:val="32"/>
          <w:szCs w:val="32"/>
        </w:rPr>
        <w:t>万元。其中:基本支出增加</w:t>
      </w:r>
      <w:r>
        <w:rPr>
          <w:rFonts w:hint="eastAsia" w:ascii="仿宋" w:hAnsi="仿宋" w:eastAsia="仿宋"/>
          <w:sz w:val="32"/>
          <w:szCs w:val="32"/>
        </w:rPr>
        <w:t>375.79</w:t>
      </w:r>
      <w:r>
        <w:rPr>
          <w:rFonts w:ascii="仿宋" w:hAnsi="仿宋" w:eastAsia="仿宋"/>
          <w:sz w:val="32"/>
          <w:szCs w:val="32"/>
        </w:rPr>
        <w:t>万元，主要原因是</w:t>
      </w:r>
      <w:r>
        <w:rPr>
          <w:rFonts w:hint="eastAsia" w:ascii="仿宋" w:hAnsi="仿宋" w:eastAsia="仿宋"/>
          <w:sz w:val="32"/>
          <w:szCs w:val="32"/>
        </w:rPr>
        <w:t>人员调入及人员增资人员经费比去年增加</w:t>
      </w:r>
      <w:r>
        <w:rPr>
          <w:rFonts w:ascii="仿宋" w:hAnsi="仿宋" w:eastAsia="仿宋"/>
          <w:sz w:val="32"/>
          <w:szCs w:val="32"/>
        </w:rPr>
        <w:t>；</w:t>
      </w:r>
      <w:r>
        <w:rPr>
          <w:rFonts w:hint="eastAsia" w:ascii="仿宋" w:hAnsi="仿宋" w:eastAsia="仿宋"/>
          <w:sz w:val="32"/>
          <w:szCs w:val="32"/>
        </w:rPr>
        <w:t>无</w:t>
      </w:r>
      <w:r>
        <w:rPr>
          <w:rFonts w:ascii="仿宋" w:hAnsi="仿宋" w:eastAsia="仿宋"/>
          <w:sz w:val="32"/>
          <w:szCs w:val="32"/>
        </w:rPr>
        <w:t>项目支出</w:t>
      </w:r>
      <w:r>
        <w:rPr>
          <w:rFonts w:hint="eastAsia" w:ascii="仿宋" w:hAnsi="仿宋" w:eastAsia="仿宋"/>
          <w:sz w:val="32"/>
          <w:szCs w:val="32"/>
        </w:rPr>
        <w:t>。</w:t>
      </w:r>
    </w:p>
    <w:p>
      <w:pPr>
        <w:jc w:val="center"/>
        <w:outlineLvl w:val="0"/>
        <w:rPr>
          <w:rFonts w:hint="eastAsia"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hint="eastAsia"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val="en-US" w:eastAsia="zh-CN"/>
        </w:rPr>
        <w:t>单位</w:t>
      </w:r>
      <w:r>
        <w:rPr>
          <w:rFonts w:ascii="仿宋" w:hAnsi="仿宋" w:eastAsia="仿宋"/>
          <w:sz w:val="32"/>
          <w:szCs w:val="32"/>
        </w:rPr>
        <w:t>机关运行经费安排</w:t>
      </w:r>
      <w:r>
        <w:rPr>
          <w:rFonts w:hint="eastAsia" w:ascii="仿宋" w:hAnsi="仿宋" w:eastAsia="仿宋"/>
          <w:sz w:val="32"/>
          <w:szCs w:val="32"/>
        </w:rPr>
        <w:t>39.40</w:t>
      </w:r>
      <w:r>
        <w:rPr>
          <w:rFonts w:ascii="仿宋" w:hAnsi="仿宋" w:eastAsia="仿宋"/>
          <w:sz w:val="32"/>
          <w:szCs w:val="32"/>
        </w:rPr>
        <w:t>万元，其中办公费</w:t>
      </w:r>
      <w:r>
        <w:rPr>
          <w:rFonts w:hint="eastAsia" w:ascii="仿宋" w:hAnsi="仿宋" w:eastAsia="仿宋"/>
          <w:sz w:val="32"/>
          <w:szCs w:val="32"/>
        </w:rPr>
        <w:t>22.36</w:t>
      </w:r>
      <w:r>
        <w:rPr>
          <w:rFonts w:ascii="仿宋" w:hAnsi="仿宋" w:eastAsia="仿宋"/>
          <w:sz w:val="32"/>
          <w:szCs w:val="32"/>
        </w:rPr>
        <w:t>万元，邮电费</w:t>
      </w:r>
      <w:r>
        <w:rPr>
          <w:rFonts w:hint="eastAsia" w:ascii="仿宋" w:hAnsi="仿宋" w:eastAsia="仿宋"/>
          <w:sz w:val="32"/>
          <w:szCs w:val="32"/>
        </w:rPr>
        <w:t>0.86</w:t>
      </w:r>
      <w:r>
        <w:rPr>
          <w:rFonts w:ascii="仿宋" w:hAnsi="仿宋" w:eastAsia="仿宋"/>
          <w:sz w:val="32"/>
          <w:szCs w:val="32"/>
        </w:rPr>
        <w:t>万元，工会经费、福利费</w:t>
      </w:r>
      <w:r>
        <w:rPr>
          <w:rFonts w:hint="eastAsia" w:ascii="仿宋" w:hAnsi="仿宋" w:eastAsia="仿宋"/>
          <w:sz w:val="32"/>
          <w:szCs w:val="32"/>
        </w:rPr>
        <w:t>15.27</w:t>
      </w:r>
      <w:r>
        <w:rPr>
          <w:rFonts w:ascii="仿宋" w:hAnsi="仿宋" w:eastAsia="仿宋"/>
          <w:sz w:val="32"/>
          <w:szCs w:val="32"/>
        </w:rPr>
        <w:t>万元，</w:t>
      </w:r>
      <w:r>
        <w:rPr>
          <w:rFonts w:hint="eastAsia" w:ascii="仿宋" w:hAnsi="仿宋" w:eastAsia="仿宋"/>
          <w:sz w:val="32"/>
          <w:szCs w:val="32"/>
        </w:rPr>
        <w:t>离退休干部经费0.91万元</w:t>
      </w:r>
      <w:r>
        <w:rPr>
          <w:rFonts w:ascii="仿宋" w:hAnsi="仿宋" w:eastAsia="仿宋"/>
          <w:sz w:val="32"/>
          <w:szCs w:val="32"/>
        </w:rPr>
        <w:t>。</w:t>
      </w:r>
    </w:p>
    <w:p>
      <w:pPr>
        <w:spacing w:line="360" w:lineRule="auto"/>
        <w:ind w:firstLine="640" w:firstLineChars="200"/>
        <w:rPr>
          <w:rFonts w:hint="eastAsia" w:ascii="仿宋" w:hAnsi="仿宋" w:eastAsia="仿宋"/>
          <w:sz w:val="32"/>
          <w:szCs w:val="32"/>
        </w:rPr>
      </w:pPr>
    </w:p>
    <w:p>
      <w:pPr>
        <w:spacing w:line="360" w:lineRule="auto"/>
        <w:ind w:firstLine="643" w:firstLineChars="200"/>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p>
            <w:pPr>
              <w:rPr>
                <w:rFonts w:hint="eastAsia"/>
              </w:rPr>
            </w:pPr>
          </w:p>
          <w:p/>
          <w:tbl>
            <w:tblPr>
              <w:tblStyle w:val="5"/>
              <w:tblW w:w="0" w:type="auto"/>
              <w:jc w:val="center"/>
              <w:tblLayout w:type="autofit"/>
              <w:tblCellMar>
                <w:top w:w="0" w:type="dxa"/>
                <w:left w:w="108" w:type="dxa"/>
                <w:bottom w:w="0" w:type="dxa"/>
                <w:right w:w="108" w:type="dxa"/>
              </w:tblCellMar>
            </w:tblPr>
            <w:tblGrid>
              <w:gridCol w:w="2163"/>
              <w:gridCol w:w="1276"/>
              <w:gridCol w:w="1418"/>
              <w:gridCol w:w="941"/>
              <w:gridCol w:w="3098"/>
            </w:tblGrid>
            <w:tr>
              <w:tblPrEx>
                <w:tblCellMar>
                  <w:top w:w="0" w:type="dxa"/>
                  <w:left w:w="108" w:type="dxa"/>
                  <w:bottom w:w="0" w:type="dxa"/>
                  <w:right w:w="108" w:type="dxa"/>
                </w:tblCellMar>
              </w:tblPrEx>
              <w:trPr>
                <w:trHeight w:val="405" w:hRule="atLeast"/>
                <w:jc w:val="center"/>
              </w:trPr>
              <w:tc>
                <w:tcPr>
                  <w:tcW w:w="8896"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41" w:type="dxa"/>
                  <w:tcBorders>
                    <w:top w:val="nil"/>
                    <w:left w:val="nil"/>
                    <w:bottom w:val="nil"/>
                    <w:right w:val="nil"/>
                  </w:tcBorders>
                  <w:vAlign w:val="center"/>
                </w:tcPr>
                <w:p>
                  <w:pPr>
                    <w:widowControl/>
                    <w:jc w:val="left"/>
                    <w:rPr>
                      <w:rFonts w:ascii="宋体" w:hAnsi="宋体" w:cs="宋体"/>
                      <w:kern w:val="0"/>
                      <w:sz w:val="24"/>
                      <w:szCs w:val="24"/>
                    </w:rPr>
                  </w:pPr>
                </w:p>
              </w:tc>
              <w:tc>
                <w:tcPr>
                  <w:tcW w:w="3098"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941"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309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309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309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309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309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94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309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941" w:type="dxa"/>
                  <w:tcBorders>
                    <w:top w:val="nil"/>
                    <w:left w:val="nil"/>
                    <w:bottom w:val="nil"/>
                    <w:right w:val="nil"/>
                  </w:tcBorders>
                  <w:vAlign w:val="center"/>
                </w:tcPr>
                <w:p>
                  <w:pPr>
                    <w:widowControl/>
                    <w:jc w:val="left"/>
                    <w:rPr>
                      <w:rFonts w:ascii="宋体" w:hAnsi="宋体" w:cs="宋体"/>
                      <w:kern w:val="0"/>
                      <w:sz w:val="24"/>
                      <w:szCs w:val="24"/>
                    </w:rPr>
                  </w:pPr>
                </w:p>
              </w:tc>
              <w:tc>
                <w:tcPr>
                  <w:tcW w:w="3098"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一、单位总体绩效目标</w:t>
      </w:r>
    </w:p>
    <w:p>
      <w:pPr>
        <w:spacing w:line="500" w:lineRule="exact"/>
        <w:ind w:firstLine="560" w:firstLineChars="200"/>
        <w:jc w:val="left"/>
        <w:rPr>
          <w:rFonts w:ascii="仿宋" w:hAnsi="仿宋" w:eastAsia="仿宋"/>
          <w:sz w:val="32"/>
          <w:szCs w:val="32"/>
        </w:rPr>
      </w:pPr>
      <w:r>
        <w:rPr>
          <w:rFonts w:hint="eastAsia" w:ascii="仿宋" w:hAnsi="仿宋" w:eastAsia="仿宋" w:cs="仿宋"/>
          <w:sz w:val="28"/>
        </w:rPr>
        <w:t>紧紧围绕区委、区政府的重要部署，深入贯彻落实党的十九届四中全会精神和习近平新时代中国特色社会主义思想，全面提升党建工作，加强党风廉政建设；推进规模化农业生产, 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w:t>
      </w:r>
      <w:r>
        <w:rPr>
          <w:rFonts w:hint="eastAsia" w:ascii="仿宋" w:hAnsi="仿宋" w:eastAsia="仿宋" w:cs="仿宋"/>
          <w:sz w:val="28"/>
          <w:lang w:val="en-US" w:eastAsia="zh-CN"/>
        </w:rPr>
        <w:t>秆禁</w:t>
      </w:r>
      <w:r>
        <w:rPr>
          <w:rFonts w:hint="eastAsia" w:ascii="仿宋" w:hAnsi="仿宋" w:eastAsia="仿宋" w:cs="仿宋"/>
          <w:sz w:val="28"/>
        </w:rPr>
        <w:t>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pPr>
        <w:spacing w:line="360" w:lineRule="auto"/>
        <w:ind w:firstLine="643" w:firstLineChars="200"/>
        <w:rPr>
          <w:rFonts w:ascii="仿宋" w:hAnsi="仿宋" w:eastAsia="仿宋"/>
          <w:b/>
          <w:sz w:val="32"/>
          <w:szCs w:val="32"/>
        </w:rPr>
      </w:pPr>
      <w:bookmarkStart w:id="0" w:name="_Toc_2_2_0000000003"/>
      <w:r>
        <w:rPr>
          <w:rFonts w:hint="eastAsia" w:ascii="仿宋" w:hAnsi="仿宋" w:eastAsia="仿宋"/>
          <w:b/>
          <w:sz w:val="32"/>
          <w:szCs w:val="32"/>
        </w:rPr>
        <w:t>二、工作保障措施</w:t>
      </w:r>
      <w:bookmarkEnd w:id="0"/>
    </w:p>
    <w:p>
      <w:pPr>
        <w:pStyle w:val="21"/>
        <w:rPr>
          <w:rFonts w:ascii="仿宋" w:hAnsi="仿宋" w:eastAsia="仿宋" w:cs="仿宋"/>
        </w:rPr>
      </w:pPr>
      <w:r>
        <w:rPr>
          <w:rFonts w:hint="eastAsia" w:ascii="仿宋" w:hAnsi="仿宋" w:eastAsia="仿宋" w:cs="仿宋"/>
        </w:rP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pPr>
        <w:pStyle w:val="21"/>
        <w:rPr>
          <w:rFonts w:ascii="仿宋" w:hAnsi="仿宋" w:eastAsia="仿宋" w:cs="仿宋"/>
        </w:rPr>
      </w:pPr>
      <w:r>
        <w:rPr>
          <w:rFonts w:hint="eastAsia" w:ascii="仿宋" w:hAnsi="仿宋" w:eastAsia="仿宋" w:cs="仿宋"/>
        </w:rPr>
        <w:t>（一）强化政治理论武装，健全完善制度机制</w:t>
      </w:r>
    </w:p>
    <w:p>
      <w:pPr>
        <w:pStyle w:val="21"/>
        <w:rPr>
          <w:rFonts w:ascii="仿宋" w:hAnsi="仿宋" w:eastAsia="仿宋" w:cs="仿宋"/>
        </w:rPr>
      </w:pPr>
      <w:r>
        <w:rPr>
          <w:rFonts w:hint="eastAsia" w:ascii="仿宋" w:hAnsi="仿宋" w:eastAsia="仿宋" w:cs="仿宋"/>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pPr>
        <w:pStyle w:val="21"/>
        <w:rPr>
          <w:rFonts w:ascii="仿宋" w:hAnsi="仿宋" w:eastAsia="仿宋" w:cs="仿宋"/>
        </w:rPr>
      </w:pPr>
      <w:r>
        <w:rPr>
          <w:rFonts w:hint="eastAsia" w:ascii="仿宋" w:hAnsi="仿宋" w:eastAsia="仿宋" w:cs="仿宋"/>
        </w:rPr>
        <w:t>（二）加强预算支出管理，确保支出进度达标</w:t>
      </w:r>
    </w:p>
    <w:p>
      <w:pPr>
        <w:pStyle w:val="21"/>
        <w:rPr>
          <w:rFonts w:ascii="仿宋" w:hAnsi="仿宋" w:eastAsia="仿宋" w:cs="仿宋"/>
        </w:rPr>
      </w:pPr>
      <w:r>
        <w:rPr>
          <w:rFonts w:hint="eastAsia" w:ascii="仿宋" w:hAnsi="仿宋" w:eastAsia="仿宋" w:cs="仿宋"/>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1"/>
        <w:rPr>
          <w:rFonts w:ascii="仿宋" w:hAnsi="仿宋" w:eastAsia="仿宋" w:cs="仿宋"/>
        </w:rPr>
      </w:pPr>
      <w:r>
        <w:rPr>
          <w:rFonts w:hint="eastAsia" w:ascii="仿宋" w:hAnsi="仿宋" w:eastAsia="仿宋" w:cs="仿宋"/>
        </w:rPr>
        <w:t>（三）加强内部监督管理，确保资金安全有效</w:t>
      </w:r>
    </w:p>
    <w:p>
      <w:pPr>
        <w:pStyle w:val="21"/>
        <w:rPr>
          <w:rFonts w:ascii="仿宋" w:hAnsi="仿宋" w:eastAsia="仿宋" w:cs="仿宋"/>
        </w:rPr>
      </w:pPr>
      <w:r>
        <w:rPr>
          <w:rFonts w:hint="eastAsia" w:ascii="仿宋" w:hAnsi="仿宋" w:eastAsia="仿宋" w:cs="仿宋"/>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pStyle w:val="21"/>
        <w:rPr>
          <w:rFonts w:ascii="仿宋" w:hAnsi="仿宋" w:eastAsia="仿宋" w:cs="仿宋"/>
        </w:rPr>
      </w:pPr>
      <w:r>
        <w:rPr>
          <w:rFonts w:hint="eastAsia" w:ascii="仿宋" w:hAnsi="仿宋" w:eastAsia="仿宋" w:cs="仿宋"/>
        </w:rPr>
        <w:t>（四）加强宣传培训调研，确保绩效目标实现</w:t>
      </w:r>
    </w:p>
    <w:p>
      <w:pPr>
        <w:pStyle w:val="21"/>
        <w:rPr>
          <w:rFonts w:ascii="仿宋" w:hAnsi="仿宋" w:eastAsia="仿宋" w:cs="仿宋"/>
        </w:rPr>
      </w:pPr>
      <w:r>
        <w:rPr>
          <w:rFonts w:hint="eastAsia" w:ascii="仿宋" w:hAnsi="仿宋" w:eastAsia="仿宋" w:cs="仿宋"/>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pStyle w:val="21"/>
        <w:rPr>
          <w:rFonts w:ascii="仿宋" w:hAnsi="仿宋" w:eastAsia="仿宋" w:cs="仿宋"/>
          <w:b/>
          <w:bCs/>
        </w:rPr>
      </w:pPr>
    </w:p>
    <w:p>
      <w:pPr>
        <w:pStyle w:val="21"/>
        <w:rPr>
          <w:rFonts w:ascii="仿宋" w:hAnsi="仿宋" w:eastAsia="仿宋" w:cs="仿宋"/>
          <w:b/>
          <w:bCs/>
        </w:rPr>
      </w:pPr>
    </w:p>
    <w:p>
      <w:pPr>
        <w:pStyle w:val="21"/>
        <w:rPr>
          <w:rFonts w:ascii="仿宋" w:hAnsi="仿宋" w:eastAsia="仿宋" w:cs="仿宋"/>
          <w:b/>
          <w:bCs/>
        </w:rPr>
      </w:pPr>
    </w:p>
    <w:p>
      <w:pPr>
        <w:pStyle w:val="21"/>
        <w:rPr>
          <w:rFonts w:ascii="仿宋" w:hAnsi="仿宋" w:eastAsia="仿宋" w:cs="仿宋"/>
          <w:b/>
          <w:bCs/>
        </w:rPr>
      </w:pPr>
    </w:p>
    <w:p>
      <w:pPr>
        <w:spacing w:line="360" w:lineRule="auto"/>
        <w:ind w:firstLine="640" w:firstLineChars="200"/>
        <w:rPr>
          <w:rFonts w:ascii="仿宋" w:hAnsi="仿宋" w:eastAsia="仿宋" w:cs="仿宋"/>
          <w:sz w:val="32"/>
          <w:szCs w:val="32"/>
        </w:rPr>
        <w:sectPr>
          <w:pgSz w:w="11907" w:h="16839"/>
          <w:pgMar w:top="1984" w:right="1304" w:bottom="1134" w:left="1304" w:header="851" w:footer="992" w:gutter="0"/>
          <w:cols w:space="425" w:num="1"/>
          <w:docGrid w:type="lines" w:linePitch="312" w:charSpace="0"/>
        </w:sectPr>
      </w:pPr>
      <w:r>
        <w:rPr>
          <w:rFonts w:hint="eastAsia" w:ascii="仿宋" w:hAnsi="仿宋" w:eastAsia="仿宋" w:cs="仿宋"/>
          <w:sz w:val="32"/>
          <w:szCs w:val="32"/>
        </w:rPr>
        <w:t xml:space="preserve"> </w:t>
      </w: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rPr>
        <w:t>单位无</w:t>
      </w:r>
      <w:r>
        <w:rPr>
          <w:rFonts w:ascii="仿宋" w:hAnsi="仿宋" w:eastAsia="仿宋"/>
          <w:sz w:val="32"/>
          <w:szCs w:val="32"/>
        </w:rPr>
        <w:t>政府采购预算，</w:t>
      </w:r>
      <w:r>
        <w:rPr>
          <w:rFonts w:hint="eastAsia" w:ascii="仿宋" w:hAnsi="仿宋" w:eastAsia="仿宋"/>
          <w:sz w:val="32"/>
          <w:szCs w:val="32"/>
        </w:rPr>
        <w:t>空表列示</w:t>
      </w:r>
      <w:r>
        <w:rPr>
          <w:rFonts w:ascii="仿宋" w:hAnsi="仿宋" w:eastAsia="仿宋"/>
          <w:sz w:val="32"/>
          <w:szCs w:val="32"/>
        </w:rPr>
        <w:t>：</w:t>
      </w:r>
    </w:p>
    <w:p>
      <w:pPr>
        <w:spacing w:line="360" w:lineRule="auto"/>
        <w:ind w:firstLine="640" w:firstLineChars="200"/>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pPr>
        <w:jc w:val="center"/>
        <w:outlineLvl w:val="1"/>
      </w:pPr>
      <w:bookmarkStart w:id="1" w:name="_Toc_2_2_0000000007"/>
      <w:r>
        <w:rPr>
          <w:rFonts w:hint="eastAsia" w:ascii="方正小标宋_GBK" w:hAnsi="方正小标宋_GBK" w:eastAsia="方正小标宋_GBK" w:cs="方正小标宋_GBK"/>
          <w:color w:val="000000"/>
          <w:sz w:val="32"/>
        </w:rPr>
        <w:t>单位</w:t>
      </w:r>
      <w:r>
        <w:rPr>
          <w:rFonts w:ascii="方正小标宋_GBK" w:hAnsi="方正小标宋_GBK" w:eastAsia="方正小标宋_GBK" w:cs="方正小标宋_GBK"/>
          <w:color w:val="000000"/>
          <w:sz w:val="32"/>
        </w:rPr>
        <w:t>政府采购预算</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rPr>
                <w:rFonts w:hint="eastAsia"/>
                <w:lang w:eastAsia="zh-CN"/>
              </w:rPr>
            </w:pPr>
            <w:r>
              <w:t>903</w:t>
            </w:r>
            <w:r>
              <w:rPr>
                <w:rFonts w:hint="eastAsia"/>
                <w:lang w:eastAsia="zh-CN"/>
              </w:rPr>
              <w:t>003</w:t>
            </w:r>
            <w:r>
              <w:t>保定市徐水区东史端镇人民政府</w:t>
            </w:r>
            <w:r>
              <w:rPr>
                <w:rFonts w:hint="eastAsia"/>
                <w:lang w:eastAsia="zh-CN"/>
              </w:rPr>
              <w:t>事业</w:t>
            </w:r>
          </w:p>
        </w:tc>
        <w:tc>
          <w:tcPr>
            <w:tcW w:w="8674" w:type="dxa"/>
            <w:gridSpan w:val="9"/>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rPr>
                <w:rFonts w:ascii="仿宋" w:hAnsi="仿宋" w:eastAsia="仿宋"/>
              </w:rPr>
            </w:pPr>
            <w:r>
              <w:rPr>
                <w:rFonts w:ascii="仿宋" w:hAnsi="仿宋" w:eastAsia="仿宋"/>
              </w:rPr>
              <w:t>政府采购项目来源</w:t>
            </w:r>
          </w:p>
        </w:tc>
        <w:tc>
          <w:tcPr>
            <w:tcW w:w="1134" w:type="dxa"/>
            <w:vMerge w:val="restart"/>
            <w:vAlign w:val="center"/>
          </w:tcPr>
          <w:p>
            <w:pPr>
              <w:pStyle w:val="13"/>
              <w:rPr>
                <w:rFonts w:ascii="仿宋" w:hAnsi="仿宋" w:eastAsia="仿宋"/>
              </w:rPr>
            </w:pPr>
            <w:r>
              <w:rPr>
                <w:rFonts w:ascii="仿宋" w:hAnsi="仿宋" w:eastAsia="仿宋"/>
              </w:rPr>
              <w:t>采购物品名称</w:t>
            </w:r>
          </w:p>
        </w:tc>
        <w:tc>
          <w:tcPr>
            <w:tcW w:w="1134" w:type="dxa"/>
            <w:vMerge w:val="restart"/>
            <w:vAlign w:val="center"/>
          </w:tcPr>
          <w:p>
            <w:pPr>
              <w:pStyle w:val="13"/>
              <w:rPr>
                <w:rFonts w:ascii="仿宋" w:hAnsi="仿宋" w:eastAsia="仿宋"/>
              </w:rPr>
            </w:pPr>
            <w:r>
              <w:rPr>
                <w:rFonts w:ascii="仿宋" w:hAnsi="仿宋" w:eastAsia="仿宋"/>
              </w:rPr>
              <w:t>政府采购目录序号</w:t>
            </w:r>
          </w:p>
        </w:tc>
        <w:tc>
          <w:tcPr>
            <w:tcW w:w="709" w:type="dxa"/>
            <w:vMerge w:val="restart"/>
            <w:vAlign w:val="center"/>
          </w:tcPr>
          <w:p>
            <w:pPr>
              <w:pStyle w:val="13"/>
              <w:rPr>
                <w:rFonts w:ascii="仿宋" w:hAnsi="仿宋" w:eastAsia="仿宋"/>
              </w:rPr>
            </w:pPr>
            <w:r>
              <w:rPr>
                <w:rFonts w:ascii="仿宋" w:hAnsi="仿宋" w:eastAsia="仿宋"/>
              </w:rPr>
              <w:t>计量  单位</w:t>
            </w:r>
          </w:p>
        </w:tc>
        <w:tc>
          <w:tcPr>
            <w:tcW w:w="850" w:type="dxa"/>
            <w:vMerge w:val="restart"/>
            <w:vAlign w:val="center"/>
          </w:tcPr>
          <w:p>
            <w:pPr>
              <w:pStyle w:val="13"/>
              <w:rPr>
                <w:rFonts w:ascii="仿宋" w:hAnsi="仿宋" w:eastAsia="仿宋"/>
              </w:rPr>
            </w:pPr>
            <w:r>
              <w:rPr>
                <w:rFonts w:ascii="仿宋" w:hAnsi="仿宋" w:eastAsia="仿宋"/>
              </w:rPr>
              <w:t>数量</w:t>
            </w:r>
          </w:p>
        </w:tc>
        <w:tc>
          <w:tcPr>
            <w:tcW w:w="850" w:type="dxa"/>
            <w:vMerge w:val="restart"/>
            <w:vAlign w:val="center"/>
          </w:tcPr>
          <w:p>
            <w:pPr>
              <w:pStyle w:val="13"/>
              <w:rPr>
                <w:rFonts w:ascii="仿宋" w:hAnsi="仿宋" w:eastAsia="仿宋"/>
              </w:rPr>
            </w:pPr>
            <w:r>
              <w:rPr>
                <w:rFonts w:ascii="仿宋" w:hAnsi="仿宋" w:eastAsia="仿宋"/>
              </w:rPr>
              <w:t>单价</w:t>
            </w:r>
          </w:p>
        </w:tc>
        <w:tc>
          <w:tcPr>
            <w:tcW w:w="7710" w:type="dxa"/>
            <w:gridSpan w:val="8"/>
            <w:vAlign w:val="center"/>
          </w:tcPr>
          <w:p>
            <w:pPr>
              <w:pStyle w:val="13"/>
              <w:rPr>
                <w:rFonts w:ascii="仿宋" w:hAnsi="仿宋" w:eastAsia="仿宋"/>
              </w:rPr>
            </w:pPr>
            <w:r>
              <w:rPr>
                <w:rFonts w:ascii="仿宋" w:hAnsi="仿宋" w:eastAsia="仿宋"/>
              </w:rPr>
              <w:t>政府采购金额（当年</w:t>
            </w:r>
            <w:r>
              <w:rPr>
                <w:rFonts w:hint="eastAsia" w:ascii="仿宋" w:hAnsi="仿宋" w:eastAsia="仿宋"/>
                <w:lang w:val="en-US" w:eastAsia="zh-CN"/>
              </w:rPr>
              <w:t>单位</w:t>
            </w:r>
            <w:r>
              <w:rPr>
                <w:rFonts w:ascii="仿宋" w:hAnsi="仿宋" w:eastAsia="仿宋"/>
              </w:rPr>
              <w:t>预算安排资金）</w:t>
            </w:r>
          </w:p>
        </w:tc>
        <w:tc>
          <w:tcPr>
            <w:tcW w:w="964" w:type="dxa"/>
            <w:vMerge w:val="restart"/>
            <w:vAlign w:val="center"/>
          </w:tcPr>
          <w:p>
            <w:pPr>
              <w:pStyle w:val="13"/>
              <w:rPr>
                <w:rFonts w:ascii="仿宋" w:hAnsi="仿宋" w:eastAsia="仿宋"/>
              </w:rPr>
            </w:pPr>
            <w:r>
              <w:rPr>
                <w:rFonts w:ascii="仿宋" w:hAnsi="仿宋" w:eastAsia="仿宋"/>
              </w:rP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rPr>
                <w:rFonts w:ascii="仿宋" w:hAnsi="仿宋" w:eastAsia="仿宋"/>
              </w:rPr>
            </w:pPr>
            <w:r>
              <w:rPr>
                <w:rFonts w:ascii="仿宋" w:hAnsi="仿宋" w:eastAsia="仿宋"/>
              </w:rPr>
              <w:t>项目名称</w:t>
            </w:r>
          </w:p>
        </w:tc>
        <w:tc>
          <w:tcPr>
            <w:tcW w:w="964" w:type="dxa"/>
            <w:vAlign w:val="center"/>
          </w:tcPr>
          <w:p>
            <w:pPr>
              <w:pStyle w:val="13"/>
              <w:rPr>
                <w:rFonts w:ascii="仿宋" w:hAnsi="仿宋" w:eastAsia="仿宋"/>
              </w:rPr>
            </w:pPr>
            <w:r>
              <w:rPr>
                <w:rFonts w:ascii="仿宋" w:hAnsi="仿宋" w:eastAsia="仿宋"/>
              </w:rPr>
              <w:t>预算    资金</w:t>
            </w:r>
          </w:p>
        </w:tc>
        <w:tc>
          <w:tcPr>
            <w:tcW w:w="1134" w:type="dxa"/>
            <w:vMerge w:val="continue"/>
          </w:tcPr>
          <w:p>
            <w:pPr>
              <w:rPr>
                <w:rFonts w:ascii="仿宋" w:hAnsi="仿宋" w:eastAsia="仿宋"/>
              </w:rPr>
            </w:pPr>
          </w:p>
        </w:tc>
        <w:tc>
          <w:tcPr>
            <w:tcW w:w="1134" w:type="dxa"/>
            <w:vMerge w:val="continue"/>
          </w:tcPr>
          <w:p>
            <w:pPr>
              <w:rPr>
                <w:rFonts w:ascii="仿宋" w:hAnsi="仿宋" w:eastAsia="仿宋"/>
              </w:rPr>
            </w:pPr>
          </w:p>
        </w:tc>
        <w:tc>
          <w:tcPr>
            <w:tcW w:w="709" w:type="dxa"/>
            <w:vMerge w:val="continue"/>
          </w:tcPr>
          <w:p>
            <w:pPr>
              <w:rPr>
                <w:rFonts w:ascii="仿宋" w:hAnsi="仿宋" w:eastAsia="仿宋"/>
              </w:rPr>
            </w:pPr>
          </w:p>
        </w:tc>
        <w:tc>
          <w:tcPr>
            <w:tcW w:w="850" w:type="dxa"/>
            <w:vMerge w:val="continue"/>
          </w:tcPr>
          <w:p>
            <w:pPr>
              <w:rPr>
                <w:rFonts w:ascii="仿宋" w:hAnsi="仿宋" w:eastAsia="仿宋"/>
              </w:rPr>
            </w:pPr>
          </w:p>
        </w:tc>
        <w:tc>
          <w:tcPr>
            <w:tcW w:w="850" w:type="dxa"/>
            <w:vMerge w:val="continue"/>
          </w:tcPr>
          <w:p>
            <w:pPr>
              <w:rPr>
                <w:rFonts w:ascii="仿宋" w:hAnsi="仿宋" w:eastAsia="仿宋"/>
              </w:rPr>
            </w:pPr>
          </w:p>
        </w:tc>
        <w:tc>
          <w:tcPr>
            <w:tcW w:w="964" w:type="dxa"/>
            <w:vAlign w:val="center"/>
          </w:tcPr>
          <w:p>
            <w:pPr>
              <w:pStyle w:val="13"/>
              <w:rPr>
                <w:rFonts w:ascii="仿宋" w:hAnsi="仿宋" w:eastAsia="仿宋"/>
              </w:rPr>
            </w:pPr>
            <w:r>
              <w:rPr>
                <w:rFonts w:ascii="仿宋" w:hAnsi="仿宋" w:eastAsia="仿宋"/>
              </w:rPr>
              <w:t>合计</w:t>
            </w:r>
          </w:p>
        </w:tc>
        <w:tc>
          <w:tcPr>
            <w:tcW w:w="964" w:type="dxa"/>
            <w:vAlign w:val="center"/>
          </w:tcPr>
          <w:p>
            <w:pPr>
              <w:pStyle w:val="13"/>
              <w:rPr>
                <w:rFonts w:ascii="仿宋" w:hAnsi="仿宋" w:eastAsia="仿宋"/>
              </w:rPr>
            </w:pPr>
            <w:r>
              <w:rPr>
                <w:rFonts w:ascii="仿宋" w:hAnsi="仿宋" w:eastAsia="仿宋"/>
              </w:rPr>
              <w:t>一般公共预算拨款</w:t>
            </w:r>
          </w:p>
        </w:tc>
        <w:tc>
          <w:tcPr>
            <w:tcW w:w="964" w:type="dxa"/>
            <w:vAlign w:val="center"/>
          </w:tcPr>
          <w:p>
            <w:pPr>
              <w:pStyle w:val="13"/>
              <w:rPr>
                <w:rFonts w:ascii="仿宋" w:hAnsi="仿宋" w:eastAsia="仿宋"/>
              </w:rPr>
            </w:pPr>
            <w:r>
              <w:rPr>
                <w:rFonts w:ascii="仿宋" w:hAnsi="仿宋" w:eastAsia="仿宋"/>
              </w:rPr>
              <w:t>基金预算拨款</w:t>
            </w:r>
          </w:p>
        </w:tc>
        <w:tc>
          <w:tcPr>
            <w:tcW w:w="964" w:type="dxa"/>
            <w:vAlign w:val="center"/>
          </w:tcPr>
          <w:p>
            <w:pPr>
              <w:pStyle w:val="13"/>
              <w:rPr>
                <w:rFonts w:ascii="仿宋" w:hAnsi="仿宋" w:eastAsia="仿宋"/>
              </w:rPr>
            </w:pPr>
            <w:r>
              <w:rPr>
                <w:rFonts w:ascii="仿宋" w:hAnsi="仿宋" w:eastAsia="仿宋"/>
              </w:rPr>
              <w:t>国有资本经营预算拨款</w:t>
            </w:r>
          </w:p>
        </w:tc>
        <w:tc>
          <w:tcPr>
            <w:tcW w:w="964" w:type="dxa"/>
            <w:vAlign w:val="center"/>
          </w:tcPr>
          <w:p>
            <w:pPr>
              <w:pStyle w:val="13"/>
              <w:rPr>
                <w:rFonts w:ascii="仿宋" w:hAnsi="仿宋" w:eastAsia="仿宋"/>
              </w:rPr>
            </w:pPr>
            <w:r>
              <w:rPr>
                <w:rFonts w:ascii="仿宋" w:hAnsi="仿宋" w:eastAsia="仿宋"/>
              </w:rPr>
              <w:t>财政专户核拨</w:t>
            </w:r>
          </w:p>
        </w:tc>
        <w:tc>
          <w:tcPr>
            <w:tcW w:w="964" w:type="dxa"/>
            <w:vAlign w:val="center"/>
          </w:tcPr>
          <w:p>
            <w:pPr>
              <w:pStyle w:val="13"/>
              <w:rPr>
                <w:rFonts w:ascii="仿宋" w:hAnsi="仿宋" w:eastAsia="仿宋"/>
              </w:rPr>
            </w:pPr>
            <w:r>
              <w:rPr>
                <w:rFonts w:ascii="仿宋" w:hAnsi="仿宋" w:eastAsia="仿宋"/>
              </w:rPr>
              <w:t>单位    资金</w:t>
            </w:r>
          </w:p>
        </w:tc>
        <w:tc>
          <w:tcPr>
            <w:tcW w:w="964" w:type="dxa"/>
            <w:vAlign w:val="center"/>
          </w:tcPr>
          <w:p>
            <w:pPr>
              <w:pStyle w:val="13"/>
              <w:rPr>
                <w:rFonts w:ascii="仿宋" w:hAnsi="仿宋" w:eastAsia="仿宋"/>
              </w:rPr>
            </w:pPr>
            <w:r>
              <w:rPr>
                <w:rFonts w:ascii="仿宋" w:hAnsi="仿宋" w:eastAsia="仿宋"/>
              </w:rPr>
              <w:t>财政拨    款结转</w:t>
            </w:r>
          </w:p>
        </w:tc>
        <w:tc>
          <w:tcPr>
            <w:tcW w:w="964" w:type="dxa"/>
            <w:vAlign w:val="center"/>
          </w:tcPr>
          <w:p>
            <w:pPr>
              <w:pStyle w:val="13"/>
              <w:rPr>
                <w:rFonts w:ascii="仿宋" w:hAnsi="仿宋" w:eastAsia="仿宋"/>
              </w:rPr>
            </w:pPr>
            <w:r>
              <w:rPr>
                <w:rFonts w:ascii="仿宋" w:hAnsi="仿宋" w:eastAsia="仿宋"/>
              </w:rPr>
              <w:t>非财政    拨款结    转结余</w:t>
            </w:r>
          </w:p>
        </w:tc>
        <w:tc>
          <w:tcPr>
            <w:tcW w:w="964" w:type="dxa"/>
            <w:vMerge w:val="continue"/>
          </w:tcPr>
          <w:p>
            <w:pPr>
              <w:rPr>
                <w:rFonts w:ascii="仿宋" w:hAnsi="仿宋" w:eastAsia="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rPr>
                <w:rFonts w:ascii="仿宋" w:hAnsi="仿宋" w:eastAsia="仿宋"/>
              </w:rPr>
            </w:pPr>
            <w:r>
              <w:rPr>
                <w:rFonts w:ascii="仿宋" w:hAnsi="仿宋" w:eastAsia="仿宋"/>
              </w:rPr>
              <w:t>合  计</w:t>
            </w:r>
          </w:p>
        </w:tc>
        <w:tc>
          <w:tcPr>
            <w:tcW w:w="964" w:type="dxa"/>
            <w:vAlign w:val="center"/>
          </w:tcPr>
          <w:p>
            <w:pPr>
              <w:pStyle w:val="18"/>
              <w:rPr>
                <w:rFonts w:ascii="仿宋" w:hAnsi="仿宋" w:eastAsia="仿宋"/>
              </w:rPr>
            </w:pPr>
          </w:p>
        </w:tc>
        <w:tc>
          <w:tcPr>
            <w:tcW w:w="1134" w:type="dxa"/>
            <w:vAlign w:val="center"/>
          </w:tcPr>
          <w:p>
            <w:pPr>
              <w:pStyle w:val="19"/>
              <w:rPr>
                <w:rFonts w:ascii="仿宋" w:hAnsi="仿宋" w:eastAsia="仿宋"/>
              </w:rPr>
            </w:pPr>
          </w:p>
        </w:tc>
        <w:tc>
          <w:tcPr>
            <w:tcW w:w="1134" w:type="dxa"/>
            <w:vAlign w:val="center"/>
          </w:tcPr>
          <w:p>
            <w:pPr>
              <w:pStyle w:val="19"/>
              <w:rPr>
                <w:rFonts w:ascii="仿宋" w:hAnsi="仿宋" w:eastAsia="仿宋"/>
              </w:rPr>
            </w:pPr>
          </w:p>
        </w:tc>
        <w:tc>
          <w:tcPr>
            <w:tcW w:w="709" w:type="dxa"/>
            <w:vAlign w:val="center"/>
          </w:tcPr>
          <w:p>
            <w:pPr>
              <w:pStyle w:val="17"/>
              <w:rPr>
                <w:rFonts w:ascii="仿宋" w:hAnsi="仿宋" w:eastAsia="仿宋"/>
              </w:rPr>
            </w:pPr>
          </w:p>
        </w:tc>
        <w:tc>
          <w:tcPr>
            <w:tcW w:w="850" w:type="dxa"/>
            <w:vAlign w:val="center"/>
          </w:tcPr>
          <w:p>
            <w:pPr>
              <w:pStyle w:val="18"/>
              <w:rPr>
                <w:rFonts w:ascii="仿宋" w:hAnsi="仿宋" w:eastAsia="仿宋"/>
              </w:rPr>
            </w:pPr>
          </w:p>
        </w:tc>
        <w:tc>
          <w:tcPr>
            <w:tcW w:w="850" w:type="dxa"/>
            <w:vAlign w:val="center"/>
          </w:tcPr>
          <w:p>
            <w:pPr>
              <w:pStyle w:val="18"/>
              <w:rPr>
                <w:rFonts w:ascii="仿宋" w:hAnsi="仿宋" w:eastAsia="仿宋"/>
              </w:rPr>
            </w:pPr>
          </w:p>
        </w:tc>
        <w:tc>
          <w:tcPr>
            <w:tcW w:w="964" w:type="dxa"/>
            <w:vAlign w:val="center"/>
          </w:tcPr>
          <w:p>
            <w:pPr>
              <w:pStyle w:val="18"/>
              <w:rPr>
                <w:rFonts w:hint="eastAsia" w:ascii="仿宋" w:hAnsi="仿宋" w:eastAsia="仿宋"/>
                <w:lang w:eastAsia="zh-CN"/>
              </w:rPr>
            </w:pPr>
          </w:p>
        </w:tc>
        <w:tc>
          <w:tcPr>
            <w:tcW w:w="964" w:type="dxa"/>
            <w:vAlign w:val="center"/>
          </w:tcPr>
          <w:p>
            <w:pPr>
              <w:pStyle w:val="18"/>
              <w:rPr>
                <w:rFonts w:hint="eastAsia" w:ascii="仿宋" w:hAnsi="仿宋" w:eastAsia="仿宋"/>
                <w:lang w:eastAsia="zh-CN"/>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hint="eastAsia" w:ascii="仿宋" w:hAnsi="仿宋" w:eastAsia="仿宋"/>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rPr>
                <w:rFonts w:ascii="仿宋" w:hAnsi="仿宋" w:eastAsia="仿宋"/>
              </w:rPr>
            </w:pPr>
          </w:p>
        </w:tc>
        <w:tc>
          <w:tcPr>
            <w:tcW w:w="964" w:type="dxa"/>
            <w:vAlign w:val="center"/>
          </w:tcPr>
          <w:p>
            <w:pPr>
              <w:pStyle w:val="18"/>
              <w:rPr>
                <w:rFonts w:ascii="仿宋" w:hAnsi="仿宋" w:eastAsia="仿宋"/>
              </w:rPr>
            </w:pPr>
          </w:p>
        </w:tc>
        <w:tc>
          <w:tcPr>
            <w:tcW w:w="1134" w:type="dxa"/>
            <w:vAlign w:val="center"/>
          </w:tcPr>
          <w:p>
            <w:pPr>
              <w:pStyle w:val="19"/>
              <w:rPr>
                <w:rFonts w:ascii="仿宋" w:hAnsi="仿宋" w:eastAsia="仿宋"/>
              </w:rPr>
            </w:pPr>
          </w:p>
        </w:tc>
        <w:tc>
          <w:tcPr>
            <w:tcW w:w="1134" w:type="dxa"/>
            <w:vAlign w:val="center"/>
          </w:tcPr>
          <w:p>
            <w:pPr>
              <w:pStyle w:val="19"/>
              <w:rPr>
                <w:rFonts w:ascii="仿宋" w:hAnsi="仿宋" w:eastAsia="仿宋"/>
              </w:rPr>
            </w:pPr>
          </w:p>
        </w:tc>
        <w:tc>
          <w:tcPr>
            <w:tcW w:w="709" w:type="dxa"/>
            <w:vAlign w:val="center"/>
          </w:tcPr>
          <w:p>
            <w:pPr>
              <w:pStyle w:val="17"/>
              <w:rPr>
                <w:rFonts w:ascii="仿宋" w:hAnsi="仿宋" w:eastAsia="仿宋"/>
              </w:rPr>
            </w:pPr>
          </w:p>
        </w:tc>
        <w:tc>
          <w:tcPr>
            <w:tcW w:w="850" w:type="dxa"/>
            <w:vAlign w:val="center"/>
          </w:tcPr>
          <w:p>
            <w:pPr>
              <w:pStyle w:val="18"/>
              <w:rPr>
                <w:rFonts w:ascii="仿宋" w:hAnsi="仿宋" w:eastAsia="仿宋"/>
              </w:rPr>
            </w:pPr>
          </w:p>
        </w:tc>
        <w:tc>
          <w:tcPr>
            <w:tcW w:w="850"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c>
          <w:tcPr>
            <w:tcW w:w="964" w:type="dxa"/>
            <w:vAlign w:val="center"/>
          </w:tcPr>
          <w:p>
            <w:pPr>
              <w:pStyle w:val="18"/>
              <w:rPr>
                <w:rFonts w:ascii="仿宋" w:hAnsi="仿宋" w:eastAsia="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rPr>
                <w:rFonts w:ascii="仿宋" w:hAnsi="仿宋" w:eastAsia="仿宋"/>
              </w:rPr>
            </w:pPr>
          </w:p>
        </w:tc>
        <w:tc>
          <w:tcPr>
            <w:tcW w:w="964" w:type="dxa"/>
            <w:vAlign w:val="center"/>
          </w:tcPr>
          <w:p>
            <w:pPr>
              <w:pStyle w:val="14"/>
              <w:rPr>
                <w:rFonts w:ascii="仿宋" w:hAnsi="仿宋" w:eastAsia="仿宋"/>
              </w:rPr>
            </w:pPr>
          </w:p>
        </w:tc>
        <w:tc>
          <w:tcPr>
            <w:tcW w:w="1134" w:type="dxa"/>
            <w:vAlign w:val="center"/>
          </w:tcPr>
          <w:p>
            <w:pPr>
              <w:pStyle w:val="15"/>
              <w:rPr>
                <w:rFonts w:ascii="仿宋" w:hAnsi="仿宋" w:eastAsia="仿宋"/>
              </w:rPr>
            </w:pPr>
          </w:p>
        </w:tc>
        <w:tc>
          <w:tcPr>
            <w:tcW w:w="1134" w:type="dxa"/>
            <w:vAlign w:val="center"/>
          </w:tcPr>
          <w:p>
            <w:pPr>
              <w:pStyle w:val="15"/>
              <w:rPr>
                <w:rFonts w:ascii="仿宋" w:hAnsi="仿宋" w:eastAsia="仿宋"/>
              </w:rPr>
            </w:pPr>
          </w:p>
        </w:tc>
        <w:tc>
          <w:tcPr>
            <w:tcW w:w="709" w:type="dxa"/>
            <w:vAlign w:val="center"/>
          </w:tcPr>
          <w:p>
            <w:pPr>
              <w:pStyle w:val="16"/>
              <w:rPr>
                <w:rFonts w:ascii="仿宋" w:hAnsi="仿宋" w:eastAsia="仿宋"/>
              </w:rPr>
            </w:pPr>
          </w:p>
        </w:tc>
        <w:tc>
          <w:tcPr>
            <w:tcW w:w="850" w:type="dxa"/>
            <w:vAlign w:val="center"/>
          </w:tcPr>
          <w:p>
            <w:pPr>
              <w:pStyle w:val="14"/>
              <w:rPr>
                <w:rFonts w:ascii="仿宋" w:hAnsi="仿宋" w:eastAsia="仿宋"/>
              </w:rPr>
            </w:pPr>
          </w:p>
        </w:tc>
        <w:tc>
          <w:tcPr>
            <w:tcW w:w="850"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c>
          <w:tcPr>
            <w:tcW w:w="964" w:type="dxa"/>
            <w:vAlign w:val="center"/>
          </w:tcPr>
          <w:p>
            <w:pPr>
              <w:pStyle w:val="14"/>
              <w:rPr>
                <w:rFonts w:ascii="仿宋" w:hAnsi="仿宋" w:eastAsia="仿宋"/>
              </w:rPr>
            </w:pPr>
          </w:p>
        </w:tc>
      </w:tr>
    </w:tbl>
    <w:p>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pPr>
        <w:spacing w:line="360" w:lineRule="auto"/>
        <w:rPr>
          <w:rFonts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上年末我单位固定资产总金额为0万元（详见下表）。</w:t>
      </w:r>
      <w:r>
        <w:rPr>
          <w:rFonts w:ascii="仿宋" w:hAnsi="仿宋" w:eastAsia="仿宋"/>
          <w:sz w:val="32"/>
          <w:szCs w:val="32"/>
        </w:rPr>
        <w:t xml:space="preserve"> </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0</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pPr>
          <w:pStyle w:val="3"/>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TU1YTkyNjQyYTJmZTcyNjczNmEwOWYyYTA5ZGMifQ=="/>
  </w:docVars>
  <w:rsids>
    <w:rsidRoot w:val="00055F1F"/>
    <w:rsid w:val="00013B8A"/>
    <w:rsid w:val="00044FBC"/>
    <w:rsid w:val="00055F1F"/>
    <w:rsid w:val="000577EF"/>
    <w:rsid w:val="00057F18"/>
    <w:rsid w:val="000A445D"/>
    <w:rsid w:val="000C178B"/>
    <w:rsid w:val="000F73AC"/>
    <w:rsid w:val="00131DEC"/>
    <w:rsid w:val="00136AB3"/>
    <w:rsid w:val="001462BD"/>
    <w:rsid w:val="00152380"/>
    <w:rsid w:val="001638BE"/>
    <w:rsid w:val="00164810"/>
    <w:rsid w:val="00172C7A"/>
    <w:rsid w:val="00181777"/>
    <w:rsid w:val="001A7469"/>
    <w:rsid w:val="001B4688"/>
    <w:rsid w:val="001B6235"/>
    <w:rsid w:val="001F4875"/>
    <w:rsid w:val="00212335"/>
    <w:rsid w:val="002918C6"/>
    <w:rsid w:val="00291EF3"/>
    <w:rsid w:val="00296524"/>
    <w:rsid w:val="002B7CF8"/>
    <w:rsid w:val="002E01F6"/>
    <w:rsid w:val="002F1ACB"/>
    <w:rsid w:val="002F530F"/>
    <w:rsid w:val="00305E97"/>
    <w:rsid w:val="00310532"/>
    <w:rsid w:val="0032782B"/>
    <w:rsid w:val="00333E19"/>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36D49"/>
    <w:rsid w:val="00450FD9"/>
    <w:rsid w:val="00453CE0"/>
    <w:rsid w:val="00470736"/>
    <w:rsid w:val="00470BBB"/>
    <w:rsid w:val="00481D13"/>
    <w:rsid w:val="0048611E"/>
    <w:rsid w:val="004B6929"/>
    <w:rsid w:val="004E2F43"/>
    <w:rsid w:val="004E3572"/>
    <w:rsid w:val="004F027E"/>
    <w:rsid w:val="004F3C52"/>
    <w:rsid w:val="00510A1E"/>
    <w:rsid w:val="005158E2"/>
    <w:rsid w:val="00524204"/>
    <w:rsid w:val="00550049"/>
    <w:rsid w:val="00553F7E"/>
    <w:rsid w:val="00570142"/>
    <w:rsid w:val="00586C35"/>
    <w:rsid w:val="005B1B6F"/>
    <w:rsid w:val="005B6CCB"/>
    <w:rsid w:val="005C54AA"/>
    <w:rsid w:val="005C7B89"/>
    <w:rsid w:val="005F68CE"/>
    <w:rsid w:val="0062788A"/>
    <w:rsid w:val="00641F8A"/>
    <w:rsid w:val="0066383B"/>
    <w:rsid w:val="006A6FA2"/>
    <w:rsid w:val="006B5117"/>
    <w:rsid w:val="006C62DF"/>
    <w:rsid w:val="006F5104"/>
    <w:rsid w:val="006F6549"/>
    <w:rsid w:val="006F6618"/>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A4B7A"/>
    <w:rsid w:val="008B5402"/>
    <w:rsid w:val="008D11BC"/>
    <w:rsid w:val="008D55F1"/>
    <w:rsid w:val="0090527E"/>
    <w:rsid w:val="00905BB7"/>
    <w:rsid w:val="0090620C"/>
    <w:rsid w:val="00912DA4"/>
    <w:rsid w:val="009302B8"/>
    <w:rsid w:val="009305C6"/>
    <w:rsid w:val="00945A94"/>
    <w:rsid w:val="009752AE"/>
    <w:rsid w:val="00982F3D"/>
    <w:rsid w:val="00983232"/>
    <w:rsid w:val="009A278A"/>
    <w:rsid w:val="009B6368"/>
    <w:rsid w:val="009D012C"/>
    <w:rsid w:val="009F63C4"/>
    <w:rsid w:val="00A16957"/>
    <w:rsid w:val="00A6155C"/>
    <w:rsid w:val="00A62F25"/>
    <w:rsid w:val="00A8079E"/>
    <w:rsid w:val="00A84A3B"/>
    <w:rsid w:val="00A90328"/>
    <w:rsid w:val="00A92D66"/>
    <w:rsid w:val="00AA4203"/>
    <w:rsid w:val="00AA4262"/>
    <w:rsid w:val="00AB5A90"/>
    <w:rsid w:val="00AB7449"/>
    <w:rsid w:val="00AC3377"/>
    <w:rsid w:val="00AE4AA5"/>
    <w:rsid w:val="00AE7FA9"/>
    <w:rsid w:val="00B147EB"/>
    <w:rsid w:val="00B22155"/>
    <w:rsid w:val="00B75AF1"/>
    <w:rsid w:val="00B76AA9"/>
    <w:rsid w:val="00B80E5C"/>
    <w:rsid w:val="00B80FAB"/>
    <w:rsid w:val="00B81C88"/>
    <w:rsid w:val="00BA5C83"/>
    <w:rsid w:val="00BC6A7D"/>
    <w:rsid w:val="00BD4829"/>
    <w:rsid w:val="00BD6002"/>
    <w:rsid w:val="00BD719F"/>
    <w:rsid w:val="00BF5442"/>
    <w:rsid w:val="00C177A5"/>
    <w:rsid w:val="00C2218A"/>
    <w:rsid w:val="00C35FEE"/>
    <w:rsid w:val="00C50535"/>
    <w:rsid w:val="00C6153C"/>
    <w:rsid w:val="00C906EF"/>
    <w:rsid w:val="00CA7045"/>
    <w:rsid w:val="00CC61B5"/>
    <w:rsid w:val="00CC7D74"/>
    <w:rsid w:val="00D02F97"/>
    <w:rsid w:val="00D45530"/>
    <w:rsid w:val="00D45A0E"/>
    <w:rsid w:val="00D45D23"/>
    <w:rsid w:val="00D723D1"/>
    <w:rsid w:val="00D80C60"/>
    <w:rsid w:val="00D8525F"/>
    <w:rsid w:val="00DA0C4D"/>
    <w:rsid w:val="00DA5DA7"/>
    <w:rsid w:val="00DC4FCE"/>
    <w:rsid w:val="00DE3935"/>
    <w:rsid w:val="00DE6B32"/>
    <w:rsid w:val="00DF26B8"/>
    <w:rsid w:val="00E12C68"/>
    <w:rsid w:val="00E2325B"/>
    <w:rsid w:val="00E24075"/>
    <w:rsid w:val="00E270C9"/>
    <w:rsid w:val="00E35F38"/>
    <w:rsid w:val="00E41E8D"/>
    <w:rsid w:val="00E42026"/>
    <w:rsid w:val="00E46F27"/>
    <w:rsid w:val="00E509CC"/>
    <w:rsid w:val="00E56DC0"/>
    <w:rsid w:val="00E71A04"/>
    <w:rsid w:val="00E90DA6"/>
    <w:rsid w:val="00E96342"/>
    <w:rsid w:val="00EA2FEA"/>
    <w:rsid w:val="00EA45B4"/>
    <w:rsid w:val="00EA56CB"/>
    <w:rsid w:val="00EA684D"/>
    <w:rsid w:val="00EA7853"/>
    <w:rsid w:val="00F000B1"/>
    <w:rsid w:val="00F012D3"/>
    <w:rsid w:val="00F044C3"/>
    <w:rsid w:val="00F10D04"/>
    <w:rsid w:val="00F169E3"/>
    <w:rsid w:val="00F35D4B"/>
    <w:rsid w:val="00F3746B"/>
    <w:rsid w:val="00F572CB"/>
    <w:rsid w:val="00F621AF"/>
    <w:rsid w:val="00F72A4B"/>
    <w:rsid w:val="00F8024E"/>
    <w:rsid w:val="00F82447"/>
    <w:rsid w:val="00F868E5"/>
    <w:rsid w:val="00FB2F32"/>
    <w:rsid w:val="00FC3191"/>
    <w:rsid w:val="00FE0F1F"/>
    <w:rsid w:val="00FF1342"/>
    <w:rsid w:val="00FF61F3"/>
    <w:rsid w:val="05EA5F5A"/>
    <w:rsid w:val="06066674"/>
    <w:rsid w:val="07EF3F8C"/>
    <w:rsid w:val="0A214432"/>
    <w:rsid w:val="0D4F1587"/>
    <w:rsid w:val="100B1CD5"/>
    <w:rsid w:val="16B923B6"/>
    <w:rsid w:val="1D705C62"/>
    <w:rsid w:val="25064445"/>
    <w:rsid w:val="26652B6E"/>
    <w:rsid w:val="27733670"/>
    <w:rsid w:val="38707B94"/>
    <w:rsid w:val="39DA3F33"/>
    <w:rsid w:val="44CD78FE"/>
    <w:rsid w:val="59000F89"/>
    <w:rsid w:val="5BF9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正文1"/>
    <w:basedOn w:val="1"/>
    <w:qFormat/>
    <w:uiPriority w:val="0"/>
    <w:pPr>
      <w:widowControl/>
    </w:pPr>
    <w:rPr>
      <w:rFonts w:ascii="等线" w:hAnsi="等线" w:eastAsia="等线" w:cs="Times New Roman"/>
      <w:kern w:val="0"/>
      <w:szCs w:val="20"/>
      <w:lang w:eastAsia="en-US"/>
    </w:rPr>
  </w:style>
  <w:style w:type="paragraph" w:customStyle="1" w:styleId="11">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12">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13">
    <w:name w:val="单元格样式1"/>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4">
    <w:name w:val="单元格样式4"/>
    <w:basedOn w:val="1"/>
    <w:qFormat/>
    <w:uiPriority w:val="0"/>
    <w:pPr>
      <w:widowControl/>
      <w:jc w:val="right"/>
    </w:pPr>
    <w:rPr>
      <w:rFonts w:ascii="方正书宋_GBK" w:hAnsi="方正书宋_GBK" w:eastAsia="方正书宋_GBK" w:cs="方正书宋_GBK"/>
      <w:kern w:val="0"/>
      <w:szCs w:val="24"/>
      <w:lang w:eastAsia="uk-UA"/>
    </w:rPr>
  </w:style>
  <w:style w:type="paragraph" w:customStyle="1" w:styleId="15">
    <w:name w:val="单元格样式2"/>
    <w:basedOn w:val="1"/>
    <w:qFormat/>
    <w:uiPriority w:val="0"/>
    <w:pPr>
      <w:widowControl/>
      <w:jc w:val="left"/>
    </w:pPr>
    <w:rPr>
      <w:rFonts w:ascii="方正书宋_GBK" w:hAnsi="方正书宋_GBK" w:eastAsia="方正书宋_GBK" w:cs="方正书宋_GBK"/>
      <w:kern w:val="0"/>
      <w:szCs w:val="24"/>
      <w:lang w:eastAsia="uk-UA"/>
    </w:rPr>
  </w:style>
  <w:style w:type="paragraph" w:customStyle="1" w:styleId="16">
    <w:name w:val="单元格样式3"/>
    <w:basedOn w:val="1"/>
    <w:qFormat/>
    <w:uiPriority w:val="0"/>
    <w:pPr>
      <w:widowControl/>
      <w:jc w:val="center"/>
    </w:pPr>
    <w:rPr>
      <w:rFonts w:ascii="方正书宋_GBK" w:hAnsi="方正书宋_GBK" w:eastAsia="方正书宋_GBK" w:cs="方正书宋_GBK"/>
      <w:kern w:val="0"/>
      <w:szCs w:val="24"/>
      <w:lang w:eastAsia="uk-UA"/>
    </w:rPr>
  </w:style>
  <w:style w:type="paragraph" w:customStyle="1" w:styleId="17">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18">
    <w:name w:val="单元格样式7"/>
    <w:basedOn w:val="1"/>
    <w:qFormat/>
    <w:uiPriority w:val="0"/>
    <w:pPr>
      <w:widowControl/>
      <w:jc w:val="right"/>
    </w:pPr>
    <w:rPr>
      <w:rFonts w:ascii="方正书宋_GBK" w:hAnsi="方正书宋_GBK" w:eastAsia="方正书宋_GBK" w:cs="方正书宋_GBK"/>
      <w:b/>
      <w:kern w:val="0"/>
      <w:szCs w:val="24"/>
      <w:lang w:eastAsia="uk-UA"/>
    </w:rPr>
  </w:style>
  <w:style w:type="paragraph" w:customStyle="1" w:styleId="19">
    <w:name w:val="单元格样式5"/>
    <w:basedOn w:val="1"/>
    <w:qFormat/>
    <w:uiPriority w:val="0"/>
    <w:pPr>
      <w:widowControl/>
      <w:jc w:val="left"/>
    </w:pPr>
    <w:rPr>
      <w:rFonts w:ascii="方正书宋_GBK" w:hAnsi="方正书宋_GBK" w:eastAsia="方正书宋_GBK" w:cs="方正书宋_GBK"/>
      <w:b/>
      <w:kern w:val="0"/>
      <w:szCs w:val="24"/>
      <w:lang w:eastAsia="uk-UA"/>
    </w:rPr>
  </w:style>
  <w:style w:type="paragraph" w:customStyle="1" w:styleId="20">
    <w:name w:val="插入文本样式-插入总体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ABA7-4D85-45E8-9D29-658FEE52C3C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4002</Words>
  <Characters>4116</Characters>
  <Lines>31</Lines>
  <Paragraphs>8</Paragraphs>
  <TotalTime>27</TotalTime>
  <ScaleCrop>false</ScaleCrop>
  <LinksUpToDate>false</LinksUpToDate>
  <CharactersWithSpaces>4216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2022-07-21T08:30:00Z</dcterms:created>
  <dc:creator>Windows 用户</dc:creator>
  <cp:lastModifiedBy>Administrator</cp:lastModifiedBy>
  <cp:lastPrinted>2022-03-03T06:24:00Z</cp:lastPrinted>
  <dcterms:modified xsi:type="dcterms:W3CDTF">2025-05-12T08:28:50Z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06320D2905BD4B2397459A31A9B5CCEA_13</vt:lpwstr>
  </property>
</Properties>
</file>