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1F4" w:rsidRDefault="002E60E5">
      <w:pPr>
        <w:widowControl/>
        <w:spacing w:line="578" w:lineRule="exact"/>
        <w:jc w:val="left"/>
        <w:rPr>
          <w:rFonts w:ascii="仿宋_GB2312" w:hAnsi="宋体" w:cs="宋体"/>
          <w:color w:val="000000"/>
          <w:sz w:val="32"/>
          <w:szCs w:val="32"/>
        </w:rPr>
      </w:pPr>
      <w:bookmarkStart w:id="0" w:name="_GoBack"/>
      <w:bookmarkEnd w:id="0"/>
      <w:r>
        <w:rPr>
          <w:rFonts w:ascii="仿宋_GB2312" w:hAnsi="宋体" w:cs="宋体" w:hint="eastAsia"/>
          <w:color w:val="000000"/>
          <w:sz w:val="32"/>
          <w:szCs w:val="32"/>
        </w:rPr>
        <w:t>附件</w:t>
      </w:r>
      <w:r>
        <w:rPr>
          <w:rFonts w:ascii="仿宋_GB2312" w:hAnsi="宋体" w:cs="宋体" w:hint="eastAsia"/>
          <w:color w:val="000000"/>
          <w:sz w:val="32"/>
          <w:szCs w:val="32"/>
        </w:rPr>
        <w:t>1</w:t>
      </w:r>
    </w:p>
    <w:p w:rsidR="002031F4" w:rsidRDefault="002E60E5">
      <w:pPr>
        <w:spacing w:line="360" w:lineRule="auto"/>
        <w:jc w:val="center"/>
        <w:rPr>
          <w:rFonts w:ascii="宋体" w:eastAsia="宋体" w:hAnsi="宋体"/>
          <w:b/>
          <w:sz w:val="44"/>
          <w:szCs w:val="44"/>
        </w:rPr>
      </w:pPr>
      <w:r>
        <w:rPr>
          <w:rFonts w:ascii="宋体" w:eastAsia="宋体" w:hAnsi="宋体" w:hint="eastAsia"/>
          <w:b/>
          <w:sz w:val="44"/>
          <w:szCs w:val="44"/>
        </w:rPr>
        <w:t>保定市徐水区东史端镇人民政府</w:t>
      </w:r>
      <w:r>
        <w:rPr>
          <w:rFonts w:ascii="宋体" w:eastAsia="宋体" w:hAnsi="宋体" w:hint="eastAsia"/>
          <w:b/>
          <w:sz w:val="44"/>
          <w:szCs w:val="44"/>
        </w:rPr>
        <w:t>事业</w:t>
      </w:r>
    </w:p>
    <w:p w:rsidR="002031F4" w:rsidRDefault="002E60E5">
      <w:pPr>
        <w:spacing w:line="360" w:lineRule="auto"/>
        <w:jc w:val="center"/>
        <w:rPr>
          <w:rFonts w:ascii="宋体" w:eastAsia="宋体" w:hAnsi="宋体"/>
          <w:b/>
          <w:sz w:val="44"/>
          <w:szCs w:val="44"/>
        </w:rPr>
      </w:pPr>
      <w:r>
        <w:rPr>
          <w:rFonts w:ascii="宋体" w:eastAsia="宋体" w:hAnsi="宋体"/>
          <w:b/>
          <w:sz w:val="44"/>
          <w:szCs w:val="44"/>
        </w:rPr>
        <w:t>2021</w:t>
      </w:r>
      <w:r>
        <w:rPr>
          <w:rFonts w:ascii="宋体" w:eastAsia="宋体" w:hAnsi="宋体"/>
          <w:b/>
          <w:sz w:val="44"/>
          <w:szCs w:val="44"/>
        </w:rPr>
        <w:t>年</w:t>
      </w:r>
      <w:r>
        <w:rPr>
          <w:rFonts w:ascii="宋体" w:eastAsia="宋体" w:hAnsi="宋体" w:hint="eastAsia"/>
          <w:b/>
          <w:sz w:val="44"/>
          <w:szCs w:val="44"/>
        </w:rPr>
        <w:t>单位</w:t>
      </w:r>
      <w:r>
        <w:rPr>
          <w:rFonts w:ascii="宋体" w:eastAsia="宋体" w:hAnsi="宋体"/>
          <w:b/>
          <w:sz w:val="44"/>
          <w:szCs w:val="44"/>
        </w:rPr>
        <w:t>预算公开说明</w:t>
      </w:r>
    </w:p>
    <w:p w:rsidR="002031F4" w:rsidRDefault="002E60E5">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2031F4" w:rsidRDefault="002E60E5">
      <w:pPr>
        <w:spacing w:line="360" w:lineRule="auto"/>
        <w:ind w:firstLineChars="200" w:firstLine="640"/>
        <w:rPr>
          <w:rFonts w:ascii="仿宋" w:eastAsia="仿宋" w:hAnsi="仿宋"/>
          <w:sz w:val="32"/>
          <w:szCs w:val="32"/>
        </w:rPr>
      </w:pPr>
      <w:r>
        <w:rPr>
          <w:rFonts w:ascii="仿宋" w:eastAsia="仿宋" w:hAnsi="仿宋" w:hint="eastAsia"/>
          <w:sz w:val="32"/>
          <w:szCs w:val="32"/>
        </w:rPr>
        <w:t>按照《中华人民共和国预算法》、《地方预决算公开操作规程》等文件规定，现将我</w:t>
      </w:r>
      <w:r>
        <w:rPr>
          <w:rFonts w:ascii="仿宋" w:eastAsia="仿宋" w:hAnsi="仿宋" w:hint="eastAsia"/>
          <w:sz w:val="32"/>
          <w:szCs w:val="32"/>
        </w:rPr>
        <w:t>单位</w:t>
      </w:r>
      <w:r>
        <w:rPr>
          <w:rFonts w:ascii="仿宋" w:eastAsia="仿宋" w:hAnsi="仿宋" w:hint="eastAsia"/>
          <w:sz w:val="32"/>
          <w:szCs w:val="32"/>
        </w:rPr>
        <w:t>预算信息公开如下：</w:t>
      </w:r>
    </w:p>
    <w:p w:rsidR="002031F4" w:rsidRDefault="002E60E5">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hint="eastAsia"/>
          <w:sz w:val="44"/>
        </w:rPr>
        <w:t>单位</w:t>
      </w:r>
      <w:r>
        <w:rPr>
          <w:rFonts w:ascii="方正小标宋_GBK" w:eastAsia="方正小标宋_GBK"/>
          <w:sz w:val="44"/>
        </w:rPr>
        <w:t>职责及机构设置情况</w:t>
      </w:r>
    </w:p>
    <w:p w:rsidR="002031F4" w:rsidRDefault="002E60E5">
      <w:pPr>
        <w:spacing w:line="360" w:lineRule="auto"/>
        <w:ind w:firstLineChars="200" w:firstLine="643"/>
        <w:rPr>
          <w:rFonts w:ascii="仿宋" w:eastAsia="仿宋" w:hAnsi="仿宋"/>
          <w:b/>
          <w:sz w:val="32"/>
          <w:szCs w:val="32"/>
        </w:rPr>
      </w:pPr>
      <w:r>
        <w:rPr>
          <w:rFonts w:ascii="仿宋" w:eastAsia="仿宋" w:hAnsi="仿宋" w:hint="eastAsia"/>
          <w:b/>
          <w:sz w:val="32"/>
          <w:szCs w:val="32"/>
        </w:rPr>
        <w:t>一、</w:t>
      </w:r>
      <w:r>
        <w:rPr>
          <w:rFonts w:ascii="仿宋" w:eastAsia="仿宋" w:hAnsi="仿宋" w:hint="eastAsia"/>
          <w:b/>
          <w:sz w:val="32"/>
          <w:szCs w:val="32"/>
        </w:rPr>
        <w:t>单位</w:t>
      </w:r>
      <w:r>
        <w:rPr>
          <w:rFonts w:ascii="仿宋" w:eastAsia="仿宋" w:hAnsi="仿宋" w:hint="eastAsia"/>
          <w:b/>
          <w:sz w:val="32"/>
          <w:szCs w:val="32"/>
        </w:rPr>
        <w:t>职责</w:t>
      </w:r>
    </w:p>
    <w:p w:rsidR="002031F4" w:rsidRDefault="002E60E5">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（二）加强党对基层治理的全面领导，统筹抓好基层党建工作和基层党组织各项制度建设。推进全面从严治党，强化</w:t>
      </w:r>
      <w:r>
        <w:rPr>
          <w:rFonts w:ascii="仿宋" w:eastAsia="仿宋" w:hAnsi="仿宋"/>
          <w:sz w:val="28"/>
        </w:rPr>
        <w:t>“</w:t>
      </w:r>
      <w:r>
        <w:rPr>
          <w:rFonts w:ascii="仿宋" w:eastAsia="仿宋" w:hAnsi="仿宋"/>
          <w:sz w:val="28"/>
        </w:rPr>
        <w:t>两个责任</w:t>
      </w:r>
      <w:r>
        <w:rPr>
          <w:rFonts w:ascii="仿宋" w:eastAsia="仿宋" w:hAnsi="仿宋"/>
          <w:sz w:val="28"/>
        </w:rPr>
        <w:t>”</w:t>
      </w:r>
      <w:r>
        <w:rPr>
          <w:rFonts w:ascii="仿宋" w:eastAsia="仿宋" w:hAnsi="仿宋"/>
          <w:sz w:val="28"/>
        </w:rPr>
        <w:t>，确保党的路线方针政策在基层得到全面贯彻落实。</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三）讨论和决定本乡镇经济建设、政治建设、文化建设、社会建设、生态文明建设和党的建设以及乡村振兴中的重大问题</w:t>
      </w:r>
      <w:proofErr w:type="spellEnd"/>
      <w:r>
        <w:rPr>
          <w:rFonts w:ascii="仿宋" w:eastAsia="仿宋" w:hAnsi="仿宋"/>
          <w:sz w:val="28"/>
        </w:rPr>
        <w:t>。</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四）组织召开本级人民代表大会，充分行使重大事项决定权、监督权和任免权，做好人大代表工作，联系选民、反映群众意见和要求</w:t>
      </w:r>
      <w:proofErr w:type="spellEnd"/>
      <w:r>
        <w:rPr>
          <w:rFonts w:ascii="仿宋" w:eastAsia="仿宋" w:hAnsi="仿宋"/>
          <w:sz w:val="28"/>
        </w:rPr>
        <w:t>。</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lastRenderedPageBreak/>
        <w:t>（五）组织实施与群众生活密切相关的各项公共服务，落实基层</w:t>
      </w:r>
      <w:r>
        <w:rPr>
          <w:rFonts w:ascii="仿宋" w:eastAsia="仿宋" w:hAnsi="仿宋"/>
          <w:sz w:val="28"/>
        </w:rPr>
        <w:t>“</w:t>
      </w:r>
      <w:r>
        <w:rPr>
          <w:rFonts w:ascii="仿宋" w:eastAsia="仿宋" w:hAnsi="仿宋"/>
          <w:sz w:val="28"/>
        </w:rPr>
        <w:t>最多跑一次</w:t>
      </w:r>
      <w:r>
        <w:rPr>
          <w:rFonts w:ascii="仿宋" w:eastAsia="仿宋" w:hAnsi="仿宋"/>
          <w:sz w:val="28"/>
        </w:rPr>
        <w:t>”</w:t>
      </w:r>
      <w:r>
        <w:rPr>
          <w:rFonts w:ascii="仿宋" w:eastAsia="仿宋" w:hAnsi="仿宋"/>
          <w:sz w:val="28"/>
        </w:rPr>
        <w:t>改革工作，拓宽服务渠道，改进服务方式，建立健全</w:t>
      </w:r>
      <w:r>
        <w:rPr>
          <w:rFonts w:ascii="仿宋" w:eastAsia="仿宋" w:hAnsi="仿宋"/>
          <w:sz w:val="28"/>
        </w:rPr>
        <w:t>群众办事一次办结机制，推进乡镇便民服务平台标准化建设，实行</w:t>
      </w:r>
      <w:r>
        <w:rPr>
          <w:rFonts w:ascii="仿宋" w:eastAsia="仿宋" w:hAnsi="仿宋"/>
          <w:sz w:val="28"/>
        </w:rPr>
        <w:t>“</w:t>
      </w:r>
      <w:r>
        <w:rPr>
          <w:rFonts w:ascii="仿宋" w:eastAsia="仿宋" w:hAnsi="仿宋"/>
          <w:sz w:val="28"/>
        </w:rPr>
        <w:t>一站式服务</w:t>
      </w:r>
      <w:r>
        <w:rPr>
          <w:rFonts w:ascii="仿宋" w:eastAsia="仿宋" w:hAnsi="仿宋"/>
          <w:sz w:val="28"/>
        </w:rPr>
        <w:t>”“</w:t>
      </w:r>
      <w:r>
        <w:rPr>
          <w:rFonts w:ascii="仿宋" w:eastAsia="仿宋" w:hAnsi="仿宋"/>
          <w:sz w:val="28"/>
        </w:rPr>
        <w:t>一枚印章管审批（服务）</w:t>
      </w:r>
      <w:r>
        <w:rPr>
          <w:rFonts w:ascii="仿宋" w:eastAsia="仿宋" w:hAnsi="仿宋"/>
          <w:sz w:val="28"/>
        </w:rPr>
        <w:t>”</w:t>
      </w:r>
      <w:r>
        <w:rPr>
          <w:rFonts w:ascii="仿宋" w:eastAsia="仿宋" w:hAnsi="仿宋"/>
          <w:sz w:val="28"/>
        </w:rPr>
        <w:t>，提升</w:t>
      </w:r>
      <w:r>
        <w:rPr>
          <w:rFonts w:ascii="仿宋" w:eastAsia="仿宋" w:hAnsi="仿宋"/>
          <w:sz w:val="28"/>
        </w:rPr>
        <w:t xml:space="preserve"> </w:t>
      </w:r>
      <w:proofErr w:type="spellStart"/>
      <w:r>
        <w:rPr>
          <w:rFonts w:ascii="仿宋" w:eastAsia="仿宋" w:hAnsi="仿宋"/>
          <w:sz w:val="28"/>
        </w:rPr>
        <w:t>群众获得感和幸福感</w:t>
      </w:r>
      <w:proofErr w:type="spellEnd"/>
      <w:r>
        <w:rPr>
          <w:rFonts w:ascii="仿宋" w:eastAsia="仿宋" w:hAnsi="仿宋"/>
          <w:sz w:val="28"/>
        </w:rPr>
        <w:t>。</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2031F4" w:rsidRDefault="002E60E5">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（七）乡镇党委领导乡镇政权机关、群团组织和其他各类组织，加强指导和规范，支持和保证这些机关和组织依照国家法律法规以及各自章程履行职责。坚持党管</w:t>
      </w:r>
      <w:r>
        <w:rPr>
          <w:rFonts w:ascii="仿宋" w:eastAsia="仿宋" w:hAnsi="仿宋"/>
          <w:sz w:val="28"/>
        </w:rPr>
        <w:t>武装的根本原则和制度，协调各方办量，对乡镇人民武装工作实行统一领导。</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（八）加强乡镇党委自身建设和村党组织建设，以及其他隶属乡镇党委的党组织建设，抓好发展党员工作，加强党员队伍建设。维护和执行党的纪律，监督党员干部和其他任何工作人员严格遵守国家法律法规。</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九）按照干部管理权限，负责对干部的教育、培训、选拔、考核和监督工作</w:t>
      </w:r>
      <w:proofErr w:type="spellEnd"/>
      <w:r>
        <w:rPr>
          <w:rFonts w:ascii="仿宋" w:eastAsia="仿宋" w:hAnsi="仿宋"/>
          <w:sz w:val="28"/>
        </w:rPr>
        <w:t>。</w:t>
      </w:r>
      <w:proofErr w:type="spellStart"/>
      <w:r>
        <w:rPr>
          <w:rFonts w:ascii="仿宋" w:eastAsia="仿宋" w:hAnsi="仿宋"/>
          <w:sz w:val="28"/>
        </w:rPr>
        <w:t>协助管理上级有关部门驻乡镇单位的干部</w:t>
      </w:r>
      <w:proofErr w:type="spellEnd"/>
      <w:r>
        <w:rPr>
          <w:rFonts w:ascii="仿宋" w:eastAsia="仿宋" w:hAnsi="仿宋"/>
          <w:sz w:val="28"/>
        </w:rPr>
        <w:t>。</w:t>
      </w:r>
      <w:proofErr w:type="spellStart"/>
      <w:r>
        <w:rPr>
          <w:rFonts w:ascii="仿宋" w:eastAsia="仿宋" w:hAnsi="仿宋"/>
          <w:sz w:val="28"/>
        </w:rPr>
        <w:t>做好人才服务工作</w:t>
      </w:r>
      <w:proofErr w:type="spellEnd"/>
      <w:r>
        <w:rPr>
          <w:rFonts w:ascii="仿宋" w:eastAsia="仿宋" w:hAnsi="仿宋"/>
          <w:sz w:val="28"/>
        </w:rPr>
        <w:t>。</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lastRenderedPageBreak/>
        <w:t>（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（十一）保护社会主义全民所有的财产和劳动群众集体所有的财产，保护公民私人所有的合法财产，维护社会秩序，保障公民的人身权利、民主权利和其他权</w:t>
      </w:r>
      <w:r>
        <w:rPr>
          <w:rFonts w:ascii="仿宋" w:eastAsia="仿宋" w:hAnsi="仿宋"/>
          <w:sz w:val="28"/>
        </w:rPr>
        <w:t>利。保护各种经济组织的合法权益。保障各少数民族的合法权利和利益，尊重少数民族的风俗习惯。保障宪法和法律赋予妇女的男女平等、同工同酬和婚姻自由等各项权利。</w:t>
      </w:r>
    </w:p>
    <w:p w:rsidR="002031F4" w:rsidRDefault="002E60E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十二）承办上级党委、人大、政府交办的其他事项</w:t>
      </w:r>
      <w:proofErr w:type="spellEnd"/>
      <w:r>
        <w:rPr>
          <w:rFonts w:ascii="仿宋" w:eastAsia="仿宋" w:hAnsi="仿宋"/>
          <w:sz w:val="28"/>
        </w:rPr>
        <w:t>。</w:t>
      </w:r>
    </w:p>
    <w:p w:rsidR="002031F4" w:rsidRDefault="002031F4">
      <w:pPr>
        <w:pStyle w:val="Normal"/>
        <w:rPr>
          <w:rFonts w:ascii="Times New Roman" w:eastAsia="Times New Roman" w:hAnsi="Times New Roman"/>
          <w:sz w:val="28"/>
        </w:rPr>
      </w:pPr>
    </w:p>
    <w:p w:rsidR="002031F4" w:rsidRDefault="002E60E5">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2"/>
        <w:gridCol w:w="2692"/>
        <w:gridCol w:w="1701"/>
        <w:gridCol w:w="1418"/>
        <w:gridCol w:w="3260"/>
      </w:tblGrid>
      <w:tr w:rsidR="002031F4">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2031F4">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2031F4" w:rsidRDefault="002E60E5">
            <w:pPr>
              <w:jc w:val="center"/>
              <w:rPr>
                <w:rFonts w:ascii="仿宋_GB2312" w:eastAsia="仿宋_GB2312" w:hAnsi="仿宋"/>
                <w:bCs/>
                <w:sz w:val="24"/>
                <w:szCs w:val="24"/>
              </w:rPr>
            </w:pPr>
            <w:r>
              <w:rPr>
                <w:rFonts w:ascii="仿宋_GB2312" w:eastAsia="仿宋_GB2312" w:hAnsi="仿宋" w:hint="eastAsia"/>
                <w:bCs/>
                <w:sz w:val="24"/>
                <w:szCs w:val="24"/>
              </w:rPr>
              <w:t>1</w:t>
            </w:r>
          </w:p>
        </w:tc>
        <w:tc>
          <w:tcPr>
            <w:tcW w:w="2692" w:type="dxa"/>
            <w:tcBorders>
              <w:top w:val="single" w:sz="4" w:space="0" w:color="auto"/>
              <w:bottom w:val="single" w:sz="4" w:space="0" w:color="auto"/>
            </w:tcBorders>
            <w:vAlign w:val="center"/>
          </w:tcPr>
          <w:p w:rsidR="002031F4" w:rsidRDefault="002E60E5">
            <w:pPr>
              <w:spacing w:line="300" w:lineRule="exact"/>
              <w:jc w:val="left"/>
              <w:rPr>
                <w:rFonts w:ascii="仿宋" w:eastAsia="仿宋" w:hAnsi="仿宋"/>
                <w:sz w:val="32"/>
                <w:szCs w:val="32"/>
              </w:rPr>
            </w:pPr>
            <w:r>
              <w:rPr>
                <w:rFonts w:ascii="仿宋" w:eastAsia="仿宋" w:hAnsi="仿宋" w:hint="eastAsia"/>
                <w:sz w:val="32"/>
                <w:szCs w:val="32"/>
              </w:rPr>
              <w:t>东史端镇（事业）</w:t>
            </w:r>
          </w:p>
        </w:tc>
        <w:tc>
          <w:tcPr>
            <w:tcW w:w="1701" w:type="dxa"/>
            <w:vAlign w:val="center"/>
          </w:tcPr>
          <w:p w:rsidR="002031F4" w:rsidRDefault="002E60E5">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418" w:type="dxa"/>
            <w:vAlign w:val="center"/>
          </w:tcPr>
          <w:p w:rsidR="002031F4" w:rsidRDefault="002E60E5">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3260" w:type="dxa"/>
            <w:vAlign w:val="center"/>
          </w:tcPr>
          <w:p w:rsidR="002031F4" w:rsidRDefault="002E60E5">
            <w:pPr>
              <w:spacing w:line="300" w:lineRule="exact"/>
              <w:jc w:val="center"/>
              <w:rPr>
                <w:rFonts w:ascii="仿宋" w:eastAsia="仿宋" w:hAnsi="仿宋"/>
                <w:sz w:val="28"/>
                <w:szCs w:val="28"/>
              </w:rPr>
            </w:pPr>
            <w:r>
              <w:rPr>
                <w:rFonts w:ascii="仿宋" w:eastAsia="仿宋" w:hAnsi="仿宋" w:hint="eastAsia"/>
                <w:sz w:val="28"/>
                <w:szCs w:val="28"/>
              </w:rPr>
              <w:t>财政性资金基本保证</w:t>
            </w:r>
          </w:p>
        </w:tc>
      </w:tr>
    </w:tbl>
    <w:p w:rsidR="002031F4" w:rsidRDefault="002031F4">
      <w:pPr>
        <w:spacing w:line="360" w:lineRule="auto"/>
        <w:rPr>
          <w:rFonts w:ascii="仿宋" w:eastAsia="仿宋" w:hAnsi="仿宋"/>
          <w:b/>
          <w:sz w:val="32"/>
          <w:szCs w:val="32"/>
        </w:rPr>
      </w:pPr>
    </w:p>
    <w:p w:rsidR="002031F4" w:rsidRDefault="002E60E5">
      <w:pPr>
        <w:jc w:val="center"/>
        <w:outlineLvl w:val="0"/>
        <w:rPr>
          <w:rFonts w:ascii="方正小标宋_GBK" w:eastAsia="方正小标宋_GBK"/>
          <w:sz w:val="44"/>
        </w:rPr>
      </w:pPr>
      <w:r>
        <w:rPr>
          <w:rFonts w:ascii="方正小标宋_GBK" w:eastAsia="方正小标宋_GBK" w:hint="eastAsia"/>
          <w:sz w:val="44"/>
        </w:rPr>
        <w:t>第二部分：</w:t>
      </w:r>
      <w:r>
        <w:rPr>
          <w:rFonts w:ascii="方正小标宋_GBK" w:eastAsia="方正小标宋_GBK" w:hint="eastAsia"/>
          <w:sz w:val="44"/>
        </w:rPr>
        <w:t>单位</w:t>
      </w:r>
      <w:r>
        <w:rPr>
          <w:rFonts w:ascii="方正小标宋_GBK" w:eastAsia="方正小标宋_GBK" w:hint="eastAsia"/>
          <w:sz w:val="44"/>
        </w:rPr>
        <w:t>预算安排的总体情况</w:t>
      </w:r>
      <w:r>
        <w:rPr>
          <w:rFonts w:ascii="方正小标宋_GBK" w:eastAsia="方正小标宋_GBK"/>
          <w:sz w:val="44"/>
        </w:rPr>
        <w:t xml:space="preserve"> </w:t>
      </w:r>
    </w:p>
    <w:p w:rsidR="002031F4" w:rsidRDefault="002E60E5">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w:t>
      </w:r>
      <w:r>
        <w:rPr>
          <w:rFonts w:ascii="仿宋" w:eastAsia="仿宋" w:hAnsi="仿宋" w:hint="eastAsia"/>
          <w:sz w:val="32"/>
          <w:szCs w:val="32"/>
        </w:rPr>
        <w:t>单位</w:t>
      </w:r>
      <w:r>
        <w:rPr>
          <w:rFonts w:ascii="仿宋" w:eastAsia="仿宋" w:hAnsi="仿宋" w:hint="eastAsia"/>
          <w:sz w:val="32"/>
          <w:szCs w:val="32"/>
        </w:rPr>
        <w:t>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w:t>
      </w:r>
      <w:r>
        <w:rPr>
          <w:rFonts w:ascii="仿宋" w:eastAsia="仿宋" w:hAnsi="仿宋" w:hint="eastAsia"/>
          <w:sz w:val="32"/>
          <w:szCs w:val="32"/>
        </w:rPr>
        <w:t>单位</w:t>
      </w:r>
      <w:r>
        <w:rPr>
          <w:rFonts w:ascii="仿宋" w:eastAsia="仿宋" w:hAnsi="仿宋" w:hint="eastAsia"/>
          <w:sz w:val="32"/>
          <w:szCs w:val="32"/>
        </w:rPr>
        <w:t>及所属事业单位的收支包含在</w:t>
      </w:r>
      <w:r>
        <w:rPr>
          <w:rFonts w:ascii="仿宋" w:eastAsia="仿宋" w:hAnsi="仿宋" w:hint="eastAsia"/>
          <w:sz w:val="32"/>
          <w:szCs w:val="32"/>
        </w:rPr>
        <w:t>单位</w:t>
      </w:r>
      <w:r>
        <w:rPr>
          <w:rFonts w:ascii="仿宋" w:eastAsia="仿宋" w:hAnsi="仿宋" w:hint="eastAsia"/>
          <w:sz w:val="32"/>
          <w:szCs w:val="32"/>
        </w:rPr>
        <w:t>预算中。</w:t>
      </w:r>
    </w:p>
    <w:p w:rsidR="002031F4" w:rsidRDefault="002E60E5">
      <w:pPr>
        <w:spacing w:line="360" w:lineRule="auto"/>
        <w:ind w:firstLineChars="200" w:firstLine="643"/>
        <w:rPr>
          <w:rFonts w:ascii="仿宋" w:eastAsia="仿宋" w:hAnsi="仿宋"/>
          <w:b/>
          <w:sz w:val="32"/>
          <w:szCs w:val="32"/>
        </w:rPr>
      </w:pPr>
      <w:r>
        <w:rPr>
          <w:rFonts w:ascii="仿宋" w:eastAsia="仿宋" w:hAnsi="仿宋" w:hint="eastAsia"/>
          <w:b/>
          <w:sz w:val="32"/>
          <w:szCs w:val="32"/>
        </w:rPr>
        <w:lastRenderedPageBreak/>
        <w:t>一、收入说明</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年预算收入为</w:t>
      </w:r>
      <w:r>
        <w:rPr>
          <w:rFonts w:ascii="仿宋" w:eastAsia="仿宋" w:hAnsi="仿宋" w:hint="eastAsia"/>
          <w:sz w:val="32"/>
          <w:szCs w:val="32"/>
        </w:rPr>
        <w:t>840.52</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840.52</w:t>
      </w:r>
      <w:r>
        <w:rPr>
          <w:rFonts w:ascii="仿宋" w:eastAsia="仿宋" w:hAnsi="仿宋"/>
          <w:sz w:val="32"/>
          <w:szCs w:val="32"/>
        </w:rPr>
        <w:t>万元，基金预算收入</w:t>
      </w:r>
      <w:r>
        <w:rPr>
          <w:rFonts w:ascii="仿宋" w:eastAsia="仿宋" w:hAnsi="仿宋" w:hint="eastAsia"/>
          <w:sz w:val="32"/>
          <w:szCs w:val="32"/>
        </w:rPr>
        <w:t>0</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w:t>
      </w:r>
      <w:r>
        <w:rPr>
          <w:rFonts w:ascii="仿宋" w:eastAsia="仿宋" w:hAnsi="仿宋"/>
          <w:sz w:val="32"/>
          <w:szCs w:val="32"/>
        </w:rPr>
        <w:t>万元。</w:t>
      </w:r>
    </w:p>
    <w:p w:rsidR="002031F4" w:rsidRDefault="002E60E5">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年部门支出预算：</w:t>
      </w:r>
      <w:r>
        <w:rPr>
          <w:rFonts w:ascii="仿宋" w:eastAsia="仿宋" w:hAnsi="仿宋" w:hint="eastAsia"/>
          <w:sz w:val="32"/>
          <w:szCs w:val="32"/>
        </w:rPr>
        <w:t>840.52</w:t>
      </w:r>
      <w:r>
        <w:rPr>
          <w:rFonts w:ascii="仿宋" w:eastAsia="仿宋" w:hAnsi="仿宋"/>
          <w:sz w:val="32"/>
          <w:szCs w:val="32"/>
        </w:rPr>
        <w:t>万元</w:t>
      </w:r>
    </w:p>
    <w:p w:rsidR="002031F4" w:rsidRDefault="002E60E5">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Pr>
          <w:rFonts w:ascii="仿宋" w:eastAsia="仿宋" w:hAnsi="仿宋" w:hint="eastAsia"/>
          <w:sz w:val="32"/>
          <w:szCs w:val="32"/>
        </w:rPr>
        <w:t>840.52</w:t>
      </w:r>
      <w:r>
        <w:rPr>
          <w:rFonts w:ascii="仿宋" w:eastAsia="仿宋" w:hAnsi="仿宋" w:hint="eastAsia"/>
          <w:sz w:val="32"/>
          <w:szCs w:val="32"/>
        </w:rPr>
        <w:t>万元</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其中：人员经费</w:t>
      </w:r>
      <w:r>
        <w:rPr>
          <w:rFonts w:ascii="仿宋" w:eastAsia="仿宋" w:hAnsi="仿宋" w:hint="eastAsia"/>
          <w:sz w:val="32"/>
          <w:szCs w:val="32"/>
        </w:rPr>
        <w:t>798</w:t>
      </w:r>
      <w:r>
        <w:rPr>
          <w:rFonts w:ascii="仿宋" w:eastAsia="仿宋" w:hAnsi="仿宋"/>
          <w:sz w:val="32"/>
          <w:szCs w:val="32"/>
        </w:rPr>
        <w:t>万元</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日常公用经费</w:t>
      </w:r>
      <w:r>
        <w:rPr>
          <w:rFonts w:ascii="仿宋" w:eastAsia="仿宋" w:hAnsi="仿宋" w:hint="eastAsia"/>
          <w:sz w:val="32"/>
          <w:szCs w:val="32"/>
        </w:rPr>
        <w:t>42.52</w:t>
      </w:r>
      <w:r>
        <w:rPr>
          <w:rFonts w:ascii="仿宋" w:eastAsia="仿宋" w:hAnsi="仿宋"/>
          <w:sz w:val="32"/>
          <w:szCs w:val="32"/>
        </w:rPr>
        <w:t>万元</w:t>
      </w:r>
    </w:p>
    <w:p w:rsidR="002031F4" w:rsidRDefault="002E60E5">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sz w:val="32"/>
          <w:szCs w:val="32"/>
        </w:rPr>
        <w:t xml:space="preserve"> </w:t>
      </w:r>
      <w:r>
        <w:rPr>
          <w:rFonts w:ascii="仿宋" w:eastAsia="仿宋" w:hAnsi="仿宋" w:hint="eastAsia"/>
          <w:sz w:val="32"/>
          <w:szCs w:val="32"/>
        </w:rPr>
        <w:t>0</w:t>
      </w:r>
      <w:r>
        <w:rPr>
          <w:rFonts w:ascii="仿宋" w:eastAsia="仿宋" w:hAnsi="仿宋"/>
          <w:sz w:val="32"/>
          <w:szCs w:val="32"/>
        </w:rPr>
        <w:t>万元</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0</w:t>
      </w:r>
      <w:r>
        <w:rPr>
          <w:rFonts w:ascii="仿宋" w:eastAsia="仿宋" w:hAnsi="仿宋"/>
          <w:sz w:val="32"/>
          <w:szCs w:val="32"/>
        </w:rPr>
        <w:t>万元</w:t>
      </w:r>
    </w:p>
    <w:p w:rsidR="002031F4" w:rsidRDefault="002E60E5">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2031F4" w:rsidRDefault="002E60E5">
      <w:pPr>
        <w:spacing w:line="360" w:lineRule="auto"/>
        <w:ind w:firstLineChars="200" w:firstLine="640"/>
        <w:rPr>
          <w:rFonts w:ascii="仿宋" w:eastAsia="仿宋" w:hAnsi="仿宋"/>
          <w:sz w:val="32"/>
          <w:szCs w:val="32"/>
        </w:rPr>
      </w:pPr>
      <w:r>
        <w:rPr>
          <w:rFonts w:ascii="仿宋" w:eastAsia="仿宋" w:hAnsi="仿宋" w:hint="eastAsia"/>
          <w:sz w:val="32"/>
          <w:szCs w:val="32"/>
        </w:rPr>
        <w:t>本年度预算收支安排</w:t>
      </w:r>
      <w:r>
        <w:rPr>
          <w:rFonts w:ascii="仿宋" w:eastAsia="仿宋" w:hAnsi="仿宋" w:hint="eastAsia"/>
          <w:sz w:val="32"/>
          <w:szCs w:val="32"/>
        </w:rPr>
        <w:t>840.52</w:t>
      </w:r>
      <w:r>
        <w:rPr>
          <w:rFonts w:ascii="仿宋" w:eastAsia="仿宋" w:hAnsi="仿宋" w:hint="eastAsia"/>
          <w:sz w:val="32"/>
          <w:szCs w:val="32"/>
        </w:rPr>
        <w:t>万元，较上年增加</w:t>
      </w:r>
      <w:r>
        <w:rPr>
          <w:rFonts w:ascii="仿宋" w:eastAsia="仿宋" w:hAnsi="仿宋" w:hint="eastAsia"/>
          <w:sz w:val="32"/>
          <w:szCs w:val="32"/>
        </w:rPr>
        <w:t>16.3</w:t>
      </w:r>
      <w:r>
        <w:rPr>
          <w:rFonts w:ascii="仿宋" w:eastAsia="仿宋" w:hAnsi="仿宋"/>
          <w:sz w:val="32"/>
          <w:szCs w:val="32"/>
        </w:rPr>
        <w:t>万元。其中</w:t>
      </w:r>
      <w:r>
        <w:rPr>
          <w:rFonts w:ascii="仿宋" w:eastAsia="仿宋" w:hAnsi="仿宋"/>
          <w:sz w:val="32"/>
          <w:szCs w:val="32"/>
        </w:rPr>
        <w:t>:</w:t>
      </w:r>
      <w:r>
        <w:rPr>
          <w:rFonts w:ascii="仿宋" w:eastAsia="仿宋" w:hAnsi="仿宋"/>
          <w:sz w:val="32"/>
          <w:szCs w:val="32"/>
        </w:rPr>
        <w:t>基本支出增加</w:t>
      </w:r>
      <w:r>
        <w:rPr>
          <w:rFonts w:ascii="仿宋" w:eastAsia="仿宋" w:hAnsi="仿宋" w:hint="eastAsia"/>
          <w:sz w:val="32"/>
          <w:szCs w:val="32"/>
        </w:rPr>
        <w:t>16.3</w:t>
      </w:r>
      <w:r>
        <w:rPr>
          <w:rFonts w:ascii="仿宋" w:eastAsia="仿宋" w:hAnsi="仿宋"/>
          <w:sz w:val="32"/>
          <w:szCs w:val="32"/>
        </w:rPr>
        <w:t>万元，主要原因是</w:t>
      </w:r>
      <w:r>
        <w:rPr>
          <w:rFonts w:ascii="仿宋" w:eastAsia="仿宋" w:hAnsi="仿宋" w:hint="eastAsia"/>
          <w:sz w:val="32"/>
          <w:szCs w:val="32"/>
        </w:rPr>
        <w:t>人员调入及人员增资人员经费比去年增加</w:t>
      </w:r>
      <w:r>
        <w:rPr>
          <w:rFonts w:ascii="仿宋" w:eastAsia="仿宋" w:hAnsi="仿宋"/>
          <w:sz w:val="32"/>
          <w:szCs w:val="32"/>
        </w:rPr>
        <w:t>；</w:t>
      </w:r>
      <w:r>
        <w:rPr>
          <w:rFonts w:ascii="仿宋" w:eastAsia="仿宋" w:hAnsi="仿宋" w:hint="eastAsia"/>
          <w:sz w:val="32"/>
          <w:szCs w:val="32"/>
        </w:rPr>
        <w:t>无</w:t>
      </w:r>
      <w:r>
        <w:rPr>
          <w:rFonts w:ascii="仿宋" w:eastAsia="仿宋" w:hAnsi="仿宋"/>
          <w:sz w:val="32"/>
          <w:szCs w:val="32"/>
        </w:rPr>
        <w:t>项目支出。</w:t>
      </w:r>
    </w:p>
    <w:p w:rsidR="002031F4" w:rsidRDefault="002031F4">
      <w:pPr>
        <w:spacing w:line="360" w:lineRule="auto"/>
        <w:ind w:firstLineChars="200" w:firstLine="640"/>
        <w:rPr>
          <w:rFonts w:ascii="仿宋" w:eastAsia="仿宋" w:hAnsi="仿宋"/>
          <w:sz w:val="32"/>
          <w:szCs w:val="32"/>
        </w:rPr>
      </w:pPr>
    </w:p>
    <w:p w:rsidR="002031F4" w:rsidRDefault="002E60E5">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rsidR="002031F4" w:rsidRDefault="002E60E5">
      <w:pPr>
        <w:spacing w:line="360" w:lineRule="auto"/>
        <w:ind w:firstLineChars="200" w:firstLine="640"/>
        <w:rPr>
          <w:rFonts w:ascii="仿宋" w:eastAsia="仿宋" w:hAnsi="仿宋"/>
          <w:b/>
          <w:sz w:val="32"/>
          <w:szCs w:val="32"/>
        </w:rPr>
      </w:pPr>
      <w:r>
        <w:rPr>
          <w:rFonts w:ascii="仿宋" w:eastAsia="仿宋" w:hAnsi="仿宋"/>
          <w:sz w:val="32"/>
          <w:szCs w:val="32"/>
        </w:rPr>
        <w:t>2021</w:t>
      </w:r>
      <w:r>
        <w:rPr>
          <w:rFonts w:ascii="仿宋" w:eastAsia="仿宋" w:hAnsi="仿宋"/>
          <w:sz w:val="32"/>
          <w:szCs w:val="32"/>
        </w:rPr>
        <w:t>年我</w:t>
      </w:r>
      <w:r>
        <w:rPr>
          <w:rFonts w:ascii="仿宋" w:eastAsia="仿宋" w:hAnsi="仿宋" w:hint="eastAsia"/>
          <w:sz w:val="32"/>
          <w:szCs w:val="32"/>
        </w:rPr>
        <w:t>单位</w:t>
      </w:r>
      <w:r>
        <w:rPr>
          <w:rFonts w:ascii="仿宋" w:eastAsia="仿宋" w:hAnsi="仿宋"/>
          <w:sz w:val="32"/>
          <w:szCs w:val="32"/>
        </w:rPr>
        <w:t>机关运行经费安排</w:t>
      </w:r>
      <w:r>
        <w:rPr>
          <w:rFonts w:ascii="仿宋" w:eastAsia="仿宋" w:hAnsi="仿宋" w:hint="eastAsia"/>
          <w:sz w:val="32"/>
          <w:szCs w:val="32"/>
        </w:rPr>
        <w:t>42.52</w:t>
      </w:r>
      <w:r>
        <w:rPr>
          <w:rFonts w:ascii="仿宋" w:eastAsia="仿宋" w:hAnsi="仿宋"/>
          <w:sz w:val="32"/>
          <w:szCs w:val="32"/>
        </w:rPr>
        <w:t>万元，其中办公费</w:t>
      </w:r>
      <w:r>
        <w:rPr>
          <w:rFonts w:ascii="仿宋" w:eastAsia="仿宋" w:hAnsi="仿宋" w:hint="eastAsia"/>
          <w:sz w:val="32"/>
          <w:szCs w:val="32"/>
        </w:rPr>
        <w:t>25.2</w:t>
      </w:r>
      <w:r>
        <w:rPr>
          <w:rFonts w:ascii="仿宋" w:eastAsia="仿宋" w:hAnsi="仿宋"/>
          <w:sz w:val="32"/>
          <w:szCs w:val="32"/>
        </w:rPr>
        <w:t>万元，邮电费</w:t>
      </w:r>
      <w:r>
        <w:rPr>
          <w:rFonts w:ascii="仿宋" w:eastAsia="仿宋" w:hAnsi="仿宋" w:hint="eastAsia"/>
          <w:sz w:val="32"/>
          <w:szCs w:val="32"/>
        </w:rPr>
        <w:t>0.96</w:t>
      </w:r>
      <w:r>
        <w:rPr>
          <w:rFonts w:ascii="仿宋" w:eastAsia="仿宋" w:hAnsi="仿宋"/>
          <w:sz w:val="32"/>
          <w:szCs w:val="32"/>
        </w:rPr>
        <w:t>万元，工会经费、福利费</w:t>
      </w:r>
      <w:r>
        <w:rPr>
          <w:rFonts w:ascii="仿宋" w:eastAsia="仿宋" w:hAnsi="仿宋" w:hint="eastAsia"/>
          <w:sz w:val="32"/>
          <w:szCs w:val="32"/>
        </w:rPr>
        <w:t>15.62</w:t>
      </w:r>
      <w:r>
        <w:rPr>
          <w:rFonts w:ascii="仿宋" w:eastAsia="仿宋" w:hAnsi="仿宋"/>
          <w:sz w:val="32"/>
          <w:szCs w:val="32"/>
        </w:rPr>
        <w:t>万元，其他支出</w:t>
      </w:r>
      <w:r>
        <w:rPr>
          <w:rFonts w:ascii="仿宋" w:eastAsia="仿宋" w:hAnsi="仿宋" w:hint="eastAsia"/>
          <w:sz w:val="32"/>
          <w:szCs w:val="32"/>
        </w:rPr>
        <w:t>0.74</w:t>
      </w:r>
      <w:r>
        <w:rPr>
          <w:rFonts w:ascii="仿宋" w:eastAsia="仿宋" w:hAnsi="仿宋"/>
          <w:sz w:val="32"/>
          <w:szCs w:val="32"/>
        </w:rPr>
        <w:t>万元。</w:t>
      </w:r>
    </w:p>
    <w:p w:rsidR="002031F4" w:rsidRDefault="002031F4">
      <w:pPr>
        <w:spacing w:line="360" w:lineRule="auto"/>
        <w:jc w:val="center"/>
        <w:rPr>
          <w:rFonts w:ascii="黑体" w:eastAsia="黑体" w:hAnsi="黑体" w:cs="Times New Roman"/>
          <w:sz w:val="32"/>
          <w:szCs w:val="32"/>
        </w:rPr>
      </w:pPr>
    </w:p>
    <w:p w:rsidR="002031F4" w:rsidRDefault="002031F4">
      <w:pPr>
        <w:spacing w:line="360" w:lineRule="auto"/>
        <w:jc w:val="center"/>
        <w:rPr>
          <w:rFonts w:ascii="黑体" w:eastAsia="黑体" w:hAnsi="黑体" w:cs="Times New Roman"/>
          <w:sz w:val="32"/>
          <w:szCs w:val="32"/>
        </w:rPr>
      </w:pPr>
    </w:p>
    <w:p w:rsidR="002031F4" w:rsidRDefault="002031F4">
      <w:pPr>
        <w:jc w:val="center"/>
        <w:outlineLvl w:val="0"/>
        <w:rPr>
          <w:rFonts w:ascii="方正小标宋_GBK" w:eastAsia="方正小标宋_GBK"/>
          <w:sz w:val="44"/>
        </w:rPr>
      </w:pPr>
    </w:p>
    <w:p w:rsidR="002031F4" w:rsidRDefault="002E60E5">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tblPr>
      <w:tblGrid>
        <w:gridCol w:w="8522"/>
      </w:tblGrid>
      <w:tr w:rsidR="002031F4">
        <w:trPr>
          <w:trHeight w:val="405"/>
        </w:trPr>
        <w:tc>
          <w:tcPr>
            <w:tcW w:w="5000" w:type="pct"/>
            <w:tcBorders>
              <w:top w:val="nil"/>
              <w:left w:val="nil"/>
              <w:bottom w:val="nil"/>
              <w:right w:val="nil"/>
            </w:tcBorders>
            <w:shd w:val="clear" w:color="auto" w:fill="auto"/>
            <w:noWrap/>
            <w:vAlign w:val="center"/>
          </w:tcPr>
          <w:tbl>
            <w:tblPr>
              <w:tblW w:w="0" w:type="auto"/>
              <w:jc w:val="center"/>
              <w:tblLook w:val="04A0"/>
            </w:tblPr>
            <w:tblGrid>
              <w:gridCol w:w="2163"/>
              <w:gridCol w:w="1276"/>
              <w:gridCol w:w="1418"/>
              <w:gridCol w:w="836"/>
              <w:gridCol w:w="2397"/>
            </w:tblGrid>
            <w:tr w:rsidR="002031F4">
              <w:trPr>
                <w:trHeight w:val="405"/>
                <w:jc w:val="center"/>
              </w:trPr>
              <w:tc>
                <w:tcPr>
                  <w:tcW w:w="8090" w:type="dxa"/>
                  <w:gridSpan w:val="5"/>
                  <w:tcBorders>
                    <w:top w:val="nil"/>
                    <w:left w:val="nil"/>
                    <w:bottom w:val="nil"/>
                    <w:right w:val="nil"/>
                  </w:tcBorders>
                  <w:vAlign w:val="center"/>
                </w:tcPr>
                <w:p w:rsidR="002031F4" w:rsidRDefault="002031F4">
                  <w:pPr>
                    <w:spacing w:line="360" w:lineRule="auto"/>
                    <w:rPr>
                      <w:rFonts w:ascii="黑体" w:eastAsia="黑体" w:hAnsi="黑体" w:cs="宋体"/>
                      <w:kern w:val="0"/>
                      <w:sz w:val="32"/>
                      <w:szCs w:val="32"/>
                    </w:rPr>
                  </w:pPr>
                </w:p>
              </w:tc>
            </w:tr>
            <w:tr w:rsidR="002031F4">
              <w:trPr>
                <w:trHeight w:val="221"/>
                <w:jc w:val="center"/>
              </w:trPr>
              <w:tc>
                <w:tcPr>
                  <w:tcW w:w="2163"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2031F4" w:rsidRDefault="002E60E5">
                  <w:pPr>
                    <w:widowControl/>
                    <w:jc w:val="right"/>
                    <w:rPr>
                      <w:rFonts w:ascii="宋体" w:hAnsi="宋体" w:cs="宋体"/>
                      <w:kern w:val="0"/>
                      <w:sz w:val="24"/>
                      <w:szCs w:val="24"/>
                    </w:rPr>
                  </w:pPr>
                  <w:r>
                    <w:rPr>
                      <w:rFonts w:ascii="宋体" w:hAnsi="宋体" w:cs="宋体" w:hint="eastAsia"/>
                      <w:kern w:val="0"/>
                      <w:sz w:val="24"/>
                      <w:szCs w:val="24"/>
                    </w:rPr>
                    <w:t>单位：万元</w:t>
                  </w:r>
                </w:p>
              </w:tc>
            </w:tr>
            <w:tr w:rsidR="002031F4">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2031F4" w:rsidRDefault="002E60E5">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2031F4">
              <w:trPr>
                <w:trHeight w:val="528"/>
                <w:jc w:val="center"/>
              </w:trPr>
              <w:tc>
                <w:tcPr>
                  <w:tcW w:w="2163" w:type="dxa"/>
                  <w:tcBorders>
                    <w:top w:val="nil"/>
                    <w:left w:val="single" w:sz="4" w:space="0" w:color="auto"/>
                    <w:bottom w:val="single" w:sz="4" w:space="0" w:color="auto"/>
                    <w:right w:val="single" w:sz="4" w:space="0" w:color="auto"/>
                  </w:tcBorders>
                  <w:vAlign w:val="center"/>
                </w:tcPr>
                <w:p w:rsidR="002031F4" w:rsidRDefault="002E60E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2031F4" w:rsidRDefault="002E60E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2031F4">
              <w:trPr>
                <w:trHeight w:val="549"/>
                <w:jc w:val="center"/>
              </w:trPr>
              <w:tc>
                <w:tcPr>
                  <w:tcW w:w="2163" w:type="dxa"/>
                  <w:tcBorders>
                    <w:top w:val="nil"/>
                    <w:left w:val="single" w:sz="4" w:space="0" w:color="auto"/>
                    <w:bottom w:val="single" w:sz="4" w:space="0" w:color="auto"/>
                    <w:right w:val="single" w:sz="4" w:space="0" w:color="auto"/>
                  </w:tcBorders>
                  <w:vAlign w:val="center"/>
                </w:tcPr>
                <w:p w:rsidR="002031F4" w:rsidRDefault="002E60E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2031F4" w:rsidRDefault="002E60E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2031F4">
              <w:trPr>
                <w:trHeight w:val="570"/>
                <w:jc w:val="center"/>
              </w:trPr>
              <w:tc>
                <w:tcPr>
                  <w:tcW w:w="2163" w:type="dxa"/>
                  <w:tcBorders>
                    <w:top w:val="nil"/>
                    <w:left w:val="single" w:sz="4" w:space="0" w:color="auto"/>
                    <w:bottom w:val="single" w:sz="4" w:space="0" w:color="auto"/>
                    <w:right w:val="single" w:sz="4" w:space="0" w:color="auto"/>
                  </w:tcBorders>
                  <w:vAlign w:val="center"/>
                </w:tcPr>
                <w:p w:rsidR="002031F4" w:rsidRDefault="002E60E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2031F4" w:rsidRDefault="002E60E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2031F4">
              <w:trPr>
                <w:trHeight w:val="551"/>
                <w:jc w:val="center"/>
              </w:trPr>
              <w:tc>
                <w:tcPr>
                  <w:tcW w:w="2163" w:type="dxa"/>
                  <w:tcBorders>
                    <w:top w:val="nil"/>
                    <w:left w:val="single" w:sz="4" w:space="0" w:color="auto"/>
                    <w:bottom w:val="single" w:sz="4" w:space="0" w:color="auto"/>
                    <w:right w:val="single" w:sz="4" w:space="0" w:color="auto"/>
                  </w:tcBorders>
                  <w:vAlign w:val="center"/>
                </w:tcPr>
                <w:p w:rsidR="002031F4" w:rsidRDefault="002E60E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2031F4" w:rsidRDefault="002E60E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2031F4">
              <w:trPr>
                <w:trHeight w:val="545"/>
                <w:jc w:val="center"/>
              </w:trPr>
              <w:tc>
                <w:tcPr>
                  <w:tcW w:w="2163" w:type="dxa"/>
                  <w:tcBorders>
                    <w:top w:val="nil"/>
                    <w:left w:val="single" w:sz="4" w:space="0" w:color="auto"/>
                    <w:bottom w:val="single" w:sz="4" w:space="0" w:color="auto"/>
                    <w:right w:val="single" w:sz="4" w:space="0" w:color="auto"/>
                  </w:tcBorders>
                  <w:vAlign w:val="center"/>
                </w:tcPr>
                <w:p w:rsidR="002031F4" w:rsidRDefault="002E60E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2031F4" w:rsidRDefault="002E60E5">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2031F4" w:rsidRDefault="002E60E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2031F4">
              <w:trPr>
                <w:trHeight w:val="285"/>
                <w:jc w:val="center"/>
              </w:trPr>
              <w:tc>
                <w:tcPr>
                  <w:tcW w:w="2163"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2031F4" w:rsidRDefault="002031F4">
                  <w:pPr>
                    <w:widowControl/>
                    <w:jc w:val="left"/>
                    <w:rPr>
                      <w:rFonts w:ascii="宋体" w:hAnsi="宋体" w:cs="宋体"/>
                      <w:kern w:val="0"/>
                      <w:sz w:val="24"/>
                      <w:szCs w:val="24"/>
                    </w:rPr>
                  </w:pPr>
                </w:p>
              </w:tc>
            </w:tr>
          </w:tbl>
          <w:p w:rsidR="002031F4" w:rsidRDefault="002031F4">
            <w:pPr>
              <w:widowControl/>
              <w:spacing w:line="520" w:lineRule="exact"/>
              <w:ind w:right="480"/>
              <w:rPr>
                <w:rFonts w:ascii="仿宋" w:eastAsia="仿宋" w:hAnsi="仿宋" w:cs="宋体"/>
                <w:kern w:val="0"/>
                <w:sz w:val="24"/>
                <w:szCs w:val="24"/>
              </w:rPr>
            </w:pPr>
          </w:p>
        </w:tc>
      </w:tr>
    </w:tbl>
    <w:p w:rsidR="002031F4" w:rsidRDefault="002031F4">
      <w:pPr>
        <w:spacing w:line="360" w:lineRule="auto"/>
        <w:rPr>
          <w:rFonts w:ascii="黑体" w:eastAsia="黑体" w:hAnsi="黑体" w:cs="Times New Roman"/>
          <w:sz w:val="32"/>
          <w:szCs w:val="32"/>
        </w:rPr>
      </w:pPr>
    </w:p>
    <w:p w:rsidR="002031F4" w:rsidRDefault="002031F4">
      <w:pPr>
        <w:spacing w:line="360" w:lineRule="auto"/>
        <w:rPr>
          <w:rFonts w:ascii="黑体" w:eastAsia="黑体" w:hAnsi="黑体" w:cs="Times New Roman"/>
          <w:sz w:val="32"/>
          <w:szCs w:val="32"/>
        </w:rPr>
      </w:pPr>
    </w:p>
    <w:p w:rsidR="002031F4" w:rsidRDefault="002E60E5">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2031F4" w:rsidRDefault="002031F4">
      <w:pPr>
        <w:spacing w:line="360" w:lineRule="auto"/>
        <w:jc w:val="center"/>
        <w:rPr>
          <w:rFonts w:ascii="黑体" w:eastAsia="黑体" w:hAnsi="黑体" w:cs="Times New Roman"/>
          <w:sz w:val="32"/>
          <w:szCs w:val="32"/>
        </w:rPr>
      </w:pPr>
    </w:p>
    <w:p w:rsidR="002031F4" w:rsidRDefault="002E60E5">
      <w:pPr>
        <w:spacing w:line="360" w:lineRule="auto"/>
        <w:ind w:firstLineChars="200" w:firstLine="643"/>
        <w:rPr>
          <w:rFonts w:ascii="仿宋" w:eastAsia="仿宋" w:hAnsi="仿宋"/>
          <w:b/>
          <w:sz w:val="32"/>
          <w:szCs w:val="32"/>
        </w:rPr>
      </w:pPr>
      <w:r>
        <w:rPr>
          <w:rFonts w:ascii="仿宋" w:eastAsia="仿宋" w:hAnsi="仿宋" w:hint="eastAsia"/>
          <w:b/>
          <w:sz w:val="32"/>
          <w:szCs w:val="32"/>
        </w:rPr>
        <w:t>一、单位总</w:t>
      </w:r>
      <w:r>
        <w:rPr>
          <w:rFonts w:ascii="仿宋" w:eastAsia="仿宋" w:hAnsi="仿宋" w:hint="eastAsia"/>
          <w:b/>
          <w:sz w:val="32"/>
          <w:szCs w:val="32"/>
        </w:rPr>
        <w:t>体绩效目标</w:t>
      </w:r>
    </w:p>
    <w:p w:rsidR="002031F4" w:rsidRDefault="002E60E5">
      <w:pPr>
        <w:spacing w:line="500" w:lineRule="exact"/>
        <w:ind w:firstLineChars="200" w:firstLine="560"/>
        <w:jc w:val="left"/>
        <w:rPr>
          <w:rFonts w:ascii="仿宋" w:eastAsia="仿宋" w:hAnsi="仿宋"/>
          <w:sz w:val="32"/>
          <w:szCs w:val="32"/>
        </w:rPr>
      </w:pPr>
      <w:r>
        <w:rPr>
          <w:rFonts w:ascii="Times New Roman" w:eastAsia="方正仿宋_GBK"/>
          <w:sz w:val="28"/>
        </w:rPr>
        <w:t>紧紧围绕区委、区政府的重要部署，深入贯彻落实党的十九届四中全会精神和习近平新时代中国特色社会主义思想，全面提升党建工作，加强党风廉政建设；推进规模化农业生产</w:t>
      </w:r>
      <w:r>
        <w:rPr>
          <w:rFonts w:ascii="Times New Roman" w:eastAsia="方正仿宋_GBK"/>
          <w:sz w:val="28"/>
        </w:rPr>
        <w:t xml:space="preserve">, </w:t>
      </w:r>
      <w:r>
        <w:rPr>
          <w:rFonts w:ascii="Times New Roman" w:eastAsia="方正仿宋_GBK"/>
          <w:sz w:val="28"/>
        </w:rPr>
        <w:t>着力改善农业生产条</w:t>
      </w:r>
      <w:r>
        <w:rPr>
          <w:rFonts w:ascii="Times New Roman" w:eastAsia="方正仿宋_GBK"/>
          <w:sz w:val="28"/>
        </w:rPr>
        <w:lastRenderedPageBreak/>
        <w:t>件，加快结构调整，因地制宜，科学规划，不断壮大产业规模；健全信访综治网络平台，全面推进</w:t>
      </w:r>
      <w:r>
        <w:rPr>
          <w:rFonts w:ascii="Times New Roman" w:eastAsia="方正仿宋_GBK"/>
          <w:sz w:val="28"/>
        </w:rPr>
        <w:t>“</w:t>
      </w:r>
      <w:r>
        <w:rPr>
          <w:rFonts w:ascii="Times New Roman" w:eastAsia="方正仿宋_GBK"/>
          <w:sz w:val="28"/>
        </w:rPr>
        <w:t>四个覆盖</w:t>
      </w:r>
      <w:r>
        <w:rPr>
          <w:rFonts w:ascii="Times New Roman" w:eastAsia="方正仿宋_GBK"/>
          <w:sz w:val="28"/>
        </w:rPr>
        <w:t>”</w:t>
      </w:r>
      <w:r>
        <w:rPr>
          <w:rFonts w:ascii="Times New Roman" w:eastAsia="方正仿宋_GBK"/>
          <w:sz w:val="28"/>
        </w:rPr>
        <w:t>，充分发挥综治平台作用，强化矛盾纠纷排查化解工作，打造和谐稳定的社会环境；积极服务保障雄安新区建设，全力做好容易线建设的配合工作；扎实推进大气污染防治工作，统筹安排扬尘治理、秸</w:t>
      </w:r>
      <w:r>
        <w:rPr>
          <w:rFonts w:ascii="Times New Roman" w:eastAsia="方正仿宋_GBK" w:hint="eastAsia"/>
          <w:sz w:val="28"/>
        </w:rPr>
        <w:t>秆</w:t>
      </w:r>
      <w:r>
        <w:rPr>
          <w:rFonts w:ascii="Times New Roman" w:eastAsia="方正仿宋_GBK"/>
          <w:sz w:val="28"/>
        </w:rPr>
        <w:t>焚烧，排查污染企业，加强管控与治理，改善人居环境。加强对企业和社会安全的管理，确保辖区内生产安全、社会和谐统筹安排</w:t>
      </w:r>
      <w:r>
        <w:rPr>
          <w:rFonts w:ascii="Times New Roman" w:eastAsia="方正仿宋_GBK"/>
          <w:sz w:val="28"/>
        </w:rPr>
        <w:t xml:space="preserve">; </w:t>
      </w:r>
      <w:r>
        <w:rPr>
          <w:rFonts w:ascii="Times New Roman" w:eastAsia="方正仿宋_GBK"/>
          <w:sz w:val="28"/>
        </w:rPr>
        <w:t>扎实推动建档立卡扶贫工作，保证建档立卡户脱贫不脱政策，防止返贫。扎实做好人大、政协、工会、共青团、武</w:t>
      </w:r>
      <w:r>
        <w:rPr>
          <w:rFonts w:ascii="Times New Roman" w:eastAsia="方正仿宋_GBK"/>
          <w:sz w:val="28"/>
        </w:rPr>
        <w:t>装、环保、土地、教育、卫生等各项工作，努力实现全乡各项事业持续发展。</w:t>
      </w:r>
    </w:p>
    <w:p w:rsidR="002031F4" w:rsidRDefault="002031F4">
      <w:pPr>
        <w:spacing w:line="360" w:lineRule="auto"/>
        <w:ind w:firstLineChars="200" w:firstLine="643"/>
        <w:rPr>
          <w:rFonts w:ascii="仿宋" w:eastAsia="仿宋" w:hAnsi="仿宋"/>
          <w:b/>
          <w:sz w:val="32"/>
          <w:szCs w:val="32"/>
        </w:rPr>
      </w:pPr>
    </w:p>
    <w:p w:rsidR="002031F4" w:rsidRDefault="002E60E5">
      <w:pPr>
        <w:spacing w:line="360" w:lineRule="auto"/>
        <w:ind w:firstLineChars="200" w:firstLine="643"/>
        <w:rPr>
          <w:rFonts w:ascii="Times New Roman" w:eastAsia="方正仿宋_GBK"/>
          <w:sz w:val="28"/>
        </w:rPr>
      </w:pPr>
      <w:r>
        <w:rPr>
          <w:rFonts w:ascii="仿宋" w:eastAsia="仿宋" w:hAnsi="仿宋" w:hint="eastAsia"/>
          <w:b/>
          <w:sz w:val="32"/>
          <w:szCs w:val="32"/>
        </w:rPr>
        <w:t>二、工作保障措施</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按照《关于全面实施预算绩效管理的实施意见》（冀发〔</w:t>
      </w:r>
      <w:r>
        <w:rPr>
          <w:rFonts w:ascii="Times New Roman" w:eastAsia="方正仿宋_GBK" w:hint="eastAsia"/>
          <w:sz w:val="28"/>
        </w:rPr>
        <w:t>2018</w:t>
      </w:r>
      <w:r>
        <w:rPr>
          <w:rFonts w:ascii="Times New Roman" w:eastAsia="方正仿宋_GBK" w:hint="eastAsia"/>
          <w:sz w:val="28"/>
        </w:rPr>
        <w:t>〕</w:t>
      </w:r>
      <w:r>
        <w:rPr>
          <w:rFonts w:ascii="Times New Roman" w:eastAsia="方正仿宋_GBK" w:hint="eastAsia"/>
          <w:sz w:val="28"/>
        </w:rPr>
        <w:t>54</w:t>
      </w:r>
      <w:r>
        <w:rPr>
          <w:rFonts w:ascii="Times New Roman" w:eastAsia="方正仿宋_GBK" w:hint="eastAsia"/>
          <w:sz w:val="28"/>
        </w:rPr>
        <w:t>号）和《河北省省级部门预算绩效管理办法》冀财绩〔</w:t>
      </w:r>
      <w:r>
        <w:rPr>
          <w:rFonts w:ascii="Times New Roman" w:eastAsia="方正仿宋_GBK" w:hint="eastAsia"/>
          <w:sz w:val="28"/>
        </w:rPr>
        <w:t>2019</w:t>
      </w:r>
      <w:r>
        <w:rPr>
          <w:rFonts w:ascii="Times New Roman" w:eastAsia="方正仿宋_GBK" w:hint="eastAsia"/>
          <w:sz w:val="28"/>
        </w:rPr>
        <w:t>〕</w:t>
      </w:r>
      <w:r>
        <w:rPr>
          <w:rFonts w:ascii="Times New Roman" w:eastAsia="方正仿宋_GBK" w:hint="eastAsia"/>
          <w:sz w:val="28"/>
        </w:rPr>
        <w:t>4</w:t>
      </w:r>
      <w:r>
        <w:rPr>
          <w:rFonts w:ascii="Times New Roman" w:eastAsia="方正仿宋_GBK" w:hint="eastAsia"/>
          <w:sz w:val="28"/>
        </w:rPr>
        <w:t>号）等文件精神，紧紧围绕区委、区政府的重要部署，制定切实有效的工作保障措施，科学确定总体绩效目标和分项绩效目标，强化预算绩效日常监督，推进我镇预算绩效管理科学化、制度化和规范化。</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（一）强化政治理论武装，健全完善制度机制</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坚持把学习贯彻习近平新时代中国特色社会主义思想和党的十九届四中全会精神作为首</w:t>
      </w:r>
      <w:r>
        <w:rPr>
          <w:rFonts w:ascii="Times New Roman" w:eastAsia="方正仿宋_GBK" w:hint="eastAsia"/>
          <w:sz w:val="28"/>
        </w:rPr>
        <w:t>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（二）加强预算支出管理，确保支出进度达标</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编细编实预算，将项目细化到可执行程度，确保批复即可执行。调整优化支出结构，按规定对“三公”经费和一般性支出进行压减。</w:t>
      </w:r>
      <w:r>
        <w:rPr>
          <w:rFonts w:ascii="Times New Roman" w:eastAsia="方正仿宋_GBK" w:hint="eastAsia"/>
          <w:sz w:val="28"/>
        </w:rPr>
        <w:lastRenderedPageBreak/>
        <w:t>通过加快履行政府采购手续、尽快启动项目、及时支付资金等措施。加强预算资金支出</w:t>
      </w:r>
      <w:r>
        <w:rPr>
          <w:rFonts w:ascii="Times New Roman" w:eastAsia="方正仿宋_GBK" w:hint="eastAsia"/>
          <w:sz w:val="28"/>
        </w:rPr>
        <w:t>动态过程管理，及时协调解决预算项目中遇到的困难问题，实时掌握预算支出进度，按照区财政局关于支出进度的关键时间节点，对预算资金项目进度进行支出。</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（三）加强内部监督管理，确保资金安全有效</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w:t>
      </w:r>
      <w:r>
        <w:rPr>
          <w:rFonts w:ascii="Times New Roman" w:eastAsia="方正仿宋_GBK" w:hint="eastAsia"/>
          <w:sz w:val="28"/>
        </w:rPr>
        <w:t>投标的全过程监督，确保财政资金安全有效。</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（四）加强宣传培训调研，确保绩效目标实现</w:t>
      </w:r>
    </w:p>
    <w:p w:rsidR="002031F4" w:rsidRDefault="002E60E5">
      <w:pPr>
        <w:spacing w:line="500" w:lineRule="exact"/>
        <w:ind w:firstLineChars="200" w:firstLine="560"/>
        <w:jc w:val="left"/>
        <w:rPr>
          <w:rFonts w:ascii="Times New Roman" w:eastAsia="方正仿宋_GBK"/>
          <w:sz w:val="28"/>
        </w:rPr>
      </w:pPr>
      <w:r>
        <w:rPr>
          <w:rFonts w:ascii="Times New Roman" w:eastAsia="方正仿宋_GBK" w:hint="eastAsia"/>
          <w:sz w:val="28"/>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rsidR="002031F4" w:rsidRDefault="002031F4"/>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E60E5">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年，我</w:t>
      </w:r>
      <w:r>
        <w:rPr>
          <w:rFonts w:ascii="仿宋" w:eastAsia="仿宋" w:hAnsi="仿宋" w:hint="eastAsia"/>
          <w:sz w:val="32"/>
          <w:szCs w:val="32"/>
        </w:rPr>
        <w:t>单位</w:t>
      </w:r>
      <w:r>
        <w:rPr>
          <w:rFonts w:ascii="仿宋" w:eastAsia="仿宋" w:hAnsi="仿宋"/>
          <w:sz w:val="32"/>
          <w:szCs w:val="32"/>
        </w:rPr>
        <w:t>无政府采购预算，空表列示。</w:t>
      </w:r>
    </w:p>
    <w:p w:rsidR="002031F4" w:rsidRDefault="002031F4">
      <w:pPr>
        <w:spacing w:line="360" w:lineRule="auto"/>
        <w:ind w:firstLineChars="200" w:firstLine="640"/>
        <w:rPr>
          <w:rFonts w:ascii="仿宋" w:eastAsia="仿宋" w:hAnsi="仿宋"/>
          <w:sz w:val="32"/>
          <w:szCs w:val="32"/>
        </w:rPr>
      </w:pPr>
    </w:p>
    <w:p w:rsidR="002031F4" w:rsidRDefault="002031F4">
      <w:pPr>
        <w:spacing w:line="360" w:lineRule="auto"/>
        <w:ind w:firstLineChars="200" w:firstLine="640"/>
        <w:rPr>
          <w:rFonts w:ascii="仿宋" w:eastAsia="仿宋" w:hAnsi="仿宋"/>
          <w:sz w:val="32"/>
          <w:szCs w:val="32"/>
        </w:rPr>
        <w:sectPr w:rsidR="002031F4">
          <w:footerReference w:type="default" r:id="rId7"/>
          <w:pgSz w:w="11906" w:h="16838"/>
          <w:pgMar w:top="1440" w:right="1800" w:bottom="1440" w:left="1800" w:header="851" w:footer="992" w:gutter="0"/>
          <w:cols w:space="425"/>
          <w:docGrid w:type="lines" w:linePitch="312"/>
        </w:sectPr>
      </w:pPr>
    </w:p>
    <w:p w:rsidR="002031F4" w:rsidRDefault="002E60E5">
      <w:pPr>
        <w:jc w:val="center"/>
        <w:outlineLvl w:val="1"/>
        <w:rPr>
          <w:rFonts w:ascii="Times New Roman" w:eastAsia="宋体" w:hAnsi="宋体"/>
          <w:sz w:val="32"/>
        </w:rPr>
      </w:pPr>
      <w:bookmarkStart w:id="1" w:name="_Toc69809617"/>
      <w:r>
        <w:rPr>
          <w:rFonts w:ascii="方正小标宋_GBK" w:eastAsia="方正小标宋_GBK" w:hint="eastAsia"/>
          <w:sz w:val="32"/>
        </w:rPr>
        <w:lastRenderedPageBreak/>
        <w:t>单位</w:t>
      </w:r>
      <w:r>
        <w:rPr>
          <w:rFonts w:ascii="方正小标宋_GBK" w:eastAsia="方正小标宋_GBK"/>
          <w:sz w:val="32"/>
        </w:rPr>
        <w:t>政府采购预算</w:t>
      </w:r>
      <w:bookmarkEnd w:id="1"/>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4"/>
        <w:gridCol w:w="1134"/>
        <w:gridCol w:w="1531"/>
        <w:gridCol w:w="1531"/>
        <w:gridCol w:w="709"/>
        <w:gridCol w:w="907"/>
        <w:gridCol w:w="907"/>
        <w:gridCol w:w="1134"/>
        <w:gridCol w:w="1134"/>
        <w:gridCol w:w="1134"/>
        <w:gridCol w:w="1134"/>
        <w:gridCol w:w="1134"/>
        <w:gridCol w:w="1134"/>
      </w:tblGrid>
      <w:tr w:rsidR="002031F4">
        <w:trPr>
          <w:cantSplit/>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2031F4" w:rsidRDefault="002E60E5">
            <w:pPr>
              <w:spacing w:line="300" w:lineRule="exact"/>
              <w:jc w:val="left"/>
              <w:rPr>
                <w:rFonts w:ascii="方正小标宋_GBK" w:eastAsia="方正小标宋_GBK"/>
                <w:sz w:val="24"/>
              </w:rPr>
            </w:pPr>
            <w:r>
              <w:rPr>
                <w:rFonts w:ascii="方正小标宋_GBK" w:eastAsia="方正小标宋_GBK" w:hint="eastAsia"/>
                <w:sz w:val="24"/>
              </w:rPr>
              <w:t>保定市徐水区东史端镇人民政府</w:t>
            </w:r>
            <w:r>
              <w:rPr>
                <w:rFonts w:ascii="方正小标宋_GBK" w:eastAsia="方正小标宋_GBK" w:hint="eastAsia"/>
                <w:sz w:val="24"/>
              </w:rPr>
              <w:t>事业</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2031F4" w:rsidRDefault="002E60E5">
            <w:pPr>
              <w:spacing w:line="300" w:lineRule="exact"/>
              <w:jc w:val="right"/>
              <w:rPr>
                <w:rFonts w:ascii="方正书宋_GBK" w:eastAsia="方正书宋_GBK"/>
                <w:sz w:val="24"/>
              </w:rPr>
            </w:pPr>
            <w:r>
              <w:rPr>
                <w:rFonts w:ascii="方正书宋_GBK" w:eastAsia="方正书宋_GBK"/>
                <w:sz w:val="24"/>
              </w:rPr>
              <w:t>单位：</w:t>
            </w:r>
            <w:r>
              <w:rPr>
                <w:rFonts w:ascii="方正书宋_GBK" w:eastAsia="方正书宋_GBK" w:hint="eastAsia"/>
                <w:sz w:val="24"/>
              </w:rPr>
              <w:t>万</w:t>
            </w:r>
            <w:r>
              <w:rPr>
                <w:rFonts w:ascii="方正书宋_GBK" w:eastAsia="方正书宋_GBK"/>
                <w:sz w:val="24"/>
              </w:rPr>
              <w:t>元</w:t>
            </w:r>
          </w:p>
        </w:tc>
      </w:tr>
      <w:tr w:rsidR="002031F4">
        <w:trPr>
          <w:cantSplit/>
          <w:tblHeader/>
          <w:jc w:val="center"/>
        </w:trPr>
        <w:tc>
          <w:tcPr>
            <w:tcW w:w="3118" w:type="dxa"/>
            <w:gridSpan w:val="2"/>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计量</w:t>
            </w:r>
            <w:r>
              <w:rPr>
                <w:rFonts w:ascii="方正书宋_GBK" w:eastAsia="方正书宋_GBK"/>
                <w:b/>
              </w:rPr>
              <w:t xml:space="preserve">  </w:t>
            </w:r>
            <w:r>
              <w:rPr>
                <w:rFonts w:ascii="方正书宋_GBK" w:eastAsia="方正书宋_GBK"/>
                <w:b/>
              </w:rPr>
              <w:t>单位</w:t>
            </w:r>
          </w:p>
        </w:tc>
        <w:tc>
          <w:tcPr>
            <w:tcW w:w="907" w:type="dxa"/>
            <w:vMerge w:val="restart"/>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政府采购金额（当年</w:t>
            </w:r>
            <w:r>
              <w:rPr>
                <w:rFonts w:ascii="方正书宋_GBK" w:eastAsia="方正书宋_GBK" w:hint="eastAsia"/>
                <w:b/>
              </w:rPr>
              <w:t>单位</w:t>
            </w:r>
            <w:r>
              <w:rPr>
                <w:rFonts w:ascii="方正书宋_GBK" w:eastAsia="方正书宋_GBK"/>
                <w:b/>
              </w:rPr>
              <w:t>预算安排资金）</w:t>
            </w:r>
          </w:p>
        </w:tc>
      </w:tr>
      <w:tr w:rsidR="002031F4">
        <w:trPr>
          <w:cantSplit/>
          <w:tblHeader/>
          <w:jc w:val="center"/>
        </w:trPr>
        <w:tc>
          <w:tcPr>
            <w:tcW w:w="198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预算资金</w:t>
            </w:r>
          </w:p>
        </w:tc>
        <w:tc>
          <w:tcPr>
            <w:tcW w:w="1531" w:type="dxa"/>
            <w:vMerge/>
            <w:shd w:val="clear" w:color="auto" w:fill="auto"/>
            <w:vAlign w:val="center"/>
          </w:tcPr>
          <w:p w:rsidR="002031F4" w:rsidRDefault="002031F4">
            <w:pPr>
              <w:spacing w:line="300" w:lineRule="exact"/>
              <w:jc w:val="left"/>
              <w:outlineLvl w:val="1"/>
              <w:rPr>
                <w:rFonts w:ascii="Times New Roman" w:eastAsia="方正仿宋_GBK"/>
                <w:sz w:val="28"/>
              </w:rPr>
            </w:pPr>
          </w:p>
        </w:tc>
        <w:tc>
          <w:tcPr>
            <w:tcW w:w="1531" w:type="dxa"/>
            <w:vMerge/>
            <w:shd w:val="clear" w:color="auto" w:fill="auto"/>
            <w:vAlign w:val="center"/>
          </w:tcPr>
          <w:p w:rsidR="002031F4" w:rsidRDefault="002031F4">
            <w:pPr>
              <w:spacing w:line="300" w:lineRule="exact"/>
              <w:jc w:val="left"/>
              <w:outlineLvl w:val="1"/>
              <w:rPr>
                <w:rFonts w:ascii="Times New Roman" w:eastAsia="方正仿宋_GBK"/>
                <w:sz w:val="28"/>
              </w:rPr>
            </w:pPr>
          </w:p>
        </w:tc>
        <w:tc>
          <w:tcPr>
            <w:tcW w:w="709" w:type="dxa"/>
            <w:vMerge/>
            <w:shd w:val="clear" w:color="auto" w:fill="auto"/>
            <w:vAlign w:val="center"/>
          </w:tcPr>
          <w:p w:rsidR="002031F4" w:rsidRDefault="002031F4">
            <w:pPr>
              <w:spacing w:line="300" w:lineRule="exact"/>
              <w:jc w:val="left"/>
              <w:outlineLvl w:val="1"/>
              <w:rPr>
                <w:rFonts w:ascii="Times New Roman" w:eastAsia="方正仿宋_GBK"/>
                <w:sz w:val="28"/>
              </w:rPr>
            </w:pPr>
          </w:p>
        </w:tc>
        <w:tc>
          <w:tcPr>
            <w:tcW w:w="907" w:type="dxa"/>
            <w:vMerge/>
            <w:shd w:val="clear" w:color="auto" w:fill="auto"/>
            <w:vAlign w:val="center"/>
          </w:tcPr>
          <w:p w:rsidR="002031F4" w:rsidRDefault="002031F4">
            <w:pPr>
              <w:spacing w:line="300" w:lineRule="exact"/>
              <w:jc w:val="left"/>
              <w:outlineLvl w:val="1"/>
              <w:rPr>
                <w:rFonts w:ascii="Times New Roman" w:eastAsia="方正仿宋_GBK"/>
                <w:sz w:val="28"/>
              </w:rPr>
            </w:pPr>
          </w:p>
        </w:tc>
        <w:tc>
          <w:tcPr>
            <w:tcW w:w="907" w:type="dxa"/>
            <w:vMerge/>
            <w:shd w:val="clear" w:color="auto" w:fill="auto"/>
            <w:vAlign w:val="center"/>
          </w:tcPr>
          <w:p w:rsidR="002031F4" w:rsidRDefault="002031F4">
            <w:pPr>
              <w:spacing w:line="300" w:lineRule="exact"/>
              <w:jc w:val="left"/>
              <w:outlineLvl w:val="1"/>
              <w:rPr>
                <w:rFonts w:ascii="Times New Roman" w:eastAsia="方正仿宋_GBK"/>
                <w:sz w:val="28"/>
              </w:rPr>
            </w:pPr>
          </w:p>
        </w:tc>
        <w:tc>
          <w:tcPr>
            <w:tcW w:w="113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单位资金</w:t>
            </w:r>
          </w:p>
        </w:tc>
      </w:tr>
      <w:tr w:rsidR="002031F4">
        <w:trPr>
          <w:cantSplit/>
          <w:jc w:val="center"/>
        </w:trPr>
        <w:tc>
          <w:tcPr>
            <w:tcW w:w="1984" w:type="dxa"/>
            <w:shd w:val="clear" w:color="auto" w:fill="auto"/>
            <w:vAlign w:val="center"/>
          </w:tcPr>
          <w:p w:rsidR="002031F4" w:rsidRDefault="002E60E5">
            <w:pPr>
              <w:spacing w:line="300" w:lineRule="exact"/>
              <w:jc w:val="center"/>
              <w:rPr>
                <w:rFonts w:ascii="方正书宋_GBK" w:eastAsia="方正书宋_GBK"/>
                <w:b/>
              </w:rPr>
            </w:pPr>
            <w:r>
              <w:rPr>
                <w:rFonts w:ascii="方正书宋_GBK" w:eastAsia="方正书宋_GBK"/>
                <w:b/>
              </w:rPr>
              <w:t>合</w:t>
            </w:r>
            <w:r>
              <w:rPr>
                <w:rFonts w:ascii="方正书宋_GBK" w:eastAsia="方正书宋_GBK"/>
                <w:b/>
              </w:rPr>
              <w:t xml:space="preserve">  </w:t>
            </w:r>
            <w:r>
              <w:rPr>
                <w:rFonts w:ascii="方正书宋_GBK" w:eastAsia="方正书宋_GBK"/>
                <w:b/>
              </w:rPr>
              <w:t>计</w:t>
            </w: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531" w:type="dxa"/>
            <w:shd w:val="clear" w:color="auto" w:fill="auto"/>
            <w:vAlign w:val="center"/>
          </w:tcPr>
          <w:p w:rsidR="002031F4" w:rsidRDefault="002031F4">
            <w:pPr>
              <w:spacing w:line="300" w:lineRule="exact"/>
              <w:jc w:val="left"/>
              <w:rPr>
                <w:rFonts w:ascii="方正书宋_GBK" w:eastAsia="方正书宋_GBK"/>
                <w:b/>
              </w:rPr>
            </w:pPr>
          </w:p>
        </w:tc>
        <w:tc>
          <w:tcPr>
            <w:tcW w:w="1531" w:type="dxa"/>
            <w:shd w:val="clear" w:color="auto" w:fill="auto"/>
            <w:vAlign w:val="center"/>
          </w:tcPr>
          <w:p w:rsidR="002031F4" w:rsidRDefault="002031F4">
            <w:pPr>
              <w:spacing w:line="300" w:lineRule="exact"/>
              <w:jc w:val="left"/>
              <w:rPr>
                <w:rFonts w:ascii="方正书宋_GBK" w:eastAsia="方正书宋_GBK"/>
                <w:b/>
              </w:rPr>
            </w:pPr>
          </w:p>
        </w:tc>
        <w:tc>
          <w:tcPr>
            <w:tcW w:w="709" w:type="dxa"/>
            <w:shd w:val="clear" w:color="auto" w:fill="auto"/>
            <w:vAlign w:val="center"/>
          </w:tcPr>
          <w:p w:rsidR="002031F4" w:rsidRDefault="002031F4">
            <w:pPr>
              <w:spacing w:line="300" w:lineRule="exact"/>
              <w:jc w:val="center"/>
              <w:rPr>
                <w:rFonts w:ascii="方正书宋_GBK" w:eastAsia="方正书宋_GBK"/>
                <w:b/>
              </w:rPr>
            </w:pPr>
          </w:p>
        </w:tc>
        <w:tc>
          <w:tcPr>
            <w:tcW w:w="907" w:type="dxa"/>
            <w:shd w:val="clear" w:color="auto" w:fill="auto"/>
            <w:vAlign w:val="center"/>
          </w:tcPr>
          <w:p w:rsidR="002031F4" w:rsidRDefault="002031F4">
            <w:pPr>
              <w:spacing w:line="300" w:lineRule="exact"/>
              <w:jc w:val="right"/>
              <w:rPr>
                <w:rFonts w:ascii="方正书宋_GBK" w:eastAsia="方正书宋_GBK"/>
                <w:b/>
              </w:rPr>
            </w:pPr>
          </w:p>
        </w:tc>
        <w:tc>
          <w:tcPr>
            <w:tcW w:w="907"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r>
      <w:tr w:rsidR="002031F4">
        <w:trPr>
          <w:cantSplit/>
          <w:jc w:val="center"/>
        </w:trPr>
        <w:tc>
          <w:tcPr>
            <w:tcW w:w="1984" w:type="dxa"/>
            <w:shd w:val="clear" w:color="auto" w:fill="auto"/>
            <w:vAlign w:val="center"/>
          </w:tcPr>
          <w:p w:rsidR="002031F4" w:rsidRDefault="002031F4">
            <w:pPr>
              <w:spacing w:line="300" w:lineRule="exact"/>
              <w:jc w:val="lef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531" w:type="dxa"/>
            <w:shd w:val="clear" w:color="auto" w:fill="auto"/>
            <w:vAlign w:val="center"/>
          </w:tcPr>
          <w:p w:rsidR="002031F4" w:rsidRDefault="002031F4">
            <w:pPr>
              <w:spacing w:line="300" w:lineRule="exact"/>
              <w:jc w:val="left"/>
              <w:rPr>
                <w:rFonts w:ascii="方正书宋_GBK" w:eastAsia="方正书宋_GBK"/>
                <w:b/>
              </w:rPr>
            </w:pPr>
          </w:p>
        </w:tc>
        <w:tc>
          <w:tcPr>
            <w:tcW w:w="1531" w:type="dxa"/>
            <w:shd w:val="clear" w:color="auto" w:fill="auto"/>
            <w:vAlign w:val="center"/>
          </w:tcPr>
          <w:p w:rsidR="002031F4" w:rsidRDefault="002031F4">
            <w:pPr>
              <w:spacing w:line="300" w:lineRule="exact"/>
              <w:jc w:val="left"/>
              <w:rPr>
                <w:rFonts w:ascii="方正书宋_GBK" w:eastAsia="方正书宋_GBK"/>
                <w:b/>
              </w:rPr>
            </w:pPr>
          </w:p>
        </w:tc>
        <w:tc>
          <w:tcPr>
            <w:tcW w:w="709" w:type="dxa"/>
            <w:shd w:val="clear" w:color="auto" w:fill="auto"/>
            <w:vAlign w:val="center"/>
          </w:tcPr>
          <w:p w:rsidR="002031F4" w:rsidRDefault="002031F4">
            <w:pPr>
              <w:spacing w:line="300" w:lineRule="exact"/>
              <w:jc w:val="center"/>
              <w:rPr>
                <w:rFonts w:ascii="方正书宋_GBK" w:eastAsia="方正书宋_GBK"/>
                <w:b/>
              </w:rPr>
            </w:pPr>
          </w:p>
        </w:tc>
        <w:tc>
          <w:tcPr>
            <w:tcW w:w="907" w:type="dxa"/>
            <w:shd w:val="clear" w:color="auto" w:fill="auto"/>
            <w:vAlign w:val="center"/>
          </w:tcPr>
          <w:p w:rsidR="002031F4" w:rsidRDefault="002031F4">
            <w:pPr>
              <w:spacing w:line="300" w:lineRule="exact"/>
              <w:jc w:val="right"/>
              <w:rPr>
                <w:rFonts w:ascii="方正书宋_GBK" w:eastAsia="方正书宋_GBK"/>
                <w:b/>
              </w:rPr>
            </w:pPr>
          </w:p>
        </w:tc>
        <w:tc>
          <w:tcPr>
            <w:tcW w:w="907"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c>
          <w:tcPr>
            <w:tcW w:w="1134" w:type="dxa"/>
            <w:shd w:val="clear" w:color="auto" w:fill="auto"/>
            <w:vAlign w:val="center"/>
          </w:tcPr>
          <w:p w:rsidR="002031F4" w:rsidRDefault="002031F4">
            <w:pPr>
              <w:spacing w:line="300" w:lineRule="exact"/>
              <w:jc w:val="right"/>
              <w:rPr>
                <w:rFonts w:ascii="方正书宋_GBK" w:eastAsia="方正书宋_GBK"/>
                <w:b/>
              </w:rPr>
            </w:pPr>
          </w:p>
        </w:tc>
      </w:tr>
      <w:tr w:rsidR="002031F4">
        <w:trPr>
          <w:cantSplit/>
          <w:jc w:val="center"/>
        </w:trPr>
        <w:tc>
          <w:tcPr>
            <w:tcW w:w="1984" w:type="dxa"/>
            <w:shd w:val="clear" w:color="auto" w:fill="auto"/>
            <w:vAlign w:val="center"/>
          </w:tcPr>
          <w:p w:rsidR="002031F4" w:rsidRDefault="002031F4">
            <w:pPr>
              <w:spacing w:line="300" w:lineRule="exact"/>
              <w:jc w:val="lef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531" w:type="dxa"/>
            <w:shd w:val="clear" w:color="auto" w:fill="auto"/>
            <w:vAlign w:val="center"/>
          </w:tcPr>
          <w:p w:rsidR="002031F4" w:rsidRDefault="002031F4">
            <w:pPr>
              <w:spacing w:line="300" w:lineRule="exact"/>
              <w:jc w:val="left"/>
              <w:rPr>
                <w:rFonts w:ascii="方正书宋_GBK" w:eastAsia="方正书宋_GBK"/>
              </w:rPr>
            </w:pPr>
          </w:p>
        </w:tc>
        <w:tc>
          <w:tcPr>
            <w:tcW w:w="1531" w:type="dxa"/>
            <w:shd w:val="clear" w:color="auto" w:fill="auto"/>
            <w:vAlign w:val="center"/>
          </w:tcPr>
          <w:p w:rsidR="002031F4" w:rsidRDefault="002031F4">
            <w:pPr>
              <w:spacing w:line="300" w:lineRule="exact"/>
              <w:jc w:val="left"/>
              <w:rPr>
                <w:rFonts w:ascii="方正书宋_GBK" w:eastAsia="方正书宋_GBK"/>
              </w:rPr>
            </w:pPr>
          </w:p>
        </w:tc>
        <w:tc>
          <w:tcPr>
            <w:tcW w:w="709" w:type="dxa"/>
            <w:shd w:val="clear" w:color="auto" w:fill="auto"/>
            <w:vAlign w:val="center"/>
          </w:tcPr>
          <w:p w:rsidR="002031F4" w:rsidRDefault="002031F4">
            <w:pPr>
              <w:spacing w:line="300" w:lineRule="exact"/>
              <w:jc w:val="center"/>
              <w:rPr>
                <w:rFonts w:ascii="方正书宋_GBK" w:eastAsia="方正书宋_GBK"/>
              </w:rPr>
            </w:pPr>
          </w:p>
        </w:tc>
        <w:tc>
          <w:tcPr>
            <w:tcW w:w="907" w:type="dxa"/>
            <w:shd w:val="clear" w:color="auto" w:fill="auto"/>
            <w:vAlign w:val="center"/>
          </w:tcPr>
          <w:p w:rsidR="002031F4" w:rsidRDefault="002031F4">
            <w:pPr>
              <w:spacing w:line="300" w:lineRule="exact"/>
              <w:jc w:val="right"/>
              <w:rPr>
                <w:rFonts w:ascii="方正书宋_GBK" w:eastAsia="方正书宋_GBK"/>
              </w:rPr>
            </w:pPr>
          </w:p>
        </w:tc>
        <w:tc>
          <w:tcPr>
            <w:tcW w:w="907"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r>
      <w:tr w:rsidR="002031F4">
        <w:trPr>
          <w:cantSplit/>
          <w:jc w:val="center"/>
        </w:trPr>
        <w:tc>
          <w:tcPr>
            <w:tcW w:w="1984" w:type="dxa"/>
            <w:shd w:val="clear" w:color="auto" w:fill="auto"/>
            <w:vAlign w:val="center"/>
          </w:tcPr>
          <w:p w:rsidR="002031F4" w:rsidRDefault="002031F4">
            <w:pPr>
              <w:spacing w:line="300" w:lineRule="exact"/>
              <w:jc w:val="lef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531" w:type="dxa"/>
            <w:shd w:val="clear" w:color="auto" w:fill="auto"/>
            <w:vAlign w:val="center"/>
          </w:tcPr>
          <w:p w:rsidR="002031F4" w:rsidRDefault="002031F4">
            <w:pPr>
              <w:spacing w:line="300" w:lineRule="exact"/>
              <w:jc w:val="left"/>
              <w:rPr>
                <w:rFonts w:ascii="方正书宋_GBK"/>
              </w:rPr>
            </w:pPr>
          </w:p>
        </w:tc>
        <w:tc>
          <w:tcPr>
            <w:tcW w:w="1531" w:type="dxa"/>
            <w:shd w:val="clear" w:color="auto" w:fill="auto"/>
            <w:vAlign w:val="center"/>
          </w:tcPr>
          <w:p w:rsidR="002031F4" w:rsidRDefault="002031F4">
            <w:pPr>
              <w:spacing w:line="300" w:lineRule="exact"/>
              <w:jc w:val="left"/>
              <w:rPr>
                <w:rFonts w:ascii="方正书宋_GBK" w:eastAsia="方正书宋_GBK"/>
              </w:rPr>
            </w:pPr>
          </w:p>
        </w:tc>
        <w:tc>
          <w:tcPr>
            <w:tcW w:w="709" w:type="dxa"/>
            <w:shd w:val="clear" w:color="auto" w:fill="auto"/>
            <w:vAlign w:val="center"/>
          </w:tcPr>
          <w:p w:rsidR="002031F4" w:rsidRDefault="002031F4">
            <w:pPr>
              <w:spacing w:line="300" w:lineRule="exact"/>
              <w:jc w:val="center"/>
              <w:rPr>
                <w:rFonts w:ascii="方正书宋_GBK"/>
              </w:rPr>
            </w:pPr>
          </w:p>
        </w:tc>
        <w:tc>
          <w:tcPr>
            <w:tcW w:w="907" w:type="dxa"/>
            <w:shd w:val="clear" w:color="auto" w:fill="auto"/>
            <w:vAlign w:val="center"/>
          </w:tcPr>
          <w:p w:rsidR="002031F4" w:rsidRDefault="002031F4">
            <w:pPr>
              <w:spacing w:line="300" w:lineRule="exact"/>
              <w:jc w:val="right"/>
              <w:rPr>
                <w:rFonts w:ascii="方正书宋_GBK" w:eastAsia="方正书宋_GBK"/>
              </w:rPr>
            </w:pPr>
          </w:p>
        </w:tc>
        <w:tc>
          <w:tcPr>
            <w:tcW w:w="907"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c>
          <w:tcPr>
            <w:tcW w:w="1134" w:type="dxa"/>
            <w:shd w:val="clear" w:color="auto" w:fill="auto"/>
            <w:vAlign w:val="center"/>
          </w:tcPr>
          <w:p w:rsidR="002031F4" w:rsidRDefault="002031F4">
            <w:pPr>
              <w:spacing w:line="300" w:lineRule="exact"/>
              <w:jc w:val="right"/>
              <w:rPr>
                <w:rFonts w:ascii="方正书宋_GBK" w:eastAsia="方正书宋_GBK"/>
              </w:rPr>
            </w:pPr>
          </w:p>
        </w:tc>
      </w:tr>
    </w:tbl>
    <w:p w:rsidR="002031F4" w:rsidRDefault="002031F4"/>
    <w:p w:rsidR="002031F4" w:rsidRDefault="002031F4">
      <w:pPr>
        <w:spacing w:line="360" w:lineRule="auto"/>
        <w:rPr>
          <w:rFonts w:ascii="仿宋" w:eastAsia="仿宋" w:hAnsi="仿宋"/>
          <w:sz w:val="32"/>
          <w:szCs w:val="32"/>
        </w:rPr>
        <w:sectPr w:rsidR="002031F4">
          <w:pgSz w:w="16838" w:h="11906" w:orient="landscape"/>
          <w:pgMar w:top="1797" w:right="1440" w:bottom="1797" w:left="1440" w:header="851" w:footer="992" w:gutter="0"/>
          <w:cols w:space="425"/>
          <w:docGrid w:type="linesAndChars" w:linePitch="312"/>
        </w:sectPr>
      </w:pPr>
    </w:p>
    <w:p w:rsidR="002031F4" w:rsidRDefault="002031F4">
      <w:pPr>
        <w:spacing w:line="360" w:lineRule="auto"/>
        <w:rPr>
          <w:rFonts w:ascii="仿宋" w:eastAsia="仿宋" w:hAnsi="仿宋"/>
          <w:sz w:val="32"/>
          <w:szCs w:val="32"/>
        </w:rPr>
      </w:pPr>
    </w:p>
    <w:p w:rsidR="002031F4" w:rsidRDefault="002E60E5">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2031F4" w:rsidRDefault="002E60E5">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w:t>
      </w:r>
      <w:r>
        <w:rPr>
          <w:rFonts w:ascii="仿宋" w:eastAsia="仿宋" w:hAnsi="仿宋" w:hint="eastAsia"/>
          <w:sz w:val="32"/>
          <w:szCs w:val="32"/>
        </w:rPr>
        <w:t>单位</w:t>
      </w:r>
      <w:r>
        <w:rPr>
          <w:rFonts w:ascii="仿宋" w:eastAsia="仿宋" w:hAnsi="仿宋" w:hint="eastAsia"/>
          <w:sz w:val="32"/>
          <w:szCs w:val="32"/>
        </w:rPr>
        <w:t>固定资产总金额为</w:t>
      </w:r>
      <w:r>
        <w:rPr>
          <w:rFonts w:ascii="仿宋" w:eastAsia="仿宋" w:hAnsi="仿宋" w:hint="eastAsia"/>
          <w:sz w:val="32"/>
          <w:szCs w:val="32"/>
        </w:rPr>
        <w:t>0</w:t>
      </w:r>
      <w:r>
        <w:rPr>
          <w:rFonts w:ascii="仿宋" w:eastAsia="仿宋" w:hAnsi="仿宋" w:hint="eastAsia"/>
          <w:sz w:val="32"/>
          <w:szCs w:val="32"/>
        </w:rPr>
        <w:t>万元（详见下表）。</w:t>
      </w:r>
      <w:r>
        <w:rPr>
          <w:rFonts w:ascii="仿宋" w:eastAsia="仿宋" w:hAnsi="仿宋"/>
          <w:sz w:val="32"/>
          <w:szCs w:val="32"/>
        </w:rPr>
        <w:t xml:space="preserve"> </w:t>
      </w:r>
    </w:p>
    <w:p w:rsidR="002031F4" w:rsidRDefault="002E60E5">
      <w:pPr>
        <w:spacing w:line="360" w:lineRule="auto"/>
        <w:ind w:firstLineChars="200" w:firstLine="640"/>
        <w:rPr>
          <w:rFonts w:ascii="仿宋" w:eastAsia="仿宋" w:hAnsi="仿宋"/>
          <w:sz w:val="32"/>
          <w:szCs w:val="32"/>
        </w:rPr>
      </w:pPr>
      <w:r>
        <w:rPr>
          <w:rFonts w:ascii="仿宋" w:eastAsia="仿宋" w:hAnsi="仿宋" w:hint="eastAsia"/>
          <w:sz w:val="32"/>
          <w:szCs w:val="32"/>
        </w:rPr>
        <w:t>我</w:t>
      </w:r>
      <w:r>
        <w:rPr>
          <w:rFonts w:ascii="仿宋" w:eastAsia="仿宋" w:hAnsi="仿宋" w:hint="eastAsia"/>
          <w:sz w:val="32"/>
          <w:szCs w:val="32"/>
        </w:rPr>
        <w:t>单位</w:t>
      </w:r>
      <w:r>
        <w:rPr>
          <w:rFonts w:ascii="仿宋" w:eastAsia="仿宋" w:hAnsi="仿宋" w:hint="eastAsia"/>
          <w:sz w:val="32"/>
          <w:szCs w:val="32"/>
        </w:rPr>
        <w:t>本年度无国有资产购置计划，拟购置金额为</w:t>
      </w:r>
      <w:r>
        <w:rPr>
          <w:rFonts w:ascii="仿宋" w:eastAsia="仿宋" w:hAnsi="仿宋"/>
          <w:sz w:val="32"/>
          <w:szCs w:val="32"/>
        </w:rPr>
        <w:t>0</w:t>
      </w:r>
      <w:r>
        <w:rPr>
          <w:rFonts w:ascii="仿宋" w:eastAsia="仿宋" w:hAnsi="仿宋"/>
          <w:sz w:val="32"/>
          <w:szCs w:val="32"/>
        </w:rPr>
        <w:t>。</w:t>
      </w:r>
    </w:p>
    <w:tbl>
      <w:tblPr>
        <w:tblW w:w="10084" w:type="dxa"/>
        <w:jc w:val="center"/>
        <w:tblLook w:val="04A0"/>
      </w:tblPr>
      <w:tblGrid>
        <w:gridCol w:w="4788"/>
        <w:gridCol w:w="1035"/>
        <w:gridCol w:w="4261"/>
      </w:tblGrid>
      <w:tr w:rsidR="002031F4">
        <w:trPr>
          <w:trHeight w:val="510"/>
          <w:jc w:val="center"/>
        </w:trPr>
        <w:tc>
          <w:tcPr>
            <w:tcW w:w="10084" w:type="dxa"/>
            <w:gridSpan w:val="3"/>
            <w:tcBorders>
              <w:top w:val="nil"/>
              <w:left w:val="nil"/>
              <w:bottom w:val="nil"/>
              <w:right w:val="nil"/>
            </w:tcBorders>
            <w:shd w:val="clear" w:color="auto" w:fill="auto"/>
            <w:noWrap/>
            <w:vAlign w:val="center"/>
          </w:tcPr>
          <w:p w:rsidR="002031F4" w:rsidRDefault="002E60E5">
            <w:pPr>
              <w:widowControl/>
              <w:jc w:val="center"/>
              <w:rPr>
                <w:rFonts w:ascii="宋体" w:hAnsi="宋体" w:cs="宋体"/>
                <w:kern w:val="0"/>
                <w:sz w:val="28"/>
                <w:szCs w:val="28"/>
              </w:rPr>
            </w:pPr>
            <w:r>
              <w:rPr>
                <w:rFonts w:ascii="宋体" w:hAnsi="宋体" w:hint="eastAsia"/>
                <w:sz w:val="32"/>
                <w:szCs w:val="32"/>
              </w:rPr>
              <w:t>固定资产占用情况表</w:t>
            </w:r>
          </w:p>
        </w:tc>
      </w:tr>
      <w:tr w:rsidR="002031F4">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2031F4" w:rsidRDefault="002E60E5">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color w:val="FF0000"/>
                <w:kern w:val="0"/>
                <w:sz w:val="28"/>
                <w:szCs w:val="28"/>
              </w:rPr>
              <w:t>2020</w:t>
            </w:r>
            <w:r>
              <w:rPr>
                <w:rFonts w:ascii="仿宋_GB2312" w:eastAsia="仿宋_GB2312" w:hAnsi="仿宋" w:cs="宋体" w:hint="eastAsia"/>
                <w:bCs/>
                <w:color w:val="FF0000"/>
                <w:kern w:val="0"/>
                <w:sz w:val="28"/>
                <w:szCs w:val="28"/>
              </w:rPr>
              <w:t>年</w:t>
            </w:r>
            <w:r>
              <w:rPr>
                <w:rFonts w:ascii="仿宋_GB2312" w:eastAsia="仿宋_GB2312" w:hAnsi="仿宋" w:cs="宋体" w:hint="eastAsia"/>
                <w:bCs/>
                <w:color w:val="FF0000"/>
                <w:kern w:val="0"/>
                <w:sz w:val="28"/>
                <w:szCs w:val="28"/>
              </w:rPr>
              <w:t>12</w:t>
            </w:r>
            <w:r>
              <w:rPr>
                <w:rFonts w:ascii="仿宋_GB2312" w:eastAsia="仿宋_GB2312" w:hAnsi="仿宋" w:cs="宋体" w:hint="eastAsia"/>
                <w:bCs/>
                <w:color w:val="FF0000"/>
                <w:kern w:val="0"/>
                <w:sz w:val="28"/>
                <w:szCs w:val="28"/>
              </w:rPr>
              <w:t>月</w:t>
            </w:r>
            <w:r>
              <w:rPr>
                <w:rFonts w:ascii="仿宋_GB2312" w:eastAsia="仿宋_GB2312" w:hAnsi="仿宋" w:cs="宋体" w:hint="eastAsia"/>
                <w:bCs/>
                <w:color w:val="FF0000"/>
                <w:kern w:val="0"/>
                <w:sz w:val="28"/>
                <w:szCs w:val="28"/>
              </w:rPr>
              <w:t>31</w:t>
            </w:r>
            <w:r>
              <w:rPr>
                <w:rFonts w:ascii="仿宋_GB2312" w:eastAsia="仿宋_GB2312" w:hAnsi="仿宋" w:cs="宋体" w:hint="eastAsia"/>
                <w:bCs/>
                <w:color w:val="FF0000"/>
                <w:kern w:val="0"/>
                <w:sz w:val="28"/>
                <w:szCs w:val="28"/>
              </w:rPr>
              <w:t>日</w:t>
            </w:r>
          </w:p>
        </w:tc>
      </w:tr>
      <w:tr w:rsidR="002031F4">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2031F4">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0</w:t>
            </w:r>
          </w:p>
        </w:tc>
      </w:tr>
      <w:tr w:rsidR="002031F4">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031F4" w:rsidRDefault="002E60E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2031F4">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1F4" w:rsidRDefault="002E60E5">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031F4" w:rsidRDefault="002E60E5">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031F4" w:rsidRDefault="002E60E5">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2031F4">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031F4" w:rsidRDefault="002E60E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2031F4">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031F4" w:rsidRDefault="002E60E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2031F4">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1F4" w:rsidRDefault="002E60E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2031F4">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1F4" w:rsidRDefault="002E60E5">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031F4" w:rsidRDefault="002E60E5">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2031F4">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1F4" w:rsidRDefault="002E60E5">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031F4" w:rsidRDefault="002031F4">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031F4" w:rsidRDefault="002E60E5">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bl>
    <w:p w:rsidR="002031F4" w:rsidRDefault="002031F4">
      <w:pPr>
        <w:spacing w:line="360" w:lineRule="auto"/>
        <w:rPr>
          <w:rFonts w:ascii="黑体" w:eastAsia="黑体" w:hAnsi="黑体" w:cs="Times New Roman"/>
          <w:sz w:val="32"/>
          <w:szCs w:val="32"/>
        </w:rPr>
      </w:pPr>
    </w:p>
    <w:p w:rsidR="002031F4" w:rsidRDefault="002031F4">
      <w:pPr>
        <w:jc w:val="center"/>
        <w:outlineLvl w:val="0"/>
        <w:rPr>
          <w:rFonts w:ascii="方正小标宋_GBK" w:eastAsia="方正小标宋_GBK"/>
          <w:sz w:val="44"/>
        </w:rPr>
      </w:pPr>
    </w:p>
    <w:p w:rsidR="002031F4" w:rsidRDefault="002031F4">
      <w:pPr>
        <w:jc w:val="center"/>
        <w:outlineLvl w:val="0"/>
        <w:rPr>
          <w:rFonts w:ascii="方正小标宋_GBK" w:eastAsia="方正小标宋_GBK"/>
          <w:sz w:val="44"/>
        </w:rPr>
      </w:pPr>
    </w:p>
    <w:p w:rsidR="002031F4" w:rsidRDefault="002E60E5">
      <w:pPr>
        <w:jc w:val="center"/>
        <w:outlineLvl w:val="0"/>
        <w:rPr>
          <w:rFonts w:ascii="方正小标宋_GBK" w:eastAsia="方正小标宋_GBK"/>
          <w:sz w:val="44"/>
        </w:rPr>
      </w:pPr>
      <w:r>
        <w:rPr>
          <w:rFonts w:ascii="方正小标宋_GBK" w:eastAsia="方正小标宋_GBK" w:hint="eastAsia"/>
          <w:sz w:val="44"/>
        </w:rPr>
        <w:t>第八部分：名词解释</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、一般公共预算财政拨款收入：指区级财政当年拨付的资金。</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事业收入</w:t>
      </w:r>
      <w:r>
        <w:rPr>
          <w:rFonts w:ascii="仿宋" w:eastAsia="仿宋" w:hAnsi="仿宋"/>
          <w:sz w:val="32"/>
          <w:szCs w:val="32"/>
        </w:rPr>
        <w:t>”</w:t>
      </w:r>
      <w:r>
        <w:rPr>
          <w:rFonts w:ascii="仿宋" w:eastAsia="仿宋" w:hAnsi="仿宋"/>
          <w:sz w:val="32"/>
          <w:szCs w:val="32"/>
        </w:rPr>
        <w:t>等以外的收入。</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、基本支出：指为保障机构正常运转、完成日常工作任务而发生的人员支出和公用支出。</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、项目支出：指在基本支出之外为完成特定行政任务和事业发展目标所发生的支出。</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2031F4" w:rsidRDefault="002E60E5">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、机关运行费：为保障行政单位（含参照公务员法管理的事业单位）运行用于购买货物和服务的各项资金，包括办公及印刷费、</w:t>
      </w:r>
      <w:r>
        <w:rPr>
          <w:rFonts w:ascii="仿宋" w:eastAsia="仿宋" w:hAnsi="仿宋"/>
          <w:sz w:val="32"/>
          <w:szCs w:val="32"/>
        </w:rPr>
        <w:t>邮电费、差旅费、会议费、福利费、日常维修费、专用材料及一般设备购置费、办公用房水电费、办公用房取暖费、办公用房物业管理费、公务用车运行维护费以及其他费用。</w:t>
      </w:r>
    </w:p>
    <w:p w:rsidR="002031F4" w:rsidRDefault="002031F4">
      <w:pPr>
        <w:spacing w:line="360" w:lineRule="auto"/>
        <w:jc w:val="center"/>
        <w:rPr>
          <w:rFonts w:ascii="黑体" w:eastAsia="黑体" w:hAnsi="黑体" w:cs="Times New Roman"/>
          <w:sz w:val="32"/>
          <w:szCs w:val="32"/>
        </w:rPr>
      </w:pPr>
    </w:p>
    <w:p w:rsidR="002031F4" w:rsidRDefault="002E60E5">
      <w:pPr>
        <w:jc w:val="center"/>
        <w:outlineLvl w:val="0"/>
        <w:rPr>
          <w:rFonts w:ascii="方正小标宋_GBK" w:eastAsia="方正小标宋_GBK"/>
          <w:sz w:val="44"/>
        </w:rPr>
      </w:pPr>
      <w:r>
        <w:rPr>
          <w:rFonts w:ascii="方正小标宋_GBK" w:eastAsia="方正小标宋_GBK" w:hint="eastAsia"/>
          <w:sz w:val="44"/>
        </w:rPr>
        <w:lastRenderedPageBreak/>
        <w:t>第九部分：其他需说明的事项</w:t>
      </w:r>
    </w:p>
    <w:p w:rsidR="002031F4" w:rsidRDefault="002E60E5">
      <w:pPr>
        <w:spacing w:line="360" w:lineRule="auto"/>
        <w:ind w:firstLineChars="200" w:firstLine="640"/>
        <w:rPr>
          <w:rFonts w:ascii="仿宋" w:eastAsia="仿宋" w:hAnsi="仿宋"/>
          <w:sz w:val="32"/>
          <w:szCs w:val="32"/>
        </w:rPr>
      </w:pPr>
      <w:r>
        <w:rPr>
          <w:rFonts w:ascii="仿宋" w:eastAsia="仿宋" w:hAnsi="仿宋" w:hint="eastAsia"/>
          <w:sz w:val="32"/>
          <w:szCs w:val="32"/>
        </w:rPr>
        <w:t>我</w:t>
      </w:r>
      <w:r>
        <w:rPr>
          <w:rFonts w:ascii="仿宋" w:eastAsia="仿宋" w:hAnsi="仿宋" w:hint="eastAsia"/>
          <w:sz w:val="32"/>
          <w:szCs w:val="32"/>
        </w:rPr>
        <w:t>单位</w:t>
      </w:r>
      <w:r>
        <w:rPr>
          <w:rFonts w:ascii="仿宋" w:eastAsia="仿宋" w:hAnsi="仿宋" w:hint="eastAsia"/>
          <w:sz w:val="32"/>
          <w:szCs w:val="32"/>
        </w:rPr>
        <w:t>无其他需说明的事项。</w:t>
      </w:r>
    </w:p>
    <w:sectPr w:rsidR="002031F4" w:rsidSect="002031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1F4" w:rsidRDefault="002031F4" w:rsidP="002031F4">
      <w:r>
        <w:separator/>
      </w:r>
    </w:p>
  </w:endnote>
  <w:endnote w:type="continuationSeparator" w:id="0">
    <w:p w:rsidR="002031F4" w:rsidRDefault="002031F4" w:rsidP="002031F4">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宋体"/>
    <w:charset w:val="86"/>
    <w:family w:val="roman"/>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172596"/>
    </w:sdtPr>
    <w:sdtContent>
      <w:p w:rsidR="002031F4" w:rsidRDefault="002031F4">
        <w:pPr>
          <w:pStyle w:val="a4"/>
          <w:jc w:val="center"/>
        </w:pPr>
        <w:r>
          <w:fldChar w:fldCharType="begin"/>
        </w:r>
        <w:r w:rsidR="002E60E5">
          <w:instrText>PAGE   \* MERGEFORMAT</w:instrText>
        </w:r>
        <w:r>
          <w:fldChar w:fldCharType="separate"/>
        </w:r>
        <w:r w:rsidR="002E60E5" w:rsidRPr="002E60E5">
          <w:rPr>
            <w:noProof/>
            <w:lang w:val="zh-CN"/>
          </w:rPr>
          <w:t>6</w:t>
        </w:r>
        <w:r>
          <w:fldChar w:fldCharType="end"/>
        </w:r>
      </w:p>
    </w:sdtContent>
  </w:sdt>
  <w:p w:rsidR="002031F4" w:rsidRDefault="002031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1F4" w:rsidRDefault="002031F4" w:rsidP="002031F4">
      <w:r>
        <w:separator/>
      </w:r>
    </w:p>
  </w:footnote>
  <w:footnote w:type="continuationSeparator" w:id="0">
    <w:p w:rsidR="002031F4" w:rsidRDefault="002031F4" w:rsidP="002031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IyZTU1YTkyNjQyYTJmZTcyNjczNmEwOWYyYTA5ZGM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031F4"/>
    <w:rsid w:val="00212335"/>
    <w:rsid w:val="00225A46"/>
    <w:rsid w:val="002918C6"/>
    <w:rsid w:val="00291EF3"/>
    <w:rsid w:val="00296524"/>
    <w:rsid w:val="002E01F6"/>
    <w:rsid w:val="002E60E5"/>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B7336"/>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451B0"/>
    <w:rsid w:val="0066383B"/>
    <w:rsid w:val="00675795"/>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675FC"/>
    <w:rsid w:val="00C906EF"/>
    <w:rsid w:val="00CC7D74"/>
    <w:rsid w:val="00D02F97"/>
    <w:rsid w:val="00D45530"/>
    <w:rsid w:val="00D45A0E"/>
    <w:rsid w:val="00D45D23"/>
    <w:rsid w:val="00D46DFE"/>
    <w:rsid w:val="00D723D1"/>
    <w:rsid w:val="00D80C60"/>
    <w:rsid w:val="00D8525F"/>
    <w:rsid w:val="00DA0C4D"/>
    <w:rsid w:val="00DA5DA7"/>
    <w:rsid w:val="00DE3935"/>
    <w:rsid w:val="00DE6B32"/>
    <w:rsid w:val="00DF26B8"/>
    <w:rsid w:val="00E12C68"/>
    <w:rsid w:val="00E21D7B"/>
    <w:rsid w:val="00E2325B"/>
    <w:rsid w:val="00E24075"/>
    <w:rsid w:val="00E270C9"/>
    <w:rsid w:val="00E35F38"/>
    <w:rsid w:val="00E45AC8"/>
    <w:rsid w:val="00E46F27"/>
    <w:rsid w:val="00E509CC"/>
    <w:rsid w:val="00E56DC0"/>
    <w:rsid w:val="00E71A04"/>
    <w:rsid w:val="00E815CB"/>
    <w:rsid w:val="00E90DA6"/>
    <w:rsid w:val="00E96342"/>
    <w:rsid w:val="00EA2FEA"/>
    <w:rsid w:val="00EA56CB"/>
    <w:rsid w:val="00EA7853"/>
    <w:rsid w:val="00F000B1"/>
    <w:rsid w:val="00F012D3"/>
    <w:rsid w:val="00F0340D"/>
    <w:rsid w:val="00F044C3"/>
    <w:rsid w:val="00F10D04"/>
    <w:rsid w:val="00F169E3"/>
    <w:rsid w:val="00F35D4B"/>
    <w:rsid w:val="00F3746B"/>
    <w:rsid w:val="00F572CB"/>
    <w:rsid w:val="00F621AF"/>
    <w:rsid w:val="00F63D1E"/>
    <w:rsid w:val="00F8024E"/>
    <w:rsid w:val="00F82447"/>
    <w:rsid w:val="00F868E5"/>
    <w:rsid w:val="00FB2F32"/>
    <w:rsid w:val="00FC3191"/>
    <w:rsid w:val="00FE0F1F"/>
    <w:rsid w:val="00FF61F3"/>
    <w:rsid w:val="0A0D702D"/>
    <w:rsid w:val="0BEC40E1"/>
    <w:rsid w:val="204B3E3F"/>
    <w:rsid w:val="37F60DC4"/>
    <w:rsid w:val="3D2A6448"/>
    <w:rsid w:val="3D5376AB"/>
    <w:rsid w:val="440B5AE9"/>
    <w:rsid w:val="452C1A4B"/>
    <w:rsid w:val="490526B9"/>
    <w:rsid w:val="5C851CD5"/>
    <w:rsid w:val="6230510D"/>
    <w:rsid w:val="6BEF25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1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031F4"/>
    <w:rPr>
      <w:sz w:val="18"/>
      <w:szCs w:val="18"/>
    </w:rPr>
  </w:style>
  <w:style w:type="paragraph" w:styleId="a4">
    <w:name w:val="footer"/>
    <w:basedOn w:val="a"/>
    <w:link w:val="Char0"/>
    <w:uiPriority w:val="99"/>
    <w:unhideWhenUsed/>
    <w:qFormat/>
    <w:rsid w:val="002031F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031F4"/>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rsid w:val="002031F4"/>
    <w:pPr>
      <w:ind w:leftChars="600" w:left="1260"/>
    </w:pPr>
    <w:rPr>
      <w:rFonts w:ascii="等线" w:eastAsia="等线" w:hAnsi="等线" w:cs="Times New Roman"/>
    </w:rPr>
  </w:style>
  <w:style w:type="paragraph" w:styleId="2">
    <w:name w:val="toc 2"/>
    <w:basedOn w:val="a"/>
    <w:next w:val="a"/>
    <w:uiPriority w:val="39"/>
    <w:unhideWhenUsed/>
    <w:qFormat/>
    <w:rsid w:val="002031F4"/>
    <w:pPr>
      <w:ind w:leftChars="200" w:left="420"/>
    </w:pPr>
    <w:rPr>
      <w:rFonts w:ascii="等线" w:eastAsia="等线" w:hAnsi="等线" w:cs="Times New Roman"/>
    </w:rPr>
  </w:style>
  <w:style w:type="character" w:styleId="a6">
    <w:name w:val="page number"/>
    <w:uiPriority w:val="99"/>
    <w:semiHidden/>
    <w:unhideWhenUsed/>
    <w:qFormat/>
    <w:rsid w:val="002031F4"/>
  </w:style>
  <w:style w:type="character" w:styleId="a7">
    <w:name w:val="Hyperlink"/>
    <w:uiPriority w:val="99"/>
    <w:unhideWhenUsed/>
    <w:qFormat/>
    <w:rsid w:val="002031F4"/>
    <w:rPr>
      <w:color w:val="0563C1"/>
      <w:u w:val="single"/>
    </w:rPr>
  </w:style>
  <w:style w:type="character" w:customStyle="1" w:styleId="Char1">
    <w:name w:val="页眉 Char"/>
    <w:basedOn w:val="a0"/>
    <w:link w:val="a5"/>
    <w:uiPriority w:val="99"/>
    <w:qFormat/>
    <w:rsid w:val="002031F4"/>
    <w:rPr>
      <w:sz w:val="18"/>
      <w:szCs w:val="18"/>
    </w:rPr>
  </w:style>
  <w:style w:type="character" w:customStyle="1" w:styleId="Char0">
    <w:name w:val="页脚 Char"/>
    <w:basedOn w:val="a0"/>
    <w:link w:val="a4"/>
    <w:uiPriority w:val="99"/>
    <w:qFormat/>
    <w:rsid w:val="002031F4"/>
    <w:rPr>
      <w:sz w:val="18"/>
      <w:szCs w:val="18"/>
    </w:rPr>
  </w:style>
  <w:style w:type="character" w:customStyle="1" w:styleId="Char">
    <w:name w:val="批注框文本 Char"/>
    <w:basedOn w:val="a0"/>
    <w:link w:val="a3"/>
    <w:uiPriority w:val="99"/>
    <w:semiHidden/>
    <w:qFormat/>
    <w:rsid w:val="002031F4"/>
    <w:rPr>
      <w:sz w:val="18"/>
      <w:szCs w:val="18"/>
    </w:rPr>
  </w:style>
  <w:style w:type="paragraph" w:customStyle="1" w:styleId="Normal">
    <w:name w:val="[Normal]"/>
    <w:qFormat/>
    <w:rsid w:val="002031F4"/>
    <w:rPr>
      <w:rFonts w:ascii="宋体" w:eastAsia="宋体" w:hAnsi="宋体" w:cs="Times New Roman"/>
      <w:sz w:val="24"/>
      <w:lang w:eastAsia="en-US"/>
    </w:rPr>
  </w:style>
  <w:style w:type="paragraph" w:customStyle="1" w:styleId="1">
    <w:name w:val="正文1"/>
    <w:basedOn w:val="Normal"/>
    <w:qFormat/>
    <w:rsid w:val="002031F4"/>
    <w:pPr>
      <w:jc w:val="both"/>
    </w:pPr>
    <w:rPr>
      <w:rFonts w:ascii="等线" w:eastAsia="等线" w:hAnsi="等线"/>
      <w:sz w:val="21"/>
    </w:rPr>
  </w:style>
  <w:style w:type="character" w:customStyle="1" w:styleId="a8">
    <w:name w:val="页眉 字符"/>
    <w:uiPriority w:val="99"/>
    <w:qFormat/>
    <w:rsid w:val="002031F4"/>
    <w:rPr>
      <w:kern w:val="2"/>
      <w:sz w:val="18"/>
      <w:szCs w:val="18"/>
    </w:rPr>
  </w:style>
  <w:style w:type="character" w:customStyle="1" w:styleId="a9">
    <w:name w:val="页脚 字符"/>
    <w:uiPriority w:val="99"/>
    <w:qFormat/>
    <w:rsid w:val="002031F4"/>
    <w:rPr>
      <w:kern w:val="2"/>
      <w:sz w:val="18"/>
      <w:szCs w:val="18"/>
    </w:rPr>
  </w:style>
  <w:style w:type="paragraph" w:customStyle="1" w:styleId="-">
    <w:name w:val="插入文本样式-插入实现年度发展规划目标的保障措施文件"/>
    <w:basedOn w:val="a"/>
    <w:qFormat/>
    <w:rsid w:val="002031F4"/>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FD7E-01DE-479A-9E39-491E06BB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7</cp:revision>
  <cp:lastPrinted>2021-04-14T02:06:00Z</cp:lastPrinted>
  <dcterms:created xsi:type="dcterms:W3CDTF">2021-04-22T03:07:00Z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8DBCC0FA559D478C8B54AF6A7879866C_13</vt:lpwstr>
  </property>
</Properties>
</file>