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4CD4F">
      <w:pPr>
        <w:widowControl w:val="0"/>
        <w:adjustRightInd/>
        <w:snapToGrid/>
        <w:spacing w:after="0" w:line="480" w:lineRule="auto"/>
        <w:ind w:firstLine="960"/>
        <w:jc w:val="center"/>
        <w:rPr>
          <w:rFonts w:ascii="仿宋_GB2312" w:eastAsia="仿宋_GB2312" w:cs="DengXian-Regular"/>
          <w:b/>
          <w:sz w:val="36"/>
          <w:szCs w:val="36"/>
        </w:rPr>
      </w:pPr>
      <w:r>
        <w:rPr>
          <w:rFonts w:hint="eastAsia" w:ascii="仿宋_GB2312" w:eastAsia="仿宋_GB2312" w:cs="DengXian-Regular"/>
          <w:b/>
          <w:sz w:val="36"/>
          <w:szCs w:val="36"/>
        </w:rPr>
        <w:t>中国人民政治协商会议保定市徐水区委员会</w:t>
      </w:r>
    </w:p>
    <w:p w14:paraId="362F3E2A">
      <w:pPr>
        <w:widowControl w:val="0"/>
        <w:adjustRightInd/>
        <w:snapToGrid/>
        <w:spacing w:after="0" w:line="480" w:lineRule="auto"/>
        <w:ind w:firstLine="960"/>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2019年部门整体支出绩效评价</w:t>
      </w:r>
    </w:p>
    <w:p w14:paraId="7C26570E">
      <w:pPr>
        <w:widowControl w:val="0"/>
        <w:adjustRightInd/>
        <w:snapToGrid/>
        <w:spacing w:after="0" w:line="480" w:lineRule="auto"/>
        <w:ind w:firstLine="960"/>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自评报告</w:t>
      </w:r>
    </w:p>
    <w:p w14:paraId="212A5D43">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0143FFFE">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1E8BB349">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722C7434">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02CB3761">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4AF75E96">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3387CADE">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1CE73633">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2B40E479">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6402DB36">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47AAB314">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20386A52">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22B8FF0E">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28867DB0">
      <w:pPr>
        <w:widowControl w:val="0"/>
        <w:adjustRightInd/>
        <w:snapToGrid/>
        <w:spacing w:after="0" w:line="540" w:lineRule="exact"/>
        <w:ind w:firstLine="72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40F22245">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5211AB44">
      <w:pPr>
        <w:widowControl w:val="0"/>
        <w:adjustRightInd/>
        <w:snapToGrid/>
        <w:spacing w:after="0" w:line="540" w:lineRule="exact"/>
        <w:ind w:firstLine="1440"/>
        <w:jc w:val="both"/>
        <w:rPr>
          <w:rFonts w:ascii="Times New Roman" w:hAnsi="Times New Roman" w:eastAsia="宋体" w:cs="Times New Roman"/>
          <w:bCs/>
          <w:kern w:val="2"/>
          <w:sz w:val="72"/>
          <w:szCs w:val="24"/>
        </w:rPr>
      </w:pPr>
    </w:p>
    <w:p w14:paraId="55F79366">
      <w:pPr>
        <w:widowControl w:val="0"/>
        <w:adjustRightInd/>
        <w:snapToGrid/>
        <w:spacing w:after="0" w:line="540" w:lineRule="exact"/>
        <w:ind w:firstLine="144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C6DC90F">
          <w:pPr>
            <w:pStyle w:val="12"/>
            <w:ind w:firstLine="440"/>
            <w:jc w:val="center"/>
            <w:rPr>
              <w:color w:val="auto"/>
              <w:sz w:val="44"/>
              <w:szCs w:val="44"/>
              <w:lang w:val="zh-CN"/>
            </w:rPr>
          </w:pPr>
          <w:r>
            <w:rPr>
              <w:color w:val="auto"/>
              <w:sz w:val="44"/>
              <w:szCs w:val="44"/>
              <w:lang w:val="zh-CN"/>
            </w:rPr>
            <w:t>目录</w:t>
          </w:r>
        </w:p>
        <w:p w14:paraId="2640AB9D">
          <w:pPr>
            <w:pStyle w:val="8"/>
            <w:tabs>
              <w:tab w:val="right" w:leader="dot" w:pos="8302"/>
            </w:tabs>
            <w:spacing w:line="360" w:lineRule="auto"/>
            <w:ind w:left="440"/>
            <w:rPr>
              <w:rFonts w:ascii="Calibri" w:hAnsiTheme="minorHAnsi" w:eastAsiaTheme="minorEastAsia" w:cstheme="minorBidi"/>
              <w:sz w:val="21"/>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"_Toc57553851" </w:instrText>
          </w:r>
          <w:r>
            <w:fldChar w:fldCharType="separate"/>
          </w:r>
          <w:r>
            <w:rPr>
              <w:rStyle w:val="11"/>
              <w:rFonts w:hint="eastAsia" w:ascii="黑体" w:hAnsi="黑体"/>
            </w:rPr>
            <w:t>第一部分摘要</w:t>
          </w:r>
          <w:r>
            <w:tab/>
          </w:r>
          <w:r>
            <w:fldChar w:fldCharType="begin"/>
          </w:r>
          <w:r>
            <w:instrText xml:space="preserve"> PAGEREF _Toc57553851 \h </w:instrText>
          </w:r>
          <w:r>
            <w:fldChar w:fldCharType="separate"/>
          </w:r>
          <w:r>
            <w:t>1</w:t>
          </w:r>
          <w:r>
            <w:fldChar w:fldCharType="end"/>
          </w:r>
          <w:r>
            <w:fldChar w:fldCharType="end"/>
          </w:r>
        </w:p>
        <w:p w14:paraId="6370A16A">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"_Toc57553852" </w:instrText>
          </w:r>
          <w:r>
            <w:fldChar w:fldCharType="separate"/>
          </w:r>
          <w:r>
            <w:rPr>
              <w:rStyle w:val="11"/>
              <w:rFonts w:hint="eastAsia" w:ascii="黑体" w:hAnsi="黑体"/>
            </w:rPr>
            <w:t>第二部分绩效评价报告</w:t>
          </w:r>
          <w:r>
            <w:tab/>
          </w:r>
          <w:r>
            <w:fldChar w:fldCharType="begin"/>
          </w:r>
          <w:r>
            <w:instrText xml:space="preserve"> PAGEREF _Toc57553852 \h </w:instrText>
          </w:r>
          <w:r>
            <w:fldChar w:fldCharType="separate"/>
          </w:r>
          <w:r>
            <w:t>7</w:t>
          </w:r>
          <w:r>
            <w:fldChar w:fldCharType="end"/>
          </w:r>
          <w:r>
            <w:fldChar w:fldCharType="end"/>
          </w:r>
        </w:p>
        <w:p w14:paraId="2585156B">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"_Toc57553853" </w:instrText>
          </w:r>
          <w:r>
            <w:fldChar w:fldCharType="separate"/>
          </w:r>
          <w:r>
            <w:rPr>
              <w:rStyle w:val="11"/>
              <w:rFonts w:hint="eastAsia" w:ascii="楷体" w:hAnsi="楷体" w:eastAsia="楷体" w:cs="楷体"/>
            </w:rPr>
            <w:t>一、</w:t>
          </w:r>
          <w:r>
            <w:rPr>
              <w:rStyle w:val="11"/>
              <w:rFonts w:hint="eastAsia" w:ascii="仿宋_GB2312" w:eastAsia="仿宋_GB2312" w:cs="DengXian-Regular"/>
            </w:rPr>
            <w:t>中国人民政治协商会议保定市徐水区委员会</w:t>
          </w:r>
          <w:r>
            <w:rPr>
              <w:rStyle w:val="11"/>
              <w:rFonts w:hint="eastAsia" w:ascii="楷体" w:hAnsi="楷体" w:eastAsia="楷体" w:cs="楷体"/>
            </w:rPr>
            <w:t>基本情况</w:t>
          </w:r>
          <w:r>
            <w:tab/>
          </w:r>
          <w:r>
            <w:fldChar w:fldCharType="begin"/>
          </w:r>
          <w:r>
            <w:instrText xml:space="preserve"> PAGEREF _Toc57553853 \h </w:instrText>
          </w:r>
          <w:r>
            <w:fldChar w:fldCharType="separate"/>
          </w:r>
          <w:r>
            <w:t>7</w:t>
          </w:r>
          <w:r>
            <w:fldChar w:fldCharType="end"/>
          </w:r>
          <w:r>
            <w:fldChar w:fldCharType="end"/>
          </w:r>
        </w:p>
        <w:p w14:paraId="18DAECA1">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"_Toc57553854" </w:instrText>
          </w:r>
          <w:r>
            <w:fldChar w:fldCharType="separate"/>
          </w:r>
          <w:r>
            <w:rPr>
              <w:rStyle w:val="11"/>
              <w:rFonts w:hint="eastAsia" w:ascii="仿宋_GB2312" w:hAnsi="Tahoma" w:cs="DengXian-Regular"/>
            </w:rPr>
            <w:t>（一）部门职责和工作活动</w:t>
          </w:r>
          <w:r>
            <w:tab/>
          </w:r>
          <w:r>
            <w:fldChar w:fldCharType="begin"/>
          </w:r>
          <w:r>
            <w:instrText xml:space="preserve"> PAGEREF _Toc57553854 \h </w:instrText>
          </w:r>
          <w:r>
            <w:fldChar w:fldCharType="separate"/>
          </w:r>
          <w:r>
            <w:t>7</w:t>
          </w:r>
          <w:r>
            <w:fldChar w:fldCharType="end"/>
          </w:r>
          <w:r>
            <w:fldChar w:fldCharType="end"/>
          </w:r>
        </w:p>
        <w:p w14:paraId="6FB1B651">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"_Toc57553855" </w:instrText>
          </w:r>
          <w:r>
            <w:fldChar w:fldCharType="separate"/>
          </w:r>
          <w:r>
            <w:rPr>
              <w:rStyle w:val="11"/>
              <w:rFonts w:hint="eastAsia" w:ascii="仿宋_GB2312" w:hAnsi="Tahoma" w:cs="DengXian-Regular"/>
            </w:rPr>
            <w:t>（二）部门年度发展规划总体目标和职责分类绩效目标</w:t>
          </w:r>
          <w:r>
            <w:tab/>
          </w:r>
          <w:r>
            <w:fldChar w:fldCharType="begin"/>
          </w:r>
          <w:r>
            <w:instrText xml:space="preserve"> PAGEREF _Toc57553855 \h </w:instrText>
          </w:r>
          <w:r>
            <w:fldChar w:fldCharType="separate"/>
          </w:r>
          <w:r>
            <w:t>7</w:t>
          </w:r>
          <w:r>
            <w:fldChar w:fldCharType="end"/>
          </w:r>
          <w:r>
            <w:fldChar w:fldCharType="end"/>
          </w:r>
        </w:p>
        <w:p w14:paraId="4B1BF7B8">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"_Toc57553856" </w:instrText>
          </w:r>
          <w:r>
            <w:fldChar w:fldCharType="separate"/>
          </w:r>
          <w:r>
            <w:rPr>
              <w:rStyle w:val="11"/>
              <w:rFonts w:hint="eastAsia" w:ascii="仿宋_GB2312" w:hAnsiTheme="minorEastAsia"/>
            </w:rPr>
            <w:t>（四）预算支出及决算支出</w:t>
          </w:r>
          <w:r>
            <w:tab/>
          </w:r>
          <w:r>
            <w:fldChar w:fldCharType="begin"/>
          </w:r>
          <w:r>
            <w:instrText xml:space="preserve"> PAGEREF _Toc57553856 \h </w:instrText>
          </w:r>
          <w:r>
            <w:fldChar w:fldCharType="separate"/>
          </w:r>
          <w:r>
            <w:t>9</w:t>
          </w:r>
          <w:r>
            <w:fldChar w:fldCharType="end"/>
          </w:r>
          <w:r>
            <w:fldChar w:fldCharType="end"/>
          </w:r>
        </w:p>
        <w:p w14:paraId="76F0E389">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"_Toc57553857" </w:instrText>
          </w:r>
          <w:r>
            <w:fldChar w:fldCharType="separate"/>
          </w:r>
          <w:r>
            <w:rPr>
              <w:rStyle w:val="11"/>
              <w:rFonts w:hint="eastAsia" w:ascii="仿宋_GB2312" w:hAnsi="Tahoma" w:cs="DengXian-Regular"/>
            </w:rPr>
            <w:t>（五）“三公”经费预算安排及支出情况</w:t>
          </w:r>
          <w:r>
            <w:tab/>
          </w:r>
          <w:r>
            <w:fldChar w:fldCharType="begin"/>
          </w:r>
          <w:r>
            <w:instrText xml:space="preserve"> PAGEREF _Toc57553857 \h </w:instrText>
          </w:r>
          <w:r>
            <w:fldChar w:fldCharType="separate"/>
          </w:r>
          <w:r>
            <w:t>10</w:t>
          </w:r>
          <w:r>
            <w:fldChar w:fldCharType="end"/>
          </w:r>
          <w:r>
            <w:fldChar w:fldCharType="end"/>
          </w:r>
        </w:p>
        <w:p w14:paraId="7D998B41">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"_Toc57553858" </w:instrText>
          </w:r>
          <w:r>
            <w:fldChar w:fldCharType="separate"/>
          </w:r>
          <w:r>
            <w:rPr>
              <w:rStyle w:val="11"/>
              <w:rFonts w:hint="eastAsia" w:ascii="黑体"/>
            </w:rPr>
            <w:t>二、部门整体支出绩效评价指标体系设定情况</w:t>
          </w:r>
          <w:r>
            <w:tab/>
          </w:r>
          <w:r>
            <w:fldChar w:fldCharType="begin"/>
          </w:r>
          <w:r>
            <w:instrText xml:space="preserve"> PAGEREF _Toc57553858 \h </w:instrText>
          </w:r>
          <w:r>
            <w:fldChar w:fldCharType="separate"/>
          </w:r>
          <w:r>
            <w:t>11</w:t>
          </w:r>
          <w:r>
            <w:fldChar w:fldCharType="end"/>
          </w:r>
          <w:r>
            <w:fldChar w:fldCharType="end"/>
          </w:r>
        </w:p>
        <w:p w14:paraId="74FA7E54">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"_Toc57553859" </w:instrText>
          </w:r>
          <w:r>
            <w:fldChar w:fldCharType="separate"/>
          </w:r>
          <w:r>
            <w:rPr>
              <w:rStyle w:val="11"/>
              <w:rFonts w:hint="eastAsia" w:ascii="楷体" w:hAnsi="楷体" w:eastAsia="楷体"/>
            </w:rPr>
            <w:t>（二）过程（</w:t>
          </w:r>
          <w:r>
            <w:rPr>
              <w:rStyle w:val="11"/>
              <w:rFonts w:ascii="楷体" w:hAnsi="楷体" w:eastAsia="楷体"/>
            </w:rPr>
            <w:t>48</w:t>
          </w:r>
          <w:r>
            <w:rPr>
              <w:rStyle w:val="11"/>
              <w:rFonts w:hint="eastAsia" w:ascii="楷体" w:hAnsi="楷体" w:eastAsia="楷体"/>
            </w:rPr>
            <w:t>分）</w:t>
          </w:r>
          <w:r>
            <w:tab/>
          </w:r>
          <w:r>
            <w:fldChar w:fldCharType="begin"/>
          </w:r>
          <w:r>
            <w:instrText xml:space="preserve"> PAGEREF _Toc57553859 \h </w:instrText>
          </w:r>
          <w:r>
            <w:fldChar w:fldCharType="separate"/>
          </w:r>
          <w:r>
            <w:t>12</w:t>
          </w:r>
          <w:r>
            <w:fldChar w:fldCharType="end"/>
          </w:r>
          <w:r>
            <w:fldChar w:fldCharType="end"/>
          </w:r>
        </w:p>
        <w:p w14:paraId="1EB838B7">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"_Toc57553860" </w:instrText>
          </w:r>
          <w:r>
            <w:fldChar w:fldCharType="separate"/>
          </w:r>
          <w:r>
            <w:rPr>
              <w:rStyle w:val="11"/>
              <w:rFonts w:hint="eastAsia" w:ascii="楷体" w:hAnsi="楷体" w:eastAsia="楷体"/>
            </w:rPr>
            <w:t>（三）产出（</w:t>
          </w:r>
          <w:r>
            <w:rPr>
              <w:rStyle w:val="11"/>
              <w:rFonts w:ascii="楷体" w:hAnsi="楷体" w:eastAsia="楷体"/>
            </w:rPr>
            <w:t>25</w:t>
          </w:r>
          <w:r>
            <w:rPr>
              <w:rStyle w:val="11"/>
              <w:rFonts w:hint="eastAsia" w:ascii="楷体" w:hAnsi="楷体" w:eastAsia="楷体"/>
            </w:rPr>
            <w:t>分）</w:t>
          </w:r>
          <w:r>
            <w:tab/>
          </w:r>
          <w:r>
            <w:fldChar w:fldCharType="begin"/>
          </w:r>
          <w:r>
            <w:instrText xml:space="preserve"> PAGEREF _Toc57553860 \h </w:instrText>
          </w:r>
          <w:r>
            <w:fldChar w:fldCharType="separate"/>
          </w:r>
          <w:r>
            <w:t>13</w:t>
          </w:r>
          <w:r>
            <w:fldChar w:fldCharType="end"/>
          </w:r>
          <w:r>
            <w:fldChar w:fldCharType="end"/>
          </w:r>
        </w:p>
        <w:p w14:paraId="1DCFB007">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"_Toc57553861" </w:instrText>
          </w:r>
          <w:r>
            <w:fldChar w:fldCharType="separate"/>
          </w:r>
          <w:r>
            <w:rPr>
              <w:rStyle w:val="11"/>
              <w:rFonts w:hint="eastAsia" w:ascii="楷体_GB2312" w:eastAsia="楷体_GB2312" w:hAnsiTheme="minorEastAsia"/>
            </w:rPr>
            <w:t>（四）效果（</w:t>
          </w:r>
          <w:r>
            <w:rPr>
              <w:rStyle w:val="11"/>
              <w:rFonts w:ascii="楷体_GB2312" w:eastAsia="楷体_GB2312" w:hAnsiTheme="minorEastAsia"/>
            </w:rPr>
            <w:t>15</w:t>
          </w:r>
          <w:r>
            <w:rPr>
              <w:rStyle w:val="11"/>
              <w:rFonts w:hint="eastAsia" w:ascii="楷体_GB2312" w:eastAsia="楷体_GB2312" w:hAnsiTheme="minorEastAsia"/>
            </w:rPr>
            <w:t>分）</w:t>
          </w:r>
          <w:r>
            <w:tab/>
          </w:r>
          <w:r>
            <w:fldChar w:fldCharType="begin"/>
          </w:r>
          <w:r>
            <w:instrText xml:space="preserve"> PAGEREF _Toc57553861 \h </w:instrText>
          </w:r>
          <w:r>
            <w:fldChar w:fldCharType="separate"/>
          </w:r>
          <w:r>
            <w:t>13</w:t>
          </w:r>
          <w:r>
            <w:fldChar w:fldCharType="end"/>
          </w:r>
          <w:r>
            <w:fldChar w:fldCharType="end"/>
          </w:r>
        </w:p>
        <w:p w14:paraId="3329A14A">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"_Toc57553862" </w:instrText>
          </w:r>
          <w:r>
            <w:fldChar w:fldCharType="separate"/>
          </w:r>
          <w:r>
            <w:rPr>
              <w:rStyle w:val="11"/>
              <w:rFonts w:hint="eastAsia" w:ascii="黑体"/>
            </w:rPr>
            <w:t>三、综合绩效评价工作情况</w:t>
          </w:r>
          <w:r>
            <w:tab/>
          </w:r>
          <w:r>
            <w:fldChar w:fldCharType="begin"/>
          </w:r>
          <w:r>
            <w:instrText xml:space="preserve"> PAGEREF _Toc57553862 \h </w:instrText>
          </w:r>
          <w:r>
            <w:fldChar w:fldCharType="separate"/>
          </w:r>
          <w:r>
            <w:t>13</w:t>
          </w:r>
          <w:r>
            <w:fldChar w:fldCharType="end"/>
          </w:r>
          <w:r>
            <w:fldChar w:fldCharType="end"/>
          </w:r>
        </w:p>
        <w:p w14:paraId="0019D845">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"_Toc57553863" </w:instrText>
          </w:r>
          <w:r>
            <w:fldChar w:fldCharType="separate"/>
          </w:r>
          <w:r>
            <w:rPr>
              <w:rStyle w:val="11"/>
              <w:rFonts w:hint="eastAsia" w:ascii="楷体_GB2312" w:eastAsia="楷体_GB2312" w:hAnsiTheme="minorEastAsia"/>
            </w:rPr>
            <w:t>（一）绩效评价目的</w:t>
          </w:r>
          <w:r>
            <w:tab/>
          </w:r>
          <w:r>
            <w:fldChar w:fldCharType="begin"/>
          </w:r>
          <w:r>
            <w:instrText xml:space="preserve"> PAGEREF _Toc57553863 \h </w:instrText>
          </w:r>
          <w:r>
            <w:fldChar w:fldCharType="separate"/>
          </w:r>
          <w:r>
            <w:t>13</w:t>
          </w:r>
          <w:r>
            <w:fldChar w:fldCharType="end"/>
          </w:r>
          <w:r>
            <w:fldChar w:fldCharType="end"/>
          </w:r>
        </w:p>
        <w:p w14:paraId="21731004">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"_Toc57553864" </w:instrText>
          </w:r>
          <w:r>
            <w:fldChar w:fldCharType="separate"/>
          </w:r>
          <w:r>
            <w:rPr>
              <w:rStyle w:val="11"/>
              <w:rFonts w:hint="eastAsia" w:ascii="楷体_GB2312" w:eastAsia="楷体_GB2312" w:hAnsiTheme="minorEastAsia"/>
            </w:rPr>
            <w:t>（二）绩效评价依据</w:t>
          </w:r>
          <w:r>
            <w:tab/>
          </w:r>
          <w:r>
            <w:fldChar w:fldCharType="begin"/>
          </w:r>
          <w:r>
            <w:instrText xml:space="preserve"> PAGEREF _Toc57553864 \h </w:instrText>
          </w:r>
          <w:r>
            <w:fldChar w:fldCharType="separate"/>
          </w:r>
          <w:r>
            <w:t>14</w:t>
          </w:r>
          <w:r>
            <w:fldChar w:fldCharType="end"/>
          </w:r>
          <w:r>
            <w:fldChar w:fldCharType="end"/>
          </w:r>
        </w:p>
        <w:p w14:paraId="708C1B3A">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"_Toc57553865" </w:instrText>
          </w:r>
          <w:r>
            <w:fldChar w:fldCharType="separate"/>
          </w:r>
          <w:r>
            <w:rPr>
              <w:rStyle w:val="11"/>
              <w:rFonts w:hint="eastAsia" w:ascii="楷体_GB2312" w:eastAsia="楷体_GB2312" w:hAnsiTheme="minorEastAsia"/>
            </w:rPr>
            <w:t>（三）绩效评价内容</w:t>
          </w:r>
          <w:r>
            <w:tab/>
          </w:r>
          <w:r>
            <w:fldChar w:fldCharType="begin"/>
          </w:r>
          <w:r>
            <w:instrText xml:space="preserve"> PAGEREF _Toc57553865 \h </w:instrText>
          </w:r>
          <w:r>
            <w:fldChar w:fldCharType="separate"/>
          </w:r>
          <w:r>
            <w:t>14</w:t>
          </w:r>
          <w:r>
            <w:fldChar w:fldCharType="end"/>
          </w:r>
          <w:r>
            <w:fldChar w:fldCharType="end"/>
          </w:r>
        </w:p>
        <w:p w14:paraId="1C3633A8">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"_Toc57553866" </w:instrText>
          </w:r>
          <w:r>
            <w:fldChar w:fldCharType="separate"/>
          </w:r>
          <w:r>
            <w:rPr>
              <w:rStyle w:val="11"/>
              <w:rFonts w:hint="eastAsia" w:ascii="楷体_GB2312" w:eastAsia="楷体_GB2312" w:hAnsiTheme="minorEastAsia"/>
            </w:rPr>
            <w:t>（四）绩效评价原则</w:t>
          </w:r>
          <w:r>
            <w:tab/>
          </w:r>
          <w:r>
            <w:fldChar w:fldCharType="begin"/>
          </w:r>
          <w:r>
            <w:instrText xml:space="preserve"> PAGEREF _Toc57553866 \h </w:instrText>
          </w:r>
          <w:r>
            <w:fldChar w:fldCharType="separate"/>
          </w:r>
          <w:r>
            <w:t>15</w:t>
          </w:r>
          <w:r>
            <w:fldChar w:fldCharType="end"/>
          </w:r>
          <w:r>
            <w:fldChar w:fldCharType="end"/>
          </w:r>
        </w:p>
        <w:p w14:paraId="7CC5AA8A">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"_Toc57553867" </w:instrText>
          </w:r>
          <w:r>
            <w:fldChar w:fldCharType="separate"/>
          </w:r>
          <w:r>
            <w:rPr>
              <w:rStyle w:val="11"/>
              <w:rFonts w:hint="eastAsia" w:ascii="楷体_GB2312" w:eastAsia="楷体_GB2312" w:hAnsiTheme="minorEastAsia"/>
            </w:rPr>
            <w:t>（五）绩效评价方法</w:t>
          </w:r>
          <w:r>
            <w:tab/>
          </w:r>
          <w:r>
            <w:fldChar w:fldCharType="begin"/>
          </w:r>
          <w:r>
            <w:instrText xml:space="preserve"> PAGEREF _Toc57553867 \h </w:instrText>
          </w:r>
          <w:r>
            <w:fldChar w:fldCharType="separate"/>
          </w:r>
          <w:r>
            <w:t>15</w:t>
          </w:r>
          <w:r>
            <w:fldChar w:fldCharType="end"/>
          </w:r>
          <w:r>
            <w:fldChar w:fldCharType="end"/>
          </w:r>
        </w:p>
        <w:p w14:paraId="5C657C30">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"_Toc57553868" </w:instrText>
          </w:r>
          <w:r>
            <w:fldChar w:fldCharType="separate"/>
          </w:r>
          <w:r>
            <w:rPr>
              <w:rStyle w:val="11"/>
              <w:rFonts w:hint="eastAsia" w:ascii="黑体"/>
            </w:rPr>
            <w:t>四、绩效评价评分情况</w:t>
          </w:r>
          <w:r>
            <w:tab/>
          </w:r>
          <w:r>
            <w:fldChar w:fldCharType="begin"/>
          </w:r>
          <w:r>
            <w:instrText xml:space="preserve"> PAGEREF _Toc57553868 \h </w:instrText>
          </w:r>
          <w:r>
            <w:fldChar w:fldCharType="separate"/>
          </w:r>
          <w:r>
            <w:t>17</w:t>
          </w:r>
          <w:r>
            <w:fldChar w:fldCharType="end"/>
          </w:r>
          <w:r>
            <w:fldChar w:fldCharType="end"/>
          </w:r>
        </w:p>
        <w:p w14:paraId="25408D40">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"_Toc57553869" </w:instrText>
          </w:r>
          <w:r>
            <w:fldChar w:fldCharType="separate"/>
          </w:r>
          <w:r>
            <w:rPr>
              <w:rStyle w:val="11"/>
              <w:rFonts w:hint="eastAsia" w:ascii="楷体_GB2312" w:eastAsia="楷体_GB2312" w:hAnsiTheme="minorEastAsia"/>
            </w:rPr>
            <w:t>（一）投入（</w:t>
          </w:r>
          <w:r>
            <w:rPr>
              <w:rStyle w:val="11"/>
              <w:rFonts w:ascii="楷体_GB2312" w:eastAsia="楷体_GB2312" w:hAnsiTheme="minorEastAsia"/>
            </w:rPr>
            <w:t>10</w:t>
          </w:r>
          <w:r>
            <w:rPr>
              <w:rStyle w:val="11"/>
              <w:rFonts w:hint="eastAsia" w:ascii="楷体_GB2312" w:eastAsia="楷体_GB2312" w:hAnsiTheme="minorEastAsia"/>
            </w:rPr>
            <w:t>分）</w:t>
          </w:r>
          <w:r>
            <w:tab/>
          </w:r>
          <w:r>
            <w:fldChar w:fldCharType="begin"/>
          </w:r>
          <w:r>
            <w:instrText xml:space="preserve"> PAGEREF _Toc57553869 \h </w:instrText>
          </w:r>
          <w:r>
            <w:fldChar w:fldCharType="separate"/>
          </w:r>
          <w:r>
            <w:t>17</w:t>
          </w:r>
          <w:r>
            <w:fldChar w:fldCharType="end"/>
          </w:r>
          <w:r>
            <w:fldChar w:fldCharType="end"/>
          </w:r>
        </w:p>
        <w:p w14:paraId="4D785355">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"_Toc57553870" </w:instrText>
          </w:r>
          <w:r>
            <w:fldChar w:fldCharType="separate"/>
          </w:r>
          <w:r>
            <w:rPr>
              <w:rStyle w:val="11"/>
              <w:rFonts w:hint="eastAsia" w:ascii="楷体" w:hAnsi="楷体" w:eastAsia="楷体"/>
            </w:rPr>
            <w:t>（二）过程（</w:t>
          </w:r>
          <w:r>
            <w:rPr>
              <w:rStyle w:val="11"/>
              <w:rFonts w:ascii="楷体" w:hAnsi="楷体" w:eastAsia="楷体"/>
            </w:rPr>
            <w:t>48</w:t>
          </w:r>
          <w:r>
            <w:rPr>
              <w:rStyle w:val="11"/>
              <w:rFonts w:hint="eastAsia" w:ascii="楷体" w:hAnsi="楷体" w:eastAsia="楷体"/>
            </w:rPr>
            <w:t>分）</w:t>
          </w:r>
          <w:r>
            <w:tab/>
          </w:r>
          <w:r>
            <w:fldChar w:fldCharType="begin"/>
          </w:r>
          <w:r>
            <w:instrText xml:space="preserve"> PAGEREF _Toc57553870 \h </w:instrText>
          </w:r>
          <w:r>
            <w:fldChar w:fldCharType="separate"/>
          </w:r>
          <w:r>
            <w:t>21</w:t>
          </w:r>
          <w:r>
            <w:fldChar w:fldCharType="end"/>
          </w:r>
          <w:r>
            <w:fldChar w:fldCharType="end"/>
          </w:r>
        </w:p>
        <w:p w14:paraId="4D1FD52D">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"_Toc57553871" </w:instrText>
          </w:r>
          <w:r>
            <w:fldChar w:fldCharType="separate"/>
          </w:r>
          <w:r>
            <w:rPr>
              <w:rStyle w:val="11"/>
              <w:rFonts w:hint="eastAsia" w:ascii="楷体" w:hAnsi="楷体" w:eastAsia="楷体"/>
            </w:rPr>
            <w:t>（三）产出（</w:t>
          </w:r>
          <w:r>
            <w:rPr>
              <w:rStyle w:val="11"/>
              <w:rFonts w:ascii="楷体" w:hAnsi="楷体" w:eastAsia="楷体"/>
            </w:rPr>
            <w:t>25</w:t>
          </w:r>
          <w:r>
            <w:rPr>
              <w:rStyle w:val="11"/>
              <w:rFonts w:hint="eastAsia" w:ascii="楷体" w:hAnsi="楷体" w:eastAsia="楷体"/>
            </w:rPr>
            <w:t>分）</w:t>
          </w:r>
          <w:r>
            <w:tab/>
          </w:r>
          <w:r>
            <w:fldChar w:fldCharType="begin"/>
          </w:r>
          <w:r>
            <w:instrText xml:space="preserve"> PAGEREF _Toc57553871 \h </w:instrText>
          </w:r>
          <w:r>
            <w:fldChar w:fldCharType="separate"/>
          </w:r>
          <w:r>
            <w:t>29</w:t>
          </w:r>
          <w:r>
            <w:fldChar w:fldCharType="end"/>
          </w:r>
          <w:r>
            <w:fldChar w:fldCharType="end"/>
          </w:r>
        </w:p>
        <w:p w14:paraId="0E7072B0">
          <w:pPr>
            <w:pStyle w:val="5"/>
            <w:tabs>
              <w:tab w:val="right" w:leader="dot" w:pos="8302"/>
            </w:tabs>
            <w:spacing w:line="360" w:lineRule="auto"/>
            <w:ind w:left="880"/>
            <w:rPr>
              <w:rFonts w:ascii="Calibri" w:hAnsiTheme="minorHAnsi" w:eastAsiaTheme="minorEastAsia" w:cstheme="minorBidi"/>
              <w:sz w:val="21"/>
              <w:szCs w:val="22"/>
            </w:rPr>
          </w:pPr>
          <w:r>
            <w:fldChar w:fldCharType="begin"/>
          </w:r>
          <w:r>
            <w:instrText xml:space="preserve"> HYPERLINK \l "_Toc57553872" </w:instrText>
          </w:r>
          <w:r>
            <w:fldChar w:fldCharType="separate"/>
          </w:r>
          <w:r>
            <w:rPr>
              <w:rStyle w:val="11"/>
              <w:rFonts w:hint="eastAsia" w:ascii="楷体" w:hAnsi="楷体" w:eastAsia="楷体"/>
            </w:rPr>
            <w:t>（四）效果（</w:t>
          </w:r>
          <w:r>
            <w:rPr>
              <w:rStyle w:val="11"/>
              <w:rFonts w:ascii="楷体" w:hAnsi="楷体" w:eastAsia="楷体"/>
            </w:rPr>
            <w:t>15</w:t>
          </w:r>
          <w:r>
            <w:rPr>
              <w:rStyle w:val="11"/>
              <w:rFonts w:hint="eastAsia" w:ascii="楷体" w:hAnsi="楷体" w:eastAsia="楷体"/>
            </w:rPr>
            <w:t>分）</w:t>
          </w:r>
          <w:r>
            <w:tab/>
          </w:r>
          <w:r>
            <w:fldChar w:fldCharType="begin"/>
          </w:r>
          <w:r>
            <w:instrText xml:space="preserve"> PAGEREF _Toc57553872 \h </w:instrText>
          </w:r>
          <w:r>
            <w:fldChar w:fldCharType="separate"/>
          </w:r>
          <w:r>
            <w:t>31</w:t>
          </w:r>
          <w:r>
            <w:fldChar w:fldCharType="end"/>
          </w:r>
          <w:r>
            <w:fldChar w:fldCharType="end"/>
          </w:r>
        </w:p>
        <w:p w14:paraId="11638BBB">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"_Toc57553873" </w:instrText>
          </w:r>
          <w:r>
            <w:fldChar w:fldCharType="separate"/>
          </w:r>
          <w:r>
            <w:rPr>
              <w:rStyle w:val="11"/>
              <w:rFonts w:hint="eastAsia" w:ascii="黑体"/>
            </w:rPr>
            <w:t>五、绩效评价发现的问题</w:t>
          </w:r>
          <w:r>
            <w:tab/>
          </w:r>
          <w:r>
            <w:fldChar w:fldCharType="begin"/>
          </w:r>
          <w:r>
            <w:instrText xml:space="preserve"> PAGEREF _Toc57553873 \h </w:instrText>
          </w:r>
          <w:r>
            <w:fldChar w:fldCharType="separate"/>
          </w:r>
          <w:r>
            <w:t>33</w:t>
          </w:r>
          <w:r>
            <w:fldChar w:fldCharType="end"/>
          </w:r>
          <w:r>
            <w:fldChar w:fldCharType="end"/>
          </w:r>
        </w:p>
        <w:p w14:paraId="78EDACB0">
          <w:pPr>
            <w:pStyle w:val="8"/>
            <w:tabs>
              <w:tab w:val="right" w:leader="dot" w:pos="8302"/>
            </w:tabs>
            <w:spacing w:line="360" w:lineRule="auto"/>
            <w:ind w:left="440"/>
            <w:rPr>
              <w:rFonts w:ascii="Calibri" w:hAnsiTheme="minorHAnsi" w:eastAsiaTheme="minorEastAsia" w:cstheme="minorBidi"/>
              <w:sz w:val="21"/>
              <w:szCs w:val="22"/>
            </w:rPr>
          </w:pPr>
          <w:r>
            <w:fldChar w:fldCharType="begin"/>
          </w:r>
          <w:r>
            <w:instrText xml:space="preserve"> HYPERLINK \l "_Toc57553874" </w:instrText>
          </w:r>
          <w:r>
            <w:fldChar w:fldCharType="separate"/>
          </w:r>
          <w:r>
            <w:rPr>
              <w:rStyle w:val="11"/>
              <w:rFonts w:hint="eastAsia" w:ascii="黑体"/>
            </w:rPr>
            <w:t>六、绩效评价意见及建议</w:t>
          </w:r>
          <w:r>
            <w:tab/>
          </w:r>
          <w:r>
            <w:fldChar w:fldCharType="begin"/>
          </w:r>
          <w:r>
            <w:instrText xml:space="preserve"> PAGEREF _Toc57553874 \h </w:instrText>
          </w:r>
          <w:r>
            <w:fldChar w:fldCharType="separate"/>
          </w:r>
          <w:r>
            <w:t>35</w:t>
          </w:r>
          <w:r>
            <w:fldChar w:fldCharType="end"/>
          </w:r>
          <w:r>
            <w:fldChar w:fldCharType="end"/>
          </w:r>
        </w:p>
        <w:p w14:paraId="11F52998">
          <w:pPr>
            <w:spacing w:line="360" w:lineRule="auto"/>
            <w:ind w:firstLine="440"/>
            <w:jc w:val="both"/>
            <w:sectPr>
              <w:headerReference r:id="rId3"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26A76994">
      <w:pPr>
        <w:pStyle w:val="3"/>
        <w:spacing w:line="540" w:lineRule="exact"/>
        <w:ind w:firstLine="640"/>
        <w:jc w:val="center"/>
        <w:rPr>
          <w:rFonts w:ascii="黑体" w:hAnsi="黑体"/>
          <w:b w:val="0"/>
        </w:rPr>
      </w:pPr>
      <w:bookmarkStart w:id="0" w:name="_Toc57553851"/>
      <w:r>
        <w:rPr>
          <w:rFonts w:hint="eastAsia" w:ascii="黑体" w:hAnsi="黑体"/>
          <w:b w:val="0"/>
        </w:rPr>
        <w:t>第一部分   摘  要</w:t>
      </w:r>
      <w:bookmarkEnd w:id="0"/>
    </w:p>
    <w:p w14:paraId="151D3DC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3D551C5C">
      <w:pPr>
        <w:spacing w:line="360" w:lineRule="auto"/>
        <w:ind w:firstLine="640"/>
        <w:rPr>
          <w:rFonts w:ascii="仿宋" w:hAnsi="仿宋" w:eastAsia="仿宋" w:cs="宋体"/>
          <w:color w:val="000000"/>
          <w:sz w:val="30"/>
          <w:szCs w:val="30"/>
        </w:rPr>
      </w:pPr>
      <w:r>
        <w:rPr>
          <w:rFonts w:hint="eastAsia" w:ascii="仿宋_GB2312" w:eastAsia="仿宋_GB2312" w:cs="DengXian-Regular"/>
          <w:sz w:val="32"/>
          <w:szCs w:val="32"/>
        </w:rPr>
        <w:t>中国人民政治协商会议保定市徐水区委员会为正处级行政单位，经费保障形式为财政拨款，下设3个股室，分别为办公室、</w:t>
      </w:r>
      <w:r>
        <w:rPr>
          <w:rFonts w:hint="eastAsia" w:ascii="仿宋" w:hAnsi="仿宋" w:eastAsia="仿宋" w:cs="宋体"/>
          <w:sz w:val="30"/>
          <w:szCs w:val="30"/>
        </w:rPr>
        <w:t>经济法制建设委员会、</w:t>
      </w:r>
      <w:r>
        <w:rPr>
          <w:rFonts w:hint="eastAsia" w:ascii="仿宋" w:hAnsi="仿宋" w:eastAsia="仿宋" w:cs="宋体"/>
          <w:color w:val="000000"/>
          <w:sz w:val="30"/>
          <w:szCs w:val="30"/>
        </w:rPr>
        <w:t>宣教文卫委员会</w:t>
      </w:r>
      <w:r>
        <w:rPr>
          <w:rFonts w:hint="eastAsia" w:ascii="仿宋_GB2312" w:eastAsia="仿宋_GB2312" w:cs="DengXian-Regular"/>
          <w:sz w:val="32"/>
          <w:szCs w:val="32"/>
        </w:rPr>
        <w:t>主要职责有：</w:t>
      </w:r>
    </w:p>
    <w:p w14:paraId="6D405821">
      <w:pPr>
        <w:widowControl w:val="0"/>
        <w:adjustRightInd/>
        <w:snapToGrid/>
        <w:spacing w:after="0" w:line="360" w:lineRule="auto"/>
        <w:ind w:firstLine="480"/>
        <w:jc w:val="both"/>
        <w:rPr>
          <w:rFonts w:ascii="仿宋" w:hAnsi="仿宋" w:eastAsia="仿宋" w:cs="Times New Roman"/>
          <w:kern w:val="2"/>
          <w:sz w:val="32"/>
          <w:szCs w:val="32"/>
        </w:rPr>
      </w:pPr>
      <w:r>
        <w:rPr>
          <w:rFonts w:hint="eastAsia" w:ascii="仿宋" w:hAnsi="仿宋" w:eastAsia="仿宋" w:cs="Times New Roman"/>
          <w:kern w:val="2"/>
          <w:sz w:val="32"/>
          <w:szCs w:val="32"/>
        </w:rPr>
        <w:t>（一）在本行政区域内,保证宪法、法律、行政法规和区政协全体会议及其常委会会议的遵守和执行；</w:t>
      </w:r>
    </w:p>
    <w:p w14:paraId="4D1B068A">
      <w:pPr>
        <w:widowControl w:val="0"/>
        <w:adjustRightInd/>
        <w:snapToGrid/>
        <w:spacing w:after="0" w:line="360" w:lineRule="auto"/>
        <w:ind w:firstLine="480"/>
        <w:jc w:val="both"/>
        <w:rPr>
          <w:rFonts w:ascii="仿宋" w:hAnsi="仿宋" w:eastAsia="仿宋" w:cs="Times New Roman"/>
          <w:kern w:val="2"/>
          <w:sz w:val="32"/>
          <w:szCs w:val="32"/>
        </w:rPr>
      </w:pPr>
      <w:r>
        <w:rPr>
          <w:rFonts w:hint="eastAsia" w:ascii="仿宋" w:hAnsi="仿宋" w:eastAsia="仿宋" w:cs="Times New Roman"/>
          <w:kern w:val="2"/>
          <w:sz w:val="32"/>
          <w:szCs w:val="32"/>
        </w:rPr>
        <w:t>（二）召集区政协委员全体会议；</w:t>
      </w:r>
    </w:p>
    <w:p w14:paraId="6ADE78CC">
      <w:pPr>
        <w:widowControl w:val="0"/>
        <w:adjustRightInd/>
        <w:snapToGrid/>
        <w:spacing w:after="0" w:line="360" w:lineRule="auto"/>
        <w:ind w:firstLine="480"/>
        <w:jc w:val="both"/>
        <w:rPr>
          <w:rFonts w:ascii="仿宋" w:hAnsi="仿宋" w:eastAsia="仿宋" w:cs="Times New Roman"/>
          <w:kern w:val="2"/>
          <w:sz w:val="32"/>
          <w:szCs w:val="32"/>
        </w:rPr>
      </w:pPr>
      <w:r>
        <w:rPr>
          <w:rFonts w:hint="eastAsia" w:ascii="仿宋" w:hAnsi="仿宋" w:eastAsia="仿宋" w:cs="Times New Roman"/>
          <w:kern w:val="2"/>
          <w:sz w:val="32"/>
          <w:szCs w:val="32"/>
        </w:rPr>
        <w:t>（三）视察、调研重大问题以及人民群众普遍关心的问题，开展调查研究，反映社情民意，进行协商讨论，以调研报告、建议案或其他形式，向区委、区政府提出意见和建议。</w:t>
      </w:r>
    </w:p>
    <w:p w14:paraId="40B40700">
      <w:pPr>
        <w:widowControl w:val="0"/>
        <w:adjustRightInd/>
        <w:snapToGrid/>
        <w:spacing w:after="0" w:line="360" w:lineRule="auto"/>
        <w:ind w:firstLine="480"/>
        <w:jc w:val="both"/>
        <w:rPr>
          <w:rFonts w:ascii="仿宋" w:hAnsi="仿宋" w:eastAsia="仿宋" w:cs="Times New Roman"/>
          <w:kern w:val="2"/>
          <w:sz w:val="32"/>
          <w:szCs w:val="32"/>
        </w:rPr>
      </w:pPr>
      <w:r>
        <w:rPr>
          <w:rFonts w:hint="eastAsia" w:ascii="仿宋" w:hAnsi="仿宋" w:eastAsia="仿宋" w:cs="Times New Roman"/>
          <w:kern w:val="2"/>
          <w:sz w:val="32"/>
          <w:szCs w:val="32"/>
        </w:rPr>
        <w:t>（四）有效履行民主监督职责，发挥好协调关系、汇聚力量、建言献策、服务大局的作用。通过意见、建议、批评的方式对区委、区政府重大方针政策的贯彻执行、区委和区政府的工作进行政治监督。</w:t>
      </w:r>
    </w:p>
    <w:p w14:paraId="6ABE5A18">
      <w:pPr>
        <w:widowControl w:val="0"/>
        <w:adjustRightInd/>
        <w:snapToGrid/>
        <w:spacing w:after="0" w:line="360" w:lineRule="auto"/>
        <w:ind w:firstLine="480"/>
        <w:jc w:val="both"/>
        <w:rPr>
          <w:rFonts w:ascii="仿宋" w:hAnsi="仿宋" w:eastAsia="仿宋" w:cs="Times New Roman"/>
          <w:kern w:val="2"/>
          <w:sz w:val="32"/>
          <w:szCs w:val="32"/>
        </w:rPr>
      </w:pPr>
      <w:r>
        <w:rPr>
          <w:rFonts w:hint="eastAsia" w:ascii="仿宋" w:hAnsi="仿宋" w:eastAsia="仿宋" w:cs="Times New Roman"/>
          <w:kern w:val="2"/>
          <w:sz w:val="32"/>
          <w:szCs w:val="32"/>
        </w:rPr>
        <w:t>（五）在区政协委员全体会议闭会期间，补选区政协委员全体会议出缺的委员和罢免个别委员；</w:t>
      </w:r>
    </w:p>
    <w:p w14:paraId="5EB6104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14FF944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181905A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中国人民政治协商会议保定市徐水区委员会办公室2019年部门整体支出绩效评价工作。</w:t>
      </w:r>
    </w:p>
    <w:p w14:paraId="772246F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部门整体支出绩效评价指标体系共设置4个一级指标、7个二级指标、27个三级指标，从投入、过程、产出、效果四个方面对中共保定市徐水区委组织部单位部门整体支出情况评分定级。指标体系设定满分为100分，绩效评价分值≥90为“优”；80≤分值＜90为“良”；60≤分值＜80为“合格”；60分以下为“差”。</w:t>
      </w:r>
    </w:p>
    <w:p w14:paraId="42E783D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中国人民政治协商会议保定市徐水区委员会办公室2019年部门整体支出综合评价得分为92分，评价等级为“优”。</w:t>
      </w:r>
    </w:p>
    <w:p w14:paraId="6D8C08E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中国人民政治协商会议保定市徐水区委员会办公室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B453FC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520171C5">
      <w:pPr>
        <w:ind w:firstLine="640"/>
        <w:rPr>
          <w:rFonts w:ascii="仿宋_GB2312" w:eastAsia="仿宋_GB2312" w:cs="DengXian-Regular"/>
          <w:sz w:val="32"/>
          <w:szCs w:val="32"/>
        </w:rPr>
      </w:pPr>
      <w:r>
        <w:rPr>
          <w:rFonts w:hint="eastAsia" w:ascii="仿宋_GB2312" w:eastAsia="仿宋_GB2312" w:cs="DengXian-Regular"/>
          <w:sz w:val="32"/>
          <w:szCs w:val="32"/>
        </w:rPr>
        <w:t>1.绩效指标方面</w:t>
      </w:r>
    </w:p>
    <w:p w14:paraId="78C8D67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预算文本—部门职责工作活动绩效目标表参政议政专题调研职责活动设置可评价、可衡量的绩效指标不详细，部门绩效目标未划分为具体的工作任务，不利于对绩效目标实际完成情况进行考核。</w:t>
      </w:r>
    </w:p>
    <w:p w14:paraId="51FA40CC">
      <w:pPr>
        <w:ind w:firstLine="640"/>
        <w:rPr>
          <w:rFonts w:ascii="仿宋_GB2312" w:eastAsia="仿宋_GB2312" w:cs="DengXian-Regular"/>
          <w:sz w:val="32"/>
          <w:szCs w:val="32"/>
        </w:rPr>
      </w:pPr>
      <w:r>
        <w:rPr>
          <w:rFonts w:hint="eastAsia" w:ascii="仿宋_GB2312" w:eastAsia="仿宋_GB2312" w:cs="DengXian-Regular"/>
          <w:sz w:val="32"/>
          <w:szCs w:val="32"/>
        </w:rPr>
        <w:t>2、预算决算比较</w:t>
      </w:r>
    </w:p>
    <w:p w14:paraId="63C5E6D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预算决算差额较大</w:t>
      </w:r>
    </w:p>
    <w:p w14:paraId="11CB4C3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中国人民政治协商会议保定市徐水区委员会办公室预算收入、支出年初预算数均为553.67万元，决算收入476.88万元，较预算减少76.79万元，减少比例</w:t>
      </w:r>
      <w:r>
        <w:rPr>
          <w:rFonts w:ascii="仿宋_GB2312" w:eastAsia="仿宋_GB2312" w:cs="DengXian-Regular"/>
          <w:sz w:val="32"/>
          <w:szCs w:val="32"/>
        </w:rPr>
        <w:t>1</w:t>
      </w:r>
      <w:r>
        <w:rPr>
          <w:rFonts w:hint="eastAsia" w:ascii="仿宋_GB2312" w:eastAsia="仿宋_GB2312" w:cs="DengXian-Regular"/>
          <w:sz w:val="32"/>
          <w:szCs w:val="32"/>
        </w:rPr>
        <w:t>3.87%；决算支出483.74万元，较预算减少69.93万元，减少比例</w:t>
      </w:r>
      <w:r>
        <w:rPr>
          <w:rFonts w:ascii="仿宋_GB2312" w:eastAsia="仿宋_GB2312" w:cs="DengXian-Regular"/>
          <w:sz w:val="32"/>
          <w:szCs w:val="32"/>
        </w:rPr>
        <w:t>1</w:t>
      </w:r>
      <w:r>
        <w:rPr>
          <w:rFonts w:hint="eastAsia" w:ascii="仿宋_GB2312" w:eastAsia="仿宋_GB2312" w:cs="DengXian-Regular"/>
          <w:sz w:val="32"/>
          <w:szCs w:val="32"/>
        </w:rPr>
        <w:t>2.63%。决算数较预算数减少的主要原因为年</w:t>
      </w:r>
      <w:r>
        <w:rPr>
          <w:rFonts w:hint="eastAsia" w:ascii="仿宋_GB2312" w:hAnsi="仿宋" w:eastAsia="仿宋_GB2312"/>
          <w:sz w:val="32"/>
          <w:szCs w:val="32"/>
        </w:rPr>
        <w:t>2019年厉行节约压缩开支</w:t>
      </w:r>
      <w:r>
        <w:rPr>
          <w:rFonts w:hint="eastAsia" w:ascii="仿宋_GB2312" w:eastAsia="仿宋_GB2312" w:cs="DengXian-Regular"/>
          <w:sz w:val="32"/>
          <w:szCs w:val="32"/>
        </w:rPr>
        <w:t>。</w:t>
      </w:r>
    </w:p>
    <w:p w14:paraId="17C4DC7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1877578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中国人民政治协商会议保定市徐水区委员会办公室2019年预算无追加调减。</w:t>
      </w:r>
    </w:p>
    <w:p w14:paraId="7C80812F">
      <w:pPr>
        <w:pStyle w:val="13"/>
        <w:numPr>
          <w:ilvl w:val="0"/>
          <w:numId w:val="1"/>
        </w:num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政府采购方面</w:t>
      </w:r>
    </w:p>
    <w:p w14:paraId="4281C27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未执行政府采购</w:t>
      </w:r>
    </w:p>
    <w:p w14:paraId="4CF0F75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中国人民政治协商会议保定市徐水区委员会办公室年初预算政府采购金额0万元，决算金额0万元，本年未执行政府采购</w:t>
      </w:r>
    </w:p>
    <w:p w14:paraId="15366D8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5、项目资金使用率方面</w:t>
      </w:r>
    </w:p>
    <w:p w14:paraId="5618030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项目资金使用率较低</w:t>
      </w:r>
    </w:p>
    <w:p w14:paraId="03D198B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中国人民政治协商会议保定市徐水区委员会办公室年项目资金预算63.52万元，项目资金实际支出55.47万元，支出率为87.33%，个别</w:t>
      </w:r>
      <w:r>
        <w:rPr>
          <w:rFonts w:ascii="仿宋_GB2312" w:eastAsia="仿宋_GB2312" w:cs="DengXian-Regular"/>
          <w:sz w:val="32"/>
          <w:szCs w:val="32"/>
        </w:rPr>
        <w:t>项目如</w:t>
      </w:r>
      <w:r>
        <w:rPr>
          <w:rFonts w:hint="eastAsia" w:ascii="仿宋_GB2312" w:eastAsia="仿宋_GB2312" w:cs="DengXian-Regular"/>
          <w:sz w:val="32"/>
          <w:szCs w:val="32"/>
        </w:rPr>
        <w:t>专题调研活动</w:t>
      </w:r>
      <w:r>
        <w:rPr>
          <w:rFonts w:ascii="仿宋_GB2312" w:eastAsia="仿宋_GB2312" w:cs="DengXian-Regular"/>
          <w:sz w:val="32"/>
          <w:szCs w:val="32"/>
        </w:rPr>
        <w:t>为</w:t>
      </w:r>
      <w:r>
        <w:rPr>
          <w:rFonts w:hint="eastAsia" w:ascii="仿宋_GB2312" w:eastAsia="仿宋_GB2312" w:cs="DengXian-Regular"/>
          <w:sz w:val="32"/>
          <w:szCs w:val="32"/>
        </w:rPr>
        <w:t>8万元</w:t>
      </w:r>
      <w:r>
        <w:rPr>
          <w:rFonts w:ascii="仿宋_GB2312" w:eastAsia="仿宋_GB2312" w:cs="DengXian-Regular"/>
          <w:sz w:val="32"/>
          <w:szCs w:val="32"/>
        </w:rPr>
        <w:t>，</w:t>
      </w:r>
      <w:r>
        <w:rPr>
          <w:rFonts w:hint="eastAsia" w:ascii="仿宋_GB2312" w:eastAsia="仿宋_GB2312" w:cs="DengXian-Regular"/>
          <w:sz w:val="32"/>
          <w:szCs w:val="32"/>
        </w:rPr>
        <w:t>实际</w:t>
      </w:r>
      <w:r>
        <w:rPr>
          <w:rFonts w:ascii="仿宋_GB2312" w:eastAsia="仿宋_GB2312" w:cs="DengXian-Regular"/>
          <w:sz w:val="32"/>
          <w:szCs w:val="32"/>
        </w:rPr>
        <w:t>支出</w:t>
      </w:r>
      <w:r>
        <w:rPr>
          <w:rFonts w:hint="eastAsia" w:ascii="仿宋_GB2312" w:eastAsia="仿宋_GB2312" w:cs="DengXian-Regular"/>
          <w:sz w:val="32"/>
          <w:szCs w:val="32"/>
        </w:rPr>
        <w:t>为1.3万元</w:t>
      </w:r>
      <w:r>
        <w:rPr>
          <w:rFonts w:ascii="仿宋_GB2312" w:eastAsia="仿宋_GB2312" w:cs="DengXian-Regular"/>
          <w:sz w:val="32"/>
          <w:szCs w:val="32"/>
        </w:rPr>
        <w:t>，</w:t>
      </w:r>
      <w:r>
        <w:rPr>
          <w:rFonts w:hint="eastAsia" w:ascii="仿宋_GB2312" w:eastAsia="仿宋_GB2312" w:cs="DengXian-Regular"/>
          <w:sz w:val="32"/>
          <w:szCs w:val="32"/>
        </w:rPr>
        <w:t>支出率较低，资金使用效率较差。</w:t>
      </w:r>
    </w:p>
    <w:p w14:paraId="0F72612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0053D29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部分基础数据信息不完整</w:t>
      </w:r>
    </w:p>
    <w:p w14:paraId="4AF6428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w:t>
      </w:r>
      <w:r>
        <w:rPr>
          <w:rFonts w:ascii="仿宋_GB2312" w:eastAsia="仿宋_GB2312" w:cs="DengXian-Regular"/>
          <w:sz w:val="32"/>
          <w:szCs w:val="32"/>
        </w:rPr>
        <w:t>缴纳的五险一金记账凭证</w:t>
      </w:r>
      <w:r>
        <w:rPr>
          <w:rFonts w:hint="eastAsia" w:ascii="仿宋_GB2312" w:eastAsia="仿宋_GB2312" w:cs="DengXian-Regular"/>
          <w:sz w:val="32"/>
          <w:szCs w:val="32"/>
        </w:rPr>
        <w:t>只保留了</w:t>
      </w:r>
      <w:r>
        <w:rPr>
          <w:rFonts w:ascii="仿宋_GB2312" w:eastAsia="仿宋_GB2312" w:cs="DengXian-Regular"/>
          <w:sz w:val="32"/>
          <w:szCs w:val="32"/>
        </w:rPr>
        <w:t>缴费票据，没有付个人明细</w:t>
      </w:r>
      <w:r>
        <w:rPr>
          <w:rFonts w:hint="eastAsia" w:ascii="仿宋_GB2312" w:eastAsia="仿宋_GB2312" w:cs="DengXian-Regular"/>
          <w:sz w:val="32"/>
          <w:szCs w:val="32"/>
        </w:rPr>
        <w:t>，部分基础数据信息缺乏完整性。</w:t>
      </w:r>
    </w:p>
    <w:p w14:paraId="031A27F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6E3095B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989E9B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2461054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00455CF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部门预算编制工作要全面反映和体现部门职责，根据具体情况及时调整预算的编制，缩小预算与决算差额，减少中期预算追加或调减，提高预算编制质量，发挥预算约束作用。</w:t>
      </w:r>
    </w:p>
    <w:p w14:paraId="263F19A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5E45A10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p>
    <w:p w14:paraId="2290996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FB29697">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39418F8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6397CEAD">
      <w:pPr>
        <w:spacing w:after="0" w:line="360" w:lineRule="auto"/>
        <w:ind w:firstLine="64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A909D8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0544C64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2019年基本支出决算数较预算数</w:t>
      </w:r>
      <w:r>
        <w:rPr>
          <w:rFonts w:hint="eastAsia" w:ascii="仿宋_GB2312" w:eastAsia="仿宋_GB2312" w:cs="DengXian-Regular"/>
          <w:sz w:val="32"/>
          <w:szCs w:val="32"/>
        </w:rPr>
        <w:t>较少</w:t>
      </w:r>
      <w:r>
        <w:rPr>
          <w:rFonts w:ascii="仿宋_GB2312" w:eastAsia="仿宋_GB2312" w:cs="DengXian-Regular"/>
          <w:sz w:val="32"/>
          <w:szCs w:val="32"/>
        </w:rPr>
        <w:t>比例较大，主要原因为</w:t>
      </w:r>
      <w:r>
        <w:rPr>
          <w:rFonts w:hint="eastAsia" w:ascii="仿宋_GB2312" w:eastAsia="仿宋_GB2312" w:cs="DengXian-Regular"/>
          <w:sz w:val="32"/>
          <w:szCs w:val="32"/>
        </w:rPr>
        <w:t>2018年</w:t>
      </w:r>
      <w:r>
        <w:rPr>
          <w:rFonts w:ascii="仿宋_GB2312" w:eastAsia="仿宋_GB2312" w:cs="DengXian-Regular"/>
          <w:sz w:val="32"/>
          <w:szCs w:val="32"/>
        </w:rPr>
        <w:t>作为基本支出的项目在</w:t>
      </w:r>
      <w:r>
        <w:rPr>
          <w:rFonts w:hint="eastAsia" w:ascii="仿宋_GB2312" w:eastAsia="仿宋_GB2312" w:cs="DengXian-Regular"/>
          <w:sz w:val="32"/>
          <w:szCs w:val="32"/>
        </w:rPr>
        <w:t>2019年</w:t>
      </w:r>
      <w:r>
        <w:rPr>
          <w:rFonts w:ascii="仿宋_GB2312" w:eastAsia="仿宋_GB2312" w:cs="DengXian-Regular"/>
          <w:sz w:val="32"/>
          <w:szCs w:val="32"/>
        </w:rPr>
        <w:t>纳入了项目支出</w:t>
      </w:r>
      <w:r>
        <w:rPr>
          <w:rFonts w:hint="eastAsia" w:ascii="仿宋_GB2312" w:eastAsia="仿宋_GB2312" w:cs="DengXian-Regular"/>
          <w:sz w:val="32"/>
          <w:szCs w:val="32"/>
        </w:rPr>
        <w:t>致使2019年基本</w:t>
      </w:r>
      <w:r>
        <w:rPr>
          <w:rFonts w:ascii="仿宋_GB2312" w:eastAsia="仿宋_GB2312" w:cs="DengXian-Regular"/>
          <w:sz w:val="32"/>
          <w:szCs w:val="32"/>
        </w:rPr>
        <w:t>支出减少，建议2020年预算根据</w:t>
      </w:r>
      <w:r>
        <w:rPr>
          <w:rFonts w:hint="eastAsia" w:ascii="仿宋_GB2312" w:eastAsia="仿宋_GB2312" w:cs="DengXian-Regular"/>
          <w:sz w:val="32"/>
          <w:szCs w:val="32"/>
        </w:rPr>
        <w:t>2019年支出</w:t>
      </w:r>
      <w:r>
        <w:rPr>
          <w:rFonts w:ascii="仿宋_GB2312" w:eastAsia="仿宋_GB2312" w:cs="DengXian-Regular"/>
          <w:sz w:val="32"/>
          <w:szCs w:val="32"/>
        </w:rPr>
        <w:t>类型编制，该纳入项目的经费不再</w:t>
      </w:r>
      <w:r>
        <w:rPr>
          <w:rFonts w:hint="eastAsia" w:ascii="仿宋_GB2312" w:eastAsia="仿宋_GB2312" w:cs="DengXian-Regular"/>
          <w:sz w:val="32"/>
          <w:szCs w:val="32"/>
        </w:rPr>
        <w:t>列入</w:t>
      </w:r>
      <w:r>
        <w:rPr>
          <w:rFonts w:ascii="仿宋_GB2312" w:eastAsia="仿宋_GB2312" w:cs="DengXian-Regular"/>
          <w:sz w:val="32"/>
          <w:szCs w:val="32"/>
        </w:rPr>
        <w:t>基本支出。</w:t>
      </w:r>
    </w:p>
    <w:p w14:paraId="7EE5807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2019年</w:t>
      </w:r>
      <w:r>
        <w:rPr>
          <w:rFonts w:hint="eastAsia" w:ascii="仿宋_GB2312" w:eastAsia="仿宋_GB2312" w:cs="DengXian-Regular"/>
          <w:sz w:val="32"/>
          <w:szCs w:val="32"/>
        </w:rPr>
        <w:t>个别</w:t>
      </w:r>
      <w:r>
        <w:rPr>
          <w:rFonts w:ascii="仿宋_GB2312" w:eastAsia="仿宋_GB2312" w:cs="DengXian-Regular"/>
          <w:sz w:val="32"/>
          <w:szCs w:val="32"/>
        </w:rPr>
        <w:t>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2020年预算不增加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0AC9FA6E">
      <w:pPr>
        <w:pStyle w:val="3"/>
        <w:spacing w:line="540" w:lineRule="exact"/>
        <w:ind w:firstLine="640"/>
        <w:jc w:val="center"/>
        <w:rPr>
          <w:rFonts w:ascii="黑体" w:hAnsi="黑体"/>
          <w:b w:val="0"/>
        </w:rPr>
      </w:pPr>
      <w:bookmarkStart w:id="1" w:name="_Toc57553852"/>
      <w:r>
        <w:rPr>
          <w:rFonts w:hint="eastAsia" w:ascii="黑体" w:hAnsi="黑体"/>
          <w:b w:val="0"/>
        </w:rPr>
        <w:t>第二部分   绩效评价报告</w:t>
      </w:r>
      <w:bookmarkEnd w:id="1"/>
    </w:p>
    <w:p w14:paraId="3B96CA89">
      <w:pPr>
        <w:pStyle w:val="3"/>
        <w:spacing w:before="0" w:after="0" w:line="360" w:lineRule="auto"/>
        <w:ind w:firstLine="643"/>
        <w:rPr>
          <w:rFonts w:ascii="楷体" w:hAnsi="楷体" w:eastAsia="楷体" w:cs="楷体"/>
        </w:rPr>
      </w:pPr>
      <w:bookmarkStart w:id="2" w:name="_Toc57553853"/>
      <w:bookmarkStart w:id="3" w:name="_Toc492652763"/>
      <w:r>
        <w:rPr>
          <w:rFonts w:hint="eastAsia" w:ascii="楷体" w:hAnsi="楷体" w:eastAsia="楷体" w:cs="楷体"/>
        </w:rPr>
        <w:t>一、</w:t>
      </w:r>
      <w:r>
        <w:rPr>
          <w:rFonts w:hint="eastAsia" w:ascii="仿宋_GB2312" w:eastAsia="仿宋_GB2312" w:cs="DengXian-Regular"/>
        </w:rPr>
        <w:t>中国人民政治协商会议保定市徐水区委员会</w:t>
      </w:r>
      <w:r>
        <w:rPr>
          <w:rFonts w:hint="eastAsia" w:ascii="楷体" w:hAnsi="楷体" w:eastAsia="楷体" w:cs="楷体"/>
        </w:rPr>
        <w:t>基本情况</w:t>
      </w:r>
      <w:bookmarkEnd w:id="2"/>
      <w:bookmarkEnd w:id="3"/>
      <w:bookmarkStart w:id="4" w:name="_Toc492652764"/>
    </w:p>
    <w:p w14:paraId="58E9027E">
      <w:pPr>
        <w:pStyle w:val="4"/>
        <w:spacing w:before="0" w:after="0"/>
        <w:ind w:firstLine="643"/>
        <w:jc w:val="both"/>
        <w:rPr>
          <w:rFonts w:ascii="仿宋_GB2312" w:hAnsi="Tahoma" w:cs="DengXian-Regular"/>
          <w:sz w:val="32"/>
        </w:rPr>
      </w:pPr>
      <w:bookmarkStart w:id="5" w:name="_Toc57553854"/>
      <w:r>
        <w:rPr>
          <w:rFonts w:hint="eastAsia" w:ascii="仿宋_GB2312" w:hAnsi="Tahoma" w:cs="DengXian-Regular"/>
          <w:sz w:val="32"/>
        </w:rPr>
        <w:t>（一）部门职责和工作活动</w:t>
      </w:r>
      <w:bookmarkEnd w:id="4"/>
      <w:bookmarkEnd w:id="5"/>
    </w:p>
    <w:p w14:paraId="40203B6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中国人民政治协商会议保定市徐水区委员会职能配置内设机构和人员编制规定》的通知，中国人民政治协商会议保定市徐水区委员会部门，正处级单位，下设3个股室政协根据绩效预算管理改革的相关要求，按照“部门职责—工作活动绩效目标”的层级设立了绩效预算架构，职责活动包括政治协商、民主监督、参政议政、</w:t>
      </w:r>
      <w:r>
        <w:rPr>
          <w:rFonts w:ascii="仿宋_GB2312" w:eastAsia="仿宋_GB2312" w:cs="DengXian-Regular"/>
          <w:sz w:val="32"/>
          <w:szCs w:val="32"/>
        </w:rPr>
        <w:t>综合事务管理</w:t>
      </w:r>
      <w:r>
        <w:rPr>
          <w:rFonts w:hint="eastAsia" w:ascii="仿宋_GB2312" w:eastAsia="仿宋_GB2312" w:cs="DengXian-Regular"/>
          <w:sz w:val="32"/>
          <w:szCs w:val="32"/>
        </w:rPr>
        <w:t>共4部分。</w:t>
      </w:r>
      <w:bookmarkStart w:id="6" w:name="_Toc465149499"/>
      <w:bookmarkStart w:id="7" w:name="_Toc492652765"/>
    </w:p>
    <w:p w14:paraId="29F09FE1">
      <w:pPr>
        <w:pStyle w:val="4"/>
        <w:spacing w:before="0" w:after="0"/>
        <w:ind w:firstLine="643"/>
        <w:jc w:val="both"/>
        <w:rPr>
          <w:rFonts w:ascii="仿宋_GB2312" w:hAnsi="Tahoma" w:cs="DengXian-Regular"/>
          <w:sz w:val="32"/>
        </w:rPr>
      </w:pPr>
      <w:bookmarkStart w:id="8" w:name="_Toc5755385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03825C5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按照2019年绩效预算编制要求，政协设置的年度发展规划总体目标为：</w:t>
      </w:r>
    </w:p>
    <w:p w14:paraId="27F7F9C0">
      <w:pPr>
        <w:widowControl w:val="0"/>
        <w:adjustRightInd/>
        <w:snapToGrid/>
        <w:spacing w:after="0" w:line="500" w:lineRule="exact"/>
        <w:ind w:firstLine="560"/>
        <w:jc w:val="both"/>
        <w:rPr>
          <w:rFonts w:ascii="仿宋" w:hAnsi="仿宋" w:eastAsia="仿宋" w:cs="Times New Roman"/>
          <w:kern w:val="2"/>
          <w:sz w:val="32"/>
        </w:rPr>
      </w:pPr>
      <w:r>
        <w:rPr>
          <w:rFonts w:ascii="仿宋" w:hAnsi="仿宋" w:eastAsia="仿宋" w:cs="Times New Roman"/>
          <w:kern w:val="2"/>
          <w:sz w:val="32"/>
        </w:rPr>
        <w:t>2019</w:t>
      </w:r>
      <w:r>
        <w:rPr>
          <w:rFonts w:hint="eastAsia" w:ascii="仿宋" w:hAnsi="仿宋" w:eastAsia="仿宋" w:cs="Times New Roman"/>
          <w:kern w:val="2"/>
          <w:sz w:val="32"/>
        </w:rPr>
        <w:t>年在区委和区政府有关部门密切配合下对重大问题以及人民群众普遍关心的问题，开展调查研究，反映社情民意，进行协商讨论以调研报告、建议案或其他形式，向区委、区政府提出意见和建议。按照政策要求召开全体会议、常委</w:t>
      </w:r>
      <w:r>
        <w:rPr>
          <w:rFonts w:hint="eastAsia" w:ascii="仿宋" w:hAnsi="仿宋" w:eastAsia="仿宋" w:cs="Times New Roman"/>
          <w:kern w:val="2"/>
          <w:sz w:val="32"/>
          <w:lang w:val="en-US" w:eastAsia="zh-CN"/>
        </w:rPr>
        <w:t>会</w:t>
      </w:r>
      <w:r>
        <w:rPr>
          <w:rFonts w:hint="eastAsia" w:ascii="仿宋" w:hAnsi="仿宋" w:eastAsia="仿宋" w:cs="Times New Roman"/>
          <w:kern w:val="2"/>
          <w:sz w:val="32"/>
        </w:rPr>
        <w:t>会议、各专委会会议。</w:t>
      </w:r>
    </w:p>
    <w:p w14:paraId="1DBE0AC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35A4E0B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1.政治协商。</w:t>
      </w:r>
    </w:p>
    <w:p w14:paraId="50A23C1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2.参政议政。</w:t>
      </w:r>
    </w:p>
    <w:p w14:paraId="6DA9E24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3.民主监督。</w:t>
      </w:r>
      <w:bookmarkStart w:id="9" w:name="_Toc465149500"/>
      <w:bookmarkStart w:id="10" w:name="_Toc492652766"/>
    </w:p>
    <w:p w14:paraId="139C67F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4.政协事务管理</w:t>
      </w:r>
    </w:p>
    <w:p w14:paraId="547F2EA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p>
    <w:p w14:paraId="42022E2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2019年中国人民政治协商会议保定市徐水区委员会预算收入553.67万元，均为一般公共预算拨款，其中：财政拨款553.67万元，中央财政提前通知转移支付0万元。预算收入按功能分类包含：一般</w:t>
      </w:r>
      <w:r>
        <w:rPr>
          <w:rFonts w:ascii="仿宋_GB2312" w:eastAsia="仿宋_GB2312" w:cs="DengXian-Regular"/>
          <w:sz w:val="32"/>
          <w:szCs w:val="32"/>
        </w:rPr>
        <w:t>公共服务</w:t>
      </w:r>
      <w:r>
        <w:rPr>
          <w:rFonts w:hint="eastAsia" w:ascii="仿宋_GB2312" w:eastAsia="仿宋_GB2312" w:cs="DengXian-Regular"/>
          <w:sz w:val="32"/>
          <w:szCs w:val="32"/>
        </w:rPr>
        <w:t>支出445.88万元，社会保障和就业支出70.36万元，卫生健康支出20.39万元，住房保障支出17.04万元。具体预算收入详见附件2。</w:t>
      </w:r>
    </w:p>
    <w:p w14:paraId="10CBFCF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2019年中国人民政治协商会议保定市徐水区委员会决算收入476.80万元，其中：财政拨款收入476.78万元，其他收入</w:t>
      </w:r>
      <w:r>
        <w:rPr>
          <w:rFonts w:ascii="仿宋_GB2312" w:eastAsia="仿宋_GB2312" w:cs="DengXian-Regular"/>
          <w:sz w:val="32"/>
          <w:szCs w:val="32"/>
        </w:rPr>
        <w:t>0.0</w:t>
      </w:r>
      <w:r>
        <w:rPr>
          <w:rFonts w:hint="eastAsia" w:ascii="仿宋_GB2312" w:eastAsia="仿宋_GB2312" w:cs="DengXian-Regular"/>
          <w:sz w:val="32"/>
          <w:szCs w:val="32"/>
        </w:rPr>
        <w:t>2万元（全部为利息收入）。决算收入按功能分类包含：一般公共</w:t>
      </w:r>
      <w:r>
        <w:rPr>
          <w:rFonts w:ascii="仿宋_GB2312" w:eastAsia="仿宋_GB2312" w:cs="DengXian-Regular"/>
          <w:sz w:val="32"/>
          <w:szCs w:val="32"/>
        </w:rPr>
        <w:t>服务支出</w:t>
      </w:r>
      <w:r>
        <w:rPr>
          <w:rFonts w:hint="eastAsia" w:ascii="仿宋_GB2312" w:eastAsia="仿宋_GB2312" w:cs="DengXian-Regular"/>
          <w:sz w:val="32"/>
          <w:szCs w:val="32"/>
        </w:rPr>
        <w:t>304.77万元，占比63.92%；社会保障和就业支出150.89万元，占比31.65%；卫生健康支出</w:t>
      </w:r>
      <w:r>
        <w:rPr>
          <w:rFonts w:ascii="仿宋_GB2312" w:eastAsia="仿宋_GB2312" w:cs="DengXian-Regular"/>
          <w:sz w:val="32"/>
          <w:szCs w:val="32"/>
        </w:rPr>
        <w:t>8.</w:t>
      </w:r>
      <w:r>
        <w:rPr>
          <w:rFonts w:hint="eastAsia" w:ascii="仿宋_GB2312" w:eastAsia="仿宋_GB2312" w:cs="DengXian-Regular"/>
          <w:sz w:val="32"/>
          <w:szCs w:val="32"/>
        </w:rPr>
        <w:t>28万元，占比1.74%；住房保障支出</w:t>
      </w:r>
      <w:r>
        <w:rPr>
          <w:rFonts w:ascii="仿宋_GB2312" w:eastAsia="仿宋_GB2312" w:cs="DengXian-Regular"/>
          <w:sz w:val="32"/>
          <w:szCs w:val="32"/>
        </w:rPr>
        <w:t>16.</w:t>
      </w:r>
      <w:r>
        <w:rPr>
          <w:rFonts w:hint="eastAsia" w:ascii="仿宋_GB2312" w:eastAsia="仿宋_GB2312" w:cs="DengXian-Regular"/>
          <w:sz w:val="32"/>
          <w:szCs w:val="32"/>
        </w:rPr>
        <w:t>1万元，占比3.38%。具体决算收入详见附件2。</w:t>
      </w:r>
    </w:p>
    <w:p w14:paraId="52D1A982">
      <w:pPr>
        <w:spacing w:after="0" w:line="360" w:lineRule="auto"/>
        <w:ind w:firstLine="640"/>
        <w:jc w:val="both"/>
        <w:rPr>
          <w:rFonts w:ascii="仿宋_GB2312" w:eastAsia="仿宋_GB2312" w:cs="Times New Roman" w:hAnsiTheme="minorEastAsia"/>
          <w:bCs/>
          <w:sz w:val="32"/>
          <w:szCs w:val="32"/>
          <w:u w:color="000000"/>
        </w:rPr>
      </w:pPr>
      <w:r>
        <w:rPr>
          <w:rFonts w:hint="eastAsia" w:ascii="仿宋_GB2312" w:eastAsia="仿宋_GB2312" w:cs="DengXian-Regular"/>
          <w:sz w:val="32"/>
          <w:szCs w:val="32"/>
        </w:rPr>
        <w:t>中国人民政治协商会议保定市徐水区委员会一般公共预算财政拨款决算收入比年初预算减少76.89万元，完成年初预算的</w:t>
      </w:r>
      <w:r>
        <w:rPr>
          <w:rFonts w:ascii="仿宋_GB2312" w:eastAsia="仿宋_GB2312" w:cs="DengXian-Regular"/>
          <w:sz w:val="32"/>
          <w:szCs w:val="32"/>
        </w:rPr>
        <w:t>8</w:t>
      </w:r>
      <w:r>
        <w:rPr>
          <w:rFonts w:hint="eastAsia" w:ascii="仿宋_GB2312" w:eastAsia="仿宋_GB2312" w:cs="DengXian-Regular"/>
          <w:sz w:val="32"/>
          <w:szCs w:val="32"/>
        </w:rPr>
        <w:t>6.11%。决算收入小于预算收入的主要原因为</w:t>
      </w:r>
      <w:r>
        <w:rPr>
          <w:rFonts w:hint="eastAsia" w:ascii="仿宋_GB2312" w:hAnsi="Times New Roman" w:eastAsia="仿宋_GB2312" w:cs="DengXian-Regular"/>
          <w:kern w:val="2"/>
          <w:sz w:val="32"/>
          <w:szCs w:val="32"/>
        </w:rPr>
        <w:t>认真贯彻落实中央八项规定精神和厉行节约要求，从严控制“三公”经费开支，全年实际支出比预算有所节约</w:t>
      </w:r>
      <w:r>
        <w:rPr>
          <w:rFonts w:hint="eastAsia" w:ascii="仿宋_GB2312" w:eastAsia="仿宋_GB2312" w:cs="DengXian-Regular"/>
          <w:sz w:val="32"/>
          <w:szCs w:val="32"/>
        </w:rPr>
        <w:t>。</w:t>
      </w:r>
    </w:p>
    <w:p w14:paraId="0131D306">
      <w:pPr>
        <w:pStyle w:val="4"/>
        <w:spacing w:before="0" w:after="0"/>
        <w:ind w:firstLine="643"/>
        <w:jc w:val="both"/>
        <w:rPr>
          <w:rFonts w:ascii="仿宋_GB2312" w:hAnsiTheme="minorEastAsia"/>
          <w:sz w:val="32"/>
        </w:rPr>
      </w:pPr>
      <w:bookmarkStart w:id="11" w:name="_Toc57553856"/>
      <w:r>
        <w:rPr>
          <w:rFonts w:hint="eastAsia" w:ascii="仿宋_GB2312" w:hAnsiTheme="minorEastAsia"/>
          <w:sz w:val="32"/>
        </w:rPr>
        <w:t>（四）预算支出及决算</w:t>
      </w:r>
      <w:bookmarkEnd w:id="9"/>
      <w:bookmarkEnd w:id="10"/>
      <w:r>
        <w:rPr>
          <w:rFonts w:hint="eastAsia" w:ascii="仿宋_GB2312" w:hAnsiTheme="minorEastAsia"/>
          <w:sz w:val="32"/>
        </w:rPr>
        <w:t>支出</w:t>
      </w:r>
      <w:bookmarkEnd w:id="11"/>
    </w:p>
    <w:p w14:paraId="2D280A9C">
      <w:pPr>
        <w:spacing w:after="0" w:line="360" w:lineRule="auto"/>
        <w:ind w:firstLine="64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2019年度中国人民政治协商会议保定市徐水区委员会</w:t>
      </w:r>
      <w:r>
        <w:rPr>
          <w:rFonts w:hint="eastAsia" w:ascii="仿宋_GB2312" w:eastAsia="仿宋_GB2312" w:cs="Times New Roman" w:hAnsiTheme="minorEastAsia"/>
          <w:sz w:val="32"/>
          <w:szCs w:val="32"/>
          <w:u w:color="000000"/>
        </w:rPr>
        <w:t>预算支出安排553.67万元，其中：基本支出490.15万元，项目支出63.52万元。预算支出按功能分类包含：一般公共</w:t>
      </w:r>
      <w:r>
        <w:rPr>
          <w:rFonts w:ascii="仿宋_GB2312" w:eastAsia="仿宋_GB2312" w:cs="Times New Roman" w:hAnsiTheme="minorEastAsia"/>
          <w:sz w:val="32"/>
          <w:szCs w:val="32"/>
          <w:u w:color="000000"/>
        </w:rPr>
        <w:t>服务</w:t>
      </w:r>
      <w:r>
        <w:rPr>
          <w:rFonts w:hint="eastAsia" w:ascii="仿宋_GB2312" w:eastAsia="仿宋_GB2312" w:cs="Times New Roman" w:hAnsiTheme="minorEastAsia"/>
          <w:sz w:val="32"/>
          <w:szCs w:val="32"/>
          <w:u w:color="000000"/>
        </w:rPr>
        <w:t>支出445.88万元，社会保障和就业支出</w:t>
      </w:r>
      <w:r>
        <w:rPr>
          <w:rFonts w:ascii="仿宋_GB2312" w:eastAsia="仿宋_GB2312" w:cs="Times New Roman" w:hAnsiTheme="minorEastAsia"/>
          <w:sz w:val="32"/>
          <w:szCs w:val="32"/>
          <w:u w:color="000000"/>
        </w:rPr>
        <w:t>7</w:t>
      </w:r>
      <w:r>
        <w:rPr>
          <w:rFonts w:hint="eastAsia" w:ascii="仿宋_GB2312" w:eastAsia="仿宋_GB2312" w:cs="Times New Roman" w:hAnsiTheme="minorEastAsia"/>
          <w:sz w:val="32"/>
          <w:szCs w:val="32"/>
          <w:u w:color="000000"/>
        </w:rPr>
        <w:t>0</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36万元，卫生健康支出20.39万元，住房保障支出</w:t>
      </w:r>
      <w:r>
        <w:rPr>
          <w:rFonts w:ascii="仿宋_GB2312" w:eastAsia="仿宋_GB2312" w:cs="Times New Roman" w:hAnsiTheme="minorEastAsia"/>
          <w:sz w:val="32"/>
          <w:szCs w:val="32"/>
          <w:u w:color="000000"/>
        </w:rPr>
        <w:t>17.</w:t>
      </w:r>
      <w:r>
        <w:rPr>
          <w:rFonts w:hint="eastAsia" w:ascii="仿宋_GB2312" w:eastAsia="仿宋_GB2312" w:cs="Times New Roman" w:hAnsiTheme="minorEastAsia"/>
          <w:sz w:val="32"/>
          <w:szCs w:val="32"/>
          <w:u w:color="000000"/>
        </w:rPr>
        <w:t>0</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万元。具体预算支出详见附件2。</w:t>
      </w:r>
    </w:p>
    <w:p w14:paraId="054F1D5D">
      <w:pPr>
        <w:spacing w:after="0" w:line="360" w:lineRule="auto"/>
        <w:ind w:firstLine="64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2019年度中国人民政治协商会议保定市徐水区委员会</w:t>
      </w:r>
      <w:r>
        <w:rPr>
          <w:rFonts w:hint="eastAsia" w:ascii="仿宋_GB2312" w:eastAsia="仿宋_GB2312" w:cs="Times New Roman" w:hAnsiTheme="minorEastAsia"/>
          <w:sz w:val="32"/>
          <w:szCs w:val="32"/>
          <w:u w:color="000000"/>
        </w:rPr>
        <w:t>决算支出为480.05万元，其中：基本支出424.59万元，项目支出55.47万元。决算支出按功能分类包含：一般公共服务支出308.43万元，占比64.25%；社会保障和就业支出150.9万元，占比31.43%；卫生健康支出8.28万元，占比1.7%；农林水</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0万元</w:t>
      </w:r>
      <w:r>
        <w:rPr>
          <w:rFonts w:ascii="仿宋_GB2312" w:eastAsia="仿宋_GB2312" w:cs="Times New Roman" w:hAnsiTheme="minorEastAsia"/>
          <w:sz w:val="32"/>
          <w:szCs w:val="32"/>
          <w:u w:color="000000"/>
        </w:rPr>
        <w:t>，占比</w:t>
      </w:r>
      <w:r>
        <w:rPr>
          <w:rFonts w:hint="eastAsia" w:ascii="仿宋_GB2312" w:eastAsia="仿宋_GB2312" w:cs="Times New Roman" w:hAnsiTheme="minorEastAsia"/>
          <w:sz w:val="32"/>
          <w:szCs w:val="32"/>
          <w:u w:color="000000"/>
        </w:rPr>
        <w:t>0</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16.</w:t>
      </w:r>
      <w:r>
        <w:rPr>
          <w:rFonts w:hint="eastAsia" w:ascii="仿宋_GB2312" w:eastAsia="仿宋_GB2312" w:cs="Times New Roman" w:hAnsiTheme="minorEastAsia"/>
          <w:sz w:val="32"/>
          <w:szCs w:val="32"/>
          <w:u w:color="000000"/>
        </w:rPr>
        <w:t>1万元，占比3.35%。具体决算支出详见附件2。</w:t>
      </w:r>
    </w:p>
    <w:p w14:paraId="64792EFB">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财政拨款决算支出比年初预算减少76.89万元。决算支出完成年初预算的</w:t>
      </w:r>
      <w:r>
        <w:rPr>
          <w:rFonts w:ascii="仿宋_GB2312" w:eastAsia="仿宋_GB2312" w:cs="DengXian-Regular"/>
          <w:sz w:val="32"/>
          <w:szCs w:val="32"/>
        </w:rPr>
        <w:t>8</w:t>
      </w:r>
      <w:r>
        <w:rPr>
          <w:rFonts w:hint="eastAsia" w:ascii="仿宋_GB2312" w:eastAsia="仿宋_GB2312" w:cs="DengXian-Regular"/>
          <w:sz w:val="32"/>
          <w:szCs w:val="32"/>
        </w:rPr>
        <w:t>6.11%。</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主要原因为2019年度</w:t>
      </w:r>
      <w:r>
        <w:rPr>
          <w:rFonts w:hint="eastAsia" w:ascii="仿宋_GB2312" w:hAnsi="Times New Roman" w:eastAsia="仿宋_GB2312" w:cs="DengXian-Regular"/>
          <w:kern w:val="2"/>
          <w:sz w:val="32"/>
          <w:szCs w:val="32"/>
        </w:rPr>
        <w:t>是认真贯彻落实中央八项规定精神和厉行节约要求，从严控制“三公”经费开支，全年实际支出比预算有所节约</w:t>
      </w:r>
      <w:r>
        <w:rPr>
          <w:rFonts w:hint="eastAsia" w:ascii="仿宋" w:hAnsi="仿宋" w:eastAsia="仿宋"/>
          <w:snapToGrid w:val="0"/>
          <w:sz w:val="32"/>
          <w:szCs w:val="32"/>
        </w:rPr>
        <w:t>。</w:t>
      </w:r>
    </w:p>
    <w:p w14:paraId="53C5ED97">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中国人民政治协商会议保定市徐水区委员会办公室2019年实际项目支出55.47万元，决算报表中项目支出55.47万元，实际支出与决算报表差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6921FD56">
      <w:pPr>
        <w:pStyle w:val="4"/>
        <w:spacing w:before="0" w:after="0"/>
        <w:ind w:firstLine="643"/>
        <w:jc w:val="both"/>
        <w:rPr>
          <w:rFonts w:ascii="仿宋_GB2312" w:hAnsi="Tahoma" w:cs="DengXian-Regular"/>
          <w:sz w:val="32"/>
        </w:rPr>
      </w:pPr>
      <w:bookmarkStart w:id="12" w:name="_Toc57553857"/>
      <w:bookmarkStart w:id="13" w:name="_Toc465149503"/>
      <w:bookmarkStart w:id="14" w:name="_Toc492652769"/>
      <w:r>
        <w:rPr>
          <w:rFonts w:hint="eastAsia" w:ascii="仿宋_GB2312" w:hAnsi="Tahoma" w:cs="DengXian-Regular"/>
          <w:sz w:val="32"/>
        </w:rPr>
        <w:t>（五）“三公”经费预算安排及支出情况</w:t>
      </w:r>
      <w:bookmarkEnd w:id="12"/>
      <w:bookmarkEnd w:id="13"/>
      <w:bookmarkEnd w:id="14"/>
    </w:p>
    <w:p w14:paraId="44A6B917">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2019年中国人民政治协商会议保定市徐水区委员会办公室“三公”经费预算16万元（公务用车运行维护费16万元，公务接待费2万元），实际支出5.57万元（公务用车运行维护费</w:t>
      </w:r>
      <w:r>
        <w:rPr>
          <w:rFonts w:ascii="仿宋_GB2312" w:eastAsia="仿宋_GB2312" w:cs="DengXian-Regular"/>
          <w:sz w:val="32"/>
          <w:szCs w:val="32"/>
        </w:rPr>
        <w:t>5.</w:t>
      </w:r>
      <w:r>
        <w:rPr>
          <w:rFonts w:hint="eastAsia" w:ascii="仿宋_GB2312" w:eastAsia="仿宋_GB2312" w:cs="DengXian-Regular"/>
          <w:sz w:val="32"/>
          <w:szCs w:val="32"/>
        </w:rPr>
        <w:t>24万元，公务接待费0.33万元），比预算减少</w:t>
      </w:r>
      <w:r>
        <w:rPr>
          <w:rFonts w:ascii="仿宋_GB2312" w:eastAsia="仿宋_GB2312" w:cs="DengXian-Regular"/>
          <w:sz w:val="32"/>
          <w:szCs w:val="32"/>
        </w:rPr>
        <w:t>1</w:t>
      </w:r>
      <w:r>
        <w:rPr>
          <w:rFonts w:hint="eastAsia" w:ascii="仿宋_GB2312" w:eastAsia="仿宋_GB2312" w:cs="DengXian-Regular"/>
          <w:sz w:val="32"/>
          <w:szCs w:val="32"/>
        </w:rPr>
        <w:t>2.43万元，节约率69.05%。2019年“三公”经费预算数与2018年预算数相比无变化，决算数与2018年实际支出相比，减少</w:t>
      </w:r>
      <w:r>
        <w:rPr>
          <w:rFonts w:ascii="仿宋_GB2312" w:eastAsia="仿宋_GB2312" w:cs="DengXian-Regular"/>
          <w:sz w:val="32"/>
          <w:szCs w:val="32"/>
        </w:rPr>
        <w:t>7.18</w:t>
      </w:r>
      <w:r>
        <w:rPr>
          <w:rFonts w:hint="eastAsia" w:ascii="仿宋_GB2312" w:eastAsia="仿宋_GB2312" w:cs="DengXian-Regular"/>
          <w:sz w:val="32"/>
          <w:szCs w:val="32"/>
        </w:rPr>
        <w:t>万元。具体详见表1。</w:t>
      </w:r>
    </w:p>
    <w:p w14:paraId="63A677D4">
      <w:pPr>
        <w:spacing w:after="0" w:line="360" w:lineRule="auto"/>
        <w:ind w:firstLine="643"/>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中国人民政治协商会议保定市徐水区委员会办公室</w:t>
      </w:r>
      <w:r>
        <w:rPr>
          <w:rFonts w:hint="eastAsia" w:asciiTheme="minorEastAsia" w:hAnsiTheme="minorEastAsia" w:eastAsiaTheme="minorEastAsia" w:cstheme="minorEastAsia"/>
          <w:b/>
          <w:bCs/>
          <w:sz w:val="32"/>
          <w:szCs w:val="32"/>
        </w:rPr>
        <w:t>“三公”经费预算及决算明细表</w:t>
      </w:r>
    </w:p>
    <w:p w14:paraId="02F232E2">
      <w:pPr>
        <w:spacing w:after="0" w:line="540" w:lineRule="exact"/>
        <w:ind w:firstLine="42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单位：万元</w:t>
      </w:r>
    </w:p>
    <w:tbl>
      <w:tblPr>
        <w:tblStyle w:val="9"/>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47BDC9F">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CCE18">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660B36">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8689F9">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6E586F2">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AAE6">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CEF6E7A">
        <w:tblPrEx>
          <w:tblCellMar>
            <w:top w:w="0" w:type="dxa"/>
            <w:left w:w="0" w:type="dxa"/>
            <w:bottom w:w="0" w:type="dxa"/>
            <w:right w:w="0" w:type="dxa"/>
          </w:tblCellMar>
        </w:tblPrEx>
        <w:trPr>
          <w:trHeight w:val="454" w:hRule="atLeast"/>
        </w:trPr>
        <w:tc>
          <w:tcPr>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cPr>
          <w:p w14:paraId="0C5ECA99"/>
        </w:tc>
        <w:tc>
          <w:tcPr>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A330003"/>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612054">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6C6762">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4B02FB">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40E1BC5">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7B6D52">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EF1813">
            <w:pPr>
              <w:spacing w:after="0"/>
              <w:ind w:firstLine="422"/>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26B9D00E">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3C45">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5173026">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4B91">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4E95">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1988">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6E704B">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A031B1">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6F1B5B">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2BBF163B">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4C5C">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B1EE70">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F757">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9922">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6.78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7DCA">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3FAA">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CEEA1D">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9C446A">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1.54</w:t>
            </w:r>
          </w:p>
        </w:tc>
      </w:tr>
      <w:tr w14:paraId="10E4FE23">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1E1A">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314A">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CB8F">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A6E8">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A649">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03CD">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0.33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B4F86C">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849428">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0.84</w:t>
            </w:r>
          </w:p>
        </w:tc>
      </w:tr>
      <w:tr w14:paraId="2499F40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8C50">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350599">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B6DE">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04359">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BCF1">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67A720">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5.57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177C12">
            <w:pPr>
              <w:spacing w:after="0"/>
              <w:ind w:firstLine="42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0B1267">
            <w:pPr>
              <w:spacing w:after="0"/>
              <w:ind w:firstLine="42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2.38</w:t>
            </w:r>
          </w:p>
        </w:tc>
      </w:tr>
    </w:tbl>
    <w:p w14:paraId="6CA9FD3D">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1、公务用车：2019年底中国人民政治协商会议保定市徐水区委员会车辆合计4辆，其中应急保障用车4辆，无其他用车。2019年公务用车购置及运维费年初预算0万元，全部为公务用车运行维护费，实际支出</w:t>
      </w:r>
      <w:r>
        <w:rPr>
          <w:rFonts w:ascii="仿宋_GB2312" w:eastAsia="仿宋_GB2312" w:cs="DengXian-Regular"/>
          <w:sz w:val="32"/>
          <w:szCs w:val="32"/>
        </w:rPr>
        <w:t>5.</w:t>
      </w:r>
      <w:r>
        <w:rPr>
          <w:rFonts w:hint="eastAsia" w:ascii="仿宋_GB2312" w:eastAsia="仿宋_GB2312" w:cs="DengXian-Regular"/>
          <w:sz w:val="32"/>
          <w:szCs w:val="32"/>
        </w:rPr>
        <w:t>24万元，比预算减少10.76万元，节约率67.25%。2019年预算数与2018年预算相比无变化，决算数与2018年实际支出相比，减少1.54万元。</w:t>
      </w:r>
    </w:p>
    <w:p w14:paraId="7F411DD1">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2、公务接待：2019年中国人民政治协商会议保定市徐水区委员会公务接待费年初预算2万元，实际支出0.33万元，比预算减少了1.67万元，节约率83.5%。2019年预算数与2018年预算相比无变化，决算数与2018年实际支出相比，减少了0.84万元。</w:t>
      </w:r>
    </w:p>
    <w:p w14:paraId="4E108E97">
      <w:pPr>
        <w:pStyle w:val="3"/>
        <w:spacing w:before="0" w:after="0" w:line="360" w:lineRule="auto"/>
        <w:ind w:firstLine="643"/>
        <w:rPr>
          <w:rFonts w:ascii="黑体" w:hAnsiTheme="minorEastAsia"/>
          <w:u w:color="000000"/>
        </w:rPr>
      </w:pPr>
      <w:bookmarkStart w:id="15" w:name="_Toc57553858"/>
      <w:bookmarkStart w:id="16" w:name="_Toc492652770"/>
      <w:bookmarkStart w:id="17" w:name="_Toc465149504"/>
      <w:r>
        <w:rPr>
          <w:rFonts w:hint="eastAsia" w:ascii="黑体"/>
        </w:rPr>
        <w:t>二、部门整体支出绩效评价指标体系设定情况</w:t>
      </w:r>
      <w:bookmarkEnd w:id="15"/>
      <w:bookmarkEnd w:id="16"/>
    </w:p>
    <w:p w14:paraId="2F1B06ED">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中国人民政治协商会议保定市徐水区委员会办公室沟通，绩效评价工作组以绩效预算架构为指导，以部门预算文本及相关资料为基础，制定了部门整体支出绩效评价指标体系。</w:t>
      </w:r>
    </w:p>
    <w:p w14:paraId="24797E7C">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8" w:name="_Toc492652771"/>
    </w:p>
    <w:p w14:paraId="7B1FAF69">
      <w:pPr>
        <w:spacing w:after="0" w:line="360" w:lineRule="auto"/>
        <w:ind w:firstLine="643"/>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8"/>
    </w:p>
    <w:p w14:paraId="287CE8CA">
      <w:pPr>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3C483BA5">
      <w:pPr>
        <w:keepNext/>
        <w:widowControl w:val="0"/>
        <w:spacing w:after="0" w:line="360" w:lineRule="auto"/>
        <w:ind w:firstLine="64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68C221A2">
      <w:pPr>
        <w:pStyle w:val="4"/>
        <w:spacing w:before="0" w:after="0"/>
        <w:ind w:firstLine="643"/>
        <w:jc w:val="both"/>
        <w:rPr>
          <w:rFonts w:ascii="楷体" w:hAnsi="楷体" w:eastAsia="楷体"/>
          <w:sz w:val="32"/>
        </w:rPr>
      </w:pPr>
      <w:bookmarkStart w:id="19" w:name="_Toc57553859"/>
      <w:bookmarkStart w:id="20" w:name="_Toc492652772"/>
      <w:r>
        <w:rPr>
          <w:rFonts w:hint="eastAsia" w:ascii="楷体" w:hAnsi="楷体" w:eastAsia="楷体"/>
          <w:kern w:val="2"/>
          <w:sz w:val="32"/>
        </w:rPr>
        <w:t>（二）过程（48分）</w:t>
      </w:r>
      <w:bookmarkEnd w:id="19"/>
      <w:bookmarkEnd w:id="20"/>
    </w:p>
    <w:p w14:paraId="5D9440F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E704D6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A73B026">
      <w:pPr>
        <w:pStyle w:val="4"/>
        <w:spacing w:before="0" w:after="0"/>
        <w:ind w:firstLine="643"/>
        <w:jc w:val="both"/>
        <w:rPr>
          <w:rFonts w:ascii="楷体" w:hAnsi="楷体" w:eastAsia="楷体"/>
          <w:kern w:val="2"/>
          <w:sz w:val="32"/>
        </w:rPr>
      </w:pPr>
      <w:bookmarkStart w:id="21" w:name="_Toc57553860"/>
      <w:bookmarkStart w:id="22" w:name="_Toc492652773"/>
      <w:r>
        <w:rPr>
          <w:rFonts w:hint="eastAsia" w:ascii="楷体" w:hAnsi="楷体" w:eastAsia="楷体"/>
          <w:kern w:val="2"/>
          <w:sz w:val="32"/>
        </w:rPr>
        <w:t>（三）产出（25分）</w:t>
      </w:r>
      <w:bookmarkEnd w:id="21"/>
      <w:bookmarkEnd w:id="22"/>
    </w:p>
    <w:p w14:paraId="02C9D025">
      <w:pPr>
        <w:spacing w:after="0" w:line="360" w:lineRule="auto"/>
        <w:ind w:firstLine="640"/>
        <w:jc w:val="both"/>
        <w:textAlignment w:val="baseline"/>
        <w:rPr>
          <w:rFonts w:ascii="仿宋_GB2312" w:eastAsia="仿宋_GB2312" w:cs="DengXian-Regular"/>
          <w:sz w:val="32"/>
          <w:szCs w:val="32"/>
        </w:rPr>
      </w:pPr>
      <w:bookmarkStart w:id="23" w:name="_Toc492652774"/>
      <w:r>
        <w:rPr>
          <w:rFonts w:hint="eastAsia" w:ascii="仿宋_GB2312" w:eastAsia="仿宋_GB2312" w:cs="DengXian-Regular"/>
          <w:sz w:val="32"/>
          <w:szCs w:val="32"/>
        </w:rPr>
        <w:t>主要反映结转结余率，项目资金使用率。</w:t>
      </w:r>
    </w:p>
    <w:p w14:paraId="5C6CBB5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5D8081AD">
      <w:pPr>
        <w:pStyle w:val="4"/>
        <w:spacing w:before="0" w:after="0"/>
        <w:ind w:firstLine="643"/>
        <w:jc w:val="both"/>
        <w:rPr>
          <w:rFonts w:ascii="楷体_GB2312" w:eastAsia="楷体_GB2312" w:hAnsiTheme="minorEastAsia"/>
          <w:sz w:val="32"/>
        </w:rPr>
      </w:pPr>
      <w:bookmarkStart w:id="24" w:name="_Toc57553861"/>
      <w:r>
        <w:rPr>
          <w:rFonts w:hint="eastAsia" w:ascii="楷体_GB2312" w:eastAsia="楷体_GB2312" w:hAnsiTheme="minorEastAsia"/>
          <w:kern w:val="2"/>
          <w:sz w:val="32"/>
        </w:rPr>
        <w:t>（四）效果（15分）</w:t>
      </w:r>
      <w:bookmarkEnd w:id="23"/>
      <w:bookmarkEnd w:id="24"/>
      <w:bookmarkStart w:id="77" w:name="_GoBack"/>
      <w:bookmarkEnd w:id="77"/>
    </w:p>
    <w:p w14:paraId="4A44EE4A">
      <w:pPr>
        <w:spacing w:after="0" w:line="360" w:lineRule="auto"/>
        <w:ind w:firstLine="640"/>
        <w:jc w:val="both"/>
        <w:textAlignment w:val="baseline"/>
        <w:rPr>
          <w:rFonts w:ascii="仿宋_GB2312" w:eastAsia="仿宋_GB2312" w:cs="DengXian-Regular"/>
          <w:sz w:val="32"/>
          <w:szCs w:val="32"/>
        </w:rPr>
      </w:pPr>
      <w:bookmarkStart w:id="25"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5F8BAF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2D604F01">
      <w:pPr>
        <w:pStyle w:val="3"/>
        <w:spacing w:before="0" w:after="0" w:line="360" w:lineRule="auto"/>
        <w:ind w:firstLine="643"/>
        <w:rPr>
          <w:rFonts w:ascii="黑体"/>
        </w:rPr>
      </w:pPr>
      <w:bookmarkStart w:id="26" w:name="_Toc57553862"/>
      <w:r>
        <w:rPr>
          <w:rFonts w:hint="eastAsia" w:ascii="黑体"/>
        </w:rPr>
        <w:t>三、综合绩效评价工作情况</w:t>
      </w:r>
      <w:bookmarkEnd w:id="17"/>
      <w:bookmarkEnd w:id="25"/>
      <w:bookmarkEnd w:id="26"/>
      <w:bookmarkStart w:id="27" w:name="_Toc465149505"/>
      <w:bookmarkStart w:id="28" w:name="_Toc492652776"/>
    </w:p>
    <w:p w14:paraId="348CCABE">
      <w:pPr>
        <w:pStyle w:val="4"/>
        <w:spacing w:before="0" w:after="0"/>
        <w:ind w:firstLine="643"/>
        <w:jc w:val="both"/>
        <w:rPr>
          <w:rFonts w:ascii="楷体_GB2312" w:eastAsia="楷体_GB2312" w:hAnsiTheme="minorEastAsia"/>
          <w:sz w:val="32"/>
        </w:rPr>
      </w:pPr>
      <w:bookmarkStart w:id="29" w:name="_Toc57553863"/>
      <w:r>
        <w:rPr>
          <w:rFonts w:hint="eastAsia" w:ascii="楷体_GB2312" w:eastAsia="楷体_GB2312" w:hAnsiTheme="minorEastAsia"/>
          <w:kern w:val="2"/>
          <w:sz w:val="32"/>
        </w:rPr>
        <w:t>（一）绩效评价目的</w:t>
      </w:r>
      <w:bookmarkEnd w:id="27"/>
      <w:bookmarkEnd w:id="28"/>
      <w:bookmarkEnd w:id="29"/>
    </w:p>
    <w:p w14:paraId="75C6A1C7">
      <w:pPr>
        <w:spacing w:after="0" w:line="360" w:lineRule="auto"/>
        <w:ind w:firstLine="640"/>
        <w:jc w:val="both"/>
        <w:textAlignment w:val="baseline"/>
        <w:rPr>
          <w:rFonts w:ascii="仿宋_GB2312" w:eastAsia="仿宋_GB2312" w:cs="DengXian-Regular"/>
          <w:sz w:val="32"/>
          <w:szCs w:val="32"/>
        </w:rPr>
      </w:pPr>
      <w:bookmarkStart w:id="30" w:name="_Toc465149506"/>
      <w:bookmarkStart w:id="31" w:name="_Toc492652777"/>
      <w:r>
        <w:rPr>
          <w:rFonts w:hint="eastAsia" w:ascii="仿宋_GB2312" w:eastAsia="仿宋_GB2312" w:cs="DengXian-Regular"/>
          <w:sz w:val="32"/>
          <w:szCs w:val="32"/>
        </w:rPr>
        <w:t>通过对中国人民政治协商会议保定市徐水区委员会办公室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A8388D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C5BBEA2">
      <w:pPr>
        <w:pStyle w:val="4"/>
        <w:spacing w:before="0" w:after="0"/>
        <w:ind w:firstLine="643"/>
        <w:jc w:val="both"/>
        <w:rPr>
          <w:rFonts w:ascii="楷体_GB2312" w:eastAsia="楷体_GB2312" w:hAnsiTheme="minorEastAsia"/>
          <w:kern w:val="2"/>
          <w:sz w:val="32"/>
        </w:rPr>
      </w:pPr>
      <w:bookmarkStart w:id="32" w:name="_Toc57553864"/>
      <w:r>
        <w:rPr>
          <w:rFonts w:hint="eastAsia" w:ascii="楷体_GB2312" w:eastAsia="楷体_GB2312" w:hAnsiTheme="minorEastAsia"/>
          <w:kern w:val="2"/>
          <w:sz w:val="32"/>
        </w:rPr>
        <w:t>（二）绩效评价依据</w:t>
      </w:r>
      <w:bookmarkEnd w:id="30"/>
      <w:bookmarkEnd w:id="31"/>
      <w:bookmarkEnd w:id="32"/>
    </w:p>
    <w:p w14:paraId="00C79153">
      <w:pPr>
        <w:spacing w:after="0" w:line="360" w:lineRule="auto"/>
        <w:ind w:firstLine="640"/>
        <w:jc w:val="both"/>
        <w:textAlignment w:val="baseline"/>
        <w:rPr>
          <w:rFonts w:ascii="仿宋_GB2312" w:eastAsia="仿宋_GB2312" w:cs="DengXian-Regular"/>
          <w:sz w:val="32"/>
          <w:szCs w:val="32"/>
        </w:rPr>
      </w:pPr>
      <w:bookmarkStart w:id="33"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8000F0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99E6A8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7A819AA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65D1D89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903576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0E89BB7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4" w:name="_Toc492652778"/>
    </w:p>
    <w:p w14:paraId="1217EC90">
      <w:pPr>
        <w:pStyle w:val="4"/>
        <w:spacing w:before="0" w:after="0"/>
        <w:ind w:firstLine="643"/>
        <w:jc w:val="both"/>
        <w:rPr>
          <w:rFonts w:ascii="楷体_GB2312" w:eastAsia="楷体_GB2312" w:hAnsiTheme="minorEastAsia"/>
          <w:kern w:val="2"/>
          <w:sz w:val="32"/>
        </w:rPr>
      </w:pPr>
      <w:bookmarkStart w:id="35" w:name="_Toc57553865"/>
      <w:r>
        <w:rPr>
          <w:rFonts w:hint="eastAsia" w:ascii="楷体_GB2312" w:eastAsia="楷体_GB2312" w:hAnsiTheme="minorEastAsia"/>
          <w:kern w:val="2"/>
          <w:sz w:val="32"/>
        </w:rPr>
        <w:t>（三）绩效评价</w:t>
      </w:r>
      <w:bookmarkEnd w:id="34"/>
      <w:r>
        <w:rPr>
          <w:rFonts w:hint="eastAsia" w:ascii="楷体_GB2312" w:eastAsia="楷体_GB2312" w:hAnsiTheme="minorEastAsia"/>
          <w:kern w:val="2"/>
          <w:sz w:val="32"/>
        </w:rPr>
        <w:t>内容</w:t>
      </w:r>
      <w:bookmarkEnd w:id="35"/>
    </w:p>
    <w:bookmarkEnd w:id="33"/>
    <w:p w14:paraId="581EB9EE">
      <w:pPr>
        <w:spacing w:after="0" w:line="360" w:lineRule="auto"/>
        <w:ind w:firstLine="640"/>
        <w:jc w:val="both"/>
        <w:textAlignment w:val="baseline"/>
        <w:rPr>
          <w:rFonts w:ascii="仿宋_GB2312" w:eastAsia="仿宋_GB2312" w:cs="DengXian-Regular"/>
          <w:sz w:val="32"/>
          <w:szCs w:val="32"/>
        </w:rPr>
      </w:pPr>
      <w:bookmarkStart w:id="36" w:name="_Toc465149508"/>
      <w:bookmarkStart w:id="37" w:name="_Toc492652779"/>
      <w:r>
        <w:rPr>
          <w:rFonts w:hint="eastAsia" w:ascii="仿宋_GB2312" w:eastAsia="仿宋_GB2312" w:cs="DengXian-Regular"/>
          <w:sz w:val="32"/>
          <w:szCs w:val="32"/>
        </w:rPr>
        <w:t>中国人民政治协商会议保定市徐水区委员会办公室2019年部门整体支出绩效目标和指标的设置及完成情况；资金预算情况、实际收支情况及结转结余情况；部门履职对社会发展所带来的直接或间接影响及服务对象对部门履职效果的满意程度。</w:t>
      </w:r>
    </w:p>
    <w:p w14:paraId="7FA55B83">
      <w:pPr>
        <w:pStyle w:val="4"/>
        <w:spacing w:before="0" w:after="0"/>
        <w:ind w:firstLine="643"/>
        <w:jc w:val="both"/>
        <w:rPr>
          <w:rFonts w:ascii="楷体_GB2312" w:eastAsia="楷体_GB2312" w:hAnsiTheme="minorEastAsia"/>
          <w:kern w:val="2"/>
          <w:sz w:val="32"/>
        </w:rPr>
      </w:pPr>
      <w:bookmarkStart w:id="38" w:name="_Toc57553866"/>
      <w:r>
        <w:rPr>
          <w:rFonts w:hint="eastAsia" w:ascii="楷体_GB2312" w:eastAsia="楷体_GB2312" w:hAnsiTheme="minorEastAsia"/>
          <w:kern w:val="2"/>
          <w:sz w:val="32"/>
        </w:rPr>
        <w:t>（四）绩效评价原则</w:t>
      </w:r>
      <w:bookmarkEnd w:id="38"/>
    </w:p>
    <w:p w14:paraId="763FF46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11E6981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5E5D2D4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7812B88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07770720">
      <w:pPr>
        <w:pStyle w:val="4"/>
        <w:spacing w:before="0" w:after="0"/>
        <w:ind w:firstLine="643"/>
        <w:jc w:val="both"/>
        <w:rPr>
          <w:rFonts w:ascii="楷体_GB2312" w:eastAsia="楷体_GB2312" w:hAnsiTheme="minorEastAsia"/>
          <w:kern w:val="2"/>
          <w:sz w:val="32"/>
        </w:rPr>
      </w:pPr>
      <w:bookmarkStart w:id="39" w:name="_Toc57553867"/>
      <w:r>
        <w:rPr>
          <w:rFonts w:hint="eastAsia" w:ascii="楷体_GB2312" w:eastAsia="楷体_GB2312" w:hAnsiTheme="minorEastAsia"/>
          <w:kern w:val="2"/>
          <w:sz w:val="32"/>
        </w:rPr>
        <w:t>（五）</w:t>
      </w:r>
      <w:bookmarkEnd w:id="36"/>
      <w:bookmarkStart w:id="40" w:name="_Toc465149509"/>
      <w:r>
        <w:rPr>
          <w:rFonts w:hint="eastAsia" w:ascii="楷体_GB2312" w:eastAsia="楷体_GB2312" w:hAnsiTheme="minorEastAsia"/>
          <w:kern w:val="2"/>
          <w:sz w:val="32"/>
        </w:rPr>
        <w:t>绩效评价方法</w:t>
      </w:r>
      <w:bookmarkEnd w:id="37"/>
      <w:bookmarkEnd w:id="39"/>
      <w:bookmarkEnd w:id="40"/>
    </w:p>
    <w:p w14:paraId="7CEF9A00">
      <w:pPr>
        <w:spacing w:after="0" w:line="360" w:lineRule="auto"/>
        <w:ind w:firstLine="640"/>
        <w:jc w:val="both"/>
        <w:textAlignment w:val="baseline"/>
        <w:rPr>
          <w:rFonts w:ascii="仿宋_GB2312" w:eastAsia="仿宋_GB2312" w:cs="DengXian-Regular"/>
          <w:sz w:val="32"/>
          <w:szCs w:val="32"/>
        </w:rPr>
      </w:pPr>
      <w:bookmarkStart w:id="41" w:name="_Toc422314152"/>
      <w:bookmarkStart w:id="42" w:name="_Toc421623217"/>
      <w:bookmarkStart w:id="43" w:name="_Toc465149510"/>
      <w:bookmarkStart w:id="44"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1"/>
      <w:bookmarkEnd w:id="42"/>
    </w:p>
    <w:p w14:paraId="6EFB5F5A">
      <w:pPr>
        <w:spacing w:after="0" w:line="360" w:lineRule="auto"/>
        <w:ind w:firstLine="640"/>
        <w:jc w:val="both"/>
        <w:textAlignment w:val="baseline"/>
        <w:rPr>
          <w:rFonts w:ascii="仿宋_GB2312" w:eastAsia="仿宋_GB2312" w:cs="DengXian-Regular"/>
          <w:sz w:val="32"/>
          <w:szCs w:val="32"/>
        </w:rPr>
      </w:pPr>
      <w:bookmarkStart w:id="45" w:name="_Toc422314153"/>
      <w:bookmarkStart w:id="46"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5"/>
      <w:bookmarkEnd w:id="46"/>
    </w:p>
    <w:p w14:paraId="12994393">
      <w:pPr>
        <w:spacing w:after="0" w:line="360" w:lineRule="auto"/>
        <w:ind w:firstLine="640"/>
        <w:jc w:val="both"/>
        <w:textAlignment w:val="baseline"/>
        <w:rPr>
          <w:rFonts w:ascii="仿宋_GB2312" w:eastAsia="仿宋_GB2312" w:cs="DengXian-Regular"/>
          <w:sz w:val="32"/>
          <w:szCs w:val="32"/>
        </w:rPr>
      </w:pPr>
      <w:bookmarkStart w:id="47" w:name="_Toc421623220"/>
      <w:bookmarkStart w:id="48"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7"/>
      <w:bookmarkEnd w:id="48"/>
    </w:p>
    <w:p w14:paraId="1C9E64C4">
      <w:pPr>
        <w:spacing w:after="0" w:line="360" w:lineRule="auto"/>
        <w:ind w:firstLine="640"/>
        <w:jc w:val="both"/>
        <w:textAlignment w:val="baseline"/>
        <w:rPr>
          <w:rFonts w:ascii="仿宋_GB2312" w:eastAsia="仿宋_GB2312" w:cs="DengXian-Regular"/>
          <w:sz w:val="32"/>
          <w:szCs w:val="32"/>
        </w:rPr>
      </w:pPr>
      <w:bookmarkStart w:id="49" w:name="_Toc422314156"/>
      <w:bookmarkStart w:id="50"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9"/>
      <w:bookmarkEnd w:id="50"/>
    </w:p>
    <w:p w14:paraId="11393469">
      <w:pPr>
        <w:spacing w:after="0" w:line="360" w:lineRule="auto"/>
        <w:ind w:firstLine="643"/>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3"/>
      <w:bookmarkEnd w:id="44"/>
    </w:p>
    <w:p w14:paraId="2D5A5C0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39D6BC0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5EB4A05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中国人民政治协商会议保定市徐水区委员会办公室充分沟通，并充分收集相关资料，主要包括部门职责、工作活动、预决算文本、相关管理制度、资金使用等相关资料，为制定绩效评价实施方案和指标体系奠定了基础。</w:t>
      </w:r>
    </w:p>
    <w:p w14:paraId="0587977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6D25649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基于对中国人民政治协商会议保定市徐水区委员会办公室相关资料的收集，制定绩效评价实施方案和体系,确定最终方案。</w:t>
      </w:r>
    </w:p>
    <w:p w14:paraId="5DC5F48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06ECB92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中国人民政治协商会议保定市徐水区委员会办公室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650EEC6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1" w:name="_Toc492652781"/>
      <w:bookmarkStart w:id="52" w:name="_Toc465149511"/>
    </w:p>
    <w:p w14:paraId="6F22441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F1D0139">
      <w:pPr>
        <w:pStyle w:val="3"/>
        <w:spacing w:before="0" w:after="0" w:line="360" w:lineRule="auto"/>
        <w:ind w:firstLine="643"/>
        <w:rPr>
          <w:rFonts w:ascii="黑体"/>
        </w:rPr>
      </w:pPr>
      <w:bookmarkStart w:id="53" w:name="_Toc57553868"/>
      <w:r>
        <w:rPr>
          <w:rFonts w:hint="eastAsia" w:ascii="黑体"/>
        </w:rPr>
        <w:t>四、</w:t>
      </w:r>
      <w:bookmarkEnd w:id="51"/>
      <w:bookmarkEnd w:id="52"/>
      <w:bookmarkStart w:id="54" w:name="_Toc492652782"/>
      <w:r>
        <w:rPr>
          <w:rFonts w:hint="eastAsia" w:ascii="黑体"/>
        </w:rPr>
        <w:t>绩效评价评分情况</w:t>
      </w:r>
      <w:bookmarkEnd w:id="53"/>
    </w:p>
    <w:bookmarkEnd w:id="54"/>
    <w:p w14:paraId="436A51FB">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中国人民政治协商会议保定市徐水区委员会办公室部门整体支出绩效评价总得分为87.63分，综合绩效评价等级为“良”。各项得分情况如下</w:t>
      </w:r>
      <w:r>
        <w:rPr>
          <w:rFonts w:hint="eastAsia" w:ascii="仿宋_GB2312" w:eastAsia="仿宋_GB2312" w:cs="Times New Roman" w:hAnsiTheme="minorEastAsia"/>
          <w:sz w:val="32"/>
          <w:szCs w:val="32"/>
          <w:u w:color="000000"/>
        </w:rPr>
        <w:t>：</w:t>
      </w:r>
    </w:p>
    <w:p w14:paraId="1178CCE2">
      <w:pPr>
        <w:pStyle w:val="4"/>
        <w:spacing w:before="0" w:after="0"/>
        <w:ind w:firstLine="643"/>
        <w:jc w:val="both"/>
        <w:rPr>
          <w:rFonts w:ascii="楷体_GB2312" w:eastAsia="楷体_GB2312" w:hAnsiTheme="minorEastAsia"/>
          <w:kern w:val="2"/>
          <w:sz w:val="32"/>
        </w:rPr>
      </w:pPr>
      <w:bookmarkStart w:id="55" w:name="_Toc492652783"/>
      <w:bookmarkStart w:id="56" w:name="_Toc57553869"/>
      <w:r>
        <w:rPr>
          <w:rFonts w:hint="eastAsia" w:ascii="楷体_GB2312" w:eastAsia="楷体_GB2312" w:hAnsiTheme="minorEastAsia"/>
          <w:kern w:val="2"/>
          <w:sz w:val="32"/>
        </w:rPr>
        <w:t>（一）</w:t>
      </w:r>
      <w:bookmarkEnd w:id="55"/>
      <w:r>
        <w:rPr>
          <w:rFonts w:hint="eastAsia" w:ascii="楷体_GB2312" w:eastAsia="楷体_GB2312" w:hAnsiTheme="minorEastAsia"/>
          <w:kern w:val="2"/>
          <w:sz w:val="32"/>
        </w:rPr>
        <w:t>投入（1</w:t>
      </w:r>
      <w:r>
        <w:rPr>
          <w:rFonts w:ascii="楷体_GB2312" w:eastAsia="楷体_GB2312" w:hAnsiTheme="minorEastAsia"/>
          <w:kern w:val="2"/>
          <w:sz w:val="32"/>
        </w:rPr>
        <w:t>0</w:t>
      </w:r>
      <w:r>
        <w:rPr>
          <w:rFonts w:hint="eastAsia" w:ascii="楷体_GB2312" w:eastAsia="楷体_GB2312" w:hAnsiTheme="minorEastAsia"/>
          <w:kern w:val="2"/>
          <w:sz w:val="32"/>
        </w:rPr>
        <w:t>分）</w:t>
      </w:r>
      <w:bookmarkEnd w:id="56"/>
    </w:p>
    <w:p w14:paraId="7BBDAF81">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6E9D3B2">
      <w:pPr>
        <w:spacing w:after="0" w:line="360" w:lineRule="auto"/>
        <w:ind w:firstLine="643"/>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9"/>
        <w:tblW w:w="7088" w:type="dxa"/>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6C45A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30A7C99B">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F28D45C">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B291BDF">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5E383578">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03BA8112">
            <w:pPr>
              <w:spacing w:line="420" w:lineRule="exact"/>
              <w:ind w:firstLine="422"/>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7E3D2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015571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1AB6B7A">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29519C5A">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422DC54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105488C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A16E556">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6279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vMerge w:val="continue"/>
          </w:tcPr>
          <w:p w14:paraId="440EC9CD"/>
        </w:tc>
        <w:tc>
          <w:tcPr>
            <w:vMerge w:val="continue"/>
          </w:tcPr>
          <w:p w14:paraId="2CB91242"/>
        </w:tc>
        <w:tc>
          <w:tcPr>
            <w:tcW w:w="1701" w:type="dxa"/>
            <w:vAlign w:val="center"/>
          </w:tcPr>
          <w:p w14:paraId="0C6BD78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3E4967D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49B3AFA">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7B5B9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vMerge w:val="continue"/>
          </w:tcPr>
          <w:p w14:paraId="2F190198"/>
        </w:tc>
        <w:tc>
          <w:tcPr>
            <w:vMerge w:val="continue"/>
          </w:tcPr>
          <w:p w14:paraId="54C8EA82"/>
        </w:tc>
        <w:tc>
          <w:tcPr>
            <w:tcW w:w="1701" w:type="dxa"/>
            <w:vAlign w:val="center"/>
          </w:tcPr>
          <w:p w14:paraId="48D524A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819D29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1122828">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r>
      <w:tr w14:paraId="7184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vMerge w:val="continue"/>
          </w:tcPr>
          <w:p w14:paraId="323082F8"/>
        </w:tc>
        <w:tc>
          <w:tcPr>
            <w:tcW w:w="1418" w:type="dxa"/>
            <w:vMerge w:val="restart"/>
            <w:vAlign w:val="center"/>
          </w:tcPr>
          <w:p w14:paraId="3EF855B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6944B04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3EADDF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4C1D1E5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1F6C10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62D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vMerge w:val="continue"/>
          </w:tcPr>
          <w:p w14:paraId="330CE1AC"/>
        </w:tc>
        <w:tc>
          <w:tcPr>
            <w:vMerge w:val="continue"/>
          </w:tcPr>
          <w:p w14:paraId="1E47A9BC"/>
        </w:tc>
        <w:tc>
          <w:tcPr>
            <w:tcW w:w="1701" w:type="dxa"/>
            <w:vAlign w:val="center"/>
          </w:tcPr>
          <w:p w14:paraId="576F37C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EF57E1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61D58A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F9AE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vMerge w:val="continue"/>
          </w:tcPr>
          <w:p w14:paraId="2F06E3AA"/>
        </w:tc>
        <w:tc>
          <w:tcPr>
            <w:vMerge w:val="continue"/>
          </w:tcPr>
          <w:p w14:paraId="672A93A3"/>
        </w:tc>
        <w:tc>
          <w:tcPr>
            <w:tcW w:w="1701" w:type="dxa"/>
            <w:vAlign w:val="center"/>
          </w:tcPr>
          <w:p w14:paraId="7DE6966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580D588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5406494">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14:paraId="055C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0738CBB4">
            <w:pPr>
              <w:spacing w:line="420" w:lineRule="exact"/>
              <w:ind w:firstLine="42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4CCFB1DC">
            <w:pPr>
              <w:spacing w:line="420" w:lineRule="exact"/>
              <w:ind w:firstLine="420"/>
              <w:jc w:val="center"/>
              <w:rPr>
                <w:rFonts w:cs="宋体" w:asciiTheme="minorEastAsia" w:hAnsiTheme="minorEastAsia" w:eastAsiaTheme="minorEastAsia"/>
                <w:sz w:val="21"/>
                <w:szCs w:val="21"/>
                <w:highlight w:val="yellow"/>
              </w:rPr>
            </w:pPr>
          </w:p>
        </w:tc>
        <w:tc>
          <w:tcPr>
            <w:tcW w:w="1276" w:type="dxa"/>
            <w:vAlign w:val="center"/>
          </w:tcPr>
          <w:p w14:paraId="73A68BD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DFBE06B">
            <w:pPr>
              <w:spacing w:line="420" w:lineRule="exact"/>
              <w:ind w:firstLine="420"/>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10</w:t>
            </w:r>
          </w:p>
        </w:tc>
      </w:tr>
    </w:tbl>
    <w:p w14:paraId="2465065E">
      <w:pPr>
        <w:spacing w:after="0" w:line="360" w:lineRule="auto"/>
        <w:ind w:firstLine="640"/>
        <w:jc w:val="both"/>
        <w:textAlignment w:val="baseline"/>
        <w:rPr>
          <w:rFonts w:ascii="仿宋_GB2312" w:eastAsia="仿宋_GB2312" w:cs="DengXian-Regular"/>
          <w:sz w:val="32"/>
          <w:szCs w:val="32"/>
        </w:rPr>
      </w:pPr>
      <w:bookmarkStart w:id="57" w:name="_Toc465149513"/>
      <w:bookmarkStart w:id="58" w:name="_Toc464638478"/>
      <w:r>
        <w:rPr>
          <w:rFonts w:hint="eastAsia" w:ascii="仿宋_GB2312" w:eastAsia="仿宋_GB2312" w:cs="DengXian-Regular"/>
          <w:sz w:val="32"/>
          <w:szCs w:val="32"/>
        </w:rPr>
        <w:t>1.绩效目标设定（</w:t>
      </w:r>
      <w:r>
        <w:rPr>
          <w:rFonts w:ascii="仿宋_GB2312" w:eastAsia="仿宋_GB2312" w:cs="DengXian-Regular"/>
          <w:sz w:val="32"/>
          <w:szCs w:val="32"/>
        </w:rPr>
        <w:t>4</w:t>
      </w:r>
      <w:r>
        <w:rPr>
          <w:rFonts w:hint="eastAsia" w:ascii="仿宋_GB2312" w:eastAsia="仿宋_GB2312" w:cs="DengXian-Regular"/>
          <w:sz w:val="32"/>
          <w:szCs w:val="32"/>
        </w:rPr>
        <w:t>分）</w:t>
      </w:r>
    </w:p>
    <w:p w14:paraId="7E9614F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ascii="仿宋_GB2312" w:eastAsia="仿宋_GB2312" w:cs="DengXian-Regular"/>
          <w:sz w:val="32"/>
          <w:szCs w:val="32"/>
        </w:rPr>
        <w:t>2</w:t>
      </w:r>
      <w:r>
        <w:rPr>
          <w:rFonts w:hint="eastAsia" w:ascii="仿宋_GB2312" w:eastAsia="仿宋_GB2312" w:cs="DengXian-Regular"/>
          <w:sz w:val="32"/>
          <w:szCs w:val="32"/>
        </w:rPr>
        <w:t>分)</w:t>
      </w:r>
    </w:p>
    <w:p w14:paraId="3C27641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51A4613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印发的《中国人民政治协商会议保定市徐水区委员会职能配置、内设机构和人员编制规定》和中国人民政治协商会议保定市徐水区委员会办公室2019年预算文本—部门职责工作活动绩效目标，评价工作组认为中国人民政治协商会议保定市徐水区委员会部门职责符合“三定”方案中所赋予的职责，绩效目标设立依据充分，符合客观实际，与部门职责、工作规划和重点工作相关，工作活动和项目预算安排合理。</w:t>
      </w:r>
    </w:p>
    <w:p w14:paraId="35BE7F5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00F812D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w:t>
      </w:r>
      <w:r>
        <w:rPr>
          <w:rFonts w:ascii="仿宋_GB2312" w:eastAsia="仿宋_GB2312" w:cs="DengXian-Regular"/>
          <w:sz w:val="32"/>
          <w:szCs w:val="32"/>
        </w:rPr>
        <w:t>1</w:t>
      </w:r>
      <w:r>
        <w:rPr>
          <w:rFonts w:hint="eastAsia" w:ascii="仿宋_GB2312" w:eastAsia="仿宋_GB2312" w:cs="DengXian-Regular"/>
          <w:sz w:val="32"/>
          <w:szCs w:val="32"/>
        </w:rPr>
        <w:t>分）</w:t>
      </w:r>
    </w:p>
    <w:p w14:paraId="22367A2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73BC26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019年预算文本—部门职责工作活动绩效目标（详见附件4），参政议政职责活动未设置可评价、可衡量的绩效指标，部门绩效目标未划分为具体的工作任务，不利于对绩效目标实际完成情况进行考核。</w:t>
      </w:r>
    </w:p>
    <w:p w14:paraId="6D57F54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5B5AFD7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w:t>
      </w:r>
      <w:r>
        <w:rPr>
          <w:rFonts w:ascii="仿宋_GB2312" w:eastAsia="仿宋_GB2312" w:cs="DengXian-Regular"/>
          <w:sz w:val="32"/>
          <w:szCs w:val="32"/>
        </w:rPr>
        <w:t>1</w:t>
      </w:r>
      <w:r>
        <w:rPr>
          <w:rFonts w:hint="eastAsia" w:ascii="仿宋_GB2312" w:eastAsia="仿宋_GB2312" w:cs="DengXian-Regular"/>
          <w:sz w:val="32"/>
          <w:szCs w:val="32"/>
        </w:rPr>
        <w:t>分）</w:t>
      </w:r>
    </w:p>
    <w:p w14:paraId="06E18021">
      <w:pPr>
        <w:spacing w:after="0" w:line="360" w:lineRule="auto"/>
        <w:ind w:firstLine="64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4726A5C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根据中国人民政治协商会议保定市徐水区委员会办公室2019年预算文本—部门职责工作活动绩效目标,参政议政职责活动未设置绩效指标及绩效指标评价标准，不便于评价及衡量。</w:t>
      </w:r>
    </w:p>
    <w:p w14:paraId="2481984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1</w:t>
      </w:r>
      <w:r>
        <w:rPr>
          <w:rFonts w:hint="eastAsia" w:ascii="仿宋_GB2312" w:eastAsia="仿宋_GB2312" w:cs="DengXian-Regular"/>
          <w:sz w:val="32"/>
          <w:szCs w:val="32"/>
        </w:rPr>
        <w:t>分。</w:t>
      </w:r>
    </w:p>
    <w:p w14:paraId="4A74956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ascii="仿宋_GB2312" w:eastAsia="仿宋_GB2312" w:cs="DengXian-Regular"/>
          <w:sz w:val="32"/>
          <w:szCs w:val="32"/>
        </w:rPr>
        <w:t>6</w:t>
      </w:r>
      <w:r>
        <w:rPr>
          <w:rFonts w:hint="eastAsia" w:ascii="仿宋_GB2312" w:eastAsia="仿宋_GB2312" w:cs="DengXian-Regular"/>
          <w:sz w:val="32"/>
          <w:szCs w:val="32"/>
        </w:rPr>
        <w:t>分）</w:t>
      </w:r>
    </w:p>
    <w:p w14:paraId="53D824F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3A7AB5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4345E78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根据中国人民政治协商会议保定市徐水区委员会办公室2019年预算文本及相关会计资料，中国人民政治协商会议保定市徐水区委员会所有收入均已纳入部门预算，部门支出按基本支出、项目支出分别编制。</w:t>
      </w:r>
    </w:p>
    <w:p w14:paraId="3D6BD7D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76D263A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2D7C408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725CCDF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822791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预算文本—部门项目支出预算表，中国人民政治协商会议保定市徐水区委员会2019年预算项目共5个（详见附件2-2-2），涉及资金63.52万元，所有项目均细化到具体用款单位及项目资金额度。项目预算细化率=（63.52/63.52）*100%=100%</w:t>
      </w:r>
    </w:p>
    <w:p w14:paraId="66FF397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2007372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w:t>
      </w:r>
      <w:r>
        <w:rPr>
          <w:rFonts w:ascii="仿宋_GB2312" w:eastAsia="仿宋_GB2312" w:cs="DengXian-Regular"/>
          <w:sz w:val="32"/>
          <w:szCs w:val="32"/>
        </w:rPr>
        <w:t>2</w:t>
      </w:r>
      <w:r>
        <w:rPr>
          <w:rFonts w:hint="eastAsia" w:ascii="仿宋_GB2312" w:eastAsia="仿宋_GB2312" w:cs="DengXian-Regular"/>
          <w:sz w:val="32"/>
          <w:szCs w:val="32"/>
        </w:rPr>
        <w:t>分）</w:t>
      </w:r>
    </w:p>
    <w:p w14:paraId="208911C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该指标主要考核截至2019年底中国人民政治协商会议保定市徐水区委员会在职人员控制情况，通过在职人员控制率衡量。</w:t>
      </w:r>
    </w:p>
    <w:p w14:paraId="0462611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4173CBB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印发的《中国人民政治协商会议保定市徐水区委员会职能配置、内设机构和人员编制规定》的通知，中国人民政治协商会议保定市徐水区委员会人员编制为20人，根据中国人民政治协商会议保定市徐水区委员会2019年决算文本-部门基本情况表，截至2019年底，在职人员</w:t>
      </w:r>
      <w:r>
        <w:rPr>
          <w:rFonts w:ascii="仿宋_GB2312" w:eastAsia="仿宋_GB2312" w:cs="DengXian-Regular"/>
          <w:sz w:val="32"/>
          <w:szCs w:val="32"/>
        </w:rPr>
        <w:t>1</w:t>
      </w:r>
      <w:r>
        <w:rPr>
          <w:rFonts w:hint="eastAsia" w:ascii="仿宋_GB2312" w:eastAsia="仿宋_GB2312" w:cs="DengXian-Regular"/>
          <w:sz w:val="32"/>
          <w:szCs w:val="32"/>
        </w:rPr>
        <w:t>8人，在职人员控制率=（</w:t>
      </w:r>
      <w:r>
        <w:rPr>
          <w:rFonts w:ascii="仿宋_GB2312" w:eastAsia="仿宋_GB2312" w:cs="DengXian-Regular"/>
          <w:sz w:val="32"/>
          <w:szCs w:val="32"/>
        </w:rPr>
        <w:t>1</w:t>
      </w:r>
      <w:r>
        <w:rPr>
          <w:rFonts w:hint="eastAsia" w:ascii="仿宋_GB2312" w:eastAsia="仿宋_GB2312" w:cs="DengXian-Regular"/>
          <w:sz w:val="32"/>
          <w:szCs w:val="32"/>
        </w:rPr>
        <w:t>8/</w:t>
      </w:r>
      <w:r>
        <w:rPr>
          <w:rFonts w:ascii="仿宋_GB2312" w:eastAsia="仿宋_GB2312" w:cs="DengXian-Regular"/>
          <w:sz w:val="32"/>
          <w:szCs w:val="32"/>
        </w:rPr>
        <w:t>2</w:t>
      </w:r>
      <w:r>
        <w:rPr>
          <w:rFonts w:hint="eastAsia" w:ascii="仿宋_GB2312" w:eastAsia="仿宋_GB2312" w:cs="DengXian-Regular"/>
          <w:sz w:val="32"/>
          <w:szCs w:val="32"/>
        </w:rPr>
        <w:t>0）*100%=90%&lt;</w:t>
      </w:r>
      <w:r>
        <w:rPr>
          <w:rFonts w:ascii="仿宋_GB2312" w:eastAsia="仿宋_GB2312" w:cs="DengXian-Regular"/>
          <w:sz w:val="32"/>
          <w:szCs w:val="32"/>
        </w:rPr>
        <w:t>100%</w:t>
      </w:r>
      <w:r>
        <w:rPr>
          <w:rFonts w:hint="eastAsia" w:ascii="仿宋_GB2312" w:eastAsia="仿宋_GB2312" w:cs="DengXian-Regular"/>
          <w:sz w:val="32"/>
          <w:szCs w:val="32"/>
        </w:rPr>
        <w:t>。</w:t>
      </w:r>
    </w:p>
    <w:p w14:paraId="4AF41A1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57"/>
    <w:bookmarkEnd w:id="58"/>
    <w:p w14:paraId="0663C002">
      <w:pPr>
        <w:pStyle w:val="4"/>
        <w:spacing w:before="0" w:after="0"/>
        <w:ind w:firstLine="643"/>
        <w:jc w:val="both"/>
        <w:rPr>
          <w:rFonts w:ascii="楷体" w:hAnsi="楷体" w:eastAsia="楷体"/>
          <w:sz w:val="32"/>
        </w:rPr>
      </w:pPr>
      <w:bookmarkStart w:id="59" w:name="_Toc57553870"/>
      <w:r>
        <w:rPr>
          <w:rFonts w:hint="eastAsia" w:ascii="楷体" w:hAnsi="楷体" w:eastAsia="楷体"/>
          <w:sz w:val="32"/>
        </w:rPr>
        <w:t>（二）过程（48分）</w:t>
      </w:r>
      <w:bookmarkEnd w:id="59"/>
    </w:p>
    <w:p w14:paraId="5CE7DDD4">
      <w:pPr>
        <w:spacing w:after="0" w:line="360" w:lineRule="auto"/>
        <w:ind w:firstLine="640"/>
        <w:jc w:val="both"/>
        <w:textAlignment w:val="baseline"/>
        <w:rPr>
          <w:rFonts w:ascii="仿宋_GB2312" w:eastAsia="仿宋_GB2312" w:cs="DengXian-Regular"/>
          <w:sz w:val="32"/>
          <w:szCs w:val="32"/>
        </w:rPr>
      </w:pPr>
      <w:bookmarkStart w:id="60"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1B623D8">
      <w:pPr>
        <w:spacing w:after="0" w:line="360" w:lineRule="auto"/>
        <w:ind w:firstLine="643"/>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9"/>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0AD6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7E27DADE">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269B0E7F">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0A4AAE3">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0617E2AE">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360D750A">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4C6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A1156C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5B93240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565812C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18BCFE9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4449C98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359E3C1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5B97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735EF24E"/>
        </w:tc>
        <w:tc>
          <w:tcPr>
            <w:vMerge w:val="continue"/>
          </w:tcPr>
          <w:p w14:paraId="18199CA6"/>
        </w:tc>
        <w:tc>
          <w:tcPr>
            <w:tcW w:w="2277" w:type="dxa"/>
            <w:vAlign w:val="center"/>
          </w:tcPr>
          <w:p w14:paraId="08EE1F81">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35ED8E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C3CFE7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0F1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06C3B0D5"/>
        </w:tc>
        <w:tc>
          <w:tcPr>
            <w:vMerge w:val="continue"/>
          </w:tcPr>
          <w:p w14:paraId="661B7448"/>
        </w:tc>
        <w:tc>
          <w:tcPr>
            <w:tcW w:w="2277" w:type="dxa"/>
            <w:vAlign w:val="center"/>
          </w:tcPr>
          <w:p w14:paraId="60DDD4F9">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0874385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9A8618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EA1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3548C5E9"/>
        </w:tc>
        <w:tc>
          <w:tcPr>
            <w:vMerge w:val="continue"/>
          </w:tcPr>
          <w:p w14:paraId="79C9A026"/>
        </w:tc>
        <w:tc>
          <w:tcPr>
            <w:tcW w:w="2277" w:type="dxa"/>
            <w:vAlign w:val="center"/>
          </w:tcPr>
          <w:p w14:paraId="506B255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055D107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E3E1BA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85B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21942A4B"/>
        </w:tc>
        <w:tc>
          <w:tcPr>
            <w:vMerge w:val="continue"/>
          </w:tcPr>
          <w:p w14:paraId="282634B0"/>
        </w:tc>
        <w:tc>
          <w:tcPr>
            <w:tcW w:w="2277" w:type="dxa"/>
            <w:vAlign w:val="center"/>
          </w:tcPr>
          <w:p w14:paraId="6503922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DA6AB3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44B5B3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7496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7117A85F"/>
        </w:tc>
        <w:tc>
          <w:tcPr>
            <w:vMerge w:val="continue"/>
          </w:tcPr>
          <w:p w14:paraId="17FB8016"/>
        </w:tc>
        <w:tc>
          <w:tcPr>
            <w:tcW w:w="2277" w:type="dxa"/>
            <w:vAlign w:val="center"/>
          </w:tcPr>
          <w:p w14:paraId="6D768CF7">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7A84282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F6A360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401D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5E93D4CE"/>
        </w:tc>
        <w:tc>
          <w:tcPr>
            <w:vMerge w:val="continue"/>
          </w:tcPr>
          <w:p w14:paraId="68C9F53D"/>
        </w:tc>
        <w:tc>
          <w:tcPr>
            <w:tcW w:w="2277" w:type="dxa"/>
            <w:vAlign w:val="center"/>
          </w:tcPr>
          <w:p w14:paraId="455C56C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16D3D75">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FFB00D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951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5358F0CC"/>
        </w:tc>
        <w:tc>
          <w:tcPr>
            <w:vMerge w:val="continue"/>
          </w:tcPr>
          <w:p w14:paraId="06AA7C6E"/>
        </w:tc>
        <w:tc>
          <w:tcPr>
            <w:tcW w:w="2277" w:type="dxa"/>
            <w:vAlign w:val="center"/>
          </w:tcPr>
          <w:p w14:paraId="238811BD">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B22584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167B86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872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0FE6E863"/>
        </w:tc>
        <w:tc>
          <w:tcPr>
            <w:tcW w:w="1388" w:type="dxa"/>
            <w:vMerge w:val="restart"/>
            <w:vAlign w:val="center"/>
          </w:tcPr>
          <w:p w14:paraId="753616E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5DF1F231">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579D98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3F99EB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A166F72">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949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57F9B1B7"/>
        </w:tc>
        <w:tc>
          <w:tcPr>
            <w:vMerge w:val="continue"/>
          </w:tcPr>
          <w:p w14:paraId="73D43A34"/>
        </w:tc>
        <w:tc>
          <w:tcPr>
            <w:tcW w:w="2277" w:type="dxa"/>
            <w:vAlign w:val="center"/>
          </w:tcPr>
          <w:p w14:paraId="0BDE40CF">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2D5FBC3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FD926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AAD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051AEFEB"/>
        </w:tc>
        <w:tc>
          <w:tcPr>
            <w:vMerge w:val="continue"/>
          </w:tcPr>
          <w:p w14:paraId="589AF45F"/>
        </w:tc>
        <w:tc>
          <w:tcPr>
            <w:tcW w:w="2277" w:type="dxa"/>
            <w:vAlign w:val="center"/>
          </w:tcPr>
          <w:p w14:paraId="73AE0AA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B44D22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22538E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4C7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vMerge w:val="continue"/>
          </w:tcPr>
          <w:p w14:paraId="1ABEDD04"/>
        </w:tc>
        <w:tc>
          <w:tcPr>
            <w:vMerge w:val="continue"/>
          </w:tcPr>
          <w:p w14:paraId="7A66CE5A"/>
        </w:tc>
        <w:tc>
          <w:tcPr>
            <w:tcW w:w="2277" w:type="dxa"/>
            <w:vAlign w:val="center"/>
          </w:tcPr>
          <w:p w14:paraId="5FB92A8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52F5A3C0">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D9A11A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348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vMerge w:val="continue"/>
          </w:tcPr>
          <w:p w14:paraId="1F8BEB2D"/>
        </w:tc>
        <w:tc>
          <w:tcPr>
            <w:tcW w:w="1388" w:type="dxa"/>
            <w:vMerge w:val="restart"/>
            <w:vAlign w:val="center"/>
          </w:tcPr>
          <w:p w14:paraId="478737F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3FE431C3">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684ED2E8">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35C51DC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EB45E3E">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AF9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1" w:hRule="exact"/>
          <w:jc w:val="center"/>
        </w:trPr>
        <w:tc>
          <w:tcPr>
            <w:vMerge w:val="continue"/>
          </w:tcPr>
          <w:p w14:paraId="2F490698"/>
        </w:tc>
        <w:tc>
          <w:tcPr>
            <w:vMerge w:val="continue"/>
          </w:tcPr>
          <w:p w14:paraId="1D98422C"/>
        </w:tc>
        <w:tc>
          <w:tcPr>
            <w:tcW w:w="2277" w:type="dxa"/>
            <w:vAlign w:val="center"/>
          </w:tcPr>
          <w:p w14:paraId="34B67EF4">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C7CB45B">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82E0E76">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AAE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1" w:hRule="exact"/>
          <w:jc w:val="center"/>
        </w:trPr>
        <w:tc>
          <w:tcPr>
            <w:tcW w:w="2945" w:type="dxa"/>
            <w:gridSpan w:val="2"/>
            <w:vAlign w:val="center"/>
          </w:tcPr>
          <w:p w14:paraId="4A78C59A">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3B2EA1E6">
            <w:pPr>
              <w:spacing w:line="420" w:lineRule="exact"/>
              <w:ind w:firstLine="420"/>
              <w:jc w:val="center"/>
              <w:rPr>
                <w:rFonts w:cs="宋体" w:asciiTheme="minorEastAsia" w:hAnsiTheme="minorEastAsia" w:eastAsiaTheme="minorEastAsia"/>
                <w:sz w:val="21"/>
                <w:szCs w:val="21"/>
              </w:rPr>
            </w:pPr>
          </w:p>
        </w:tc>
        <w:tc>
          <w:tcPr>
            <w:tcW w:w="1155" w:type="dxa"/>
            <w:vAlign w:val="center"/>
          </w:tcPr>
          <w:p w14:paraId="43A2D1A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7198ADBC">
            <w:pPr>
              <w:spacing w:line="420" w:lineRule="exact"/>
              <w:ind w:firstLine="42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w:t>
            </w:r>
          </w:p>
        </w:tc>
      </w:tr>
      <w:bookmarkEnd w:id="60"/>
    </w:tbl>
    <w:p w14:paraId="2D55E696">
      <w:pPr>
        <w:spacing w:after="0" w:line="360" w:lineRule="auto"/>
        <w:ind w:firstLine="640"/>
        <w:jc w:val="both"/>
        <w:textAlignment w:val="baseline"/>
        <w:rPr>
          <w:rFonts w:ascii="仿宋_GB2312" w:eastAsia="仿宋_GB2312" w:cs="DengXian-Regular"/>
          <w:sz w:val="32"/>
          <w:szCs w:val="32"/>
        </w:rPr>
      </w:pPr>
      <w:bookmarkStart w:id="61" w:name="_Toc465149514"/>
      <w:bookmarkStart w:id="62" w:name="_Toc464638487"/>
      <w:r>
        <w:rPr>
          <w:rFonts w:hint="eastAsia" w:ascii="仿宋_GB2312" w:eastAsia="仿宋_GB2312" w:cs="DengXian-Regular"/>
          <w:sz w:val="32"/>
          <w:szCs w:val="32"/>
        </w:rPr>
        <w:t>1.预算执行（18</w:t>
      </w:r>
      <w:r>
        <w:rPr>
          <w:rFonts w:ascii="仿宋_GB2312" w:eastAsia="仿宋_GB2312" w:cs="DengXian-Regular"/>
          <w:sz w:val="32"/>
          <w:szCs w:val="32"/>
        </w:rPr>
        <w:t>.63</w:t>
      </w:r>
      <w:r>
        <w:rPr>
          <w:rFonts w:hint="eastAsia" w:ascii="仿宋_GB2312" w:eastAsia="仿宋_GB2312" w:cs="DengXian-Regular"/>
          <w:sz w:val="32"/>
          <w:szCs w:val="32"/>
        </w:rPr>
        <w:t>分）</w:t>
      </w:r>
    </w:p>
    <w:p w14:paraId="41C921C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（1）预算收入调整率（0分）</w:t>
      </w:r>
    </w:p>
    <w:p w14:paraId="0D5E1E5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4C5C39A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9820FE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根据中国人民政治协商会议保定市徐水区委员会提供的预算指标文件，区政协201</w:t>
      </w:r>
      <w:r>
        <w:rPr>
          <w:rFonts w:ascii="仿宋_GB2312" w:eastAsia="仿宋_GB2312" w:cs="DengXian-Regular"/>
          <w:sz w:val="32"/>
          <w:szCs w:val="32"/>
        </w:rPr>
        <w:t>9</w:t>
      </w:r>
      <w:r>
        <w:rPr>
          <w:rFonts w:hint="eastAsia" w:ascii="仿宋_GB2312" w:eastAsia="仿宋_GB2312" w:cs="DengXian-Regular"/>
          <w:sz w:val="32"/>
          <w:szCs w:val="32"/>
        </w:rPr>
        <w:t>年度预算收入的调减数</w:t>
      </w:r>
      <w:r>
        <w:rPr>
          <w:rFonts w:ascii="仿宋_GB2312" w:eastAsia="仿宋_GB2312" w:cs="DengXian-Regular"/>
          <w:sz w:val="32"/>
          <w:szCs w:val="32"/>
        </w:rPr>
        <w:t>为</w:t>
      </w:r>
      <w:r>
        <w:rPr>
          <w:rFonts w:hint="eastAsia" w:ascii="仿宋_GB2312" w:eastAsia="仿宋_GB2312" w:cs="DengXian-Regular"/>
          <w:sz w:val="32"/>
          <w:szCs w:val="32"/>
        </w:rPr>
        <w:t>76.89万元</w:t>
      </w:r>
      <w:r>
        <w:rPr>
          <w:rFonts w:ascii="仿宋_GB2312" w:eastAsia="仿宋_GB2312" w:cs="DengXian-Regular"/>
          <w:sz w:val="32"/>
          <w:szCs w:val="32"/>
        </w:rPr>
        <w:t>，</w:t>
      </w:r>
      <w:r>
        <w:rPr>
          <w:rFonts w:hint="eastAsia" w:ascii="仿宋_GB2312" w:eastAsia="仿宋_GB2312" w:cs="DengXian-Regular"/>
          <w:sz w:val="32"/>
          <w:szCs w:val="32"/>
        </w:rPr>
        <w:t>年初预算数为553.67万元，预算</w:t>
      </w:r>
      <w:r>
        <w:rPr>
          <w:rFonts w:ascii="仿宋_GB2312" w:eastAsia="仿宋_GB2312" w:cs="DengXian-Regular"/>
          <w:sz w:val="32"/>
          <w:szCs w:val="32"/>
        </w:rPr>
        <w:t>收入调减数应为</w:t>
      </w:r>
      <w:r>
        <w:rPr>
          <w:rFonts w:hint="eastAsia" w:ascii="仿宋_GB2312" w:eastAsia="仿宋_GB2312" w:cs="DengXian-Regular"/>
          <w:sz w:val="32"/>
          <w:szCs w:val="32"/>
        </w:rPr>
        <w:t>76.89万元</w:t>
      </w:r>
      <w:r>
        <w:rPr>
          <w:rFonts w:ascii="仿宋_GB2312" w:eastAsia="仿宋_GB2312" w:cs="DengXian-Regular"/>
          <w:sz w:val="32"/>
          <w:szCs w:val="32"/>
        </w:rPr>
        <w:t>，预算数应为</w:t>
      </w:r>
      <w:r>
        <w:rPr>
          <w:rFonts w:hint="eastAsia" w:ascii="仿宋_GB2312" w:eastAsia="仿宋_GB2312" w:cs="DengXian-Regular"/>
          <w:sz w:val="32"/>
          <w:szCs w:val="32"/>
        </w:rPr>
        <w:t>476.78万元,预算收入调减率为76.89</w:t>
      </w:r>
      <w:r>
        <w:rPr>
          <w:rFonts w:ascii="仿宋_GB2312" w:eastAsia="仿宋_GB2312" w:cs="DengXian-Regular"/>
          <w:sz w:val="32"/>
          <w:szCs w:val="32"/>
        </w:rPr>
        <w:t>/</w:t>
      </w:r>
      <w:r>
        <w:rPr>
          <w:rFonts w:hint="eastAsia" w:ascii="仿宋_GB2312" w:eastAsia="仿宋_GB2312" w:cs="DengXian-Regular"/>
          <w:sz w:val="32"/>
          <w:szCs w:val="32"/>
        </w:rPr>
        <w:t>553.67</w:t>
      </w:r>
      <w:r>
        <w:rPr>
          <w:rFonts w:ascii="仿宋_GB2312" w:eastAsia="仿宋_GB2312" w:cs="DengXian-Regular"/>
          <w:sz w:val="32"/>
          <w:szCs w:val="32"/>
        </w:rPr>
        <w:t>*100%=</w:t>
      </w:r>
      <w:r>
        <w:rPr>
          <w:rFonts w:hint="eastAsia" w:ascii="仿宋_GB2312" w:eastAsia="仿宋_GB2312" w:cs="DengXian-Regular"/>
          <w:sz w:val="32"/>
          <w:szCs w:val="32"/>
        </w:rPr>
        <w:t>13.89%。</w:t>
      </w:r>
      <w:r>
        <w:rPr>
          <w:rFonts w:ascii="仿宋_GB2312" w:eastAsia="仿宋_GB2312" w:cs="DengXian-Regular"/>
          <w:sz w:val="32"/>
          <w:szCs w:val="32"/>
        </w:rPr>
        <w:t>预算调减了</w:t>
      </w:r>
      <w:r>
        <w:rPr>
          <w:rFonts w:hint="eastAsia" w:ascii="仿宋_GB2312" w:eastAsia="仿宋_GB2312" w:cs="DengXian-Regular"/>
          <w:sz w:val="32"/>
          <w:szCs w:val="32"/>
        </w:rPr>
        <w:t>13.89个</w:t>
      </w:r>
      <w:r>
        <w:rPr>
          <w:rFonts w:ascii="仿宋_GB2312" w:eastAsia="仿宋_GB2312" w:cs="DengXian-Regular"/>
          <w:sz w:val="32"/>
          <w:szCs w:val="32"/>
        </w:rPr>
        <w:t>百分点，扣</w:t>
      </w:r>
      <w:r>
        <w:rPr>
          <w:rFonts w:hint="eastAsia" w:ascii="仿宋_GB2312" w:eastAsia="仿宋_GB2312" w:cs="DengXian-Regular"/>
          <w:sz w:val="32"/>
          <w:szCs w:val="32"/>
        </w:rPr>
        <w:t>13.89*0.1*2</w:t>
      </w:r>
      <w:r>
        <w:rPr>
          <w:rFonts w:ascii="仿宋_GB2312" w:eastAsia="仿宋_GB2312" w:cs="DengXian-Regular"/>
          <w:sz w:val="32"/>
          <w:szCs w:val="32"/>
        </w:rPr>
        <w:t>=</w:t>
      </w:r>
      <w:r>
        <w:rPr>
          <w:rFonts w:hint="eastAsia" w:ascii="仿宋_GB2312" w:eastAsia="仿宋_GB2312" w:cs="DengXian-Regular"/>
          <w:sz w:val="32"/>
          <w:szCs w:val="32"/>
        </w:rPr>
        <w:t>2.79分</w:t>
      </w:r>
    </w:p>
    <w:p w14:paraId="6A7BC2D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该项指标实际得分0分。</w:t>
      </w:r>
    </w:p>
    <w:p w14:paraId="7C51200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w:t>
      </w:r>
      <w:r>
        <w:rPr>
          <w:rFonts w:ascii="仿宋_GB2312" w:eastAsia="仿宋_GB2312" w:cs="DengXian-Regular"/>
          <w:sz w:val="32"/>
          <w:szCs w:val="32"/>
        </w:rPr>
        <w:t>4</w:t>
      </w:r>
      <w:r>
        <w:rPr>
          <w:rFonts w:hint="eastAsia" w:ascii="仿宋_GB2312" w:eastAsia="仿宋_GB2312" w:cs="DengXian-Regular"/>
          <w:sz w:val="32"/>
          <w:szCs w:val="32"/>
        </w:rPr>
        <w:t>分）</w:t>
      </w:r>
    </w:p>
    <w:p w14:paraId="7E35D28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91E56B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2BB4E8F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根据中国人民政治协商会议保定市徐水区委员会办公室2019年预算文本、决算文本，2019年收入预算数476.78万元，</w:t>
      </w:r>
      <w:r>
        <w:rPr>
          <w:rFonts w:ascii="仿宋_GB2312" w:eastAsia="仿宋_GB2312" w:cs="DengXian-Regular"/>
          <w:sz w:val="32"/>
          <w:szCs w:val="32"/>
        </w:rPr>
        <w:t>预算数应为</w:t>
      </w:r>
      <w:r>
        <w:rPr>
          <w:rFonts w:hint="eastAsia" w:ascii="仿宋_GB2312" w:eastAsia="仿宋_GB2312" w:cs="DengXian-Regular"/>
          <w:sz w:val="32"/>
          <w:szCs w:val="32"/>
        </w:rPr>
        <w:t>553.67万元</w:t>
      </w:r>
      <w:r>
        <w:rPr>
          <w:rFonts w:ascii="仿宋_GB2312" w:eastAsia="仿宋_GB2312" w:cs="DengXian-Regular"/>
          <w:sz w:val="32"/>
          <w:szCs w:val="32"/>
        </w:rPr>
        <w:t>，</w:t>
      </w:r>
      <w:r>
        <w:rPr>
          <w:rFonts w:hint="eastAsia" w:ascii="仿宋_GB2312" w:eastAsia="仿宋_GB2312" w:cs="DengXian-Regular"/>
          <w:sz w:val="32"/>
          <w:szCs w:val="32"/>
        </w:rPr>
        <w:t>收入决算数476.78万元，收入完成率=（476.78/553.67）*100%=86.11%</w:t>
      </w:r>
      <w:r>
        <w:rPr>
          <w:rFonts w:hint="eastAsia" w:ascii="仿宋" w:hAnsi="仿宋" w:eastAsia="仿宋" w:cs="DengXian-Regular"/>
          <w:sz w:val="32"/>
          <w:szCs w:val="32"/>
        </w:rPr>
        <w:t>＜</w:t>
      </w:r>
      <w:r>
        <w:rPr>
          <w:rFonts w:hint="eastAsia" w:ascii="仿宋_GB2312" w:eastAsia="仿宋_GB2312" w:cs="DengXian-Regular"/>
          <w:sz w:val="32"/>
          <w:szCs w:val="32"/>
        </w:rPr>
        <w:t>9</w:t>
      </w:r>
      <w:r>
        <w:rPr>
          <w:rFonts w:ascii="仿宋_GB2312" w:eastAsia="仿宋_GB2312" w:cs="DengXian-Regular"/>
          <w:sz w:val="32"/>
          <w:szCs w:val="32"/>
        </w:rPr>
        <w:t>5%</w:t>
      </w:r>
      <w:r>
        <w:rPr>
          <w:rFonts w:hint="eastAsia" w:ascii="仿宋_GB2312" w:eastAsia="仿宋_GB2312" w:cs="DengXian-Regular"/>
          <w:sz w:val="32"/>
          <w:szCs w:val="32"/>
        </w:rPr>
        <w:t>。</w:t>
      </w:r>
    </w:p>
    <w:p w14:paraId="33A8134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8B8E15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362BE0D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38D484A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555A6AF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根据中国人民政治协商会议保定市徐水区委员会办公室提供的预算指标文件，中国人民政治协商会议保定市徐水区委员会201</w:t>
      </w:r>
      <w:r>
        <w:rPr>
          <w:rFonts w:ascii="仿宋_GB2312" w:eastAsia="仿宋_GB2312" w:cs="DengXian-Regular"/>
          <w:sz w:val="32"/>
          <w:szCs w:val="32"/>
        </w:rPr>
        <w:t>9</w:t>
      </w:r>
      <w:r>
        <w:rPr>
          <w:rFonts w:hint="eastAsia" w:ascii="仿宋_GB2312" w:eastAsia="仿宋_GB2312" w:cs="DengXian-Regular"/>
          <w:sz w:val="32"/>
          <w:szCs w:val="32"/>
        </w:rPr>
        <w:t>年度预算支出的调减数</w:t>
      </w:r>
      <w:r>
        <w:rPr>
          <w:rFonts w:ascii="仿宋_GB2312" w:eastAsia="仿宋_GB2312" w:cs="DengXian-Regular"/>
          <w:sz w:val="32"/>
          <w:szCs w:val="32"/>
        </w:rPr>
        <w:t>为</w:t>
      </w:r>
      <w:r>
        <w:rPr>
          <w:rFonts w:hint="eastAsia" w:ascii="仿宋_GB2312" w:eastAsia="仿宋_GB2312" w:cs="DengXian-Regular"/>
          <w:sz w:val="32"/>
          <w:szCs w:val="32"/>
        </w:rPr>
        <w:t>76.89万元</w:t>
      </w:r>
      <w:r>
        <w:rPr>
          <w:rFonts w:ascii="仿宋_GB2312" w:eastAsia="仿宋_GB2312" w:cs="DengXian-Regular"/>
          <w:sz w:val="32"/>
          <w:szCs w:val="32"/>
        </w:rPr>
        <w:t>，</w:t>
      </w:r>
      <w:r>
        <w:rPr>
          <w:rFonts w:hint="eastAsia" w:ascii="仿宋_GB2312" w:eastAsia="仿宋_GB2312" w:cs="DengXian-Regular"/>
          <w:sz w:val="32"/>
          <w:szCs w:val="32"/>
        </w:rPr>
        <w:t>年初预算数为553.67万元，预算支出</w:t>
      </w:r>
      <w:r>
        <w:rPr>
          <w:rFonts w:ascii="仿宋_GB2312" w:eastAsia="仿宋_GB2312" w:cs="DengXian-Regular"/>
          <w:sz w:val="32"/>
          <w:szCs w:val="32"/>
        </w:rPr>
        <w:t>调减数应为</w:t>
      </w:r>
      <w:r>
        <w:rPr>
          <w:rFonts w:hint="eastAsia" w:ascii="仿宋_GB2312" w:eastAsia="仿宋_GB2312" w:cs="DengXian-Regular"/>
          <w:sz w:val="32"/>
          <w:szCs w:val="32"/>
        </w:rPr>
        <w:t>76.89万元</w:t>
      </w:r>
      <w:r>
        <w:rPr>
          <w:rFonts w:ascii="仿宋_GB2312" w:eastAsia="仿宋_GB2312" w:cs="DengXian-Regular"/>
          <w:sz w:val="32"/>
          <w:szCs w:val="32"/>
        </w:rPr>
        <w:t>，预算数应为</w:t>
      </w:r>
      <w:r>
        <w:rPr>
          <w:rFonts w:hint="eastAsia" w:ascii="仿宋_GB2312" w:eastAsia="仿宋_GB2312" w:cs="DengXian-Regular"/>
          <w:sz w:val="32"/>
          <w:szCs w:val="32"/>
        </w:rPr>
        <w:t>553.67万元,预算支出调减率为76.89</w:t>
      </w:r>
      <w:r>
        <w:rPr>
          <w:rFonts w:ascii="仿宋_GB2312" w:eastAsia="仿宋_GB2312" w:cs="DengXian-Regular"/>
          <w:sz w:val="32"/>
          <w:szCs w:val="32"/>
        </w:rPr>
        <w:t>/</w:t>
      </w:r>
      <w:r>
        <w:rPr>
          <w:rFonts w:hint="eastAsia" w:ascii="仿宋_GB2312" w:eastAsia="仿宋_GB2312" w:cs="DengXian-Regular"/>
          <w:sz w:val="32"/>
          <w:szCs w:val="32"/>
        </w:rPr>
        <w:t>553.67</w:t>
      </w:r>
      <w:r>
        <w:rPr>
          <w:rFonts w:ascii="仿宋_GB2312" w:eastAsia="仿宋_GB2312" w:cs="DengXian-Regular"/>
          <w:sz w:val="32"/>
          <w:szCs w:val="32"/>
        </w:rPr>
        <w:t>*100%=</w:t>
      </w:r>
      <w:r>
        <w:rPr>
          <w:rFonts w:hint="eastAsia" w:ascii="仿宋_GB2312" w:eastAsia="仿宋_GB2312" w:cs="DengXian-Regular"/>
          <w:sz w:val="32"/>
          <w:szCs w:val="32"/>
        </w:rPr>
        <w:t>13.89%。</w:t>
      </w:r>
      <w:r>
        <w:rPr>
          <w:rFonts w:ascii="仿宋_GB2312" w:eastAsia="仿宋_GB2312" w:cs="DengXian-Regular"/>
          <w:sz w:val="32"/>
          <w:szCs w:val="32"/>
        </w:rPr>
        <w:t>预算调减了</w:t>
      </w:r>
      <w:r>
        <w:rPr>
          <w:rFonts w:hint="eastAsia" w:ascii="仿宋_GB2312" w:eastAsia="仿宋_GB2312" w:cs="DengXian-Regular"/>
          <w:sz w:val="32"/>
          <w:szCs w:val="32"/>
        </w:rPr>
        <w:t>13.89个</w:t>
      </w:r>
      <w:r>
        <w:rPr>
          <w:rFonts w:ascii="仿宋_GB2312" w:eastAsia="仿宋_GB2312" w:cs="DengXian-Regular"/>
          <w:sz w:val="32"/>
          <w:szCs w:val="32"/>
        </w:rPr>
        <w:t>百分点，</w:t>
      </w:r>
      <w:r>
        <w:rPr>
          <w:rFonts w:hint="eastAsia" w:ascii="仿宋_GB2312" w:eastAsia="仿宋_GB2312" w:cs="DengXian-Regular"/>
          <w:sz w:val="32"/>
          <w:szCs w:val="32"/>
        </w:rPr>
        <w:t>加13.89*0.1*2</w:t>
      </w:r>
      <w:r>
        <w:rPr>
          <w:rFonts w:ascii="仿宋_GB2312" w:eastAsia="仿宋_GB2312" w:cs="DengXian-Regular"/>
          <w:sz w:val="32"/>
          <w:szCs w:val="32"/>
        </w:rPr>
        <w:t>=0</w:t>
      </w:r>
      <w:r>
        <w:rPr>
          <w:rFonts w:hint="eastAsia" w:ascii="仿宋_GB2312" w:eastAsia="仿宋_GB2312" w:cs="DengXian-Regular"/>
          <w:sz w:val="32"/>
          <w:szCs w:val="32"/>
        </w:rPr>
        <w:t>分</w:t>
      </w:r>
    </w:p>
    <w:p w14:paraId="0FA14EB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2C1E8F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72F5E5D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10BBB71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56A8A89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中国人民政治协商会议保定市徐水区委员会办公室提供的2019年决算文本，部门决算财政拨款支出数480.05万元，财政拨款收入数476.78万元，财政拨款支出率=（480.05/476.78）*100%=</w:t>
      </w:r>
      <w:r>
        <w:rPr>
          <w:rFonts w:ascii="仿宋_GB2312" w:eastAsia="仿宋_GB2312" w:cs="DengXian-Regular"/>
          <w:sz w:val="32"/>
          <w:szCs w:val="32"/>
        </w:rPr>
        <w:t>100.</w:t>
      </w:r>
      <w:r>
        <w:rPr>
          <w:rFonts w:hint="eastAsia" w:ascii="仿宋_GB2312" w:eastAsia="仿宋_GB2312" w:cs="DengXian-Regular"/>
          <w:sz w:val="32"/>
          <w:szCs w:val="32"/>
        </w:rPr>
        <w:t>0</w:t>
      </w:r>
      <w:r>
        <w:rPr>
          <w:rFonts w:ascii="仿宋_GB2312" w:eastAsia="仿宋_GB2312" w:cs="DengXian-Regular"/>
          <w:sz w:val="32"/>
          <w:szCs w:val="32"/>
        </w:rPr>
        <w:t>12</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90%。中国人民政治协商会议保定市徐水区委员会2019年年初结转和结余</w:t>
      </w:r>
      <w:r>
        <w:rPr>
          <w:rFonts w:ascii="仿宋_GB2312" w:eastAsia="仿宋_GB2312" w:cs="DengXian-Regular"/>
          <w:sz w:val="32"/>
          <w:szCs w:val="32"/>
        </w:rPr>
        <w:t>8.36</w:t>
      </w:r>
      <w:r>
        <w:rPr>
          <w:rFonts w:hint="eastAsia" w:ascii="仿宋_GB2312" w:eastAsia="仿宋_GB2312" w:cs="DengXian-Regular"/>
          <w:sz w:val="32"/>
          <w:szCs w:val="32"/>
        </w:rPr>
        <w:t>万元，故支出数大于收入数。</w:t>
      </w:r>
    </w:p>
    <w:p w14:paraId="2AE1576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32FBBF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3E98EC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3DAE92D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5AD425E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根据中国人民政治协商会议保定市徐水区委员会2019年预算文本及决算文本，“三公”经费年初预算数18万元，年末决算数5.57万元，“三公”经费控制率=（5.57/18）*100%=</w:t>
      </w:r>
      <w:r>
        <w:rPr>
          <w:rFonts w:ascii="仿宋_GB2312" w:eastAsia="仿宋_GB2312" w:cs="DengXian-Regular"/>
          <w:sz w:val="32"/>
          <w:szCs w:val="32"/>
        </w:rPr>
        <w:t>30.</w:t>
      </w:r>
      <w:r>
        <w:rPr>
          <w:rFonts w:hint="eastAsia" w:ascii="仿宋_GB2312" w:eastAsia="仿宋_GB2312" w:cs="DengXian-Regular"/>
          <w:sz w:val="32"/>
          <w:szCs w:val="32"/>
        </w:rPr>
        <w:t>94%</w:t>
      </w:r>
      <w:r>
        <w:rPr>
          <w:rFonts w:ascii="Arial" w:hAnsi="Arial" w:eastAsia="仿宋_GB2312" w:cs="Arial"/>
          <w:sz w:val="32"/>
          <w:szCs w:val="32"/>
        </w:rPr>
        <w:t>≤</w:t>
      </w:r>
      <w:r>
        <w:rPr>
          <w:rFonts w:hint="eastAsia" w:ascii="仿宋_GB2312" w:eastAsia="仿宋_GB2312" w:cs="DengXian-Regular"/>
          <w:sz w:val="32"/>
          <w:szCs w:val="32"/>
        </w:rPr>
        <w:t>100%。</w:t>
      </w:r>
    </w:p>
    <w:p w14:paraId="2B31A84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B424DD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w:t>
      </w:r>
      <w:r>
        <w:rPr>
          <w:rFonts w:ascii="仿宋_GB2312" w:eastAsia="仿宋_GB2312" w:cs="DengXian-Regular"/>
          <w:sz w:val="32"/>
          <w:szCs w:val="32"/>
        </w:rPr>
        <w:t>0</w:t>
      </w:r>
      <w:r>
        <w:rPr>
          <w:rFonts w:hint="eastAsia" w:ascii="仿宋_GB2312" w:eastAsia="仿宋_GB2312" w:cs="DengXian-Regular"/>
          <w:sz w:val="32"/>
          <w:szCs w:val="32"/>
        </w:rPr>
        <w:t>分）</w:t>
      </w:r>
    </w:p>
    <w:p w14:paraId="51A0C66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7EB87E3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11A4182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根据中国人民政治协商会议保定市徐水区委员会办公室2019年预算文本及决算文本，政府采购年初预算数0万元，年末决算数</w:t>
      </w:r>
      <w:r>
        <w:rPr>
          <w:rFonts w:ascii="仿宋_GB2312" w:eastAsia="仿宋_GB2312" w:cs="DengXian-Regular"/>
          <w:sz w:val="32"/>
          <w:szCs w:val="32"/>
        </w:rPr>
        <w:t>0</w:t>
      </w:r>
      <w:r>
        <w:rPr>
          <w:rFonts w:hint="eastAsia" w:ascii="仿宋_GB2312" w:eastAsia="仿宋_GB2312" w:cs="DengXian-Regular"/>
          <w:sz w:val="32"/>
          <w:szCs w:val="32"/>
        </w:rPr>
        <w:t>万元，政府采购执行率为</w:t>
      </w:r>
      <w:r>
        <w:rPr>
          <w:rFonts w:ascii="仿宋_GB2312" w:eastAsia="仿宋_GB2312" w:cs="DengXian-Regular"/>
          <w:sz w:val="32"/>
          <w:szCs w:val="32"/>
        </w:rPr>
        <w:t>0</w:t>
      </w:r>
      <w:r>
        <w:rPr>
          <w:rFonts w:hint="eastAsia" w:ascii="仿宋_GB2312" w:eastAsia="仿宋_GB2312" w:cs="DengXian-Regular"/>
          <w:sz w:val="32"/>
          <w:szCs w:val="32"/>
        </w:rPr>
        <w:t>。</w:t>
      </w:r>
    </w:p>
    <w:p w14:paraId="10E5984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0</w:t>
      </w:r>
      <w:r>
        <w:rPr>
          <w:rFonts w:hint="eastAsia" w:ascii="仿宋_GB2312" w:eastAsia="仿宋_GB2312" w:cs="DengXian-Regular"/>
          <w:sz w:val="32"/>
          <w:szCs w:val="32"/>
        </w:rPr>
        <w:t>分。</w:t>
      </w:r>
    </w:p>
    <w:p w14:paraId="0BD8D50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6156073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3E8BA98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2019年明细账、会计凭证等相关资料，中国人民政治协商会议保定市徐水区委员会办公室资金使用符合相关会计准则和财务制度，资金拨付有完备的审批程序和手续，资金使用符合部门预算批复的用途，未发现截留、挤占、挪用财政资金的情况。</w:t>
      </w:r>
    </w:p>
    <w:p w14:paraId="418517C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56D7D5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19FA2A9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5D648D62">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经核查中国人民政治协商会议保定市徐水区委员会办公室2019年决算文本、明细账及总账，中共保定市徐水区委组织部决算文本数据均与明细账、总账一致。</w:t>
      </w:r>
    </w:p>
    <w:p w14:paraId="4840E66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4B47E3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6151F39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25BAB6E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35209DF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工作制度涵盖了财务制度、网络安全制度、公务用车制度等相关制度，经检查中国人民政治协商会议保定市徐水区委员会办公室付款流程审批单、资产盘点表等资料，中国人民政治协商会议保定市徐水区委员会办公室已按照相关管理制度的规定执行。</w:t>
      </w:r>
    </w:p>
    <w:p w14:paraId="6CAA268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5CFAC54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21E73C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3BEE3B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中国人民政治协商会议保定市徐水区委员会办公室2019年按政府信息公开的有关要求在保定市徐水区人民政府网公开了2019年的预决算情况、部门责任清单、行政监督清单等相关信息。</w:t>
      </w:r>
    </w:p>
    <w:p w14:paraId="237D742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7DD71C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5F3E83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7A0C3D6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根据中国人民政治协商会议保定市徐水区委员会办公室提供的会计账簿、凭证及其他相关资料，中国人民政治协商会议保定市徐水区委员会办公室会计信息资料真实完整，</w:t>
      </w:r>
    </w:p>
    <w:p w14:paraId="4EA28C1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91CDEF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38AAAD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0B70EFF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中国人民政治协商会议保定市徐水区委员会办公室建立了固定资产台账，资产保存完整，2019年新增资产3.35万元，包含：电脑及计算机设备（0.79万元）、打印机（0.15万元），</w:t>
      </w:r>
      <w:r>
        <w:rPr>
          <w:rFonts w:ascii="仿宋_GB2312" w:eastAsia="仿宋_GB2312" w:cs="DengXian-Regular"/>
          <w:sz w:val="32"/>
          <w:szCs w:val="32"/>
        </w:rPr>
        <w:t>空调（</w:t>
      </w:r>
      <w:r>
        <w:rPr>
          <w:rFonts w:hint="eastAsia" w:ascii="仿宋_GB2312" w:eastAsia="仿宋_GB2312" w:cs="DengXian-Regular"/>
          <w:sz w:val="32"/>
          <w:szCs w:val="32"/>
        </w:rPr>
        <w:t>0.82万元</w:t>
      </w:r>
      <w:r>
        <w:rPr>
          <w:rFonts w:ascii="仿宋_GB2312" w:eastAsia="仿宋_GB2312" w:cs="DengXian-Regular"/>
          <w:sz w:val="32"/>
          <w:szCs w:val="32"/>
        </w:rPr>
        <w:t>），</w:t>
      </w:r>
      <w:r>
        <w:rPr>
          <w:rFonts w:hint="eastAsia" w:ascii="仿宋_GB2312" w:eastAsia="仿宋_GB2312" w:cs="DengXian-Regular"/>
          <w:sz w:val="32"/>
          <w:szCs w:val="32"/>
        </w:rPr>
        <w:t>办公家具（1.59万元</w:t>
      </w:r>
      <w:r>
        <w:rPr>
          <w:rFonts w:ascii="仿宋_GB2312" w:eastAsia="仿宋_GB2312" w:cs="DengXian-Regular"/>
          <w:sz w:val="32"/>
          <w:szCs w:val="32"/>
        </w:rPr>
        <w:t>）</w:t>
      </w:r>
      <w:r>
        <w:rPr>
          <w:rFonts w:hint="eastAsia" w:ascii="仿宋_GB2312" w:eastAsia="仿宋_GB2312" w:cs="DengXian-Regular"/>
          <w:sz w:val="32"/>
          <w:szCs w:val="32"/>
        </w:rPr>
        <w:t>，资产购置手续完备，配置符合要求，资产管理整体较规范。</w:t>
      </w:r>
    </w:p>
    <w:p w14:paraId="1F6BDA0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108302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3F382DD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32B397F5">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0232459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33CC9B1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根据徐水区财政局《关于开展2019年度财政专项资金部门绩效自评价工作的通知》及中国人民政治协商会议保定市徐水区委员会办公室2019年一般项目部门绩效自评表，中国人民政治协商会议保定市徐水区委员会办公室2019年开展绩效自评的项目数为5个，年初预算文本项目数5个，要求自评项目个数5个，自评覆盖率为 </w:t>
      </w:r>
      <w:r>
        <w:rPr>
          <w:rFonts w:ascii="仿宋_GB2312" w:eastAsia="仿宋_GB2312" w:cs="DengXian-Regular"/>
          <w:sz w:val="32"/>
          <w:szCs w:val="32"/>
        </w:rPr>
        <w:t>100</w:t>
      </w:r>
      <w:r>
        <w:rPr>
          <w:rFonts w:hint="eastAsia" w:ascii="仿宋_GB2312" w:eastAsia="仿宋_GB2312" w:cs="DengXian-Regular"/>
          <w:sz w:val="32"/>
          <w:szCs w:val="32"/>
        </w:rPr>
        <w:t>%。</w:t>
      </w:r>
    </w:p>
    <w:p w14:paraId="23C68D5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8CD410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39150D1">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3FD0194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79CCD2D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中国人民政治协商会议保定市徐水区委员会办公室2019年参评数量5个，绩效评价结果达到优等的数量5个，绩效评价优等率为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14:paraId="6A4F41E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1"/>
      <w:bookmarkEnd w:id="62"/>
    </w:p>
    <w:p w14:paraId="00F6DFF6">
      <w:pPr>
        <w:pStyle w:val="4"/>
        <w:spacing w:before="0" w:after="0"/>
        <w:ind w:firstLine="643"/>
        <w:jc w:val="both"/>
        <w:rPr>
          <w:rFonts w:ascii="楷体" w:hAnsi="楷体" w:eastAsia="楷体"/>
          <w:sz w:val="32"/>
        </w:rPr>
      </w:pPr>
      <w:bookmarkStart w:id="63" w:name="_Toc57553871"/>
      <w:r>
        <w:rPr>
          <w:rFonts w:hint="eastAsia" w:ascii="楷体" w:hAnsi="楷体" w:eastAsia="楷体"/>
          <w:sz w:val="32"/>
        </w:rPr>
        <w:t>（三）产出（25分）</w:t>
      </w:r>
      <w:bookmarkEnd w:id="63"/>
    </w:p>
    <w:p w14:paraId="5B5C1D59">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该一级指标包含责任履行一个二级指标，主要反映结转结余率，项目资金使用率，社区矫正人数，社区服刑人员再次犯罪率，法律援助案件办结率。</w:t>
      </w:r>
    </w:p>
    <w:p w14:paraId="4FE8E64A">
      <w:pPr>
        <w:spacing w:after="0" w:line="360" w:lineRule="auto"/>
        <w:ind w:firstLine="643"/>
        <w:jc w:val="center"/>
        <w:textAlignment w:val="baseline"/>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表4  产出指标及得分情况表</w:t>
      </w:r>
    </w:p>
    <w:tbl>
      <w:tblPr>
        <w:tblStyle w:val="9"/>
        <w:tblW w:w="7669" w:type="dxa"/>
        <w:jc w:val="center"/>
        <w:tblLayout w:type="fixed"/>
        <w:tblCellMar>
          <w:top w:w="15" w:type="dxa"/>
          <w:left w:w="15" w:type="dxa"/>
          <w:bottom w:w="15" w:type="dxa"/>
          <w:right w:w="15" w:type="dxa"/>
        </w:tblCellMar>
      </w:tblPr>
      <w:tblGrid>
        <w:gridCol w:w="1097"/>
        <w:gridCol w:w="992"/>
        <w:gridCol w:w="3760"/>
        <w:gridCol w:w="723"/>
        <w:gridCol w:w="1097"/>
      </w:tblGrid>
      <w:tr w14:paraId="1AB037DC">
        <w:tblPrEx>
          <w:tblCellMar>
            <w:top w:w="15" w:type="dxa"/>
            <w:left w:w="15" w:type="dxa"/>
            <w:bottom w:w="15" w:type="dxa"/>
            <w:right w:w="15" w:type="dxa"/>
          </w:tblCellMar>
        </w:tblPrEx>
        <w:trPr>
          <w:trHeight w:val="521" w:hRule="exact"/>
          <w:jc w:val="center"/>
        </w:trPr>
        <w:tc>
          <w:tcPr>
            <w:tcW w:w="1097" w:type="dxa"/>
            <w:tcBorders>
              <w:top w:val="single" w:color="000000" w:sz="4" w:space="0"/>
              <w:left w:val="single" w:color="000000" w:sz="4" w:space="0"/>
              <w:bottom w:val="single" w:color="000000" w:sz="4" w:space="0"/>
              <w:right w:val="single" w:color="000000" w:sz="4" w:space="0"/>
            </w:tcBorders>
            <w:vAlign w:val="center"/>
          </w:tcPr>
          <w:p w14:paraId="7BF0B619">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992" w:type="dxa"/>
            <w:tcBorders>
              <w:top w:val="single" w:color="000000" w:sz="4" w:space="0"/>
              <w:left w:val="single" w:color="000000" w:sz="4" w:space="0"/>
              <w:bottom w:val="single" w:color="000000" w:sz="4" w:space="0"/>
              <w:right w:val="single" w:color="000000" w:sz="4" w:space="0"/>
            </w:tcBorders>
            <w:vAlign w:val="center"/>
          </w:tcPr>
          <w:p w14:paraId="08B2AC66">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3760" w:type="dxa"/>
            <w:tcBorders>
              <w:top w:val="single" w:color="000000" w:sz="4" w:space="0"/>
              <w:left w:val="single" w:color="000000" w:sz="4" w:space="0"/>
              <w:bottom w:val="single" w:color="000000" w:sz="4" w:space="0"/>
              <w:right w:val="single" w:color="000000" w:sz="4" w:space="0"/>
            </w:tcBorders>
            <w:vAlign w:val="center"/>
          </w:tcPr>
          <w:p w14:paraId="48E06E44">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723" w:type="dxa"/>
            <w:tcBorders>
              <w:top w:val="single" w:color="000000" w:sz="4" w:space="0"/>
              <w:left w:val="single" w:color="000000" w:sz="4" w:space="0"/>
              <w:bottom w:val="single" w:color="000000" w:sz="4" w:space="0"/>
              <w:right w:val="single" w:color="000000" w:sz="4" w:space="0"/>
            </w:tcBorders>
            <w:vAlign w:val="center"/>
          </w:tcPr>
          <w:p w14:paraId="7DD905DA">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97" w:type="dxa"/>
            <w:tcBorders>
              <w:top w:val="single" w:color="000000" w:sz="4" w:space="0"/>
              <w:left w:val="single" w:color="000000" w:sz="4" w:space="0"/>
              <w:bottom w:val="single" w:color="000000" w:sz="4" w:space="0"/>
              <w:right w:val="single" w:color="000000" w:sz="4" w:space="0"/>
            </w:tcBorders>
            <w:vAlign w:val="center"/>
          </w:tcPr>
          <w:p w14:paraId="2D46839B">
            <w:pPr>
              <w:spacing w:after="0"/>
              <w:ind w:firstLine="422"/>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6AE5E70">
        <w:tblPrEx>
          <w:tblCellMar>
            <w:top w:w="15" w:type="dxa"/>
            <w:left w:w="15" w:type="dxa"/>
            <w:bottom w:w="15" w:type="dxa"/>
            <w:right w:w="15" w:type="dxa"/>
          </w:tblCellMar>
        </w:tblPrEx>
        <w:trPr>
          <w:trHeight w:val="521" w:hRule="exact"/>
          <w:jc w:val="center"/>
        </w:trPr>
        <w:tc>
          <w:tcPr>
            <w:tcW w:w="1097" w:type="dxa"/>
            <w:vMerge w:val="restart"/>
            <w:tcBorders>
              <w:top w:val="single" w:color="000000" w:sz="4" w:space="0"/>
              <w:left w:val="single" w:color="000000" w:sz="4" w:space="0"/>
              <w:bottom w:val="single" w:color="000000" w:sz="4" w:space="0"/>
              <w:right w:val="single" w:color="000000" w:sz="4" w:space="0"/>
            </w:tcBorders>
            <w:vAlign w:val="center"/>
          </w:tcPr>
          <w:p w14:paraId="714337A7">
            <w:pPr>
              <w:spacing w:line="420" w:lineRule="exact"/>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产出</w:t>
            </w:r>
          </w:p>
          <w:p w14:paraId="7A5D47DB">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（25分）</w:t>
            </w:r>
          </w:p>
        </w:tc>
        <w:tc>
          <w:tcPr>
            <w:tcW w:w="992" w:type="dxa"/>
            <w:vMerge w:val="restart"/>
            <w:tcBorders>
              <w:top w:val="single" w:color="000000" w:sz="4" w:space="0"/>
              <w:left w:val="single" w:color="000000" w:sz="4" w:space="0"/>
              <w:right w:val="single" w:color="000000" w:sz="4" w:space="0"/>
            </w:tcBorders>
            <w:vAlign w:val="center"/>
          </w:tcPr>
          <w:p w14:paraId="47D24C9E">
            <w:pPr>
              <w:spacing w:line="420" w:lineRule="exact"/>
              <w:ind w:firstLine="420"/>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责任履行（25分）</w:t>
            </w:r>
          </w:p>
        </w:tc>
        <w:tc>
          <w:tcPr>
            <w:tcW w:w="3760" w:type="dxa"/>
            <w:tcBorders>
              <w:top w:val="single" w:color="000000" w:sz="4" w:space="0"/>
              <w:left w:val="single" w:color="000000" w:sz="4" w:space="0"/>
              <w:bottom w:val="single" w:color="000000" w:sz="4" w:space="0"/>
              <w:right w:val="single" w:color="000000" w:sz="4" w:space="0"/>
            </w:tcBorders>
            <w:vAlign w:val="center"/>
          </w:tcPr>
          <w:p w14:paraId="6DBD726C">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结转结余率</w:t>
            </w:r>
          </w:p>
        </w:tc>
        <w:tc>
          <w:tcPr>
            <w:tcW w:w="723" w:type="dxa"/>
            <w:tcBorders>
              <w:top w:val="single" w:color="000000" w:sz="4" w:space="0"/>
              <w:left w:val="single" w:color="000000" w:sz="4" w:space="0"/>
              <w:bottom w:val="single" w:color="000000" w:sz="4" w:space="0"/>
              <w:right w:val="single" w:color="000000" w:sz="4" w:space="0"/>
            </w:tcBorders>
            <w:vAlign w:val="center"/>
          </w:tcPr>
          <w:p w14:paraId="71108C79">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736483EE">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r>
      <w:tr w14:paraId="3073A24A">
        <w:tblPrEx>
          <w:tblCellMar>
            <w:top w:w="15" w:type="dxa"/>
            <w:left w:w="15" w:type="dxa"/>
            <w:bottom w:w="15" w:type="dxa"/>
            <w:right w:w="15" w:type="dxa"/>
          </w:tblCellMar>
        </w:tblPrEx>
        <w:trPr>
          <w:trHeight w:val="521" w:hRule="exact"/>
          <w:jc w:val="center"/>
        </w:trPr>
        <w:tc>
          <w:tcPr>
            <w:vMerge w:val="continue"/>
            <w:tcBorders>
              <w:top w:val="single" w:color="000000" w:sz="4" w:space="0"/>
              <w:left w:val="single" w:color="000000" w:sz="4" w:space="0"/>
              <w:bottom w:val="single" w:color="000000" w:sz="4" w:space="0"/>
              <w:right w:val="single" w:color="000000" w:sz="4" w:space="0"/>
            </w:tcBorders>
          </w:tcPr>
          <w:p w14:paraId="5755557C"/>
        </w:tc>
        <w:tc>
          <w:tcPr>
            <w:vMerge w:val="continue"/>
            <w:tcBorders>
              <w:top w:val="single" w:color="000000" w:sz="4" w:space="0"/>
              <w:left w:val="single" w:color="000000" w:sz="4" w:space="0"/>
              <w:right w:val="single" w:color="000000" w:sz="4" w:space="0"/>
            </w:tcBorders>
          </w:tcPr>
          <w:p w14:paraId="4C02EA98"/>
        </w:tc>
        <w:tc>
          <w:tcPr>
            <w:tcW w:w="3760" w:type="dxa"/>
            <w:tcBorders>
              <w:top w:val="single" w:color="000000" w:sz="4" w:space="0"/>
              <w:left w:val="single" w:color="000000" w:sz="4" w:space="0"/>
              <w:bottom w:val="single" w:color="000000" w:sz="4" w:space="0"/>
              <w:right w:val="single" w:color="000000" w:sz="4" w:space="0"/>
            </w:tcBorders>
            <w:vAlign w:val="center"/>
          </w:tcPr>
          <w:p w14:paraId="516A3160">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项目资金使用率</w:t>
            </w:r>
          </w:p>
        </w:tc>
        <w:tc>
          <w:tcPr>
            <w:tcW w:w="723" w:type="dxa"/>
            <w:tcBorders>
              <w:top w:val="single" w:color="000000" w:sz="4" w:space="0"/>
              <w:left w:val="single" w:color="000000" w:sz="4" w:space="0"/>
              <w:bottom w:val="single" w:color="000000" w:sz="4" w:space="0"/>
              <w:right w:val="single" w:color="000000" w:sz="4" w:space="0"/>
            </w:tcBorders>
            <w:vAlign w:val="center"/>
          </w:tcPr>
          <w:p w14:paraId="0D640B6E">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271000BF">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r>
      <w:tr w14:paraId="18109F45">
        <w:tblPrEx>
          <w:tblCellMar>
            <w:top w:w="15" w:type="dxa"/>
            <w:left w:w="15" w:type="dxa"/>
            <w:bottom w:w="15" w:type="dxa"/>
            <w:right w:w="15" w:type="dxa"/>
          </w:tblCellMar>
        </w:tblPrEx>
        <w:trPr>
          <w:trHeight w:val="521" w:hRule="exact"/>
          <w:jc w:val="center"/>
        </w:trPr>
        <w:tc>
          <w:tcPr>
            <w:vMerge w:val="continue"/>
            <w:tcBorders>
              <w:top w:val="single" w:color="000000" w:sz="4" w:space="0"/>
              <w:left w:val="single" w:color="000000" w:sz="4" w:space="0"/>
              <w:bottom w:val="single" w:color="000000" w:sz="4" w:space="0"/>
              <w:right w:val="single" w:color="000000" w:sz="4" w:space="0"/>
            </w:tcBorders>
          </w:tcPr>
          <w:p w14:paraId="0B2BA2B9"/>
        </w:tc>
        <w:tc>
          <w:tcPr>
            <w:vMerge w:val="continue"/>
            <w:tcBorders>
              <w:top w:val="single" w:color="000000" w:sz="4" w:space="0"/>
              <w:left w:val="single" w:color="000000" w:sz="4" w:space="0"/>
              <w:right w:val="single" w:color="000000" w:sz="4" w:space="0"/>
            </w:tcBorders>
          </w:tcPr>
          <w:p w14:paraId="21542B04"/>
        </w:tc>
        <w:tc>
          <w:tcPr>
            <w:tcW w:w="3760" w:type="dxa"/>
            <w:tcBorders>
              <w:top w:val="single" w:color="000000" w:sz="4" w:space="0"/>
              <w:left w:val="single" w:color="000000" w:sz="4" w:space="0"/>
              <w:bottom w:val="single" w:color="000000" w:sz="4" w:space="0"/>
              <w:right w:val="single" w:color="000000" w:sz="4" w:space="0"/>
            </w:tcBorders>
            <w:vAlign w:val="center"/>
          </w:tcPr>
          <w:p w14:paraId="7F169B74">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政协会议参会率</w:t>
            </w:r>
          </w:p>
        </w:tc>
        <w:tc>
          <w:tcPr>
            <w:tcW w:w="723" w:type="dxa"/>
            <w:tcBorders>
              <w:top w:val="single" w:color="000000" w:sz="4" w:space="0"/>
              <w:left w:val="single" w:color="000000" w:sz="4" w:space="0"/>
              <w:bottom w:val="single" w:color="000000" w:sz="4" w:space="0"/>
              <w:right w:val="single" w:color="000000" w:sz="4" w:space="0"/>
            </w:tcBorders>
            <w:vAlign w:val="center"/>
          </w:tcPr>
          <w:p w14:paraId="3B40B8B8">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72C0B2C6">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r>
      <w:tr w14:paraId="02AA7933">
        <w:tblPrEx>
          <w:tblCellMar>
            <w:top w:w="15" w:type="dxa"/>
            <w:left w:w="15" w:type="dxa"/>
            <w:bottom w:w="15" w:type="dxa"/>
            <w:right w:w="15" w:type="dxa"/>
          </w:tblCellMar>
        </w:tblPrEx>
        <w:trPr>
          <w:trHeight w:val="521" w:hRule="exact"/>
          <w:jc w:val="center"/>
        </w:trPr>
        <w:tc>
          <w:tcPr>
            <w:vMerge w:val="continue"/>
            <w:tcBorders>
              <w:top w:val="single" w:color="000000" w:sz="4" w:space="0"/>
              <w:left w:val="single" w:color="000000" w:sz="4" w:space="0"/>
              <w:bottom w:val="single" w:color="000000" w:sz="4" w:space="0"/>
              <w:right w:val="single" w:color="000000" w:sz="4" w:space="0"/>
            </w:tcBorders>
          </w:tcPr>
          <w:p w14:paraId="15865ED0"/>
        </w:tc>
        <w:tc>
          <w:tcPr>
            <w:vMerge w:val="continue"/>
            <w:tcBorders>
              <w:top w:val="single" w:color="000000" w:sz="4" w:space="0"/>
              <w:left w:val="single" w:color="000000" w:sz="4" w:space="0"/>
              <w:right w:val="single" w:color="000000" w:sz="4" w:space="0"/>
            </w:tcBorders>
          </w:tcPr>
          <w:p w14:paraId="6C093269"/>
        </w:tc>
        <w:tc>
          <w:tcPr>
            <w:tcW w:w="3760" w:type="dxa"/>
            <w:tcBorders>
              <w:top w:val="single" w:color="000000" w:sz="4" w:space="0"/>
              <w:left w:val="single" w:color="000000" w:sz="4" w:space="0"/>
              <w:bottom w:val="single" w:color="000000" w:sz="4" w:space="0"/>
              <w:right w:val="single" w:color="000000" w:sz="4" w:space="0"/>
            </w:tcBorders>
            <w:vAlign w:val="center"/>
          </w:tcPr>
          <w:p w14:paraId="255A58FC">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报刊征订数量</w:t>
            </w:r>
          </w:p>
        </w:tc>
        <w:tc>
          <w:tcPr>
            <w:tcW w:w="723" w:type="dxa"/>
            <w:tcBorders>
              <w:top w:val="single" w:color="000000" w:sz="4" w:space="0"/>
              <w:left w:val="single" w:color="000000" w:sz="4" w:space="0"/>
              <w:bottom w:val="single" w:color="000000" w:sz="4" w:space="0"/>
              <w:right w:val="single" w:color="000000" w:sz="4" w:space="0"/>
            </w:tcBorders>
            <w:vAlign w:val="center"/>
          </w:tcPr>
          <w:p w14:paraId="19E6E624">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0383BA14">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r>
      <w:tr w14:paraId="13211893">
        <w:tblPrEx>
          <w:tblCellMar>
            <w:top w:w="15" w:type="dxa"/>
            <w:left w:w="15" w:type="dxa"/>
            <w:bottom w:w="15" w:type="dxa"/>
            <w:right w:w="15" w:type="dxa"/>
          </w:tblCellMar>
        </w:tblPrEx>
        <w:trPr>
          <w:trHeight w:val="521" w:hRule="exact"/>
          <w:jc w:val="center"/>
        </w:trPr>
        <w:tc>
          <w:tcPr>
            <w:vMerge w:val="continue"/>
            <w:tcBorders>
              <w:top w:val="single" w:color="000000" w:sz="4" w:space="0"/>
              <w:left w:val="single" w:color="000000" w:sz="4" w:space="0"/>
              <w:bottom w:val="single" w:color="000000" w:sz="4" w:space="0"/>
              <w:right w:val="single" w:color="000000" w:sz="4" w:space="0"/>
            </w:tcBorders>
          </w:tcPr>
          <w:p w14:paraId="6A367FAC"/>
        </w:tc>
        <w:tc>
          <w:tcPr>
            <w:vMerge w:val="continue"/>
            <w:tcBorders>
              <w:top w:val="single" w:color="000000" w:sz="4" w:space="0"/>
              <w:left w:val="single" w:color="000000" w:sz="4" w:space="0"/>
              <w:right w:val="single" w:color="000000" w:sz="4" w:space="0"/>
            </w:tcBorders>
          </w:tcPr>
          <w:p w14:paraId="5C04A3B4"/>
        </w:tc>
        <w:tc>
          <w:tcPr>
            <w:tcW w:w="3760" w:type="dxa"/>
            <w:tcBorders>
              <w:top w:val="single" w:color="000000" w:sz="4" w:space="0"/>
              <w:left w:val="single" w:color="000000" w:sz="4" w:space="0"/>
              <w:bottom w:val="single" w:color="000000" w:sz="4" w:space="0"/>
              <w:right w:val="single" w:color="000000" w:sz="4" w:space="0"/>
            </w:tcBorders>
            <w:vAlign w:val="center"/>
          </w:tcPr>
          <w:p w14:paraId="73BE7E86">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视察调研次数</w:t>
            </w:r>
          </w:p>
        </w:tc>
        <w:tc>
          <w:tcPr>
            <w:tcW w:w="723" w:type="dxa"/>
            <w:tcBorders>
              <w:top w:val="single" w:color="000000" w:sz="4" w:space="0"/>
              <w:left w:val="single" w:color="000000" w:sz="4" w:space="0"/>
              <w:bottom w:val="single" w:color="000000" w:sz="4" w:space="0"/>
              <w:right w:val="single" w:color="000000" w:sz="4" w:space="0"/>
            </w:tcBorders>
            <w:vAlign w:val="center"/>
          </w:tcPr>
          <w:p w14:paraId="7EFDDE86">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c>
          <w:tcPr>
            <w:tcW w:w="1097" w:type="dxa"/>
            <w:tcBorders>
              <w:top w:val="single" w:color="000000" w:sz="4" w:space="0"/>
              <w:left w:val="single" w:color="000000" w:sz="4" w:space="0"/>
              <w:bottom w:val="single" w:color="000000" w:sz="4" w:space="0"/>
              <w:right w:val="single" w:color="000000" w:sz="4" w:space="0"/>
            </w:tcBorders>
            <w:vAlign w:val="center"/>
          </w:tcPr>
          <w:p w14:paraId="7C4D9AC6">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p>
        </w:tc>
      </w:tr>
      <w:tr w14:paraId="7945AEEE">
        <w:tblPrEx>
          <w:tblCellMar>
            <w:top w:w="15" w:type="dxa"/>
            <w:left w:w="15" w:type="dxa"/>
            <w:bottom w:w="15" w:type="dxa"/>
            <w:right w:w="15" w:type="dxa"/>
          </w:tblCellMar>
        </w:tblPrEx>
        <w:trPr>
          <w:trHeight w:val="521" w:hRule="exact"/>
          <w:jc w:val="center"/>
        </w:trPr>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78631940">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合计</w:t>
            </w:r>
          </w:p>
        </w:tc>
        <w:tc>
          <w:tcPr>
            <w:tcW w:w="3760" w:type="dxa"/>
            <w:tcBorders>
              <w:top w:val="single" w:color="000000" w:sz="4" w:space="0"/>
              <w:left w:val="single" w:color="000000" w:sz="4" w:space="0"/>
              <w:bottom w:val="single" w:color="000000" w:sz="4" w:space="0"/>
              <w:right w:val="single" w:color="000000" w:sz="4" w:space="0"/>
            </w:tcBorders>
            <w:vAlign w:val="center"/>
          </w:tcPr>
          <w:p w14:paraId="2ADF213B">
            <w:pPr>
              <w:spacing w:line="420" w:lineRule="exact"/>
              <w:ind w:firstLine="420"/>
              <w:jc w:val="center"/>
              <w:rPr>
                <w:rFonts w:cs="宋体" w:asciiTheme="minorEastAsia" w:hAnsiTheme="minorEastAsia" w:eastAsiaTheme="minorEastAsia"/>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14:paraId="5ACDB845">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2834">
            <w:pPr>
              <w:spacing w:line="420" w:lineRule="exact"/>
              <w:ind w:firstLine="420"/>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25</w:t>
            </w:r>
          </w:p>
        </w:tc>
      </w:tr>
    </w:tbl>
    <w:p w14:paraId="63FFC345">
      <w:pPr>
        <w:spacing w:after="0" w:line="360" w:lineRule="auto"/>
        <w:ind w:firstLine="640"/>
        <w:jc w:val="both"/>
        <w:textAlignment w:val="baseline"/>
        <w:rPr>
          <w:rFonts w:ascii="仿宋_GB2312" w:eastAsia="仿宋_GB2312" w:cs="DengXian-Regular"/>
          <w:color w:val="000000"/>
          <w:sz w:val="32"/>
          <w:szCs w:val="32"/>
        </w:rPr>
      </w:pPr>
      <w:bookmarkStart w:id="64" w:name="_Toc465149515"/>
      <w:bookmarkStart w:id="65" w:name="_Toc464638518"/>
      <w:r>
        <w:rPr>
          <w:rFonts w:hint="eastAsia" w:ascii="仿宋_GB2312" w:eastAsia="仿宋_GB2312" w:cs="DengXian-Regular"/>
          <w:color w:val="000000"/>
          <w:sz w:val="32"/>
          <w:szCs w:val="32"/>
        </w:rPr>
        <w:t>1.结转结余率（5分）</w:t>
      </w:r>
    </w:p>
    <w:p w14:paraId="11745A3B">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该指标主要评价部门的结转结余情况，通过结转结余率衡量。</w:t>
      </w:r>
    </w:p>
    <w:p w14:paraId="3D980C13">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结转结余率=（本年结转结余数/决算收入数）*100%。</w:t>
      </w:r>
    </w:p>
    <w:p w14:paraId="0D45EEC7">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根据中国人民政治协商会议保定市徐水区委员会办公室2019年决算文本及相关资料，中国人民政治协商会议保定市徐水区委员会办公室2019年结转结余资金3.55万元，决算收入476.80万元，结转结余率</w:t>
      </w:r>
      <w:r>
        <w:rPr>
          <w:rFonts w:ascii="仿宋_GB2312" w:eastAsia="仿宋_GB2312" w:cs="DengXian-Regular"/>
          <w:color w:val="000000"/>
          <w:sz w:val="32"/>
          <w:szCs w:val="32"/>
        </w:rPr>
        <w:t>0.</w:t>
      </w:r>
      <w:r>
        <w:rPr>
          <w:rFonts w:hint="eastAsia" w:ascii="仿宋_GB2312" w:eastAsia="仿宋_GB2312" w:cs="DengXian-Regular"/>
          <w:color w:val="000000"/>
          <w:sz w:val="32"/>
          <w:szCs w:val="32"/>
        </w:rPr>
        <w:t>74%，小于5%。</w:t>
      </w:r>
    </w:p>
    <w:p w14:paraId="48DB427B">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该项指标实际得分</w:t>
      </w:r>
      <w:r>
        <w:rPr>
          <w:rFonts w:ascii="仿宋_GB2312" w:eastAsia="仿宋_GB2312" w:cs="DengXian-Regular"/>
          <w:color w:val="000000"/>
          <w:sz w:val="32"/>
          <w:szCs w:val="32"/>
        </w:rPr>
        <w:t>5</w:t>
      </w:r>
      <w:r>
        <w:rPr>
          <w:rFonts w:hint="eastAsia" w:ascii="仿宋_GB2312" w:eastAsia="仿宋_GB2312" w:cs="DengXian-Regular"/>
          <w:color w:val="000000"/>
          <w:sz w:val="32"/>
          <w:szCs w:val="32"/>
        </w:rPr>
        <w:t>分。</w:t>
      </w:r>
    </w:p>
    <w:p w14:paraId="508ABD92">
      <w:pPr>
        <w:spacing w:after="0" w:line="360" w:lineRule="auto"/>
        <w:ind w:firstLine="640"/>
        <w:jc w:val="both"/>
        <w:textAlignment w:val="baseline"/>
        <w:rPr>
          <w:rFonts w:ascii="仿宋_GB2312" w:eastAsia="仿宋_GB2312" w:cs="DengXian-Regular"/>
          <w:color w:val="000000"/>
          <w:sz w:val="32"/>
          <w:szCs w:val="32"/>
        </w:rPr>
      </w:pPr>
      <w:r>
        <w:rPr>
          <w:rFonts w:hint="eastAsia" w:ascii="仿宋_GB2312" w:eastAsia="仿宋_GB2312" w:cs="DengXian-Regular"/>
          <w:color w:val="000000"/>
          <w:sz w:val="32"/>
          <w:szCs w:val="32"/>
        </w:rPr>
        <w:t>2.项目资金使用率（5分）</w:t>
      </w:r>
    </w:p>
    <w:p w14:paraId="200A4DB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515BCFC">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03FB4A4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中国人民政治协商会议保定市徐水区委员会办公室2019年实际支出项目资金总额55.47万元，年初预算共5个项目，预算数63.52万元，项目资金使用率为(55.47/63.52）*100</w:t>
      </w:r>
      <w:r>
        <w:rPr>
          <w:rFonts w:ascii="仿宋_GB2312" w:eastAsia="仿宋_GB2312" w:cs="DengXian-Regular"/>
          <w:sz w:val="32"/>
          <w:szCs w:val="32"/>
        </w:rPr>
        <w:t>%=</w:t>
      </w:r>
      <w:r>
        <w:rPr>
          <w:rFonts w:hint="eastAsia" w:ascii="仿宋_GB2312" w:eastAsia="仿宋_GB2312" w:cs="DengXian-Regular"/>
          <w:sz w:val="32"/>
          <w:szCs w:val="32"/>
        </w:rPr>
        <w:t>87.33%。</w:t>
      </w:r>
    </w:p>
    <w:p w14:paraId="2909A4C0">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1EF07DDB">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3.政协委员参会率人数（</w:t>
      </w:r>
      <w:r>
        <w:rPr>
          <w:rFonts w:ascii="仿宋_GB2312" w:eastAsia="仿宋_GB2312" w:cs="DengXian-Regular"/>
          <w:sz w:val="32"/>
          <w:szCs w:val="32"/>
        </w:rPr>
        <w:t>5</w:t>
      </w:r>
      <w:r>
        <w:rPr>
          <w:rFonts w:hint="eastAsia" w:ascii="仿宋_GB2312" w:eastAsia="仿宋_GB2312" w:cs="DengXian-Regular"/>
          <w:sz w:val="32"/>
          <w:szCs w:val="32"/>
        </w:rPr>
        <w:t>分）</w:t>
      </w:r>
    </w:p>
    <w:p w14:paraId="462C528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该指标主要评价政协会议职责活动产出情况，通过政协会议参会</w:t>
      </w:r>
      <w:r>
        <w:rPr>
          <w:rFonts w:ascii="仿宋_GB2312" w:eastAsia="仿宋_GB2312" w:cs="DengXian-Regular"/>
          <w:sz w:val="32"/>
          <w:szCs w:val="32"/>
        </w:rPr>
        <w:t>人数</w:t>
      </w:r>
      <w:r>
        <w:rPr>
          <w:rFonts w:hint="eastAsia" w:ascii="仿宋_GB2312" w:eastAsia="仿宋_GB2312" w:cs="DengXian-Regular"/>
          <w:sz w:val="32"/>
          <w:szCs w:val="32"/>
        </w:rPr>
        <w:t>衡量。</w:t>
      </w:r>
    </w:p>
    <w:p w14:paraId="0E048057">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中国人民政治协商会议保定市徐水区委员会2019年政协委员人数243人</w:t>
      </w:r>
      <w:r>
        <w:rPr>
          <w:rFonts w:ascii="仿宋_GB2312" w:eastAsia="仿宋_GB2312" w:cs="DengXian-Regular"/>
          <w:sz w:val="32"/>
          <w:szCs w:val="32"/>
        </w:rPr>
        <w:t>，</w:t>
      </w:r>
      <w:r>
        <w:rPr>
          <w:rFonts w:hint="eastAsia" w:ascii="仿宋_GB2312" w:eastAsia="仿宋_GB2312" w:cs="DengXian-Regular"/>
          <w:sz w:val="32"/>
          <w:szCs w:val="32"/>
        </w:rPr>
        <w:t>参会人数大于230人，</w:t>
      </w:r>
      <w:r>
        <w:rPr>
          <w:rFonts w:ascii="仿宋_GB2312" w:eastAsia="仿宋_GB2312" w:cs="DengXian-Regular"/>
          <w:sz w:val="32"/>
          <w:szCs w:val="32"/>
        </w:rPr>
        <w:t>评价等级为</w:t>
      </w:r>
      <w:r>
        <w:rPr>
          <w:rFonts w:hint="eastAsia" w:ascii="仿宋_GB2312" w:eastAsia="仿宋_GB2312" w:cs="DengXian-Regular"/>
          <w:sz w:val="32"/>
          <w:szCs w:val="32"/>
        </w:rPr>
        <w:t>“优”。</w:t>
      </w:r>
    </w:p>
    <w:p w14:paraId="5A2DBDD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34D60AAF">
      <w:pPr>
        <w:jc w:val="both"/>
        <w:rPr>
          <w:rFonts w:ascii="宋体" w:hAnsi="宋体" w:eastAsia="宋体" w:cs="宋体"/>
          <w:sz w:val="16"/>
          <w:szCs w:val="16"/>
        </w:rPr>
      </w:pPr>
      <w:r>
        <w:rPr>
          <w:rFonts w:hint="eastAsia" w:ascii="仿宋_GB2312" w:eastAsia="仿宋_GB2312" w:cs="DengXian-Regular"/>
          <w:sz w:val="32"/>
          <w:szCs w:val="32"/>
        </w:rPr>
        <w:t>4.</w:t>
      </w:r>
      <w:r>
        <w:rPr>
          <w:rFonts w:hint="eastAsia" w:ascii="仿宋" w:hAnsi="仿宋" w:eastAsia="仿宋" w:cs="宋体"/>
          <w:sz w:val="32"/>
          <w:szCs w:val="32"/>
        </w:rPr>
        <w:t>政协委员报刊征订数量</w:t>
      </w:r>
      <w:r>
        <w:rPr>
          <w:rFonts w:hint="eastAsia" w:ascii="仿宋_GB2312" w:eastAsia="仿宋_GB2312" w:cs="DengXian-Regular"/>
          <w:sz w:val="32"/>
          <w:szCs w:val="32"/>
        </w:rPr>
        <w:t>(5分）</w:t>
      </w:r>
    </w:p>
    <w:p w14:paraId="7A498A9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该指标主要评价综合事务管理职责活动的产出结果，通过政协委员报刊征订数量衡量。</w:t>
      </w:r>
    </w:p>
    <w:p w14:paraId="05E0060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政协委员报刊征订数量</w:t>
      </w:r>
      <w:r>
        <w:rPr>
          <w:rFonts w:ascii="仿宋_GB2312" w:eastAsia="仿宋_GB2312" w:cs="DengXian-Regular"/>
          <w:sz w:val="32"/>
          <w:szCs w:val="32"/>
        </w:rPr>
        <w:t>=</w:t>
      </w:r>
      <w:r>
        <w:rPr>
          <w:rFonts w:hint="eastAsia" w:ascii="仿宋_GB2312" w:eastAsia="仿宋_GB2312" w:cs="DengXian-Regular"/>
          <w:sz w:val="32"/>
          <w:szCs w:val="32"/>
        </w:rPr>
        <w:t>政协委员报刊征订数量/征订数量</w:t>
      </w:r>
      <w:r>
        <w:rPr>
          <w:rFonts w:ascii="仿宋_GB2312" w:eastAsia="仿宋_GB2312" w:cs="DengXian-Regular"/>
          <w:sz w:val="32"/>
          <w:szCs w:val="32"/>
        </w:rPr>
        <w:t>人数</w:t>
      </w:r>
      <w:r>
        <w:rPr>
          <w:rFonts w:hint="eastAsia" w:ascii="仿宋_GB2312" w:eastAsia="仿宋_GB2312" w:cs="DengXian-Regular"/>
          <w:sz w:val="32"/>
          <w:szCs w:val="32"/>
        </w:rPr>
        <w:t>*100</w:t>
      </w:r>
      <w:r>
        <w:rPr>
          <w:rFonts w:ascii="仿宋_GB2312" w:eastAsia="仿宋_GB2312" w:cs="DengXian-Regular"/>
          <w:sz w:val="32"/>
          <w:szCs w:val="32"/>
        </w:rPr>
        <w:t>%</w:t>
      </w:r>
    </w:p>
    <w:p w14:paraId="3505C86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区政协201</w:t>
      </w:r>
      <w:r>
        <w:rPr>
          <w:rFonts w:ascii="仿宋_GB2312" w:eastAsia="仿宋_GB2312" w:cs="DengXian-Regular"/>
          <w:sz w:val="32"/>
          <w:szCs w:val="32"/>
        </w:rPr>
        <w:t>9</w:t>
      </w:r>
      <w:r>
        <w:rPr>
          <w:rFonts w:hint="eastAsia" w:ascii="仿宋_GB2312" w:eastAsia="仿宋_GB2312" w:cs="DengXian-Regular"/>
          <w:sz w:val="32"/>
          <w:szCs w:val="32"/>
        </w:rPr>
        <w:t>年度政协委员报刊征订数量</w:t>
      </w:r>
      <w:r>
        <w:rPr>
          <w:rFonts w:ascii="仿宋_GB2312" w:eastAsia="仿宋_GB2312" w:cs="DengXian-Regular"/>
          <w:sz w:val="32"/>
          <w:szCs w:val="32"/>
        </w:rPr>
        <w:t>为</w:t>
      </w:r>
      <w:r>
        <w:rPr>
          <w:rFonts w:hint="eastAsia" w:ascii="仿宋_GB2312" w:eastAsia="仿宋_GB2312" w:cs="DengXian-Regular"/>
          <w:sz w:val="32"/>
          <w:szCs w:val="32"/>
        </w:rPr>
        <w:t>43</w:t>
      </w:r>
      <w:r>
        <w:rPr>
          <w:rFonts w:ascii="仿宋_GB2312" w:eastAsia="仿宋_GB2312" w:cs="DengXian-Regular"/>
          <w:sz w:val="32"/>
          <w:szCs w:val="32"/>
        </w:rPr>
        <w:t>，符合条件人数为</w:t>
      </w:r>
      <w:r>
        <w:rPr>
          <w:rFonts w:hint="eastAsia" w:ascii="仿宋_GB2312" w:eastAsia="仿宋_GB2312" w:cs="DengXian-Regular"/>
          <w:sz w:val="32"/>
          <w:szCs w:val="32"/>
        </w:rPr>
        <w:t>43人</w:t>
      </w:r>
      <w:r>
        <w:rPr>
          <w:rFonts w:ascii="仿宋_GB2312" w:eastAsia="仿宋_GB2312" w:cs="DengXian-Regular"/>
          <w:sz w:val="32"/>
          <w:szCs w:val="32"/>
        </w:rPr>
        <w:t>，</w:t>
      </w:r>
      <w:r>
        <w:rPr>
          <w:rFonts w:hint="eastAsia" w:ascii="仿宋_GB2312" w:eastAsia="仿宋_GB2312" w:cs="DengXian-Regular"/>
          <w:sz w:val="32"/>
          <w:szCs w:val="32"/>
        </w:rPr>
        <w:t>征订数100</w:t>
      </w:r>
      <w:r>
        <w:rPr>
          <w:rFonts w:ascii="仿宋_GB2312" w:eastAsia="仿宋_GB2312" w:cs="DengXian-Regular"/>
          <w:sz w:val="32"/>
          <w:szCs w:val="32"/>
        </w:rPr>
        <w:t>%，大于</w:t>
      </w:r>
      <w:r>
        <w:rPr>
          <w:rFonts w:hint="eastAsia" w:ascii="仿宋_GB2312" w:eastAsia="仿宋_GB2312" w:cs="DengXian-Regular"/>
          <w:sz w:val="32"/>
          <w:szCs w:val="32"/>
        </w:rPr>
        <w:t>95</w:t>
      </w:r>
      <w:r>
        <w:rPr>
          <w:rFonts w:ascii="仿宋_GB2312" w:eastAsia="仿宋_GB2312" w:cs="DengXian-Regular"/>
          <w:sz w:val="32"/>
          <w:szCs w:val="32"/>
        </w:rPr>
        <w:t>%</w:t>
      </w:r>
      <w:r>
        <w:rPr>
          <w:rFonts w:hint="eastAsia" w:ascii="仿宋_GB2312" w:eastAsia="仿宋_GB2312" w:cs="DengXian-Regular"/>
          <w:sz w:val="32"/>
          <w:szCs w:val="32"/>
        </w:rPr>
        <w:t>，评价等级为“优”。</w:t>
      </w:r>
    </w:p>
    <w:p w14:paraId="5BBDC264">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E64E413">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5.选取政协委员提案展开视察调研（</w:t>
      </w:r>
      <w:r>
        <w:rPr>
          <w:rFonts w:ascii="仿宋_GB2312" w:eastAsia="仿宋_GB2312" w:cs="DengXian-Regular"/>
          <w:sz w:val="32"/>
          <w:szCs w:val="32"/>
        </w:rPr>
        <w:t>5</w:t>
      </w:r>
      <w:r>
        <w:rPr>
          <w:rFonts w:hint="eastAsia" w:ascii="仿宋_GB2312" w:eastAsia="仿宋_GB2312" w:cs="DengXian-Regular"/>
          <w:sz w:val="32"/>
          <w:szCs w:val="32"/>
        </w:rPr>
        <w:t>分）</w:t>
      </w:r>
    </w:p>
    <w:p w14:paraId="6E7EB50D">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该指标主要评价专题调研活动职责活动产出结果，通过对选取政协委员提案展开视察调研</w:t>
      </w:r>
      <w:r>
        <w:rPr>
          <w:rFonts w:ascii="仿宋_GB2312" w:eastAsia="仿宋_GB2312" w:cs="DengXian-Regular"/>
          <w:sz w:val="32"/>
          <w:szCs w:val="32"/>
        </w:rPr>
        <w:t>来</w:t>
      </w:r>
      <w:r>
        <w:rPr>
          <w:rFonts w:hint="eastAsia" w:ascii="仿宋_GB2312" w:eastAsia="仿宋_GB2312" w:cs="DengXian-Regular"/>
          <w:sz w:val="32"/>
          <w:szCs w:val="32"/>
        </w:rPr>
        <w:t>衡量。</w:t>
      </w:r>
    </w:p>
    <w:p w14:paraId="0697EC76">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区政协2019年组织调研4次，大于等于4次，评价等级为“优”,3次</w:t>
      </w:r>
      <w:r>
        <w:rPr>
          <w:rFonts w:ascii="仿宋_GB2312" w:eastAsia="仿宋_GB2312" w:cs="DengXian-Regular"/>
          <w:sz w:val="32"/>
          <w:szCs w:val="32"/>
        </w:rPr>
        <w:t>为</w:t>
      </w:r>
      <w:r>
        <w:rPr>
          <w:rFonts w:hint="eastAsia" w:ascii="仿宋_GB2312" w:eastAsia="仿宋_GB2312" w:cs="DengXian-Regular"/>
          <w:sz w:val="32"/>
          <w:szCs w:val="32"/>
        </w:rPr>
        <w:t>“良”。</w:t>
      </w:r>
    </w:p>
    <w:p w14:paraId="1E69AB58">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2D51D496">
      <w:pPr>
        <w:pStyle w:val="4"/>
        <w:spacing w:before="0" w:after="0"/>
        <w:ind w:firstLine="643"/>
        <w:jc w:val="both"/>
        <w:rPr>
          <w:rFonts w:ascii="楷体" w:hAnsi="楷体" w:eastAsia="楷体"/>
          <w:sz w:val="32"/>
        </w:rPr>
      </w:pPr>
      <w:bookmarkStart w:id="66" w:name="_Toc57553872"/>
      <w:r>
        <w:rPr>
          <w:rFonts w:hint="eastAsia" w:ascii="楷体" w:hAnsi="楷体" w:eastAsia="楷体"/>
          <w:sz w:val="32"/>
        </w:rPr>
        <w:t>（四）效果</w:t>
      </w:r>
      <w:bookmarkEnd w:id="64"/>
      <w:bookmarkEnd w:id="65"/>
      <w:r>
        <w:rPr>
          <w:rFonts w:hint="eastAsia" w:ascii="楷体" w:hAnsi="楷体" w:eastAsia="楷体"/>
          <w:sz w:val="32"/>
        </w:rPr>
        <w:t>（15分）</w:t>
      </w:r>
      <w:bookmarkEnd w:id="66"/>
    </w:p>
    <w:p w14:paraId="5707826A">
      <w:pPr>
        <w:spacing w:after="0" w:line="360" w:lineRule="auto"/>
        <w:ind w:firstLine="640"/>
        <w:jc w:val="both"/>
        <w:textAlignment w:val="baseline"/>
        <w:rPr>
          <w:rFonts w:ascii="仿宋_GB2312" w:eastAsia="仿宋_GB2312" w:cs="DengXian-Regular"/>
          <w:sz w:val="32"/>
          <w:szCs w:val="32"/>
        </w:rPr>
      </w:pPr>
      <w:bookmarkStart w:id="67"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1850D55">
      <w:pPr>
        <w:spacing w:after="0" w:line="360" w:lineRule="auto"/>
        <w:ind w:firstLine="643"/>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9"/>
        <w:tblW w:w="6998" w:type="dxa"/>
        <w:jc w:val="center"/>
        <w:tblLayout w:type="fixed"/>
        <w:tblCellMar>
          <w:top w:w="15" w:type="dxa"/>
          <w:left w:w="15" w:type="dxa"/>
          <w:bottom w:w="15" w:type="dxa"/>
          <w:right w:w="15" w:type="dxa"/>
        </w:tblCellMar>
      </w:tblPr>
      <w:tblGrid>
        <w:gridCol w:w="1468"/>
        <w:gridCol w:w="1419"/>
        <w:gridCol w:w="1866"/>
        <w:gridCol w:w="1200"/>
        <w:gridCol w:w="1045"/>
      </w:tblGrid>
      <w:tr w14:paraId="6F5223E8">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5CBE02B2">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419" w:type="dxa"/>
            <w:tcBorders>
              <w:top w:val="single" w:color="000000" w:sz="4" w:space="0"/>
              <w:left w:val="single" w:color="000000" w:sz="4" w:space="0"/>
              <w:bottom w:val="single" w:color="000000" w:sz="4" w:space="0"/>
              <w:right w:val="single" w:color="000000" w:sz="4" w:space="0"/>
            </w:tcBorders>
            <w:vAlign w:val="center"/>
          </w:tcPr>
          <w:p w14:paraId="70A33B0E">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1866" w:type="dxa"/>
            <w:tcBorders>
              <w:top w:val="single" w:color="000000" w:sz="4" w:space="0"/>
              <w:left w:val="single" w:color="000000" w:sz="4" w:space="0"/>
              <w:bottom w:val="single" w:color="000000" w:sz="4" w:space="0"/>
              <w:right w:val="single" w:color="000000" w:sz="4" w:space="0"/>
            </w:tcBorders>
            <w:vAlign w:val="center"/>
          </w:tcPr>
          <w:p w14:paraId="677A658E">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FB92068">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25293B6">
            <w:pPr>
              <w:spacing w:after="0"/>
              <w:ind w:firstLine="422"/>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27B7F39">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175592CA">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3D0F081">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419" w:type="dxa"/>
            <w:vMerge w:val="restart"/>
            <w:tcBorders>
              <w:top w:val="single" w:color="000000" w:sz="4" w:space="0"/>
              <w:left w:val="single" w:color="000000" w:sz="4" w:space="0"/>
              <w:bottom w:val="single" w:color="000000" w:sz="4" w:space="0"/>
              <w:right w:val="single" w:color="000000" w:sz="4" w:space="0"/>
            </w:tcBorders>
            <w:vAlign w:val="center"/>
          </w:tcPr>
          <w:p w14:paraId="66E00AD6">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93EDD15">
            <w:pPr>
              <w:spacing w:after="0"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866" w:type="dxa"/>
            <w:tcBorders>
              <w:top w:val="single" w:color="000000" w:sz="4" w:space="0"/>
              <w:left w:val="single" w:color="000000" w:sz="4" w:space="0"/>
              <w:bottom w:val="single" w:color="000000" w:sz="4" w:space="0"/>
              <w:right w:val="single" w:color="000000" w:sz="4" w:space="0"/>
            </w:tcBorders>
            <w:vAlign w:val="center"/>
          </w:tcPr>
          <w:p w14:paraId="0BF3EF92">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FE5DA53">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51B9C69">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2EA81D65">
        <w:tblPrEx>
          <w:tblCellMar>
            <w:top w:w="15" w:type="dxa"/>
            <w:left w:w="15" w:type="dxa"/>
            <w:bottom w:w="15" w:type="dxa"/>
            <w:right w:w="15" w:type="dxa"/>
          </w:tblCellMar>
        </w:tblPrEx>
        <w:trPr>
          <w:trHeight w:val="397" w:hRule="exact"/>
          <w:jc w:val="center"/>
        </w:trPr>
        <w:tc>
          <w:tcPr>
            <w:vMerge w:val="continue"/>
            <w:tcBorders>
              <w:top w:val="single" w:color="000000" w:sz="4" w:space="0"/>
              <w:left w:val="single" w:color="000000" w:sz="4" w:space="0"/>
              <w:bottom w:val="single" w:color="000000" w:sz="4" w:space="0"/>
              <w:right w:val="single" w:color="000000" w:sz="4" w:space="0"/>
            </w:tcBorders>
          </w:tcPr>
          <w:p w14:paraId="6CE61EB0"/>
        </w:tc>
        <w:tc>
          <w:tcPr>
            <w:vMerge w:val="continue"/>
            <w:tcBorders>
              <w:top w:val="single" w:color="000000" w:sz="4" w:space="0"/>
              <w:left w:val="single" w:color="000000" w:sz="4" w:space="0"/>
              <w:bottom w:val="single" w:color="000000" w:sz="4" w:space="0"/>
              <w:right w:val="single" w:color="000000" w:sz="4" w:space="0"/>
            </w:tcBorders>
          </w:tcPr>
          <w:p w14:paraId="53A57213"/>
        </w:tc>
        <w:tc>
          <w:tcPr>
            <w:tcW w:w="1866" w:type="dxa"/>
            <w:tcBorders>
              <w:top w:val="single" w:color="000000" w:sz="4" w:space="0"/>
              <w:left w:val="single" w:color="000000" w:sz="4" w:space="0"/>
              <w:bottom w:val="single" w:color="000000" w:sz="4" w:space="0"/>
              <w:right w:val="single" w:color="000000" w:sz="4" w:space="0"/>
            </w:tcBorders>
            <w:vAlign w:val="center"/>
          </w:tcPr>
          <w:p w14:paraId="65F07F85">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49614CE">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2DBF4A0">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12D211ED">
        <w:tblPrEx>
          <w:tblCellMar>
            <w:top w:w="15" w:type="dxa"/>
            <w:left w:w="15" w:type="dxa"/>
            <w:bottom w:w="15" w:type="dxa"/>
            <w:right w:w="15" w:type="dxa"/>
          </w:tblCellMar>
        </w:tblPrEx>
        <w:trPr>
          <w:trHeight w:val="397" w:hRule="exact"/>
          <w:jc w:val="center"/>
        </w:trPr>
        <w:tc>
          <w:tcPr>
            <w:tcW w:w="2887" w:type="dxa"/>
            <w:gridSpan w:val="2"/>
            <w:tcBorders>
              <w:top w:val="single" w:color="000000" w:sz="4" w:space="0"/>
              <w:left w:val="single" w:color="000000" w:sz="4" w:space="0"/>
              <w:bottom w:val="single" w:color="000000" w:sz="4" w:space="0"/>
              <w:right w:val="single" w:color="000000" w:sz="4" w:space="0"/>
            </w:tcBorders>
            <w:vAlign w:val="center"/>
          </w:tcPr>
          <w:p w14:paraId="19B5D362">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1866" w:type="dxa"/>
            <w:tcBorders>
              <w:top w:val="single" w:color="000000" w:sz="4" w:space="0"/>
              <w:left w:val="single" w:color="000000" w:sz="4" w:space="0"/>
              <w:bottom w:val="single" w:color="000000" w:sz="4" w:space="0"/>
              <w:right w:val="single" w:color="000000" w:sz="4" w:space="0"/>
            </w:tcBorders>
            <w:vAlign w:val="center"/>
          </w:tcPr>
          <w:p w14:paraId="175F3AB5">
            <w:pPr>
              <w:spacing w:line="420" w:lineRule="exact"/>
              <w:ind w:firstLine="420"/>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63BCF388">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0826D1A9">
            <w:pPr>
              <w:spacing w:line="420" w:lineRule="exact"/>
              <w:ind w:firstLine="42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67"/>
    </w:tbl>
    <w:p w14:paraId="268910AF">
      <w:pPr>
        <w:spacing w:after="0" w:line="360" w:lineRule="auto"/>
        <w:ind w:firstLine="640"/>
        <w:jc w:val="both"/>
        <w:textAlignment w:val="baseline"/>
        <w:rPr>
          <w:rFonts w:ascii="仿宋_GB2312" w:eastAsia="仿宋_GB2312" w:cs="DengXian-Regular"/>
          <w:sz w:val="32"/>
          <w:szCs w:val="32"/>
        </w:rPr>
      </w:pPr>
      <w:bookmarkStart w:id="68" w:name="_Toc464638561"/>
      <w:bookmarkStart w:id="69" w:name="_Toc465149516"/>
      <w:bookmarkStart w:id="70" w:name="_Toc492652784"/>
    </w:p>
    <w:p w14:paraId="2A29843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1.部门整体效益（10分）</w:t>
      </w:r>
    </w:p>
    <w:p w14:paraId="7472395F">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0BE2871A">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中国人民政治协商会议保定市徐水区委员会提供的相关资料，中国人民政治协商会议保定市徐水区委员会履行职责对社会发展所带来的社会效益较显著，有效的提高了社会公众的政治意识，减少了社会不安定因素。</w:t>
      </w:r>
    </w:p>
    <w:p w14:paraId="54A59DD9">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14:paraId="48B09A8E">
      <w:pPr>
        <w:spacing w:after="0" w:line="360" w:lineRule="auto"/>
        <w:ind w:firstLine="64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3B22B78">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0AD522D3">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1CF7DEF3">
      <w:pPr>
        <w:spacing w:after="0" w:line="360" w:lineRule="auto"/>
        <w:ind w:firstLine="643"/>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35D78DDB">
      <w:pPr>
        <w:spacing w:after="0" w:line="540" w:lineRule="exact"/>
        <w:ind w:firstLine="693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9"/>
        <w:tblW w:w="8520" w:type="dxa"/>
        <w:tblInd w:w="0" w:type="dxa"/>
        <w:tblLayout w:type="fixed"/>
        <w:tblCellMar>
          <w:top w:w="15" w:type="dxa"/>
          <w:left w:w="15" w:type="dxa"/>
          <w:bottom w:w="15" w:type="dxa"/>
          <w:right w:w="15" w:type="dxa"/>
        </w:tblCellMar>
      </w:tblPr>
      <w:tblGrid>
        <w:gridCol w:w="3559"/>
        <w:gridCol w:w="992"/>
        <w:gridCol w:w="851"/>
        <w:gridCol w:w="898"/>
        <w:gridCol w:w="803"/>
        <w:gridCol w:w="1417"/>
      </w:tblGrid>
      <w:tr w14:paraId="6C2CCDEC">
        <w:tblPrEx>
          <w:tblCellMar>
            <w:top w:w="15" w:type="dxa"/>
            <w:left w:w="15" w:type="dxa"/>
            <w:bottom w:w="15" w:type="dxa"/>
            <w:right w:w="15" w:type="dxa"/>
          </w:tblCellMar>
        </w:tblPrEx>
        <w:trPr>
          <w:trHeight w:val="525" w:hRule="atLeast"/>
        </w:trPr>
        <w:tc>
          <w:tcPr>
            <w:tcW w:w="3559" w:type="dxa"/>
            <w:tcBorders>
              <w:top w:val="single" w:color="auto" w:sz="4" w:space="0"/>
              <w:left w:val="single" w:color="auto" w:sz="4" w:space="0"/>
              <w:bottom w:val="single" w:color="auto" w:sz="4" w:space="0"/>
              <w:right w:val="single" w:color="auto" w:sz="4" w:space="0"/>
            </w:tcBorders>
            <w:vAlign w:val="center"/>
          </w:tcPr>
          <w:p w14:paraId="0094A926">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992" w:type="dxa"/>
            <w:tcBorders>
              <w:top w:val="single" w:color="auto" w:sz="4" w:space="0"/>
              <w:left w:val="single" w:color="auto" w:sz="4" w:space="0"/>
              <w:bottom w:val="single" w:color="auto" w:sz="4" w:space="0"/>
              <w:right w:val="single" w:color="auto" w:sz="4" w:space="0"/>
            </w:tcBorders>
            <w:vAlign w:val="center"/>
          </w:tcPr>
          <w:p w14:paraId="7F525D67">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851" w:type="dxa"/>
            <w:tcBorders>
              <w:top w:val="single" w:color="auto" w:sz="4" w:space="0"/>
              <w:left w:val="single" w:color="auto" w:sz="4" w:space="0"/>
              <w:bottom w:val="single" w:color="auto" w:sz="4" w:space="0"/>
              <w:right w:val="single" w:color="auto" w:sz="4" w:space="0"/>
            </w:tcBorders>
            <w:vAlign w:val="center"/>
          </w:tcPr>
          <w:p w14:paraId="5CEA97C7">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898" w:type="dxa"/>
            <w:tcBorders>
              <w:top w:val="single" w:color="auto" w:sz="4" w:space="0"/>
              <w:left w:val="single" w:color="auto" w:sz="4" w:space="0"/>
              <w:bottom w:val="single" w:color="auto" w:sz="4" w:space="0"/>
              <w:right w:val="single" w:color="auto" w:sz="4" w:space="0"/>
            </w:tcBorders>
            <w:vAlign w:val="center"/>
          </w:tcPr>
          <w:p w14:paraId="183B3BC5">
            <w:pPr>
              <w:spacing w:after="0" w:line="540" w:lineRule="exact"/>
              <w:ind w:firstLine="422"/>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803" w:type="dxa"/>
            <w:tcBorders>
              <w:top w:val="single" w:color="auto" w:sz="4" w:space="0"/>
              <w:left w:val="single" w:color="auto" w:sz="4" w:space="0"/>
              <w:bottom w:val="single" w:color="auto" w:sz="4" w:space="0"/>
              <w:right w:val="single" w:color="auto" w:sz="4" w:space="0"/>
            </w:tcBorders>
            <w:vAlign w:val="center"/>
          </w:tcPr>
          <w:p w14:paraId="670CE948">
            <w:pPr>
              <w:spacing w:after="0" w:line="540" w:lineRule="exact"/>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1417" w:type="dxa"/>
            <w:tcBorders>
              <w:top w:val="single" w:color="auto" w:sz="4" w:space="0"/>
              <w:left w:val="single" w:color="auto" w:sz="4" w:space="0"/>
              <w:bottom w:val="single" w:color="auto" w:sz="4" w:space="0"/>
              <w:right w:val="single" w:color="auto" w:sz="4" w:space="0"/>
            </w:tcBorders>
            <w:vAlign w:val="center"/>
          </w:tcPr>
          <w:p w14:paraId="1295905F">
            <w:pPr>
              <w:spacing w:after="0" w:line="540" w:lineRule="exact"/>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D447163">
        <w:tblPrEx>
          <w:tblCellMar>
            <w:top w:w="15" w:type="dxa"/>
            <w:left w:w="15" w:type="dxa"/>
            <w:bottom w:w="15" w:type="dxa"/>
            <w:right w:w="15" w:type="dxa"/>
          </w:tblCellMar>
        </w:tblPrEx>
        <w:trPr>
          <w:trHeight w:val="590"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0257A822">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您对徐水区政协的</w:t>
            </w:r>
            <w:r>
              <w:rPr>
                <w:rFonts w:cs="Times New Roman" w:asciiTheme="minorEastAsia" w:hAnsiTheme="minorEastAsia" w:eastAsiaTheme="minorEastAsia"/>
                <w:sz w:val="21"/>
                <w:szCs w:val="21"/>
                <w:u w:color="000000"/>
              </w:rPr>
              <w:t>党建工作</w:t>
            </w:r>
            <w:r>
              <w:rPr>
                <w:rFonts w:hint="eastAsia" w:cs="Times New Roman" w:asciiTheme="minorEastAsia" w:hAnsiTheme="minorEastAsia" w:eastAsiaTheme="minorEastAsia"/>
                <w:sz w:val="21"/>
                <w:szCs w:val="21"/>
                <w:u w:color="000000"/>
              </w:rPr>
              <w:t>是否满意</w:t>
            </w:r>
          </w:p>
        </w:tc>
        <w:tc>
          <w:tcPr>
            <w:tcW w:w="992" w:type="dxa"/>
            <w:tcBorders>
              <w:top w:val="single" w:color="000000" w:sz="4" w:space="0"/>
              <w:left w:val="single" w:color="000000" w:sz="4" w:space="0"/>
              <w:bottom w:val="single" w:color="000000" w:sz="4" w:space="0"/>
              <w:right w:val="single" w:color="000000" w:sz="4" w:space="0"/>
            </w:tcBorders>
            <w:vAlign w:val="center"/>
          </w:tcPr>
          <w:p w14:paraId="799D5E55">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3BC77208">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48F32F58">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31489CE0">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449DD3CF">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232EA37">
        <w:tblPrEx>
          <w:tblCellMar>
            <w:top w:w="15" w:type="dxa"/>
            <w:left w:w="15" w:type="dxa"/>
            <w:bottom w:w="15" w:type="dxa"/>
            <w:right w:w="15" w:type="dxa"/>
          </w:tblCellMar>
        </w:tblPrEx>
        <w:trPr>
          <w:trHeight w:val="510"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15A6BFA5">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您对徐水区政协回复</w:t>
            </w:r>
            <w:r>
              <w:rPr>
                <w:rFonts w:cs="Times New Roman" w:asciiTheme="minorEastAsia" w:hAnsiTheme="minorEastAsia" w:eastAsiaTheme="minorEastAsia"/>
                <w:sz w:val="21"/>
                <w:szCs w:val="21"/>
                <w:u w:color="000000"/>
              </w:rPr>
              <w:t>的消息</w:t>
            </w:r>
            <w:r>
              <w:rPr>
                <w:rFonts w:hint="eastAsia" w:cs="Times New Roman" w:asciiTheme="minorEastAsia" w:hAnsiTheme="minorEastAsia" w:eastAsiaTheme="minorEastAsia"/>
                <w:sz w:val="21"/>
                <w:szCs w:val="21"/>
                <w:u w:color="000000"/>
              </w:rPr>
              <w:t>是否满意</w:t>
            </w:r>
          </w:p>
        </w:tc>
        <w:tc>
          <w:tcPr>
            <w:tcW w:w="992" w:type="dxa"/>
            <w:tcBorders>
              <w:top w:val="single" w:color="000000" w:sz="4" w:space="0"/>
              <w:left w:val="single" w:color="000000" w:sz="4" w:space="0"/>
              <w:bottom w:val="single" w:color="000000" w:sz="4" w:space="0"/>
              <w:right w:val="single" w:color="000000" w:sz="4" w:space="0"/>
            </w:tcBorders>
            <w:vAlign w:val="center"/>
          </w:tcPr>
          <w:p w14:paraId="5DF8E6E2">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56435946">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0FDE551F">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1DB5BC15">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21D285A3">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r w14:paraId="05F42C29">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03AD5917">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您对政协的</w:t>
            </w:r>
            <w:r>
              <w:rPr>
                <w:rFonts w:cs="Times New Roman" w:asciiTheme="minorEastAsia" w:hAnsiTheme="minorEastAsia" w:eastAsiaTheme="minorEastAsia"/>
                <w:sz w:val="21"/>
                <w:szCs w:val="21"/>
                <w:u w:color="000000"/>
              </w:rPr>
              <w:t>工作了解多少</w:t>
            </w:r>
          </w:p>
        </w:tc>
        <w:tc>
          <w:tcPr>
            <w:tcW w:w="992" w:type="dxa"/>
            <w:tcBorders>
              <w:top w:val="single" w:color="000000" w:sz="4" w:space="0"/>
              <w:left w:val="single" w:color="000000" w:sz="4" w:space="0"/>
              <w:bottom w:val="single" w:color="000000" w:sz="4" w:space="0"/>
              <w:right w:val="single" w:color="000000" w:sz="4" w:space="0"/>
            </w:tcBorders>
            <w:vAlign w:val="center"/>
          </w:tcPr>
          <w:p w14:paraId="0EF1158E">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35</w:t>
            </w:r>
          </w:p>
        </w:tc>
        <w:tc>
          <w:tcPr>
            <w:tcW w:w="851" w:type="dxa"/>
            <w:tcBorders>
              <w:top w:val="single" w:color="000000" w:sz="4" w:space="0"/>
              <w:left w:val="single" w:color="000000" w:sz="4" w:space="0"/>
              <w:bottom w:val="single" w:color="000000" w:sz="4" w:space="0"/>
              <w:right w:val="single" w:color="000000" w:sz="4" w:space="0"/>
            </w:tcBorders>
            <w:vAlign w:val="center"/>
          </w:tcPr>
          <w:p w14:paraId="326D64D3">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13</w:t>
            </w:r>
          </w:p>
        </w:tc>
        <w:tc>
          <w:tcPr>
            <w:tcW w:w="898" w:type="dxa"/>
            <w:tcBorders>
              <w:top w:val="single" w:color="000000" w:sz="4" w:space="0"/>
              <w:left w:val="single" w:color="000000" w:sz="4" w:space="0"/>
              <w:bottom w:val="single" w:color="000000" w:sz="4" w:space="0"/>
              <w:right w:val="single" w:color="000000" w:sz="4" w:space="0"/>
            </w:tcBorders>
            <w:vAlign w:val="center"/>
          </w:tcPr>
          <w:p w14:paraId="3951125D">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803" w:type="dxa"/>
            <w:tcBorders>
              <w:top w:val="single" w:color="000000" w:sz="4" w:space="0"/>
              <w:left w:val="single" w:color="000000" w:sz="4" w:space="0"/>
              <w:bottom w:val="single" w:color="000000" w:sz="4" w:space="0"/>
              <w:right w:val="single" w:color="000000" w:sz="4" w:space="0"/>
            </w:tcBorders>
            <w:vAlign w:val="center"/>
          </w:tcPr>
          <w:p w14:paraId="4C201187">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6481A9B2">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83</w:t>
            </w:r>
          </w:p>
        </w:tc>
      </w:tr>
      <w:tr w14:paraId="15FE7875">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7E29821A">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您对政协</w:t>
            </w:r>
            <w:r>
              <w:rPr>
                <w:rFonts w:cs="Times New Roman" w:asciiTheme="minorEastAsia" w:hAnsiTheme="minorEastAsia" w:eastAsiaTheme="minorEastAsia"/>
                <w:sz w:val="21"/>
                <w:szCs w:val="21"/>
                <w:u w:color="000000"/>
              </w:rPr>
              <w:t>的</w:t>
            </w:r>
            <w:r>
              <w:rPr>
                <w:rFonts w:hint="eastAsia" w:cs="Times New Roman" w:asciiTheme="minorEastAsia" w:hAnsiTheme="minorEastAsia" w:eastAsiaTheme="minorEastAsia"/>
                <w:sz w:val="21"/>
                <w:szCs w:val="21"/>
                <w:u w:color="000000"/>
              </w:rPr>
              <w:t>信息</w:t>
            </w:r>
            <w:r>
              <w:rPr>
                <w:rFonts w:cs="Times New Roman" w:asciiTheme="minorEastAsia" w:hAnsiTheme="minorEastAsia" w:eastAsiaTheme="minorEastAsia"/>
                <w:sz w:val="21"/>
                <w:szCs w:val="21"/>
                <w:u w:color="000000"/>
              </w:rPr>
              <w:t>动态感兴趣吗</w:t>
            </w:r>
          </w:p>
        </w:tc>
        <w:tc>
          <w:tcPr>
            <w:tcW w:w="992" w:type="dxa"/>
            <w:tcBorders>
              <w:top w:val="single" w:color="000000" w:sz="4" w:space="0"/>
              <w:left w:val="single" w:color="000000" w:sz="4" w:space="0"/>
              <w:bottom w:val="single" w:color="000000" w:sz="4" w:space="0"/>
              <w:right w:val="single" w:color="000000" w:sz="4" w:space="0"/>
            </w:tcBorders>
            <w:vAlign w:val="center"/>
          </w:tcPr>
          <w:p w14:paraId="7EB96C38">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40</w:t>
            </w:r>
          </w:p>
        </w:tc>
        <w:tc>
          <w:tcPr>
            <w:tcW w:w="851" w:type="dxa"/>
            <w:tcBorders>
              <w:top w:val="single" w:color="000000" w:sz="4" w:space="0"/>
              <w:left w:val="single" w:color="000000" w:sz="4" w:space="0"/>
              <w:bottom w:val="single" w:color="000000" w:sz="4" w:space="0"/>
              <w:right w:val="single" w:color="000000" w:sz="4" w:space="0"/>
            </w:tcBorders>
            <w:vAlign w:val="center"/>
          </w:tcPr>
          <w:p w14:paraId="644E077D">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r>
              <w:rPr>
                <w:rFonts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29AB5A15">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4F144074">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417" w:type="dxa"/>
            <w:tcBorders>
              <w:top w:val="single" w:color="000000" w:sz="4" w:space="0"/>
              <w:left w:val="single" w:color="000000" w:sz="4" w:space="0"/>
              <w:bottom w:val="single" w:color="000000" w:sz="4" w:space="0"/>
              <w:right w:val="single" w:color="000000" w:sz="4" w:space="0"/>
            </w:tcBorders>
            <w:vAlign w:val="center"/>
          </w:tcPr>
          <w:p w14:paraId="176483EE">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90</w:t>
            </w:r>
          </w:p>
        </w:tc>
      </w:tr>
      <w:tr w14:paraId="6CF65375">
        <w:tblPrEx>
          <w:tblCellMar>
            <w:top w:w="15" w:type="dxa"/>
            <w:left w:w="15" w:type="dxa"/>
            <w:bottom w:w="15" w:type="dxa"/>
            <w:right w:w="15" w:type="dxa"/>
          </w:tblCellMar>
        </w:tblPrEx>
        <w:trPr>
          <w:trHeight w:val="585" w:hRule="atLeast"/>
        </w:trPr>
        <w:tc>
          <w:tcPr>
            <w:tcW w:w="3559" w:type="dxa"/>
            <w:tcBorders>
              <w:top w:val="single" w:color="000000" w:sz="4" w:space="0"/>
              <w:left w:val="single" w:color="000000" w:sz="4" w:space="0"/>
              <w:bottom w:val="single" w:color="000000" w:sz="4" w:space="0"/>
              <w:right w:val="single" w:color="000000" w:sz="4" w:space="0"/>
            </w:tcBorders>
            <w:vAlign w:val="center"/>
          </w:tcPr>
          <w:p w14:paraId="5EF41CBC">
            <w:pPr>
              <w:spacing w:after="0" w:line="360" w:lineRule="auto"/>
              <w:ind w:firstLine="420"/>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您对本区政协的工作还有哪些意见和建议</w:t>
            </w:r>
          </w:p>
        </w:tc>
        <w:tc>
          <w:tcPr>
            <w:tcW w:w="992" w:type="dxa"/>
            <w:tcBorders>
              <w:top w:val="single" w:color="000000" w:sz="4" w:space="0"/>
              <w:left w:val="single" w:color="000000" w:sz="4" w:space="0"/>
              <w:bottom w:val="single" w:color="000000" w:sz="4" w:space="0"/>
              <w:right w:val="single" w:color="000000" w:sz="4" w:space="0"/>
            </w:tcBorders>
            <w:vAlign w:val="center"/>
          </w:tcPr>
          <w:p w14:paraId="1260A6B8">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51" w:type="dxa"/>
            <w:tcBorders>
              <w:top w:val="single" w:color="000000" w:sz="4" w:space="0"/>
              <w:left w:val="single" w:color="000000" w:sz="4" w:space="0"/>
              <w:bottom w:val="single" w:color="000000" w:sz="4" w:space="0"/>
              <w:right w:val="single" w:color="000000" w:sz="4" w:space="0"/>
            </w:tcBorders>
            <w:vAlign w:val="center"/>
          </w:tcPr>
          <w:p w14:paraId="2F5D3852">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898" w:type="dxa"/>
            <w:tcBorders>
              <w:top w:val="single" w:color="000000" w:sz="4" w:space="0"/>
              <w:left w:val="single" w:color="000000" w:sz="4" w:space="0"/>
              <w:bottom w:val="single" w:color="000000" w:sz="4" w:space="0"/>
              <w:right w:val="single" w:color="000000" w:sz="4" w:space="0"/>
            </w:tcBorders>
            <w:vAlign w:val="center"/>
          </w:tcPr>
          <w:p w14:paraId="1F8E2534">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803" w:type="dxa"/>
            <w:tcBorders>
              <w:top w:val="single" w:color="000000" w:sz="4" w:space="0"/>
              <w:left w:val="single" w:color="000000" w:sz="4" w:space="0"/>
              <w:bottom w:val="single" w:color="000000" w:sz="4" w:space="0"/>
              <w:right w:val="single" w:color="000000" w:sz="4" w:space="0"/>
            </w:tcBorders>
            <w:vAlign w:val="center"/>
          </w:tcPr>
          <w:p w14:paraId="31E3A18B">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417" w:type="dxa"/>
            <w:tcBorders>
              <w:top w:val="single" w:color="000000" w:sz="4" w:space="0"/>
              <w:left w:val="single" w:color="000000" w:sz="4" w:space="0"/>
              <w:bottom w:val="single" w:color="000000" w:sz="4" w:space="0"/>
              <w:right w:val="single" w:color="000000" w:sz="4" w:space="0"/>
            </w:tcBorders>
            <w:vAlign w:val="center"/>
          </w:tcPr>
          <w:p w14:paraId="7A242FC5">
            <w:pPr>
              <w:spacing w:after="0" w:line="360" w:lineRule="auto"/>
              <w:ind w:firstLine="420"/>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43066C8A">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FACB09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2ADE3D20">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各单项满意度得分</w:t>
      </w:r>
    </w:p>
    <w:p w14:paraId="1E0E0ED9">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94.6</w:t>
      </w:r>
      <w:r>
        <w:rPr>
          <w:rFonts w:hint="eastAsia" w:ascii="仿宋_GB2312" w:eastAsia="仿宋_GB2312" w:cs="Times New Roman" w:hAnsiTheme="minorEastAsia"/>
          <w:sz w:val="32"/>
          <w:szCs w:val="32"/>
          <w:u w:color="000000"/>
        </w:rPr>
        <w:t>分，大于90分，评价等级为“优”。</w:t>
      </w:r>
    </w:p>
    <w:p w14:paraId="58B85B76">
      <w:pPr>
        <w:spacing w:after="0" w:line="360" w:lineRule="auto"/>
        <w:ind w:firstLine="64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14:paraId="1151AFD9">
      <w:pPr>
        <w:pStyle w:val="3"/>
        <w:keepNext w:val="0"/>
        <w:keepLines w:val="0"/>
        <w:suppressLineNumbers/>
        <w:spacing w:before="0" w:after="0" w:line="360" w:lineRule="auto"/>
        <w:ind w:firstLine="643"/>
        <w:rPr>
          <w:rFonts w:ascii="黑体"/>
        </w:rPr>
      </w:pPr>
      <w:bookmarkStart w:id="71" w:name="_Toc57553873"/>
      <w:r>
        <w:rPr>
          <w:rFonts w:hint="eastAsia" w:ascii="黑体"/>
        </w:rPr>
        <w:t>五、绩效评价发现的问题</w:t>
      </w:r>
      <w:bookmarkEnd w:id="68"/>
      <w:bookmarkEnd w:id="69"/>
      <w:bookmarkEnd w:id="70"/>
      <w:bookmarkEnd w:id="71"/>
      <w:bookmarkStart w:id="72" w:name="_Toc492652789"/>
    </w:p>
    <w:p w14:paraId="153B6726">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p>
    <w:p w14:paraId="6E4C196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711C0E97">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预算文本—部门职责工作活动绩效目标表中参政议政职责活动未设置可评价、可衡量的绩效指标，部门绩效目标未划分为具体的工作任务，不利于对绩效目标实际完成情况进行考核。</w:t>
      </w:r>
    </w:p>
    <w:p w14:paraId="332835E1">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5BD63E07">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预算决算差额较大</w:t>
      </w:r>
    </w:p>
    <w:p w14:paraId="7DABD393">
      <w:pPr>
        <w:spacing w:after="0" w:line="360" w:lineRule="auto"/>
        <w:ind w:firstLine="640"/>
        <w:jc w:val="both"/>
        <w:textAlignment w:val="baseline"/>
        <w:rPr>
          <w:rFonts w:ascii="仿宋_GB2312" w:eastAsia="仿宋_GB2312" w:cs="Times New Roman" w:hAnsiTheme="minorEastAsia"/>
          <w:bCs/>
          <w:sz w:val="32"/>
          <w:szCs w:val="32"/>
          <w:u w:color="000000"/>
        </w:rPr>
      </w:pP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预算收入、支出年初预算数均为553.67万元，决算收入476.78万元，较预算减少76.89万元，减少比例13.89%；决算支出480.05万元，较预算减少73.62万元，减少比例13.30%。决算数较预算数减少的主要原因为认真贯彻落实中央八项规定精神和厉行节约要求，从严控制“三公”经费开支，全年实际支出比预算有所节约。致使决算数据较预算数据较少。</w:t>
      </w:r>
    </w:p>
    <w:p w14:paraId="62E9800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10D4A27A">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2019年预算无预算调整。</w:t>
      </w:r>
    </w:p>
    <w:p w14:paraId="5E977E7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ab/>
      </w:r>
      <w:r>
        <w:rPr>
          <w:rFonts w:hint="eastAsia" w:ascii="仿宋_GB2312" w:eastAsia="仿宋_GB2312" w:cs="Times New Roman" w:hAnsiTheme="minorEastAsia"/>
          <w:sz w:val="32"/>
          <w:szCs w:val="32"/>
          <w:u w:color="000000"/>
        </w:rPr>
        <w:t>政府采购方面</w:t>
      </w:r>
    </w:p>
    <w:p w14:paraId="5F4354DD">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未执行政府采购</w:t>
      </w:r>
    </w:p>
    <w:p w14:paraId="5AEF7448">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年初预算政府采购金额0万元，决算金额0万元，本年未执行政府采购</w:t>
      </w:r>
    </w:p>
    <w:p w14:paraId="7A7B2D1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p w14:paraId="583CC00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项目资金使用率较低</w:t>
      </w:r>
    </w:p>
    <w:p w14:paraId="0E1B8F16">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年项目资金预算63.52万元，实际支出55.47万元，支出率为87.33%，个别项目如专题调研活动预算资金为8万元，实际支出为1.3万元，支出率较低，资金使用效率较差。</w:t>
      </w:r>
    </w:p>
    <w:p w14:paraId="22236538">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6.部分基础数据信息方面</w:t>
      </w:r>
    </w:p>
    <w:p w14:paraId="0183E2B5">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部分基础数据信息不完整</w:t>
      </w:r>
    </w:p>
    <w:p w14:paraId="3DA8651F">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缴纳的五险一金记账凭证只保留了缴费票据，没有付个人明细，部分基础数据信息缺乏完整性。</w:t>
      </w:r>
    </w:p>
    <w:p w14:paraId="19F16910">
      <w:pPr>
        <w:pStyle w:val="3"/>
        <w:keepNext w:val="0"/>
        <w:keepLines w:val="0"/>
        <w:suppressLineNumbers/>
        <w:spacing w:before="0" w:after="0" w:line="360" w:lineRule="auto"/>
        <w:ind w:firstLine="643"/>
        <w:rPr>
          <w:rFonts w:ascii="黑体"/>
        </w:rPr>
      </w:pPr>
      <w:bookmarkStart w:id="73" w:name="_Toc57553874"/>
      <w:r>
        <w:rPr>
          <w:rFonts w:hint="eastAsia" w:ascii="黑体"/>
        </w:rPr>
        <w:t>六</w:t>
      </w:r>
      <w:r>
        <w:rPr>
          <w:rFonts w:ascii="黑体"/>
        </w:rPr>
        <w:t>、</w:t>
      </w:r>
      <w:r>
        <w:rPr>
          <w:rFonts w:hint="eastAsia" w:ascii="黑体"/>
        </w:rPr>
        <w:t>绩效评价意见及建议</w:t>
      </w:r>
      <w:bookmarkEnd w:id="73"/>
    </w:p>
    <w:p w14:paraId="36DDEC7F">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针对此次绩效评价过程中发现的问题，我们建议：</w:t>
      </w:r>
    </w:p>
    <w:p w14:paraId="216369DA">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1.增强绩效指标设置的明确性</w:t>
      </w:r>
    </w:p>
    <w:p w14:paraId="3CED5057">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工作活动、预算项目绩效指标应当清晰、可评价、可衡量。建议在设置职责活动绩效指标时，将绩效目标细化分解为具体的工作任务数，从而使绩效目标可量化，便于对目标实现情况进行考核。</w:t>
      </w:r>
    </w:p>
    <w:p w14:paraId="216B7863">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2.提高预算编制质量</w:t>
      </w:r>
    </w:p>
    <w:p w14:paraId="12BD42B5">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部门预算编制工作要全面反映和体现部门职责，根据具体情况及时调整预算的编制，缩小预算与决算差额，减少中期预算追加火调减，年中需要调整到乡镇乡镇的项目，在做预算时进行调整，提高预算编制质量，发挥预算约束作用。</w:t>
      </w:r>
    </w:p>
    <w:p w14:paraId="26875C19">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3.强化政府采购执行</w:t>
      </w:r>
    </w:p>
    <w:p w14:paraId="25F627C9">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建议严格按照《中华人民共和国政府采购法》及河北省2017年《政府采购集中采购目录和限额标准》的相关规定，执行政府采购，加快预算执行进度，提高政府采购效率。</w:t>
      </w:r>
    </w:p>
    <w:p w14:paraId="01D1EAAC">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4.提高项目资金使用率</w:t>
      </w:r>
    </w:p>
    <w:p w14:paraId="63938886">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w:t>
      </w:r>
    </w:p>
    <w:p w14:paraId="3BA50626">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5.完善基础信息管理</w:t>
      </w:r>
    </w:p>
    <w:p w14:paraId="4CB405F8">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建议严格按照档案管理的相关规定对基础数据信息档案资料及时归档保存，保证项目资料的完整性和可查阅性。</w:t>
      </w:r>
    </w:p>
    <w:p w14:paraId="12B57E62">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6.预算安排建议</w:t>
      </w:r>
    </w:p>
    <w:p w14:paraId="692AF5DA">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人员经费方面：2019年基本支出决算数较预算数较少比例较大，主要原因为2018年作为基本支出的项目在2019年纳入了项目支出致使2019年基本支出减少，建议2020年预算根据2019年支出类型编制，该纳入项目的经费不再列入基本支出。</w:t>
      </w:r>
    </w:p>
    <w:p w14:paraId="3591E874">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项目资金方面：2019年个别项目支出资金使用率较低，建议2020年预算项目资金根据实际情况予以保持或适当增减。</w:t>
      </w:r>
    </w:p>
    <w:bookmarkEnd w:id="72"/>
    <w:p w14:paraId="672AA9CE">
      <w:pPr>
        <w:spacing w:after="0" w:line="360" w:lineRule="auto"/>
        <w:ind w:firstLine="640"/>
        <w:jc w:val="both"/>
        <w:textAlignment w:val="baseline"/>
        <w:rPr>
          <w:rFonts w:ascii="仿宋_GB2312" w:eastAsia="仿宋_GB2312" w:cs="Times New Roman" w:hAnsiTheme="minorEastAsia"/>
          <w:sz w:val="32"/>
          <w:szCs w:val="32"/>
          <w:u w:color="000000"/>
        </w:rPr>
      </w:pPr>
      <w:bookmarkStart w:id="74" w:name="_Toc465149521"/>
    </w:p>
    <w:p w14:paraId="5098EA79">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w:t>
      </w:r>
    </w:p>
    <w:p w14:paraId="7F246A59">
      <w:pPr>
        <w:spacing w:after="0" w:line="360" w:lineRule="auto"/>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部门基本情况及主要职责</w:t>
      </w:r>
    </w:p>
    <w:p w14:paraId="3046FB9D">
      <w:pPr>
        <w:spacing w:after="0" w:line="540" w:lineRule="exact"/>
        <w:ind w:firstLine="64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收支预算及决算明细表</w:t>
      </w:r>
    </w:p>
    <w:p w14:paraId="0AB9882B">
      <w:pPr>
        <w:spacing w:after="0" w:line="540" w:lineRule="exact"/>
        <w:ind w:firstLine="640"/>
        <w:jc w:val="both"/>
        <w:textAlignment w:val="baseline"/>
        <w:rPr>
          <w:rFonts w:ascii="仿宋_GB2312" w:eastAsia="仿宋_GB2312" w:cs="Times New Roman" w:hAnsiTheme="minorEastAsia"/>
          <w:sz w:val="32"/>
          <w:szCs w:val="32"/>
          <w:u w:color="000000"/>
        </w:rPr>
      </w:pPr>
      <w:bookmarkStart w:id="75" w:name="_Toc465149534"/>
      <w:r>
        <w:rPr>
          <w:rFonts w:hint="eastAsia" w:ascii="仿宋_GB2312" w:eastAsia="仿宋_GB2312" w:cs="Times New Roman" w:hAnsiTheme="minorEastAsia"/>
          <w:sz w:val="32"/>
          <w:szCs w:val="32"/>
          <w:u w:color="000000"/>
        </w:rPr>
        <w:t>3.</w:t>
      </w:r>
      <w:bookmarkEnd w:id="75"/>
      <w:r>
        <w:rPr>
          <w:rFonts w:hint="eastAsia" w:ascii="仿宋_GB2312" w:eastAsia="仿宋_GB2312" w:cs="Times New Roman" w:hAnsiTheme="minorEastAsia"/>
          <w:sz w:val="32"/>
          <w:szCs w:val="32"/>
          <w:u w:color="000000"/>
        </w:rPr>
        <w:t>部门整体支出绩效评价指标体系</w:t>
      </w:r>
    </w:p>
    <w:p w14:paraId="24FBD582">
      <w:pPr>
        <w:spacing w:after="0" w:line="540" w:lineRule="exact"/>
        <w:ind w:firstLine="640"/>
        <w:jc w:val="both"/>
        <w:textAlignment w:val="baseline"/>
        <w:rPr>
          <w:rFonts w:ascii="仿宋_GB2312" w:eastAsia="仿宋_GB2312" w:cs="Times New Roman" w:hAnsiTheme="minorEastAsia"/>
          <w:sz w:val="32"/>
          <w:szCs w:val="32"/>
          <w:u w:color="000000"/>
        </w:rPr>
      </w:pPr>
      <w:bookmarkStart w:id="76" w:name="_Toc465149544"/>
      <w:r>
        <w:rPr>
          <w:rFonts w:hint="eastAsia" w:ascii="仿宋_GB2312" w:eastAsia="仿宋_GB2312" w:cs="Times New Roman" w:hAnsiTheme="minorEastAsia"/>
          <w:sz w:val="32"/>
          <w:szCs w:val="32"/>
          <w:u w:color="000000"/>
        </w:rPr>
        <w:t>4.</w:t>
      </w:r>
      <w:bookmarkEnd w:id="76"/>
      <w:r>
        <w:rPr>
          <w:rFonts w:hint="eastAsia" w:ascii="仿宋_GB2312" w:eastAsia="仿宋_GB2312" w:cs="Times New Roman" w:hAnsiTheme="minorEastAsia"/>
          <w:sz w:val="32"/>
          <w:szCs w:val="32"/>
          <w:u w:color="000000"/>
        </w:rPr>
        <w:t>2019年</w:t>
      </w:r>
      <w:r>
        <w:rPr>
          <w:rFonts w:hint="eastAsia" w:ascii="仿宋_GB2312" w:eastAsia="仿宋_GB2312" w:cs="DengXian-Regular"/>
          <w:sz w:val="32"/>
          <w:szCs w:val="32"/>
        </w:rPr>
        <w:t>中国人民政治协商会议保定市徐水区委员会</w:t>
      </w:r>
      <w:r>
        <w:rPr>
          <w:rFonts w:hint="eastAsia" w:ascii="仿宋_GB2312" w:eastAsia="仿宋_GB2312" w:cs="Times New Roman" w:hAnsiTheme="minorEastAsia"/>
          <w:sz w:val="32"/>
          <w:szCs w:val="32"/>
          <w:u w:color="000000"/>
        </w:rPr>
        <w:t>工作活动绩效目标、绩效指标一览表</w:t>
      </w:r>
      <w:bookmarkEnd w:id="74"/>
    </w:p>
    <w:p w14:paraId="28C3FC74">
      <w:pPr>
        <w:spacing w:line="540" w:lineRule="exact"/>
        <w:ind w:firstLine="640"/>
        <w:jc w:val="both"/>
        <w:textAlignment w:val="baseline"/>
        <w:rPr>
          <w:rFonts w:ascii="仿宋_GB2312" w:eastAsia="仿宋_GB2312" w:cs="Times New Roman" w:hAnsiTheme="minorEastAsia"/>
          <w:sz w:val="32"/>
          <w:szCs w:val="32"/>
          <w:u w:color="000000"/>
        </w:rPr>
      </w:pPr>
    </w:p>
    <w:p w14:paraId="0511EB03">
      <w:pPr>
        <w:spacing w:line="540" w:lineRule="exact"/>
        <w:ind w:firstLine="640"/>
        <w:jc w:val="both"/>
        <w:textAlignment w:val="baseline"/>
        <w:rPr>
          <w:rFonts w:ascii="仿宋_GB2312" w:eastAsia="仿宋_GB2312" w:cs="Times New Roman" w:hAnsiTheme="minorEastAsia"/>
          <w:sz w:val="32"/>
          <w:szCs w:val="32"/>
          <w:u w:color="000000"/>
        </w:rPr>
      </w:pPr>
    </w:p>
    <w:p w14:paraId="327328C0">
      <w:pPr>
        <w:spacing w:line="540" w:lineRule="exact"/>
        <w:jc w:val="both"/>
        <w:textAlignment w:val="baseline"/>
        <w:rPr>
          <w:rFonts w:ascii="仿宋_GB2312" w:eastAsia="仿宋_GB2312" w:cs="Times New Roman" w:hAnsiTheme="minorEastAsia"/>
          <w:sz w:val="32"/>
          <w:szCs w:val="32"/>
          <w:u w:color="000000"/>
        </w:rPr>
      </w:pPr>
    </w:p>
    <w:p w14:paraId="046983D9"/>
    <w:sectPr>
      <w:footerReference r:id="rId4"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141713"/>
      <w:docPartObj>
        <w:docPartGallery w:val="autotext"/>
      </w:docPartObj>
    </w:sdtPr>
    <w:sdtContent>
      <w:p w14:paraId="717FA721">
        <w:pPr>
          <w:pStyle w:val="6"/>
          <w:ind w:firstLine="360"/>
          <w:jc w:val="right"/>
        </w:pPr>
        <w:r>
          <w:fldChar w:fldCharType="begin"/>
        </w:r>
        <w:r>
          <w:instrText xml:space="preserve">PAGE   \* MERGEFORMAT</w:instrText>
        </w:r>
        <w:r>
          <w:fldChar w:fldCharType="separate"/>
        </w:r>
        <w:r>
          <w:rPr>
            <w:lang w:val="zh-CN"/>
          </w:rPr>
          <w:t>9</w:t>
        </w:r>
        <w:r>
          <w:fldChar w:fldCharType="end"/>
        </w:r>
      </w:p>
    </w:sdtContent>
  </w:sdt>
  <w:p w14:paraId="16E73140">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85A1">
    <w:pPr>
      <w:pStyle w:val="7"/>
      <w:ind w:firstLine="36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C1BA8"/>
    <w:multiLevelType w:val="multilevel"/>
    <w:tmpl w:val="4BCC1BA8"/>
    <w:lvl w:ilvl="0" w:tentative="0">
      <w:start w:val="4"/>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ZTY4OGU2ZTJlMzY0MTVlZGQ3NDZmYmYzNmMwZWIifQ=="/>
  </w:docVars>
  <w:rsids>
    <w:rsidRoot w:val="65065521"/>
    <w:rsid w:val="613D6D98"/>
    <w:rsid w:val="65065521"/>
    <w:rsid w:val="7372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widowControl w:val="0"/>
      <w:adjustRightInd/>
      <w:snapToGrid/>
      <w:spacing w:after="0"/>
      <w:ind w:left="840"/>
      <w:jc w:val="both"/>
    </w:pPr>
    <w:rPr>
      <w:rFonts w:ascii="Times New Roman" w:hAnsi="Times New Roman" w:eastAsia="宋体" w:cs="Times New Roman"/>
      <w:kern w:val="2"/>
      <w:sz w:val="28"/>
      <w:szCs w:val="24"/>
    </w:rPr>
  </w:style>
  <w:style w:type="paragraph" w:styleId="6">
    <w:name w:val="footer"/>
    <w:basedOn w:val="1"/>
    <w:unhideWhenUsed/>
    <w:qFormat/>
    <w:uiPriority w:val="99"/>
    <w:pPr>
      <w:tabs>
        <w:tab w:val="center" w:pos="4153"/>
        <w:tab w:val="right" w:pos="8306"/>
      </w:tabs>
    </w:pPr>
    <w:rPr>
      <w:sz w:val="18"/>
      <w:szCs w:val="18"/>
    </w:rPr>
  </w:style>
  <w:style w:type="paragraph" w:styleId="7">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8">
    <w:name w:val="toc 2"/>
    <w:basedOn w:val="1"/>
    <w:next w:val="1"/>
    <w:qFormat/>
    <w:uiPriority w:val="39"/>
    <w:pPr>
      <w:widowControl w:val="0"/>
      <w:adjustRightInd/>
      <w:snapToGrid/>
      <w:spacing w:after="0"/>
      <w:ind w:left="420"/>
      <w:jc w:val="both"/>
    </w:pPr>
    <w:rPr>
      <w:rFonts w:ascii="Times New Roman" w:hAnsi="Times New Roman" w:eastAsia="宋体" w:cs="Times New Roman"/>
      <w:kern w:val="2"/>
      <w:sz w:val="30"/>
      <w:szCs w:val="24"/>
    </w:rPr>
  </w:style>
  <w:style w:type="character" w:styleId="11">
    <w:name w:val="Hyperlink"/>
    <w:qFormat/>
    <w:uiPriority w:val="99"/>
    <w:rPr>
      <w:color w:val="0000FF"/>
      <w:u w:val="single"/>
    </w:rPr>
  </w:style>
  <w:style w:type="paragraph" w:customStyle="1" w:styleId="12">
    <w:name w:val="TOC 标题1"/>
    <w:basedOn w:val="2"/>
    <w:next w:val="1"/>
    <w:unhideWhenUsed/>
    <w:qFormat/>
    <w:uiPriority w:val="39"/>
    <w:pPr>
      <w:spacing w:before="480" w:after="0" w:line="276" w:lineRule="auto"/>
      <w:jc w:val="left"/>
      <w:textAlignment w:val="auto"/>
      <w:outlineLvl w:val="9"/>
    </w:pPr>
    <w:rPr>
      <w:rFonts w:ascii="Cambria" w:hAnsiTheme="majorHAnsi" w:eastAsiaTheme="majorEastAsia" w:cstheme="majorBidi"/>
      <w:color w:val="365F91"/>
      <w:kern w:val="0"/>
      <w:sz w:val="28"/>
      <w:szCs w:val="28"/>
    </w:rPr>
  </w:style>
  <w:style w:type="paragraph" w:styleId="13">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520</Words>
  <Characters>554</Characters>
  <Lines>0</Lines>
  <Paragraphs>0</Paragraphs>
  <TotalTime>6</TotalTime>
  <ScaleCrop>false</ScaleCrop>
  <LinksUpToDate>false</LinksUpToDate>
  <CharactersWithSpaces>631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2024-06-04T10:46:00Z</dcterms:created>
  <dc:creator>杰子</dc:creator>
  <cp:lastModifiedBy>杰子</cp:lastModifiedBy>
  <dcterms:modified xsi:type="dcterms:W3CDTF">2025-05-12T08:38:53Z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CFAFF641F76D41A59EE6232CB8DBB097_11</vt:lpwstr>
  </property>
  <property fmtid="{D5CDD505-2E9C-101B-9397-08002B2CF9AE}" pid="4" name="KSOTemplateDocerSaveRecord">
    <vt:lpwstr>eyJoZGlkIjoiYmM5ZTY4OGU2ZTJlMzY0MTVlZGQ3NDZmYmYzNmMwZWIiLCJ1c2VySWQiOiI4NTg5MzQ2NjYifQ==</vt:lpwstr>
  </property>
</Properties>
</file>