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1B1D3">
      <w:pPr>
        <w:widowControl w:val="0"/>
        <w:adjustRightInd/>
        <w:snapToGrid/>
        <w:spacing w:after="0" w:line="540" w:lineRule="exact"/>
        <w:rPr>
          <w:rFonts w:ascii="Times New Roman" w:hAnsi="Times New Roman" w:eastAsia="宋体" w:cs="Times New Roman"/>
          <w:bCs/>
          <w:kern w:val="2"/>
          <w:sz w:val="32"/>
          <w:szCs w:val="32"/>
        </w:rPr>
      </w:pPr>
    </w:p>
    <w:p w14:paraId="3E7C78F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3823A5F">
      <w:pPr>
        <w:widowControl w:val="0"/>
        <w:adjustRightInd/>
        <w:snapToGrid/>
        <w:spacing w:after="0" w:line="580" w:lineRule="exact"/>
        <w:jc w:val="center"/>
        <w:rPr>
          <w:rFonts w:asciiTheme="majorEastAsia" w:hAnsiTheme="majorEastAsia" w:eastAsiaTheme="majorEastAsia" w:cstheme="majorEastAsia"/>
          <w:b/>
          <w:kern w:val="2"/>
          <w:sz w:val="44"/>
          <w:szCs w:val="44"/>
        </w:rPr>
      </w:pPr>
      <w:r>
        <w:rPr>
          <w:rFonts w:hint="eastAsia" w:asciiTheme="majorEastAsia" w:hAnsiTheme="majorEastAsia" w:eastAsiaTheme="majorEastAsia" w:cstheme="majorEastAsia"/>
          <w:b/>
          <w:kern w:val="2"/>
          <w:sz w:val="44"/>
          <w:szCs w:val="44"/>
        </w:rPr>
        <w:t>河北徐水经济开发区管理委员会</w:t>
      </w:r>
    </w:p>
    <w:p w14:paraId="64D20325">
      <w:pPr>
        <w:widowControl w:val="0"/>
        <w:adjustRightInd/>
        <w:snapToGrid/>
        <w:spacing w:after="0" w:line="580" w:lineRule="exact"/>
        <w:jc w:val="center"/>
        <w:rPr>
          <w:rFonts w:asciiTheme="majorEastAsia" w:hAnsiTheme="majorEastAsia" w:eastAsiaTheme="majorEastAsia" w:cstheme="majorEastAsia"/>
          <w:b/>
          <w:kern w:val="2"/>
          <w:sz w:val="44"/>
          <w:szCs w:val="44"/>
        </w:rPr>
      </w:pPr>
      <w:r>
        <w:rPr>
          <w:rFonts w:hint="eastAsia" w:asciiTheme="majorEastAsia" w:hAnsiTheme="majorEastAsia" w:eastAsiaTheme="majorEastAsia" w:cstheme="majorEastAsia"/>
          <w:b/>
          <w:kern w:val="2"/>
          <w:sz w:val="44"/>
          <w:szCs w:val="44"/>
        </w:rPr>
        <w:t>202</w:t>
      </w:r>
      <w:r>
        <w:rPr>
          <w:rFonts w:asciiTheme="majorEastAsia" w:hAnsiTheme="majorEastAsia" w:eastAsiaTheme="majorEastAsia" w:cstheme="majorEastAsia"/>
          <w:b/>
          <w:kern w:val="2"/>
          <w:sz w:val="44"/>
          <w:szCs w:val="44"/>
        </w:rPr>
        <w:t>2</w:t>
      </w:r>
      <w:r>
        <w:rPr>
          <w:rFonts w:hint="eastAsia" w:asciiTheme="majorEastAsia" w:hAnsiTheme="majorEastAsia" w:eastAsiaTheme="majorEastAsia" w:cstheme="majorEastAsia"/>
          <w:b/>
          <w:kern w:val="2"/>
          <w:sz w:val="44"/>
          <w:szCs w:val="44"/>
        </w:rPr>
        <w:t>年部门整体支出绩效评价自评报告</w:t>
      </w:r>
    </w:p>
    <w:p w14:paraId="15D72C8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518920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7CBC2E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92A073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7932B8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15FBA3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265241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E574A99">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A64D1A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2F4B87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0A2E03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678330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E10F41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016C8A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8DB43E3">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9CDD9E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77F1653">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w:t>
      </w:r>
      <w:r>
        <w:rPr>
          <w:rFonts w:cs="Times New Roman" w:asciiTheme="minorEastAsia" w:hAnsiTheme="minorEastAsia" w:eastAsiaTheme="minorEastAsia"/>
          <w:bCs/>
          <w:kern w:val="2"/>
          <w:sz w:val="36"/>
          <w:szCs w:val="36"/>
        </w:rPr>
        <w:t>23</w:t>
      </w:r>
      <w:r>
        <w:rPr>
          <w:rFonts w:hint="eastAsia" w:cs="Times New Roman" w:asciiTheme="minorEastAsia" w:hAnsiTheme="minorEastAsia" w:eastAsiaTheme="minorEastAsia"/>
          <w:bCs/>
          <w:kern w:val="2"/>
          <w:sz w:val="36"/>
          <w:szCs w:val="36"/>
        </w:rPr>
        <w:t>年8月</w:t>
      </w:r>
    </w:p>
    <w:p w14:paraId="4D642CB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5033130">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2C6105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DE9242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14:paraId="214D5A64">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531565E7">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29DE366B">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t>5</w:t>
          </w:r>
          <w:r>
            <w:rPr>
              <w:rFonts w:hint="eastAsia" w:asciiTheme="majorEastAsia" w:hAnsiTheme="majorEastAsia" w:eastAsiaTheme="majorEastAsia" w:cstheme="majorEastAsia"/>
              <w:b/>
              <w:bCs/>
              <w:sz w:val="24"/>
            </w:rPr>
            <w:fldChar w:fldCharType="end"/>
          </w:r>
        </w:p>
        <w:p w14:paraId="773567B0">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一、河北徐水经济开发区管理委员会基本情况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169F5105">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042A53F">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EF7F1F7">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9</w:t>
          </w:r>
          <w:r>
            <w:rPr>
              <w:rFonts w:hint="eastAsia" w:asciiTheme="majorEastAsia" w:hAnsiTheme="majorEastAsia" w:eastAsiaTheme="majorEastAsia" w:cstheme="majorEastAsia"/>
              <w:sz w:val="24"/>
            </w:rPr>
            <w:fldChar w:fldCharType="end"/>
          </w:r>
        </w:p>
        <w:p w14:paraId="4C896BA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084EFD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C118785">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4470F345">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B8B3143">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25A8602">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42ED47A">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F3826CE">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17</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590E93FB">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B203E98">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A81C4D3">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8BC3C8A">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A444CED">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AF25020">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33DDD54">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20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3DA090AA">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CD8031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2809E37">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30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661CC74">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32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535A40E">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33</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33A34CB7">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14:paraId="6D45DA8E">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14:paraId="3154C6B9">
      <w:pPr>
        <w:spacing w:after="0" w:line="48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为深入贯彻落实中共中央国务院《关于全面实施预算绩效管理的意见》、中共河北省委河北省人民政府《关于全面实施预算绩效管理的实施意见》、我单位对</w:t>
      </w:r>
      <w:r>
        <w:rPr>
          <w:rFonts w:ascii="仿宋_GB2312" w:eastAsia="仿宋_GB2312" w:cs="DengXian-Regular"/>
          <w:sz w:val="32"/>
          <w:szCs w:val="32"/>
        </w:rPr>
        <w:t>2022</w:t>
      </w:r>
      <w:r>
        <w:rPr>
          <w:rFonts w:hint="eastAsia" w:ascii="仿宋_GB2312" w:eastAsia="仿宋_GB2312" w:cs="DengXian-Regular"/>
          <w:sz w:val="32"/>
          <w:szCs w:val="32"/>
        </w:rPr>
        <w:t>年部门整体支出情况开展了绩效自评价工作。</w:t>
      </w:r>
    </w:p>
    <w:p w14:paraId="07F24D0B">
      <w:pPr>
        <w:spacing w:after="0" w:line="48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河北徐水经济开发区管委会为副处级行政单位，经费保障形式为财政拨款，下设8个局（办），分别为党政办、党群办、投资促进局、改革发展局、行政审批局、建设管理局、应急管理局、财政局，主要职责为：一是贯彻落实党和国家的路线、方针、政策和上级党委政府的决策部署；依据有关法律、法规和规章，制定和实施开发区各项管理制度；二是负责落实全面从严治党责任，加强党风廉政建设；按照区委授权和干部管理权限，做好组织人事工作；负责人才队伍建设、党的建设、宣传和精神文明建设等工作；三是负责开发区工会、共青团、妇联等群团工作；四是负责组织实施省、市开发区总体发展规划和政策措施，编制开发区产业发展等相关规划，经批准后组织实施；根据国家和省有关产业政策、编制产业发展目录、统筹产业布局，按照有关规定负责审批或审核开发区内的投资建设项目；五是负责研究重大经济社会发展问题，负责经济发展指标的统计分析，做好工业投资项目的决策咨询、综合验收和管理服务等工作；六是负责优化营商环境、健全招商引资制度，建立招商引资服务体系；负责招商引资、产业培育、对外经济技术合作和其他涉外经济活动等工作；发布公共信息，为企业和相关机构提供指导、咨询和服务；七是协调落实基础设施和公共服务设施的建设和管理；八是负责开发区财政、建设、安全生产、环境保护、行政审批等工作，行使区委、区政府赋予的其他管理权限；九是负责协调配合上级有关部门派驻和派出机构的工作；十是完成区委、区人民政府交办的其他任务。</w:t>
      </w:r>
    </w:p>
    <w:p w14:paraId="313AE3DE">
      <w:pPr>
        <w:spacing w:after="0" w:line="48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547867E3">
      <w:pPr>
        <w:spacing w:after="0" w:line="48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2E9F6431">
      <w:pPr>
        <w:spacing w:after="0" w:line="48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中的相关工作要求作为评价标准，采取定量和定性评价相结合的方法，对资料进行审核、分析，实事求是、客观公正地完成了河北徐水经济开发区管理委员会202</w:t>
      </w:r>
      <w:r>
        <w:rPr>
          <w:rFonts w:ascii="仿宋_GB2312" w:eastAsia="仿宋_GB2312" w:cs="DengXian-Regular"/>
          <w:sz w:val="32"/>
          <w:szCs w:val="32"/>
        </w:rPr>
        <w:t>2</w:t>
      </w:r>
      <w:r>
        <w:rPr>
          <w:rFonts w:hint="eastAsia" w:ascii="仿宋_GB2312" w:eastAsia="仿宋_GB2312" w:cs="DengXian-Regular"/>
          <w:sz w:val="32"/>
          <w:szCs w:val="32"/>
        </w:rPr>
        <w:t>年部门整体支出绩效评价工作。</w:t>
      </w:r>
    </w:p>
    <w:p w14:paraId="6996B3E3">
      <w:pPr>
        <w:spacing w:after="0" w:line="48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河北徐水经济开发区管理委员会202</w:t>
      </w:r>
      <w:r>
        <w:rPr>
          <w:rFonts w:ascii="仿宋_GB2312" w:eastAsia="仿宋_GB2312" w:cs="DengXian-Regular"/>
          <w:sz w:val="32"/>
          <w:szCs w:val="32"/>
        </w:rPr>
        <w:t>2</w:t>
      </w:r>
      <w:r>
        <w:rPr>
          <w:rFonts w:hint="eastAsia" w:ascii="仿宋_GB2312" w:eastAsia="仿宋_GB2312" w:cs="DengXian-Regular"/>
          <w:sz w:val="32"/>
          <w:szCs w:val="32"/>
        </w:rPr>
        <w:t>年部门整体支出绩效评价指标体系共设置4个一级指标、7个二级指标、27个三级指标，从投入、过程、产出、效果四个方面对河北徐水经济开发区管理委员会部门整体支出情况评分定级。指标体系设定满分为100分，绩效评价分值≥90为“优”；80≤分值＜90为“良”；60≤分值＜80为“合格”；60分以下为“差”。</w:t>
      </w:r>
    </w:p>
    <w:p w14:paraId="7C20C5DB">
      <w:pPr>
        <w:spacing w:after="0" w:line="48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河北徐水经济开发区管理委员会202</w:t>
      </w:r>
      <w:r>
        <w:rPr>
          <w:rFonts w:ascii="仿宋_GB2312" w:eastAsia="仿宋_GB2312" w:cs="DengXian-Regular"/>
          <w:sz w:val="32"/>
          <w:szCs w:val="32"/>
        </w:rPr>
        <w:t>2</w:t>
      </w:r>
      <w:r>
        <w:rPr>
          <w:rFonts w:hint="eastAsia" w:ascii="仿宋_GB2312" w:eastAsia="仿宋_GB2312" w:cs="DengXian-Regular"/>
          <w:sz w:val="32"/>
          <w:szCs w:val="32"/>
        </w:rPr>
        <w:t>年部门整体支出综合评价得分为91分，评价等级为“优”。</w:t>
      </w:r>
    </w:p>
    <w:p w14:paraId="2859E5E2">
      <w:pPr>
        <w:spacing w:after="0" w:line="48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河北徐水经济开发区管理委员会2022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2CD39653">
      <w:pPr>
        <w:spacing w:after="0" w:line="48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14:paraId="3E777420">
      <w:pPr>
        <w:spacing w:after="0" w:line="48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w:t>
      </w:r>
    </w:p>
    <w:p w14:paraId="440A56EA">
      <w:pPr>
        <w:spacing w:after="0" w:line="48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w:t>
      </w:r>
    </w:p>
    <w:p w14:paraId="3B6D0D6E">
      <w:pPr>
        <w:spacing w:after="0" w:line="48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3.预算追加方面</w:t>
      </w:r>
    </w:p>
    <w:p w14:paraId="1A7ECC2B">
      <w:pPr>
        <w:spacing w:after="0" w:line="48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4.政府采购方面</w:t>
      </w:r>
    </w:p>
    <w:p w14:paraId="3A83E731">
      <w:pPr>
        <w:spacing w:after="0" w:line="48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5.项目资金使用率</w:t>
      </w:r>
    </w:p>
    <w:p w14:paraId="5C128038">
      <w:pPr>
        <w:spacing w:after="0" w:line="48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6.部分基础数据信息方面</w:t>
      </w:r>
    </w:p>
    <w:p w14:paraId="09FBCAC1">
      <w:pPr>
        <w:spacing w:after="0" w:line="48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17724227">
      <w:pPr>
        <w:spacing w:after="0" w:line="48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14:paraId="78E34DD7">
      <w:pPr>
        <w:spacing w:after="0" w:line="48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14:paraId="09190098">
      <w:pPr>
        <w:spacing w:after="0" w:line="48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14:paraId="32F70158">
      <w:pPr>
        <w:spacing w:after="0" w:line="48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2E4CFB91">
      <w:pPr>
        <w:spacing w:after="0" w:line="48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14:paraId="302C6A51">
      <w:pPr>
        <w:spacing w:after="0" w:line="48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建议严格按照《中华人民共和国政府采购法》及河北省《政府采购集中采购目录和限额标准》的相关规定，执行政府采购，加快预算执行进度，提高政府采购效率。</w:t>
      </w:r>
      <w:bookmarkStart w:id="1" w:name="_Toc4346"/>
    </w:p>
    <w:p w14:paraId="18FED0A0">
      <w:pPr>
        <w:spacing w:after="0" w:line="48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14:paraId="7EB7BF8D">
      <w:pPr>
        <w:spacing w:after="0" w:line="48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河北徐水经济开发区管理委员会对项目资金进行梳理，督促项目进度和资金拨付进度，应拨付的资金及时拨付，不具备条件的资金及时收回，同时，对于按规定可以结转至下年的中央及省级项目资金，在下年的项目安排时优先考虑。</w:t>
      </w:r>
    </w:p>
    <w:p w14:paraId="2BE20DCB">
      <w:pPr>
        <w:spacing w:after="0" w:line="48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14:paraId="5BC8650C">
      <w:pPr>
        <w:spacing w:after="0" w:line="480" w:lineRule="exact"/>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14:paraId="0C2D02AB">
      <w:pPr>
        <w:spacing w:after="0" w:line="48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14:paraId="6907E5C0">
      <w:pPr>
        <w:spacing w:after="0" w:line="48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人员经费方面：2022年基本支出决算数较预算数减少101.66万元，主要原因为开发区管委会从2022年8月起实行改革薪酬，乡补、车补、通讯补贴、奖励性绩效、年终一次性奖、取暖费等都不再发放。</w:t>
      </w:r>
      <w:r>
        <w:rPr>
          <w:rFonts w:ascii="仿宋_GB2312" w:eastAsia="仿宋_GB2312" w:cs="DengXian-Regular"/>
          <w:sz w:val="32"/>
          <w:szCs w:val="32"/>
        </w:rPr>
        <w:t>建议202</w:t>
      </w:r>
      <w:r>
        <w:rPr>
          <w:rFonts w:hint="eastAsia" w:ascii="仿宋_GB2312" w:eastAsia="仿宋_GB2312" w:cs="DengXian-Regular"/>
          <w:sz w:val="32"/>
          <w:szCs w:val="32"/>
        </w:rPr>
        <w:t>3</w:t>
      </w:r>
      <w:r>
        <w:rPr>
          <w:rFonts w:ascii="仿宋_GB2312" w:eastAsia="仿宋_GB2312" w:cs="DengXian-Regular"/>
          <w:sz w:val="32"/>
          <w:szCs w:val="32"/>
        </w:rPr>
        <w:t>年预算根据</w:t>
      </w:r>
      <w:r>
        <w:rPr>
          <w:rFonts w:hint="eastAsia" w:ascii="仿宋_GB2312" w:eastAsia="仿宋_GB2312" w:cs="DengXian-Regular"/>
          <w:sz w:val="32"/>
          <w:szCs w:val="32"/>
        </w:rPr>
        <w:t>2022年实际发生人员经费支出、人员数量和工资标准适当安排人员经费预算。</w:t>
      </w:r>
    </w:p>
    <w:p w14:paraId="33789874">
      <w:pPr>
        <w:spacing w:after="0" w:line="48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项目资金方面：</w:t>
      </w:r>
      <w:r>
        <w:rPr>
          <w:rFonts w:ascii="仿宋_GB2312" w:eastAsia="仿宋_GB2312" w:cs="DengXian-Regular"/>
          <w:sz w:val="32"/>
          <w:szCs w:val="32"/>
        </w:rPr>
        <w:t>202</w:t>
      </w:r>
      <w:r>
        <w:rPr>
          <w:rFonts w:hint="eastAsia" w:ascii="仿宋_GB2312" w:eastAsia="仿宋_GB2312" w:cs="DengXian-Regular"/>
          <w:sz w:val="32"/>
          <w:szCs w:val="32"/>
        </w:rPr>
        <w:t>2</w:t>
      </w:r>
      <w:r>
        <w:rPr>
          <w:rFonts w:ascii="仿宋_GB2312" w:eastAsia="仿宋_GB2312" w:cs="DengXian-Regular"/>
          <w:sz w:val="32"/>
          <w:szCs w:val="32"/>
        </w:rPr>
        <w:t>年</w:t>
      </w:r>
      <w:r>
        <w:rPr>
          <w:rFonts w:hint="eastAsia" w:ascii="仿宋_GB2312" w:eastAsia="仿宋_GB2312" w:cs="DengXian-Regular"/>
          <w:sz w:val="32"/>
          <w:szCs w:val="32"/>
        </w:rPr>
        <w:t>3个专项债券</w:t>
      </w:r>
      <w:r>
        <w:rPr>
          <w:rFonts w:ascii="仿宋_GB2312" w:eastAsia="仿宋_GB2312" w:cs="DengXian-Regular"/>
          <w:sz w:val="32"/>
          <w:szCs w:val="32"/>
        </w:rPr>
        <w:t>项目支出资金使用率较低，未实施项目资金结转至下一年度</w:t>
      </w:r>
      <w:r>
        <w:rPr>
          <w:rFonts w:hint="eastAsia" w:ascii="仿宋_GB2312" w:eastAsia="仿宋_GB2312" w:cs="DengXian-Regular"/>
          <w:sz w:val="32"/>
          <w:szCs w:val="32"/>
        </w:rPr>
        <w:t>的，建议</w:t>
      </w:r>
      <w:r>
        <w:rPr>
          <w:rFonts w:ascii="仿宋_GB2312" w:eastAsia="仿宋_GB2312" w:cs="DengXian-Regular"/>
          <w:sz w:val="32"/>
          <w:szCs w:val="32"/>
        </w:rPr>
        <w:t>202</w:t>
      </w:r>
      <w:r>
        <w:rPr>
          <w:rFonts w:hint="eastAsia" w:ascii="仿宋_GB2312" w:eastAsia="仿宋_GB2312" w:cs="DengXian-Regular"/>
          <w:sz w:val="32"/>
          <w:szCs w:val="32"/>
        </w:rPr>
        <w:t>3</w:t>
      </w:r>
      <w:r>
        <w:rPr>
          <w:rFonts w:ascii="仿宋_GB2312" w:eastAsia="仿宋_GB2312" w:cs="DengXian-Regular"/>
          <w:sz w:val="32"/>
          <w:szCs w:val="32"/>
        </w:rPr>
        <w:t>年预算不增加</w:t>
      </w:r>
      <w:r>
        <w:rPr>
          <w:rFonts w:hint="eastAsia" w:ascii="仿宋_GB2312" w:eastAsia="仿宋_GB2312" w:cs="DengXian-Regular"/>
          <w:sz w:val="32"/>
          <w:szCs w:val="32"/>
        </w:rPr>
        <w:t>该部分</w:t>
      </w:r>
      <w:r>
        <w:rPr>
          <w:rFonts w:ascii="仿宋_GB2312" w:eastAsia="仿宋_GB2312" w:cs="DengXian-Regular"/>
          <w:sz w:val="32"/>
          <w:szCs w:val="32"/>
        </w:rPr>
        <w:t>项目资金预算</w:t>
      </w:r>
      <w:r>
        <w:rPr>
          <w:rFonts w:hint="eastAsia" w:ascii="仿宋_GB2312" w:eastAsia="仿宋_GB2312" w:cs="DengXian-Regular"/>
          <w:sz w:val="32"/>
          <w:szCs w:val="32"/>
        </w:rPr>
        <w:t>；</w:t>
      </w:r>
      <w:r>
        <w:rPr>
          <w:rFonts w:ascii="仿宋_GB2312" w:eastAsia="仿宋_GB2312" w:cs="DengXian-Regular"/>
          <w:sz w:val="32"/>
          <w:szCs w:val="32"/>
        </w:rPr>
        <w:t>其他项目资金根据实际情况予以保持或适当</w:t>
      </w:r>
      <w:r>
        <w:rPr>
          <w:rFonts w:hint="eastAsia" w:ascii="仿宋_GB2312" w:eastAsia="仿宋_GB2312" w:cs="DengXian-Regular"/>
          <w:sz w:val="32"/>
          <w:szCs w:val="32"/>
        </w:rPr>
        <w:t>增减</w:t>
      </w:r>
      <w:r>
        <w:rPr>
          <w:rFonts w:ascii="仿宋_GB2312" w:eastAsia="仿宋_GB2312" w:cs="DengXian-Regular"/>
          <w:sz w:val="32"/>
          <w:szCs w:val="32"/>
        </w:rPr>
        <w:t>。</w:t>
      </w:r>
    </w:p>
    <w:p w14:paraId="55CE418F">
      <w:pPr>
        <w:pStyle w:val="3"/>
        <w:spacing w:line="500" w:lineRule="exact"/>
        <w:jc w:val="center"/>
        <w:rPr>
          <w:rFonts w:ascii="黑体" w:hAnsi="黑体"/>
          <w:b w:val="0"/>
        </w:rPr>
      </w:pPr>
      <w:r>
        <w:rPr>
          <w:rFonts w:hint="eastAsia" w:ascii="黑体" w:hAnsi="黑体"/>
          <w:b w:val="0"/>
        </w:rPr>
        <w:t>第二部分   绩效评价报告</w:t>
      </w:r>
      <w:bookmarkEnd w:id="1"/>
    </w:p>
    <w:p w14:paraId="08D55E58">
      <w:pPr>
        <w:pStyle w:val="3"/>
        <w:spacing w:before="0" w:after="0" w:line="500" w:lineRule="exact"/>
        <w:ind w:firstLine="643" w:firstLineChars="200"/>
        <w:rPr>
          <w:rFonts w:ascii="楷体" w:hAnsi="楷体" w:eastAsia="楷体" w:cs="楷体"/>
        </w:rPr>
      </w:pPr>
      <w:bookmarkStart w:id="2" w:name="_Toc492652763"/>
      <w:bookmarkStart w:id="3" w:name="_Toc427"/>
      <w:r>
        <w:rPr>
          <w:rFonts w:hint="eastAsia" w:ascii="楷体" w:hAnsi="楷体" w:eastAsia="楷体" w:cs="楷体"/>
        </w:rPr>
        <w:t>一、河北徐水经济开发区管理委员会基本情况</w:t>
      </w:r>
      <w:bookmarkEnd w:id="2"/>
      <w:bookmarkEnd w:id="3"/>
      <w:bookmarkStart w:id="4" w:name="_Toc492652764"/>
    </w:p>
    <w:p w14:paraId="1C709107">
      <w:pPr>
        <w:pStyle w:val="4"/>
        <w:spacing w:before="0" w:after="0" w:line="500" w:lineRule="exact"/>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14:paraId="0EC8665D">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机构编制委员会文件，关于印发《中共河北徐水经济开发区工作委员会河北徐水经济开发区管理委员会职能配备、内设机构和人员编制规定》的通知，河北徐水经济开发区管理委员会为区政府派出机构，副处级单位，下设8个股室。河北徐水经济开发区管理委员会根据绩效预算管理改革的相关要求，按照“部门职责—工作活动绩效目标”的层级设立了绩效预算架构，职责活动包括宣传思想工作、政法综治稳定和国家安全、社会管理与服务、政府专项工作服务于管理、促进政府职能转变、对外贸易管理、城乡建设管理、交通运输基础设施建设、交通运输基础设施养护维护、农民文化建设、医疗保障、人事管理、政务管理、环境污染综合治理、自然生态保护、信访问题处理、劳动关系管理、义务教育、林业生态建设、市容环境卫生管理、促进县级区域经济发展、推动文化发展、组织全区安全生产综合监督管理、工会事务管理、服务引导青少年工作、维护妇女儿童合法权益促进妇女儿童发展、地方金融机构建设和监管共27部分。</w:t>
      </w:r>
      <w:bookmarkStart w:id="6" w:name="_Toc465149499"/>
      <w:bookmarkStart w:id="7" w:name="_Toc492652765"/>
    </w:p>
    <w:p w14:paraId="1111FF65">
      <w:pPr>
        <w:pStyle w:val="4"/>
        <w:spacing w:before="0" w:after="0" w:line="500" w:lineRule="exact"/>
        <w:ind w:firstLine="643" w:firstLineChars="200"/>
        <w:jc w:val="both"/>
        <w:rPr>
          <w:rFonts w:ascii="仿宋_GB2312" w:hAnsi="Tahoma" w:cs="DengXian-Regular"/>
          <w:sz w:val="32"/>
        </w:rPr>
      </w:pPr>
      <w:bookmarkStart w:id="8" w:name="_Toc707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14:paraId="5EF9404D">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按照2022年绩效预算编制要求，河北徐水经济开发区管理委员会设置的年度发展规划总体目标为：</w:t>
      </w:r>
    </w:p>
    <w:p w14:paraId="1E38B25C">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立足“思想高站位、规划高起点、建设高标准、发展可持续”的原则，结合徐水经济开发区现状和发展要求，依托徐水独有的区位、交通等优势，主动承接京、津工业区的辐射，大力引进多元化投资，围绕汽车及零部件产业、新型储能设备产业、机电设备制造产业、新材料、新能源及高端制造业产业和现代都市产业五大产业，做大做强开发区产业集群，实现产业与城市相融合、共发展，把开发区建成“环境优美、功能完善、生活富足、安居乐业”的现代化新社区。</w:t>
      </w:r>
    </w:p>
    <w:p w14:paraId="7DB5D037">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2022年河北徐水经济开发区管委会将进一步围绕园区中心工作和区政府重要部署，进行园区项目建设和经济发展工作。进一步创新管理体制，壮大主导产业，提升服务功能，争创全国知名品牌示范区、新型工业化和战略</w:t>
      </w:r>
      <w:r>
        <w:rPr>
          <w:rFonts w:hint="eastAsia" w:ascii="仿宋_GB2312" w:eastAsia="仿宋_GB2312" w:cs="DengXian-Regular"/>
          <w:sz w:val="32"/>
          <w:szCs w:val="32"/>
          <w:lang w:val="en-US" w:eastAsia="zh-CN"/>
        </w:rPr>
        <w:t>性</w:t>
      </w:r>
      <w:r>
        <w:rPr>
          <w:rFonts w:hint="eastAsia" w:ascii="仿宋_GB2312" w:eastAsia="仿宋_GB2312" w:cs="DengXian-Regular"/>
          <w:sz w:val="32"/>
          <w:szCs w:val="32"/>
        </w:rPr>
        <w:t>新兴产业示范基地，努力将开发区建设成为国际合作之城、开放繁荣之城和低碳宜居之城。</w:t>
      </w:r>
    </w:p>
    <w:p w14:paraId="0ECDAC4D">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14:paraId="31450D67">
      <w:pPr>
        <w:pStyle w:val="74"/>
        <w:rPr>
          <w:rFonts w:ascii="仿宋_GB2312" w:hAnsi="Tahoma" w:eastAsia="仿宋_GB2312" w:cs="DengXian-Regular"/>
          <w:sz w:val="32"/>
          <w:szCs w:val="32"/>
          <w:lang w:eastAsia="zh-CN"/>
        </w:rPr>
      </w:pPr>
      <w:bookmarkStart w:id="9" w:name="_Toc1678"/>
      <w:bookmarkStart w:id="10" w:name="_Toc465149500"/>
      <w:bookmarkStart w:id="11" w:name="_Toc492652766"/>
      <w:r>
        <w:rPr>
          <w:rFonts w:hint="eastAsia" w:ascii="仿宋_GB2312" w:hAnsi="Tahoma" w:eastAsia="仿宋_GB2312" w:cs="DengXian-Regular"/>
          <w:sz w:val="32"/>
          <w:szCs w:val="32"/>
          <w:lang w:eastAsia="zh-CN"/>
        </w:rPr>
        <w:t>1.</w:t>
      </w:r>
      <w:r>
        <w:rPr>
          <w:rFonts w:ascii="仿宋_GB2312" w:hAnsi="Tahoma" w:eastAsia="仿宋_GB2312" w:cs="DengXian-Regular"/>
          <w:sz w:val="32"/>
          <w:szCs w:val="32"/>
          <w:lang w:eastAsia="zh-CN"/>
        </w:rPr>
        <w:t>维护园区治安和谐稳定</w:t>
      </w:r>
    </w:p>
    <w:p w14:paraId="74750D3E">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绩效目标：严厉打击各类违法犯罪，及时处置各类突发事件，巡逻防控交通管理，给开发区创造一个安全稳定的环境。</w:t>
      </w:r>
    </w:p>
    <w:p w14:paraId="605C4896">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绩效指标：控制案发，增强出勤率，每日不间断巡逻防控，确保园区所有范围的治安整治与交通整治平稳运行。</w:t>
      </w:r>
    </w:p>
    <w:p w14:paraId="07CB6DD1">
      <w:pPr>
        <w:pStyle w:val="74"/>
        <w:rPr>
          <w:rFonts w:ascii="仿宋_GB2312" w:hAnsi="Tahoma" w:eastAsia="仿宋_GB2312" w:cs="DengXian-Regular"/>
          <w:sz w:val="32"/>
          <w:szCs w:val="32"/>
          <w:lang w:eastAsia="zh-CN"/>
        </w:rPr>
      </w:pPr>
      <w:r>
        <w:rPr>
          <w:rFonts w:hint="eastAsia" w:ascii="仿宋_GB2312" w:hAnsi="Tahoma" w:eastAsia="仿宋_GB2312" w:cs="DengXian-Regular"/>
          <w:sz w:val="32"/>
          <w:szCs w:val="32"/>
          <w:lang w:eastAsia="zh-CN"/>
        </w:rPr>
        <w:t>2.</w:t>
      </w:r>
      <w:r>
        <w:rPr>
          <w:rFonts w:ascii="仿宋_GB2312" w:hAnsi="Tahoma" w:eastAsia="仿宋_GB2312" w:cs="DengXian-Regular"/>
          <w:sz w:val="32"/>
          <w:szCs w:val="32"/>
          <w:lang w:eastAsia="zh-CN"/>
        </w:rPr>
        <w:t>服务群众生活，促进社区发展</w:t>
      </w:r>
    </w:p>
    <w:p w14:paraId="1B7F5D72">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绩效目标：着力加强园区失地农民社区居委会组织建设、队伍建设、制度建设、设施建设等，提高失地居民丧葬文明素质和社会文明程度，维护失地农民的根本利益，保障失地农民的基本生活，解除后顾之忧。</w:t>
      </w:r>
    </w:p>
    <w:p w14:paraId="01111F78">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绩效指标：失地居民对釜阳花园小区的建设感到满意；文明祭祀得到宣传，土地利用更加规范整洁；确保符合政策的60岁以上的失地农民养老补助和完全失地农民口粮补贴100%发放到位。</w:t>
      </w:r>
    </w:p>
    <w:p w14:paraId="114DF408">
      <w:pPr>
        <w:pStyle w:val="74"/>
        <w:rPr>
          <w:rFonts w:ascii="仿宋_GB2312" w:hAnsi="Tahoma" w:eastAsia="仿宋_GB2312" w:cs="DengXian-Regular"/>
          <w:sz w:val="32"/>
          <w:szCs w:val="32"/>
          <w:lang w:eastAsia="zh-CN"/>
        </w:rPr>
      </w:pPr>
      <w:r>
        <w:rPr>
          <w:rFonts w:hint="eastAsia" w:ascii="仿宋_GB2312" w:hAnsi="Tahoma" w:eastAsia="仿宋_GB2312" w:cs="DengXian-Regular"/>
          <w:sz w:val="32"/>
          <w:szCs w:val="32"/>
          <w:lang w:eastAsia="zh-CN"/>
        </w:rPr>
        <w:t>3.</w:t>
      </w:r>
      <w:r>
        <w:rPr>
          <w:rFonts w:ascii="仿宋_GB2312" w:hAnsi="Tahoma" w:eastAsia="仿宋_GB2312" w:cs="DengXian-Regular"/>
          <w:sz w:val="32"/>
          <w:szCs w:val="32"/>
          <w:lang w:eastAsia="zh-CN"/>
        </w:rPr>
        <w:t>提高政府公信力及形象</w:t>
      </w:r>
    </w:p>
    <w:p w14:paraId="19D52938">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绩效目标：通过及时上解2022年园区棚改贷回购资本金和政府隐形债务的化解，提高政府信誉，树立政府的权威与良好形象，推进城市建设步伐，改善居民居住生活条件，破解城市建设资金不足的瓶颈。</w:t>
      </w:r>
    </w:p>
    <w:p w14:paraId="19BFEC6B">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绩效指标：按照相关协议政策要求，确保2022年棚改贷款回购资本金和政府隐性债务，按时足额偿还，提高政府公信力，加大资金使用效益最大化，促进地方经济增长情况。</w:t>
      </w:r>
    </w:p>
    <w:p w14:paraId="2A991C2F">
      <w:pPr>
        <w:pStyle w:val="74"/>
        <w:rPr>
          <w:rFonts w:ascii="仿宋_GB2312" w:hAnsi="Tahoma" w:eastAsia="仿宋_GB2312" w:cs="DengXian-Regular"/>
          <w:sz w:val="32"/>
          <w:szCs w:val="32"/>
          <w:lang w:eastAsia="zh-CN"/>
        </w:rPr>
      </w:pPr>
      <w:r>
        <w:rPr>
          <w:rFonts w:hint="eastAsia" w:ascii="仿宋_GB2312" w:hAnsi="Tahoma" w:eastAsia="仿宋_GB2312" w:cs="DengXian-Regular"/>
          <w:sz w:val="32"/>
          <w:szCs w:val="32"/>
          <w:lang w:eastAsia="zh-CN"/>
        </w:rPr>
        <w:t>4.</w:t>
      </w:r>
      <w:r>
        <w:rPr>
          <w:rFonts w:ascii="仿宋_GB2312" w:hAnsi="Tahoma" w:eastAsia="仿宋_GB2312" w:cs="DengXian-Regular"/>
          <w:sz w:val="32"/>
          <w:szCs w:val="32"/>
          <w:lang w:eastAsia="zh-CN"/>
        </w:rPr>
        <w:t>推进城乡建设，优化园区环境</w:t>
      </w:r>
    </w:p>
    <w:p w14:paraId="46E051B0">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绩效目标：通过路灯亮化和园区道路管网建设，打造园区整体形象，打造良好的投资环境，提高开发区品位，优化开发区建设环境。</w:t>
      </w:r>
    </w:p>
    <w:p w14:paraId="15846FE3">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绩效指标：园区路灯日常巡查维修及时率达到90%以上，提升了园区的投资环境。道路管网建成后，既保证了货物运输的便利，又减小交通拥堵的几率；雨水、污水及时排走，供水及时达到，为园区企业提供一个良好的生产环境。</w:t>
      </w:r>
    </w:p>
    <w:p w14:paraId="79DA50C1">
      <w:pPr>
        <w:pStyle w:val="74"/>
        <w:rPr>
          <w:rFonts w:ascii="仿宋_GB2312" w:hAnsi="Tahoma" w:eastAsia="仿宋_GB2312" w:cs="DengXian-Regular"/>
          <w:sz w:val="32"/>
          <w:szCs w:val="32"/>
          <w:lang w:eastAsia="zh-CN"/>
        </w:rPr>
      </w:pPr>
      <w:r>
        <w:rPr>
          <w:rFonts w:hint="eastAsia" w:ascii="仿宋_GB2312" w:hAnsi="Tahoma" w:eastAsia="仿宋_GB2312" w:cs="DengXian-Regular"/>
          <w:sz w:val="32"/>
          <w:szCs w:val="32"/>
          <w:lang w:eastAsia="zh-CN"/>
        </w:rPr>
        <w:t>5.</w:t>
      </w:r>
      <w:r>
        <w:rPr>
          <w:rFonts w:ascii="仿宋_GB2312" w:hAnsi="Tahoma" w:eastAsia="仿宋_GB2312" w:cs="DengXian-Regular"/>
          <w:sz w:val="32"/>
          <w:szCs w:val="32"/>
          <w:lang w:eastAsia="zh-CN"/>
        </w:rPr>
        <w:t>加强纪检监察，强化队伍建设</w:t>
      </w:r>
    </w:p>
    <w:p w14:paraId="50DB8A93">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 xml:space="preserve">绩效目标：确保徐水经济开发区纪检监察工作的顺利进行，提升开发区整体形象。 </w:t>
      </w:r>
    </w:p>
    <w:p w14:paraId="77D62429">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绩效指标：按照上级纪检监察机关的要求，及时报告开发区管委会纪检监察工作情况，并有针对性地开展专项治理工作。</w:t>
      </w:r>
    </w:p>
    <w:p w14:paraId="22DBF8B8">
      <w:pPr>
        <w:pStyle w:val="74"/>
        <w:rPr>
          <w:rFonts w:ascii="仿宋_GB2312" w:hAnsi="Tahoma" w:eastAsia="仿宋_GB2312" w:cs="DengXian-Regular"/>
          <w:sz w:val="32"/>
          <w:szCs w:val="32"/>
          <w:lang w:eastAsia="zh-CN"/>
        </w:rPr>
      </w:pPr>
      <w:r>
        <w:rPr>
          <w:rFonts w:hint="eastAsia" w:ascii="仿宋_GB2312" w:hAnsi="Tahoma" w:eastAsia="仿宋_GB2312" w:cs="DengXian-Regular"/>
          <w:sz w:val="32"/>
          <w:szCs w:val="32"/>
          <w:lang w:eastAsia="zh-CN"/>
        </w:rPr>
        <w:t>6.</w:t>
      </w:r>
      <w:r>
        <w:rPr>
          <w:rFonts w:ascii="仿宋_GB2312" w:hAnsi="Tahoma" w:eastAsia="仿宋_GB2312" w:cs="DengXian-Regular"/>
          <w:sz w:val="32"/>
          <w:szCs w:val="32"/>
          <w:lang w:eastAsia="zh-CN"/>
        </w:rPr>
        <w:t>防治环境污染，保持园区社会稳定</w:t>
      </w:r>
    </w:p>
    <w:p w14:paraId="08A432CA">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绩效目标：</w:t>
      </w:r>
      <w:r>
        <w:rPr>
          <w:rFonts w:hint="eastAsia" w:ascii="仿宋_GB2312" w:hAnsi="Tahoma" w:eastAsia="仿宋_GB2312" w:cs="DengXian-Regular"/>
          <w:sz w:val="32"/>
          <w:szCs w:val="32"/>
          <w:lang w:eastAsia="zh-CN"/>
        </w:rPr>
        <w:t>一是</w:t>
      </w:r>
      <w:r>
        <w:rPr>
          <w:rFonts w:ascii="仿宋_GB2312" w:hAnsi="Tahoma" w:eastAsia="仿宋_GB2312" w:cs="DengXian-Regular"/>
          <w:sz w:val="32"/>
          <w:szCs w:val="32"/>
          <w:lang w:eastAsia="zh-CN"/>
        </w:rPr>
        <w:t>切实做好大气污染防治工作，加强生态环境保护，有效防治大气污染，切实保障空气环境质量。</w:t>
      </w:r>
      <w:r>
        <w:rPr>
          <w:rFonts w:hint="eastAsia" w:ascii="仿宋_GB2312" w:hAnsi="Tahoma" w:eastAsia="仿宋_GB2312" w:cs="DengXian-Regular"/>
          <w:sz w:val="32"/>
          <w:szCs w:val="32"/>
          <w:lang w:eastAsia="zh-CN"/>
        </w:rPr>
        <w:t>二是</w:t>
      </w:r>
      <w:r>
        <w:rPr>
          <w:rFonts w:ascii="仿宋_GB2312" w:hAnsi="Tahoma" w:eastAsia="仿宋_GB2312" w:cs="DengXian-Regular"/>
          <w:sz w:val="32"/>
          <w:szCs w:val="32"/>
          <w:lang w:eastAsia="zh-CN"/>
        </w:rPr>
        <w:t>保持园区内社会稳定，积极协调处理各种矛盾信访隐患。</w:t>
      </w:r>
    </w:p>
    <w:p w14:paraId="02075625">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绩效指标：</w:t>
      </w:r>
      <w:r>
        <w:rPr>
          <w:rFonts w:hint="eastAsia" w:ascii="仿宋_GB2312" w:hAnsi="Tahoma" w:eastAsia="仿宋_GB2312" w:cs="DengXian-Regular"/>
          <w:sz w:val="32"/>
          <w:szCs w:val="32"/>
          <w:lang w:eastAsia="zh-CN"/>
        </w:rPr>
        <w:t>一是</w:t>
      </w:r>
      <w:r>
        <w:rPr>
          <w:rFonts w:ascii="仿宋_GB2312" w:hAnsi="Tahoma" w:eastAsia="仿宋_GB2312" w:cs="DengXian-Regular"/>
          <w:sz w:val="32"/>
          <w:szCs w:val="32"/>
          <w:lang w:eastAsia="zh-CN"/>
        </w:rPr>
        <w:t>根据《中华人民共和国大气污染防治法》以及上级政府关于农作物秸秆以及垃圾禁烧工作的总体安排部署，按照“属地管理，源头控制”的原则，特别在夏收、秋收两季对园区内各地块划定区域，明确责任，对京昆高速、荣乌高速、园区内道路两侧等重点路段进行全天</w:t>
      </w:r>
      <w:r>
        <w:rPr>
          <w:rFonts w:hint="eastAsia" w:ascii="仿宋_GB2312" w:hAnsi="Tahoma" w:eastAsia="仿宋_GB2312" w:cs="DengXian-Regular"/>
          <w:sz w:val="32"/>
          <w:szCs w:val="32"/>
          <w:lang w:val="en-US" w:eastAsia="zh-CN"/>
        </w:rPr>
        <w:t>候</w:t>
      </w:r>
      <w:r>
        <w:rPr>
          <w:rFonts w:ascii="仿宋_GB2312" w:hAnsi="Tahoma" w:eastAsia="仿宋_GB2312" w:cs="DengXian-Regular"/>
          <w:sz w:val="32"/>
          <w:szCs w:val="32"/>
          <w:lang w:eastAsia="zh-CN"/>
        </w:rPr>
        <w:t>看护，对道路两侧堆放的秸秆以及垃圾进行及时清运。</w:t>
      </w:r>
      <w:r>
        <w:rPr>
          <w:rFonts w:hint="eastAsia" w:ascii="仿宋_GB2312" w:hAnsi="Tahoma" w:eastAsia="仿宋_GB2312" w:cs="DengXian-Regular"/>
          <w:sz w:val="32"/>
          <w:szCs w:val="32"/>
          <w:lang w:eastAsia="zh-CN"/>
        </w:rPr>
        <w:t>二是</w:t>
      </w:r>
      <w:r>
        <w:rPr>
          <w:rFonts w:ascii="仿宋_GB2312" w:hAnsi="Tahoma" w:eastAsia="仿宋_GB2312" w:cs="DengXian-Regular"/>
          <w:sz w:val="32"/>
          <w:szCs w:val="32"/>
          <w:lang w:eastAsia="zh-CN"/>
        </w:rPr>
        <w:t>对园区内临时发生的上访尤其是农民工欠薪等特殊案件进行及时处置，以维护全区稳定大局。</w:t>
      </w:r>
    </w:p>
    <w:p w14:paraId="53506E35">
      <w:pPr>
        <w:pStyle w:val="74"/>
        <w:rPr>
          <w:rFonts w:ascii="仿宋_GB2312" w:hAnsi="Tahoma" w:eastAsia="仿宋_GB2312" w:cs="DengXian-Regular"/>
          <w:sz w:val="32"/>
          <w:szCs w:val="32"/>
          <w:lang w:eastAsia="zh-CN"/>
        </w:rPr>
      </w:pPr>
      <w:r>
        <w:rPr>
          <w:rFonts w:hint="eastAsia" w:ascii="仿宋_GB2312" w:hAnsi="Tahoma" w:eastAsia="仿宋_GB2312" w:cs="DengXian-Regular"/>
          <w:sz w:val="32"/>
          <w:szCs w:val="32"/>
          <w:lang w:eastAsia="zh-CN"/>
        </w:rPr>
        <w:t>7.</w:t>
      </w:r>
      <w:r>
        <w:rPr>
          <w:rFonts w:ascii="仿宋_GB2312" w:hAnsi="Tahoma" w:eastAsia="仿宋_GB2312" w:cs="DengXian-Regular"/>
          <w:sz w:val="32"/>
          <w:szCs w:val="32"/>
          <w:lang w:eastAsia="zh-CN"/>
        </w:rPr>
        <w:t>改善卫生环境，提升园区生活质量</w:t>
      </w:r>
    </w:p>
    <w:p w14:paraId="3B2A2D88">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绩效目标：确保徐水经济开发区内环境卫生整洁，提升开发区整体形象。为入园企业营造良好的投资环境，给园区职工一个干净卫生的居住环境。</w:t>
      </w:r>
    </w:p>
    <w:p w14:paraId="36C113A9">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绩效指标：采用压缩式垃圾车密闭运输，将园区内垃圾做到日产日清，垃圾运到区政府指定的垃圾处理场，确保园区环境干净、整洁。</w:t>
      </w:r>
    </w:p>
    <w:p w14:paraId="65722FC7">
      <w:pPr>
        <w:pStyle w:val="74"/>
        <w:rPr>
          <w:rFonts w:ascii="仿宋_GB2312" w:hAnsi="Tahoma" w:eastAsia="仿宋_GB2312" w:cs="DengXian-Regular"/>
          <w:sz w:val="32"/>
          <w:szCs w:val="32"/>
          <w:lang w:eastAsia="zh-CN"/>
        </w:rPr>
      </w:pPr>
      <w:r>
        <w:rPr>
          <w:rFonts w:hint="eastAsia" w:ascii="仿宋_GB2312" w:hAnsi="Tahoma" w:eastAsia="仿宋_GB2312" w:cs="DengXian-Regular"/>
          <w:sz w:val="32"/>
          <w:szCs w:val="32"/>
          <w:lang w:eastAsia="zh-CN"/>
        </w:rPr>
        <w:t>8.</w:t>
      </w:r>
      <w:r>
        <w:rPr>
          <w:rFonts w:ascii="仿宋_GB2312" w:hAnsi="Tahoma" w:eastAsia="仿宋_GB2312" w:cs="DengXian-Regular"/>
          <w:sz w:val="32"/>
          <w:szCs w:val="32"/>
          <w:lang w:eastAsia="zh-CN"/>
        </w:rPr>
        <w:t>综合治理园区容貌，规范环境秩序</w:t>
      </w:r>
    </w:p>
    <w:p w14:paraId="01998202">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绩效目标：以严厉打击摊点占道、黑出租、违法占地、施工外部环境等为突破点，强化违法经营综合整治力度。取缔店外经营、拆除违法违章建筑，规范建筑工地环境整治。</w:t>
      </w:r>
    </w:p>
    <w:p w14:paraId="482090CA">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绩效指标：开发区综合执法中队通过日夜不断巡逻，加大对园区综合整治力度，对园区占道经营、非法广告、渣土运输车辆等等严厉打击，建章立制，规范园区环境秩序，改善园区面貌，提升园区形象。</w:t>
      </w:r>
    </w:p>
    <w:p w14:paraId="29D587F9">
      <w:pPr>
        <w:pStyle w:val="74"/>
        <w:rPr>
          <w:rFonts w:ascii="仿宋_GB2312" w:hAnsi="Tahoma" w:eastAsia="仿宋_GB2312" w:cs="DengXian-Regular"/>
          <w:sz w:val="32"/>
          <w:szCs w:val="32"/>
          <w:lang w:eastAsia="zh-CN"/>
        </w:rPr>
      </w:pPr>
      <w:r>
        <w:rPr>
          <w:rFonts w:hint="eastAsia" w:ascii="仿宋_GB2312" w:hAnsi="Tahoma" w:eastAsia="仿宋_GB2312" w:cs="DengXian-Regular"/>
          <w:sz w:val="32"/>
          <w:szCs w:val="32"/>
          <w:lang w:eastAsia="zh-CN"/>
        </w:rPr>
        <w:t>9.</w:t>
      </w:r>
      <w:r>
        <w:rPr>
          <w:rFonts w:ascii="仿宋_GB2312" w:hAnsi="Tahoma" w:eastAsia="仿宋_GB2312" w:cs="DengXian-Regular"/>
          <w:sz w:val="32"/>
          <w:szCs w:val="32"/>
          <w:lang w:eastAsia="zh-CN"/>
        </w:rPr>
        <w:t>促进区域经济发展，创造经济效益</w:t>
      </w:r>
    </w:p>
    <w:p w14:paraId="2F139A82">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绩效目标：优化建设环境，健全工作机制，加大园区招商力度，集中要素资源，调动各方面积极性，全力推进项目落地建设。</w:t>
      </w:r>
    </w:p>
    <w:p w14:paraId="4EAEEBF6">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绩效指标：全面贯彻落实科学发展观，坚持把项目建设作为推动又好又快发展的主要抓手，优化建设环境，设立招商中心，切实加强园区招商力度，争取更多新型战略</w:t>
      </w:r>
      <w:r>
        <w:rPr>
          <w:rFonts w:hint="eastAsia" w:ascii="仿宋_GB2312" w:hAnsi="Tahoma" w:eastAsia="仿宋_GB2312" w:cs="DengXian-Regular"/>
          <w:sz w:val="32"/>
          <w:szCs w:val="32"/>
          <w:lang w:val="en-US" w:eastAsia="zh-CN"/>
        </w:rPr>
        <w:t>性</w:t>
      </w:r>
      <w:r>
        <w:rPr>
          <w:rFonts w:ascii="仿宋_GB2312" w:hAnsi="Tahoma" w:eastAsia="仿宋_GB2312" w:cs="DengXian-Regular"/>
          <w:sz w:val="32"/>
          <w:szCs w:val="32"/>
          <w:lang w:eastAsia="zh-CN"/>
        </w:rPr>
        <w:t>企业落户园区，为园区创造更多的经济效益。</w:t>
      </w:r>
    </w:p>
    <w:p w14:paraId="274A6B7F">
      <w:pPr>
        <w:pStyle w:val="4"/>
        <w:spacing w:before="0" w:after="0" w:line="500" w:lineRule="exact"/>
        <w:ind w:firstLine="643" w:firstLineChars="200"/>
        <w:jc w:val="both"/>
        <w:rPr>
          <w:rFonts w:ascii="仿宋_GB2312" w:hAnsi="Tahoma" w:cs="DengXian-Regular"/>
          <w:sz w:val="32"/>
        </w:rPr>
      </w:pPr>
      <w:r>
        <w:rPr>
          <w:rFonts w:hint="eastAsia" w:ascii="仿宋_GB2312" w:hAnsi="Tahoma" w:cs="DengXian-Regular"/>
          <w:sz w:val="32"/>
        </w:rPr>
        <w:t>（三）部门预算收入及决算收入</w:t>
      </w:r>
      <w:bookmarkEnd w:id="9"/>
    </w:p>
    <w:p w14:paraId="7B1A4DBF">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2022年河北徐水经济开发区管理委员会预算收入</w:t>
      </w:r>
      <w:r>
        <w:rPr>
          <w:rFonts w:ascii="仿宋_GB2312" w:eastAsia="仿宋_GB2312" w:cs="DengXian-Regular"/>
          <w:sz w:val="32"/>
          <w:szCs w:val="32"/>
        </w:rPr>
        <w:t>26079</w:t>
      </w:r>
      <w:r>
        <w:rPr>
          <w:rFonts w:hint="eastAsia" w:ascii="仿宋_GB2312" w:eastAsia="仿宋_GB2312" w:cs="DengXian-Regular"/>
          <w:sz w:val="32"/>
          <w:szCs w:val="32"/>
        </w:rPr>
        <w:t>.</w:t>
      </w:r>
      <w:r>
        <w:rPr>
          <w:rFonts w:ascii="仿宋_GB2312" w:eastAsia="仿宋_GB2312" w:cs="DengXian-Regular"/>
          <w:sz w:val="32"/>
          <w:szCs w:val="32"/>
        </w:rPr>
        <w:t>34</w:t>
      </w:r>
      <w:r>
        <w:rPr>
          <w:rFonts w:hint="eastAsia" w:ascii="仿宋_GB2312" w:eastAsia="仿宋_GB2312" w:cs="DengXian-Regular"/>
          <w:sz w:val="32"/>
          <w:szCs w:val="32"/>
        </w:rPr>
        <w:t>万元，一般公共预算拨款</w:t>
      </w:r>
      <w:r>
        <w:rPr>
          <w:rFonts w:ascii="仿宋_GB2312" w:eastAsia="仿宋_GB2312" w:cs="DengXian-Regular"/>
          <w:sz w:val="32"/>
          <w:szCs w:val="32"/>
        </w:rPr>
        <w:t>1378</w:t>
      </w:r>
      <w:r>
        <w:rPr>
          <w:rFonts w:hint="eastAsia" w:ascii="仿宋_GB2312" w:eastAsia="仿宋_GB2312" w:cs="DengXian-Regular"/>
          <w:sz w:val="32"/>
          <w:szCs w:val="32"/>
        </w:rPr>
        <w:t>.</w:t>
      </w:r>
      <w:r>
        <w:rPr>
          <w:rFonts w:ascii="仿宋_GB2312" w:eastAsia="仿宋_GB2312" w:cs="DengXian-Regular"/>
          <w:sz w:val="32"/>
          <w:szCs w:val="32"/>
        </w:rPr>
        <w:t>13</w:t>
      </w:r>
      <w:r>
        <w:rPr>
          <w:rFonts w:hint="eastAsia" w:ascii="仿宋_GB2312" w:eastAsia="仿宋_GB2312" w:cs="DengXian-Regular"/>
          <w:sz w:val="32"/>
          <w:szCs w:val="32"/>
        </w:rPr>
        <w:t>万元，政府性基金预算拨款</w:t>
      </w:r>
      <w:r>
        <w:rPr>
          <w:rFonts w:ascii="仿宋_GB2312" w:eastAsia="仿宋_GB2312" w:cs="DengXian-Regular"/>
          <w:sz w:val="32"/>
          <w:szCs w:val="32"/>
        </w:rPr>
        <w:t>24701</w:t>
      </w:r>
      <w:r>
        <w:rPr>
          <w:rFonts w:hint="eastAsia" w:ascii="仿宋_GB2312" w:eastAsia="仿宋_GB2312" w:cs="DengXian-Regular"/>
          <w:sz w:val="32"/>
          <w:szCs w:val="32"/>
        </w:rPr>
        <w:t>.</w:t>
      </w:r>
      <w:r>
        <w:rPr>
          <w:rFonts w:ascii="仿宋_GB2312" w:eastAsia="仿宋_GB2312" w:cs="DengXian-Regular"/>
          <w:sz w:val="32"/>
          <w:szCs w:val="32"/>
        </w:rPr>
        <w:t>17</w:t>
      </w:r>
      <w:r>
        <w:rPr>
          <w:rFonts w:hint="eastAsia" w:ascii="仿宋_GB2312" w:eastAsia="仿宋_GB2312" w:cs="DengXian-Regular"/>
          <w:sz w:val="32"/>
          <w:szCs w:val="32"/>
        </w:rPr>
        <w:t>万元，其他收入0.04万元。其中：财政拨款26079.3万元，中央财政提前通知转移支付0万元。预算收入按功能分类包含：一般公共服务支出1188.23万元，公共安全支出70万元，社会保障和就业支出60.46万元，卫生健康支出20.87万元，城乡社区支出24701.17万元，住房保障支出38.61万元。具体预算收入详见附件2。</w:t>
      </w:r>
    </w:p>
    <w:p w14:paraId="4E4FF6A9">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2022年河北徐水经济开发区管理委员会决算收入</w:t>
      </w:r>
      <w:r>
        <w:rPr>
          <w:rFonts w:ascii="仿宋_GB2312" w:eastAsia="仿宋_GB2312" w:cs="DengXian-Regular"/>
          <w:sz w:val="32"/>
          <w:szCs w:val="32"/>
        </w:rPr>
        <w:t>140915</w:t>
      </w:r>
      <w:r>
        <w:rPr>
          <w:rFonts w:hint="eastAsia" w:ascii="仿宋_GB2312" w:eastAsia="仿宋_GB2312" w:cs="DengXian-Regular"/>
          <w:sz w:val="32"/>
          <w:szCs w:val="32"/>
        </w:rPr>
        <w:t>.</w:t>
      </w:r>
      <w:r>
        <w:rPr>
          <w:rFonts w:ascii="仿宋_GB2312" w:eastAsia="仿宋_GB2312" w:cs="DengXian-Regular"/>
          <w:sz w:val="32"/>
          <w:szCs w:val="32"/>
        </w:rPr>
        <w:t>7</w:t>
      </w:r>
      <w:r>
        <w:rPr>
          <w:rFonts w:hint="eastAsia" w:ascii="仿宋_GB2312" w:eastAsia="仿宋_GB2312" w:cs="DengXian-Regular"/>
          <w:sz w:val="32"/>
          <w:szCs w:val="32"/>
        </w:rPr>
        <w:t>5万元，其中：财政拨款收入140236.51万元，其他收入679.24万元（其中个税劳务费0.06万元，其余全部为利息收入）。决算收入按功能分类包含：一般公共服务支出</w:t>
      </w:r>
      <w:r>
        <w:rPr>
          <w:rFonts w:ascii="仿宋_GB2312" w:eastAsia="仿宋_GB2312" w:cs="DengXian-Regular"/>
          <w:sz w:val="32"/>
          <w:szCs w:val="32"/>
        </w:rPr>
        <w:t>1560</w:t>
      </w:r>
      <w:r>
        <w:rPr>
          <w:rFonts w:hint="eastAsia" w:ascii="仿宋_GB2312" w:eastAsia="仿宋_GB2312" w:cs="DengXian-Regular"/>
          <w:sz w:val="32"/>
          <w:szCs w:val="32"/>
        </w:rPr>
        <w:t>.</w:t>
      </w:r>
      <w:r>
        <w:rPr>
          <w:rFonts w:ascii="仿宋_GB2312" w:eastAsia="仿宋_GB2312" w:cs="DengXian-Regular"/>
          <w:sz w:val="32"/>
          <w:szCs w:val="32"/>
        </w:rPr>
        <w:t>8</w:t>
      </w:r>
      <w:r>
        <w:rPr>
          <w:rFonts w:hint="eastAsia" w:ascii="仿宋_GB2312" w:eastAsia="仿宋_GB2312" w:cs="DengXian-Regular"/>
          <w:sz w:val="32"/>
          <w:szCs w:val="32"/>
        </w:rPr>
        <w:t>4万元，占比1.11%；公共安全支出</w:t>
      </w:r>
      <w:r>
        <w:rPr>
          <w:rFonts w:ascii="仿宋_GB2312" w:eastAsia="仿宋_GB2312" w:cs="DengXian-Regular"/>
          <w:sz w:val="32"/>
          <w:szCs w:val="32"/>
        </w:rPr>
        <w:t>29</w:t>
      </w:r>
      <w:r>
        <w:rPr>
          <w:rFonts w:hint="eastAsia" w:ascii="仿宋_GB2312" w:eastAsia="仿宋_GB2312" w:cs="DengXian-Regular"/>
          <w:sz w:val="32"/>
          <w:szCs w:val="32"/>
        </w:rPr>
        <w:t>.</w:t>
      </w:r>
      <w:r>
        <w:rPr>
          <w:rFonts w:ascii="仿宋_GB2312" w:eastAsia="仿宋_GB2312" w:cs="DengXian-Regular"/>
          <w:sz w:val="32"/>
          <w:szCs w:val="32"/>
        </w:rPr>
        <w:t>1</w:t>
      </w:r>
      <w:r>
        <w:rPr>
          <w:rFonts w:hint="eastAsia" w:ascii="仿宋_GB2312" w:eastAsia="仿宋_GB2312" w:cs="DengXian-Regular"/>
          <w:sz w:val="32"/>
          <w:szCs w:val="32"/>
        </w:rPr>
        <w:t>3万元，占比0.02%；科学技术支出</w:t>
      </w:r>
      <w:r>
        <w:rPr>
          <w:rFonts w:ascii="仿宋_GB2312" w:eastAsia="仿宋_GB2312" w:cs="DengXian-Regular"/>
          <w:sz w:val="32"/>
          <w:szCs w:val="32"/>
        </w:rPr>
        <w:t>2987</w:t>
      </w:r>
      <w:r>
        <w:rPr>
          <w:rFonts w:hint="eastAsia" w:ascii="仿宋_GB2312" w:eastAsia="仿宋_GB2312" w:cs="DengXian-Regular"/>
          <w:sz w:val="32"/>
          <w:szCs w:val="32"/>
        </w:rPr>
        <w:t>.</w:t>
      </w:r>
      <w:r>
        <w:rPr>
          <w:rFonts w:ascii="仿宋_GB2312" w:eastAsia="仿宋_GB2312" w:cs="DengXian-Regular"/>
          <w:sz w:val="32"/>
          <w:szCs w:val="32"/>
        </w:rPr>
        <w:t>61</w:t>
      </w:r>
      <w:r>
        <w:rPr>
          <w:rFonts w:hint="eastAsia" w:ascii="仿宋_GB2312" w:eastAsia="仿宋_GB2312" w:cs="DengXian-Regular"/>
          <w:sz w:val="32"/>
          <w:szCs w:val="32"/>
        </w:rPr>
        <w:t>万元，占比2.12%；社会保障和就业支出</w:t>
      </w:r>
      <w:r>
        <w:rPr>
          <w:rFonts w:ascii="仿宋_GB2312" w:eastAsia="仿宋_GB2312" w:cs="DengXian-Regular"/>
          <w:sz w:val="32"/>
          <w:szCs w:val="32"/>
        </w:rPr>
        <w:t>62</w:t>
      </w:r>
      <w:r>
        <w:rPr>
          <w:rFonts w:hint="eastAsia" w:ascii="仿宋_GB2312" w:eastAsia="仿宋_GB2312" w:cs="DengXian-Regular"/>
          <w:sz w:val="32"/>
          <w:szCs w:val="32"/>
        </w:rPr>
        <w:t>.80万元，占比0.04%；卫生健康支出</w:t>
      </w:r>
      <w:r>
        <w:rPr>
          <w:rFonts w:ascii="仿宋_GB2312" w:eastAsia="仿宋_GB2312" w:cs="DengXian-Regular"/>
          <w:sz w:val="32"/>
          <w:szCs w:val="32"/>
        </w:rPr>
        <w:t>36</w:t>
      </w:r>
      <w:r>
        <w:rPr>
          <w:rFonts w:hint="eastAsia" w:ascii="仿宋_GB2312" w:eastAsia="仿宋_GB2312" w:cs="DengXian-Regular"/>
          <w:sz w:val="32"/>
          <w:szCs w:val="32"/>
        </w:rPr>
        <w:t>.</w:t>
      </w:r>
      <w:r>
        <w:rPr>
          <w:rFonts w:ascii="仿宋_GB2312" w:eastAsia="仿宋_GB2312" w:cs="DengXian-Regular"/>
          <w:sz w:val="32"/>
          <w:szCs w:val="32"/>
        </w:rPr>
        <w:t>64</w:t>
      </w:r>
      <w:r>
        <w:rPr>
          <w:rFonts w:hint="eastAsia" w:ascii="仿宋_GB2312" w:eastAsia="仿宋_GB2312" w:cs="DengXian-Regular"/>
          <w:sz w:val="32"/>
          <w:szCs w:val="32"/>
        </w:rPr>
        <w:t>万元，占比0.03%；城乡社区支出</w:t>
      </w:r>
      <w:r>
        <w:rPr>
          <w:rFonts w:ascii="仿宋_GB2312" w:eastAsia="仿宋_GB2312" w:cs="DengXian-Regular"/>
          <w:sz w:val="32"/>
          <w:szCs w:val="32"/>
        </w:rPr>
        <w:t>18731</w:t>
      </w:r>
      <w:r>
        <w:rPr>
          <w:rFonts w:hint="eastAsia" w:ascii="仿宋_GB2312" w:eastAsia="仿宋_GB2312" w:cs="DengXian-Regular"/>
          <w:sz w:val="32"/>
          <w:szCs w:val="32"/>
        </w:rPr>
        <w:t>.</w:t>
      </w:r>
      <w:r>
        <w:rPr>
          <w:rFonts w:ascii="仿宋_GB2312" w:eastAsia="仿宋_GB2312" w:cs="DengXian-Regular"/>
          <w:sz w:val="32"/>
          <w:szCs w:val="32"/>
        </w:rPr>
        <w:t>89</w:t>
      </w:r>
      <w:r>
        <w:rPr>
          <w:rFonts w:hint="eastAsia" w:ascii="仿宋_GB2312" w:eastAsia="仿宋_GB2312" w:cs="DengXian-Regular"/>
          <w:sz w:val="32"/>
          <w:szCs w:val="32"/>
        </w:rPr>
        <w:t>万元，占比13.29%；自然资源海洋气象等支出</w:t>
      </w:r>
      <w:r>
        <w:rPr>
          <w:rFonts w:ascii="仿宋_GB2312" w:eastAsia="仿宋_GB2312" w:cs="DengXian-Regular"/>
          <w:sz w:val="32"/>
          <w:szCs w:val="32"/>
        </w:rPr>
        <w:t>1787</w:t>
      </w:r>
      <w:r>
        <w:rPr>
          <w:rFonts w:hint="eastAsia" w:ascii="仿宋_GB2312" w:eastAsia="仿宋_GB2312" w:cs="DengXian-Regular"/>
          <w:sz w:val="32"/>
          <w:szCs w:val="32"/>
        </w:rPr>
        <w:t>.</w:t>
      </w:r>
      <w:r>
        <w:rPr>
          <w:rFonts w:ascii="仿宋_GB2312" w:eastAsia="仿宋_GB2312" w:cs="DengXian-Regular"/>
          <w:sz w:val="32"/>
          <w:szCs w:val="32"/>
        </w:rPr>
        <w:t>84</w:t>
      </w:r>
      <w:r>
        <w:rPr>
          <w:rFonts w:hint="eastAsia" w:ascii="仿宋_GB2312" w:eastAsia="仿宋_GB2312" w:cs="DengXian-Regular"/>
          <w:sz w:val="32"/>
          <w:szCs w:val="32"/>
        </w:rPr>
        <w:t>万元，占比1.27%；住房保障支出</w:t>
      </w:r>
      <w:r>
        <w:rPr>
          <w:rFonts w:ascii="仿宋_GB2312" w:eastAsia="仿宋_GB2312" w:cs="DengXian-Regular"/>
          <w:sz w:val="32"/>
          <w:szCs w:val="32"/>
        </w:rPr>
        <w:t>39</w:t>
      </w:r>
      <w:r>
        <w:rPr>
          <w:rFonts w:hint="eastAsia" w:ascii="仿宋_GB2312" w:eastAsia="仿宋_GB2312" w:cs="DengXian-Regular"/>
          <w:sz w:val="32"/>
          <w:szCs w:val="32"/>
        </w:rPr>
        <w:t>.</w:t>
      </w:r>
      <w:r>
        <w:rPr>
          <w:rFonts w:ascii="仿宋_GB2312" w:eastAsia="仿宋_GB2312" w:cs="DengXian-Regular"/>
          <w:sz w:val="32"/>
          <w:szCs w:val="32"/>
        </w:rPr>
        <w:t>8</w:t>
      </w:r>
      <w:r>
        <w:rPr>
          <w:rFonts w:hint="eastAsia" w:ascii="仿宋_GB2312" w:eastAsia="仿宋_GB2312" w:cs="DengXian-Regular"/>
          <w:sz w:val="32"/>
          <w:szCs w:val="32"/>
        </w:rPr>
        <w:t>5万元，占比0.03%；其他支出</w:t>
      </w:r>
      <w:r>
        <w:rPr>
          <w:rFonts w:ascii="仿宋_GB2312" w:eastAsia="仿宋_GB2312" w:cs="DengXian-Regular"/>
          <w:sz w:val="32"/>
          <w:szCs w:val="32"/>
        </w:rPr>
        <w:t>115679</w:t>
      </w:r>
      <w:r>
        <w:rPr>
          <w:rFonts w:hint="eastAsia" w:ascii="仿宋_GB2312" w:eastAsia="仿宋_GB2312" w:cs="DengXian-Regular"/>
          <w:sz w:val="32"/>
          <w:szCs w:val="32"/>
        </w:rPr>
        <w:t>.</w:t>
      </w:r>
      <w:r>
        <w:rPr>
          <w:rFonts w:ascii="仿宋_GB2312" w:eastAsia="仿宋_GB2312" w:cs="DengXian-Regular"/>
          <w:sz w:val="32"/>
          <w:szCs w:val="32"/>
        </w:rPr>
        <w:t>1</w:t>
      </w:r>
      <w:r>
        <w:rPr>
          <w:rFonts w:hint="eastAsia" w:ascii="仿宋_GB2312" w:eastAsia="仿宋_GB2312" w:cs="DengXian-Regular"/>
          <w:sz w:val="32"/>
          <w:szCs w:val="32"/>
        </w:rPr>
        <w:t>5万元，占比82.09%。具体决算收入详见附件</w:t>
      </w:r>
    </w:p>
    <w:p w14:paraId="017A264F">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2。决算收入结构如图1。</w:t>
      </w:r>
    </w:p>
    <w:p w14:paraId="3A7DC5D4">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图1  2022年河北徐水经济开发区管理委员会</w:t>
      </w:r>
    </w:p>
    <w:p w14:paraId="1A3B3F1A">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决算收入结构图</w:t>
      </w:r>
    </w:p>
    <w:p w14:paraId="64A7AE2E">
      <w:pPr>
        <w:spacing w:after="0" w:line="360" w:lineRule="auto"/>
        <w:jc w:val="center"/>
        <w:textAlignment w:val="baseline"/>
        <w:rPr>
          <w:rFonts w:ascii="仿宋_GB2312" w:eastAsia="仿宋_GB2312" w:cs="DengXian-Regular"/>
          <w:sz w:val="32"/>
          <w:szCs w:val="32"/>
        </w:rPr>
      </w:pPr>
      <w:r>
        <w:drawing>
          <wp:inline distT="0" distB="0" distL="0" distR="0">
            <wp:extent cx="4981575" cy="3124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8CCEFEE">
      <w:pPr>
        <w:spacing w:line="500" w:lineRule="exact"/>
        <w:ind w:firstLine="640" w:firstLineChars="200"/>
        <w:jc w:val="both"/>
        <w:rPr>
          <w:rFonts w:ascii="宋体" w:hAnsi="宋体" w:eastAsia="宋体" w:cs="宋体"/>
          <w:color w:val="000000"/>
        </w:rPr>
      </w:pPr>
      <w:r>
        <w:rPr>
          <w:rFonts w:hint="eastAsia" w:ascii="仿宋_GB2312" w:eastAsia="仿宋_GB2312" w:cs="DengXian-Regular"/>
          <w:sz w:val="32"/>
          <w:szCs w:val="32"/>
        </w:rPr>
        <w:t>2022年徐水经济开发区管理委员会一般公共预算财政拨款决算收入比年初预算增加5126.48 万元，完成年初预算的4719.88%，决算收入大于预算收入的主要原因为2022年度开发区管委会</w:t>
      </w:r>
      <w:r>
        <w:rPr>
          <w:rFonts w:hint="eastAsia" w:ascii="仿宋_GB2312" w:eastAsia="仿宋_GB2312" w:cs="DengXian-Regular"/>
          <w:sz w:val="32"/>
          <w:szCs w:val="32"/>
          <w:u w:val="single"/>
        </w:rPr>
        <w:t>追加一般公共预算项目的金额比年初预算大幅增加，如风帆产业园项目建设资金2000万元、象山矿山修复项目首付款（一标段）</w:t>
      </w:r>
      <w:r>
        <w:rPr>
          <w:rFonts w:ascii="仿宋_GB2312" w:eastAsia="仿宋_GB2312" w:cs="DengXian-Regular"/>
          <w:sz w:val="32"/>
          <w:szCs w:val="32"/>
          <w:u w:val="single"/>
        </w:rPr>
        <w:t>1787</w:t>
      </w:r>
      <w:r>
        <w:rPr>
          <w:rFonts w:hint="eastAsia" w:ascii="仿宋_GB2312" w:eastAsia="仿宋_GB2312" w:cs="DengXian-Regular"/>
          <w:sz w:val="32"/>
          <w:szCs w:val="32"/>
          <w:u w:val="single"/>
        </w:rPr>
        <w:t>.</w:t>
      </w:r>
      <w:r>
        <w:rPr>
          <w:rFonts w:ascii="仿宋_GB2312" w:eastAsia="仿宋_GB2312" w:cs="DengXian-Regular"/>
          <w:sz w:val="32"/>
          <w:szCs w:val="32"/>
          <w:u w:val="single"/>
        </w:rPr>
        <w:t>84</w:t>
      </w:r>
      <w:r>
        <w:rPr>
          <w:rFonts w:hint="eastAsia" w:ascii="仿宋_GB2312" w:eastAsia="仿宋_GB2312" w:cs="DengXian-Regular"/>
          <w:sz w:val="32"/>
          <w:szCs w:val="32"/>
          <w:u w:val="single"/>
        </w:rPr>
        <w:t>万元、开发区云致科技谷租金及物业费</w:t>
      </w:r>
      <w:r>
        <w:rPr>
          <w:rFonts w:ascii="仿宋_GB2312" w:eastAsia="仿宋_GB2312" w:cs="DengXian-Regular"/>
          <w:sz w:val="32"/>
          <w:szCs w:val="32"/>
          <w:u w:val="single"/>
        </w:rPr>
        <w:t>243</w:t>
      </w:r>
      <w:r>
        <w:rPr>
          <w:rFonts w:hint="eastAsia" w:ascii="仿宋_GB2312" w:eastAsia="仿宋_GB2312" w:cs="DengXian-Regular"/>
          <w:sz w:val="32"/>
          <w:szCs w:val="32"/>
          <w:u w:val="single"/>
        </w:rPr>
        <w:t>.</w:t>
      </w:r>
      <w:r>
        <w:rPr>
          <w:rFonts w:ascii="仿宋_GB2312" w:eastAsia="仿宋_GB2312" w:cs="DengXian-Regular"/>
          <w:sz w:val="32"/>
          <w:szCs w:val="32"/>
          <w:u w:val="single"/>
        </w:rPr>
        <w:t>87</w:t>
      </w:r>
      <w:r>
        <w:rPr>
          <w:rFonts w:hint="eastAsia" w:ascii="仿宋_GB2312" w:eastAsia="仿宋_GB2312" w:cs="DengXian-Regular"/>
          <w:sz w:val="32"/>
          <w:szCs w:val="32"/>
          <w:u w:val="single"/>
        </w:rPr>
        <w:t>万元、保定隆达铝业有限公司招商政策奖励资金</w:t>
      </w:r>
      <w:r>
        <w:rPr>
          <w:rFonts w:ascii="仿宋_GB2312" w:eastAsia="仿宋_GB2312" w:cs="DengXian-Regular"/>
          <w:sz w:val="32"/>
          <w:szCs w:val="32"/>
          <w:u w:val="single"/>
        </w:rPr>
        <w:t>552</w:t>
      </w:r>
      <w:r>
        <w:rPr>
          <w:rFonts w:hint="eastAsia" w:ascii="仿宋_GB2312" w:eastAsia="仿宋_GB2312" w:cs="DengXian-Regular"/>
          <w:sz w:val="32"/>
          <w:szCs w:val="32"/>
          <w:u w:val="single"/>
        </w:rPr>
        <w:t>.</w:t>
      </w:r>
      <w:r>
        <w:rPr>
          <w:rFonts w:ascii="仿宋_GB2312" w:eastAsia="仿宋_GB2312" w:cs="DengXian-Regular"/>
          <w:sz w:val="32"/>
          <w:szCs w:val="32"/>
          <w:u w:val="single"/>
        </w:rPr>
        <w:t>89</w:t>
      </w:r>
      <w:r>
        <w:rPr>
          <w:rFonts w:hint="eastAsia" w:ascii="仿宋_GB2312" w:eastAsia="仿宋_GB2312" w:cs="DengXian-Regular"/>
          <w:sz w:val="32"/>
          <w:szCs w:val="32"/>
          <w:u w:val="single"/>
        </w:rPr>
        <w:t>万元、开发区区域评估费用177.31万元等</w:t>
      </w:r>
      <w:r>
        <w:rPr>
          <w:rFonts w:hint="eastAsia" w:ascii="仿宋_GB2312" w:eastAsia="仿宋_GB2312" w:cs="DengXian-Regular"/>
          <w:sz w:val="32"/>
          <w:szCs w:val="32"/>
        </w:rPr>
        <w:t>；政府性基金预算财政拨款决算收入比年初预算增加</w:t>
      </w:r>
      <w:r>
        <w:rPr>
          <w:rFonts w:ascii="仿宋_GB2312" w:eastAsia="仿宋_GB2312" w:cs="DengXian-Regular"/>
          <w:sz w:val="32"/>
          <w:szCs w:val="32"/>
        </w:rPr>
        <w:t>109030</w:t>
      </w:r>
      <w:r>
        <w:rPr>
          <w:rFonts w:hint="eastAsia" w:ascii="仿宋_GB2312" w:eastAsia="仿宋_GB2312" w:cs="DengXian-Regular"/>
          <w:sz w:val="32"/>
          <w:szCs w:val="32"/>
        </w:rPr>
        <w:t>.</w:t>
      </w:r>
      <w:r>
        <w:rPr>
          <w:rFonts w:ascii="仿宋_GB2312" w:eastAsia="仿宋_GB2312" w:cs="DengXian-Regular"/>
          <w:sz w:val="32"/>
          <w:szCs w:val="32"/>
        </w:rPr>
        <w:t>72</w:t>
      </w:r>
      <w:r>
        <w:rPr>
          <w:rFonts w:hint="eastAsia" w:ascii="仿宋_GB2312" w:eastAsia="仿宋_GB2312" w:cs="DengXian-Regular"/>
          <w:sz w:val="32"/>
          <w:szCs w:val="32"/>
        </w:rPr>
        <w:t>万元，完成年初预算的5413.99%，决算收入大于预算收入的主要原因是2022年度开发区管委会</w:t>
      </w:r>
      <w:r>
        <w:rPr>
          <w:rFonts w:hint="eastAsia" w:ascii="仿宋_GB2312" w:eastAsia="仿宋_GB2312" w:cs="DengXian-Regular"/>
          <w:sz w:val="32"/>
          <w:szCs w:val="32"/>
          <w:u w:val="single"/>
        </w:rPr>
        <w:t>追加的政府性基金预算比年初预算大幅增加，如2022年第二批新增政府债券-河北徐水经济开发区基础设施建设项目30000万元、2022年第四批新增政府债券-河北徐水经济开发区2022年度基础设施建设项目30000万元、开发区2022年度徐水经济开发区基础设施建设项目第二批55000万元等</w:t>
      </w:r>
      <w:r>
        <w:rPr>
          <w:rFonts w:hint="eastAsia" w:ascii="仿宋_GB2312" w:eastAsia="仿宋_GB2312" w:cs="DengXian-Regular"/>
          <w:sz w:val="32"/>
          <w:szCs w:val="32"/>
        </w:rPr>
        <w:t>。</w:t>
      </w:r>
    </w:p>
    <w:p w14:paraId="5267BEC6">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预算收入与决算收入对比情况见图2。</w:t>
      </w:r>
    </w:p>
    <w:p w14:paraId="1F225F05">
      <w:pPr>
        <w:spacing w:after="0" w:line="360" w:lineRule="auto"/>
        <w:jc w:val="center"/>
        <w:rPr>
          <w:rFonts w:asciiTheme="minorEastAsia" w:hAnsiTheme="minorEastAsia" w:eastAsiaTheme="minorEastAsia" w:cstheme="minorEastAsia"/>
          <w:b/>
          <w:sz w:val="32"/>
          <w:szCs w:val="32"/>
          <w:u w:color="000000"/>
        </w:rPr>
      </w:pPr>
      <w:r>
        <w:rPr>
          <w:rFonts w:hint="eastAsia" w:asciiTheme="minorEastAsia" w:hAnsiTheme="minorEastAsia" w:eastAsiaTheme="minorEastAsia" w:cstheme="minorEastAsia"/>
          <w:b/>
          <w:sz w:val="32"/>
          <w:szCs w:val="32"/>
          <w:u w:color="000000"/>
        </w:rPr>
        <w:t>图2  2022年河北徐水经济开发区管理委员会</w:t>
      </w:r>
    </w:p>
    <w:p w14:paraId="03A0A88C">
      <w:pPr>
        <w:spacing w:after="0" w:line="360" w:lineRule="auto"/>
        <w:jc w:val="center"/>
        <w:rPr>
          <w:rFonts w:asciiTheme="minorEastAsia" w:hAnsiTheme="minorEastAsia" w:eastAsiaTheme="minorEastAsia" w:cstheme="minorEastAsia"/>
          <w:b/>
          <w:sz w:val="32"/>
          <w:szCs w:val="32"/>
          <w:u w:color="000000"/>
        </w:rPr>
      </w:pPr>
      <w:r>
        <w:rPr>
          <w:rFonts w:hint="eastAsia" w:asciiTheme="minorEastAsia" w:hAnsiTheme="minorEastAsia" w:eastAsiaTheme="minorEastAsia" w:cstheme="minorEastAsia"/>
          <w:b/>
          <w:sz w:val="32"/>
          <w:szCs w:val="32"/>
          <w:u w:color="000000"/>
        </w:rPr>
        <w:t>预算收入与决算收入对比图</w:t>
      </w:r>
    </w:p>
    <w:p w14:paraId="15624775">
      <w:pPr>
        <w:spacing w:after="0" w:line="360" w:lineRule="auto"/>
        <w:jc w:val="center"/>
        <w:rPr>
          <w:rFonts w:ascii="仿宋_GB2312" w:eastAsia="仿宋_GB2312" w:cs="Times New Roman" w:hAnsiTheme="minorEastAsia"/>
          <w:bCs/>
          <w:sz w:val="32"/>
          <w:szCs w:val="32"/>
          <w:u w:color="000000"/>
        </w:rPr>
      </w:pPr>
      <w:r>
        <w:drawing>
          <wp:inline distT="0" distB="0" distL="0" distR="0">
            <wp:extent cx="5278120" cy="3766185"/>
            <wp:effectExtent l="0" t="0" r="0" b="571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2348048">
      <w:pPr>
        <w:pStyle w:val="4"/>
        <w:spacing w:before="0" w:after="0"/>
        <w:ind w:firstLine="643" w:firstLineChars="200"/>
        <w:jc w:val="both"/>
        <w:rPr>
          <w:rFonts w:ascii="仿宋_GB2312" w:hAnsiTheme="minorEastAsia"/>
          <w:sz w:val="32"/>
        </w:rPr>
      </w:pPr>
      <w:bookmarkStart w:id="12" w:name="_Toc18197"/>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14:paraId="16CA97B7">
      <w:pPr>
        <w:spacing w:after="0" w:line="500" w:lineRule="exact"/>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2022年河北徐水经济开发区管理委员会</w:t>
      </w:r>
      <w:r>
        <w:rPr>
          <w:rFonts w:hint="eastAsia" w:ascii="仿宋_GB2312" w:eastAsia="仿宋_GB2312" w:cs="Times New Roman" w:hAnsiTheme="minorEastAsia"/>
          <w:sz w:val="32"/>
          <w:szCs w:val="32"/>
          <w:u w:color="000000"/>
        </w:rPr>
        <w:t>预算支出安排</w:t>
      </w:r>
      <w:r>
        <w:rPr>
          <w:rFonts w:ascii="仿宋_GB2312" w:eastAsia="仿宋_GB2312" w:cs="Times New Roman" w:hAnsiTheme="minorEastAsia"/>
          <w:sz w:val="32"/>
          <w:szCs w:val="32"/>
          <w:u w:color="000000"/>
        </w:rPr>
        <w:t>26079.34</w:t>
      </w:r>
      <w:r>
        <w:rPr>
          <w:rFonts w:hint="eastAsia" w:ascii="仿宋_GB2312" w:eastAsia="仿宋_GB2312" w:cs="Times New Roman" w:hAnsiTheme="minorEastAsia"/>
          <w:sz w:val="32"/>
          <w:szCs w:val="32"/>
          <w:u w:color="000000"/>
        </w:rPr>
        <w:t>万元，其中：基本支出</w:t>
      </w:r>
      <w:r>
        <w:rPr>
          <w:rFonts w:ascii="仿宋_GB2312" w:eastAsia="仿宋_GB2312" w:cs="Times New Roman" w:hAnsiTheme="minorEastAsia"/>
          <w:sz w:val="32"/>
          <w:szCs w:val="32"/>
          <w:u w:color="000000"/>
        </w:rPr>
        <w:t>870.17</w:t>
      </w:r>
      <w:r>
        <w:rPr>
          <w:rFonts w:hint="eastAsia" w:ascii="仿宋_GB2312" w:eastAsia="仿宋_GB2312" w:cs="Times New Roman" w:hAnsiTheme="minorEastAsia"/>
          <w:sz w:val="32"/>
          <w:szCs w:val="32"/>
          <w:u w:color="000000"/>
        </w:rPr>
        <w:t>万元，项目支出</w:t>
      </w:r>
      <w:r>
        <w:rPr>
          <w:rFonts w:ascii="仿宋_GB2312" w:eastAsia="仿宋_GB2312" w:cs="Times New Roman" w:hAnsiTheme="minorEastAsia"/>
          <w:sz w:val="32"/>
          <w:szCs w:val="32"/>
          <w:u w:color="000000"/>
        </w:rPr>
        <w:t>25209.17</w:t>
      </w:r>
      <w:r>
        <w:rPr>
          <w:rFonts w:hint="eastAsia" w:ascii="仿宋_GB2312" w:eastAsia="仿宋_GB2312" w:cs="Times New Roman" w:hAnsiTheme="minorEastAsia"/>
          <w:sz w:val="32"/>
          <w:szCs w:val="32"/>
          <w:u w:color="000000"/>
        </w:rPr>
        <w:t>万元。预算支出按功能分类包含：</w:t>
      </w:r>
      <w:r>
        <w:rPr>
          <w:rFonts w:hint="eastAsia" w:ascii="仿宋_GB2312" w:eastAsia="仿宋_GB2312" w:cs="DengXian-Regular"/>
          <w:sz w:val="32"/>
          <w:szCs w:val="32"/>
        </w:rPr>
        <w:t>一般公共服务支出1188.23万元，公共安全支出70万元，社会保障和就业支出60.46万元，卫生健康支出20.87万元，城乡社区支出24701.17万元，住房保障支出38.61万元。</w:t>
      </w:r>
      <w:r>
        <w:rPr>
          <w:rFonts w:hint="eastAsia" w:ascii="仿宋_GB2312" w:eastAsia="仿宋_GB2312" w:cs="Times New Roman" w:hAnsiTheme="minorEastAsia"/>
          <w:sz w:val="32"/>
          <w:szCs w:val="32"/>
          <w:u w:color="000000"/>
        </w:rPr>
        <w:t>具体预算支出详见附件2。</w:t>
      </w:r>
    </w:p>
    <w:p w14:paraId="57B76948">
      <w:pPr>
        <w:spacing w:after="0" w:line="500" w:lineRule="exact"/>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2022年河北徐水经济开发区管理委员会</w:t>
      </w:r>
      <w:r>
        <w:rPr>
          <w:rFonts w:hint="eastAsia" w:ascii="仿宋_GB2312" w:eastAsia="仿宋_GB2312" w:cs="Times New Roman" w:hAnsiTheme="minorEastAsia"/>
          <w:sz w:val="32"/>
          <w:szCs w:val="32"/>
          <w:u w:color="000000"/>
        </w:rPr>
        <w:t>决算支出为</w:t>
      </w:r>
      <w:r>
        <w:rPr>
          <w:rFonts w:ascii="仿宋_GB2312" w:eastAsia="仿宋_GB2312" w:cs="Times New Roman" w:hAnsiTheme="minorEastAsia"/>
          <w:sz w:val="32"/>
          <w:szCs w:val="32"/>
          <w:u w:color="000000"/>
        </w:rPr>
        <w:t>95227</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16</w:t>
      </w:r>
      <w:r>
        <w:rPr>
          <w:rFonts w:hint="eastAsia" w:ascii="仿宋_GB2312" w:eastAsia="仿宋_GB2312" w:cs="Times New Roman" w:hAnsiTheme="minorEastAsia"/>
          <w:sz w:val="32"/>
          <w:szCs w:val="32"/>
          <w:u w:color="000000"/>
        </w:rPr>
        <w:t>万元，其中：基本支出</w:t>
      </w:r>
      <w:r>
        <w:rPr>
          <w:rFonts w:ascii="仿宋_GB2312" w:eastAsia="仿宋_GB2312" w:cs="Times New Roman" w:hAnsiTheme="minorEastAsia"/>
          <w:sz w:val="32"/>
          <w:szCs w:val="32"/>
          <w:u w:color="000000"/>
        </w:rPr>
        <w:t>768</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51</w:t>
      </w:r>
      <w:r>
        <w:rPr>
          <w:rFonts w:hint="eastAsia" w:ascii="仿宋_GB2312" w:eastAsia="仿宋_GB2312" w:cs="Times New Roman" w:hAnsiTheme="minorEastAsia"/>
          <w:sz w:val="32"/>
          <w:szCs w:val="32"/>
          <w:u w:color="000000"/>
        </w:rPr>
        <w:t>万元，项目支出</w:t>
      </w:r>
      <w:r>
        <w:rPr>
          <w:rFonts w:ascii="仿宋_GB2312" w:eastAsia="仿宋_GB2312" w:cs="Times New Roman" w:hAnsiTheme="minorEastAsia"/>
          <w:sz w:val="32"/>
          <w:szCs w:val="32"/>
          <w:u w:color="000000"/>
        </w:rPr>
        <w:t>94458</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65</w:t>
      </w:r>
      <w:r>
        <w:rPr>
          <w:rFonts w:hint="eastAsia" w:ascii="仿宋_GB2312" w:eastAsia="仿宋_GB2312" w:cs="Times New Roman" w:hAnsiTheme="minorEastAsia"/>
          <w:sz w:val="32"/>
          <w:szCs w:val="32"/>
          <w:u w:color="000000"/>
        </w:rPr>
        <w:t>万元。决算支出按功能分类包含：一般公共服务支出</w:t>
      </w:r>
      <w:r>
        <w:rPr>
          <w:rFonts w:ascii="仿宋_GB2312" w:eastAsia="仿宋_GB2312" w:cs="Times New Roman" w:hAnsiTheme="minorEastAsia"/>
          <w:sz w:val="32"/>
          <w:szCs w:val="32"/>
          <w:u w:color="000000"/>
        </w:rPr>
        <w:t>1560</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96</w:t>
      </w:r>
      <w:r>
        <w:rPr>
          <w:rFonts w:hint="eastAsia" w:ascii="仿宋_GB2312" w:eastAsia="仿宋_GB2312" w:cs="Times New Roman" w:hAnsiTheme="minorEastAsia"/>
          <w:sz w:val="32"/>
          <w:szCs w:val="32"/>
          <w:u w:color="000000"/>
        </w:rPr>
        <w:t>万元，占比1.63%；公共安全支出</w:t>
      </w:r>
      <w:r>
        <w:rPr>
          <w:rFonts w:ascii="仿宋_GB2312" w:eastAsia="仿宋_GB2312" w:cs="Times New Roman" w:hAnsiTheme="minorEastAsia"/>
          <w:sz w:val="32"/>
          <w:szCs w:val="32"/>
          <w:u w:color="000000"/>
        </w:rPr>
        <w:t>29</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1</w:t>
      </w:r>
      <w:r>
        <w:rPr>
          <w:rFonts w:hint="eastAsia" w:ascii="仿宋_GB2312" w:eastAsia="仿宋_GB2312" w:cs="Times New Roman" w:hAnsiTheme="minorEastAsia"/>
          <w:sz w:val="32"/>
          <w:szCs w:val="32"/>
          <w:u w:color="000000"/>
        </w:rPr>
        <w:t>3万元，占比0.03%；科学技术支出</w:t>
      </w:r>
      <w:r>
        <w:rPr>
          <w:rFonts w:ascii="仿宋_GB2312" w:eastAsia="仿宋_GB2312" w:cs="Times New Roman" w:hAnsiTheme="minorEastAsia"/>
          <w:sz w:val="32"/>
          <w:szCs w:val="32"/>
          <w:u w:color="000000"/>
        </w:rPr>
        <w:t>2987</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61</w:t>
      </w:r>
      <w:r>
        <w:rPr>
          <w:rFonts w:hint="eastAsia" w:ascii="仿宋_GB2312" w:eastAsia="仿宋_GB2312" w:cs="Times New Roman" w:hAnsiTheme="minorEastAsia"/>
          <w:sz w:val="32"/>
          <w:szCs w:val="32"/>
          <w:u w:color="000000"/>
        </w:rPr>
        <w:t>万元，占比3.14%；社会保障和就业支出</w:t>
      </w:r>
      <w:r>
        <w:rPr>
          <w:rFonts w:ascii="仿宋_GB2312" w:eastAsia="仿宋_GB2312" w:cs="Times New Roman" w:hAnsiTheme="minorEastAsia"/>
          <w:sz w:val="32"/>
          <w:szCs w:val="32"/>
          <w:u w:color="000000"/>
        </w:rPr>
        <w:t>62</w:t>
      </w:r>
      <w:r>
        <w:rPr>
          <w:rFonts w:hint="eastAsia" w:ascii="仿宋_GB2312" w:eastAsia="仿宋_GB2312" w:cs="Times New Roman" w:hAnsiTheme="minorEastAsia"/>
          <w:sz w:val="32"/>
          <w:szCs w:val="32"/>
          <w:u w:color="000000"/>
        </w:rPr>
        <w:t>.80万元，占比0.07%；卫生健康支出</w:t>
      </w:r>
      <w:r>
        <w:rPr>
          <w:rFonts w:ascii="仿宋_GB2312" w:eastAsia="仿宋_GB2312" w:cs="Times New Roman" w:hAnsiTheme="minorEastAsia"/>
          <w:sz w:val="32"/>
          <w:szCs w:val="32"/>
          <w:u w:color="000000"/>
        </w:rPr>
        <w:t>36</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64</w:t>
      </w:r>
      <w:r>
        <w:rPr>
          <w:rFonts w:hint="eastAsia" w:ascii="仿宋_GB2312" w:eastAsia="仿宋_GB2312" w:cs="Times New Roman" w:hAnsiTheme="minorEastAsia"/>
          <w:sz w:val="32"/>
          <w:szCs w:val="32"/>
          <w:u w:color="000000"/>
        </w:rPr>
        <w:t>万元，占比0.04%；城乡社区支出</w:t>
      </w:r>
      <w:r>
        <w:rPr>
          <w:rFonts w:ascii="仿宋_GB2312" w:eastAsia="仿宋_GB2312" w:cs="Times New Roman" w:hAnsiTheme="minorEastAsia"/>
          <w:sz w:val="32"/>
          <w:szCs w:val="32"/>
          <w:u w:color="000000"/>
        </w:rPr>
        <w:t>18731</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89</w:t>
      </w:r>
      <w:r>
        <w:rPr>
          <w:rFonts w:hint="eastAsia" w:ascii="仿宋_GB2312" w:eastAsia="仿宋_GB2312" w:cs="Times New Roman" w:hAnsiTheme="minorEastAsia"/>
          <w:sz w:val="32"/>
          <w:szCs w:val="32"/>
          <w:u w:color="000000"/>
        </w:rPr>
        <w:t>万元，占比19.67%；自然资源海洋气象等支出</w:t>
      </w:r>
      <w:r>
        <w:rPr>
          <w:rFonts w:ascii="仿宋_GB2312" w:eastAsia="仿宋_GB2312" w:cs="Times New Roman" w:hAnsiTheme="minorEastAsia"/>
          <w:sz w:val="32"/>
          <w:szCs w:val="32"/>
          <w:u w:color="000000"/>
        </w:rPr>
        <w:t>1787</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84</w:t>
      </w:r>
      <w:r>
        <w:rPr>
          <w:rFonts w:hint="eastAsia" w:ascii="仿宋_GB2312" w:eastAsia="仿宋_GB2312" w:cs="Times New Roman" w:hAnsiTheme="minorEastAsia"/>
          <w:sz w:val="32"/>
          <w:szCs w:val="32"/>
          <w:u w:color="000000"/>
        </w:rPr>
        <w:t>万元，占比1.88%；住房保障支出</w:t>
      </w:r>
      <w:r>
        <w:rPr>
          <w:rFonts w:ascii="仿宋_GB2312" w:eastAsia="仿宋_GB2312" w:cs="Times New Roman" w:hAnsiTheme="minorEastAsia"/>
          <w:sz w:val="32"/>
          <w:szCs w:val="32"/>
          <w:u w:color="000000"/>
        </w:rPr>
        <w:t>39</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8</w:t>
      </w:r>
      <w:r>
        <w:rPr>
          <w:rFonts w:hint="eastAsia" w:ascii="仿宋_GB2312" w:eastAsia="仿宋_GB2312" w:cs="Times New Roman" w:hAnsiTheme="minorEastAsia"/>
          <w:sz w:val="32"/>
          <w:szCs w:val="32"/>
          <w:u w:color="000000"/>
        </w:rPr>
        <w:t>5万元，占比0.04%；其他支出</w:t>
      </w:r>
      <w:r>
        <w:rPr>
          <w:rFonts w:ascii="仿宋_GB2312" w:eastAsia="仿宋_GB2312" w:cs="Times New Roman" w:hAnsiTheme="minorEastAsia"/>
          <w:sz w:val="32"/>
          <w:szCs w:val="32"/>
          <w:u w:color="000000"/>
        </w:rPr>
        <w:t>69990</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44</w:t>
      </w:r>
      <w:r>
        <w:rPr>
          <w:rFonts w:hint="eastAsia" w:ascii="仿宋_GB2312" w:eastAsia="仿宋_GB2312" w:cs="Times New Roman" w:hAnsiTheme="minorEastAsia"/>
          <w:sz w:val="32"/>
          <w:szCs w:val="32"/>
          <w:u w:color="000000"/>
        </w:rPr>
        <w:t>万元，占比73.50%。具体决算支出详见附件2。</w:t>
      </w:r>
    </w:p>
    <w:p w14:paraId="3963BF37">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14:paraId="5B9D8A08">
      <w:pPr>
        <w:spacing w:after="0" w:line="360" w:lineRule="auto"/>
        <w:jc w:val="center"/>
        <w:rPr>
          <w:rFonts w:asciiTheme="minorEastAsia" w:hAnsiTheme="minorEastAsia" w:eastAsiaTheme="minorEastAsia" w:cstheme="minorEastAsia"/>
          <w:b/>
          <w:bCs/>
          <w:sz w:val="32"/>
          <w:szCs w:val="32"/>
          <w:u w:color="000000"/>
        </w:rPr>
      </w:pPr>
    </w:p>
    <w:p w14:paraId="48E9B1BA">
      <w:pPr>
        <w:spacing w:after="0" w:line="360" w:lineRule="auto"/>
        <w:jc w:val="center"/>
        <w:rPr>
          <w:rFonts w:asciiTheme="minorEastAsia" w:hAnsiTheme="minorEastAsia" w:eastAsiaTheme="minorEastAsia" w:cstheme="minorEastAsia"/>
          <w:b/>
          <w:bCs/>
          <w:sz w:val="32"/>
          <w:szCs w:val="32"/>
          <w:u w:color="000000"/>
        </w:rPr>
      </w:pPr>
    </w:p>
    <w:p w14:paraId="5664A71B">
      <w:pPr>
        <w:spacing w:after="0" w:line="360" w:lineRule="auto"/>
        <w:jc w:val="center"/>
        <w:rPr>
          <w:rFonts w:asciiTheme="minorEastAsia" w:hAnsiTheme="minorEastAsia" w:eastAsiaTheme="minorEastAsia" w:cstheme="minorEastAsia"/>
          <w:b/>
          <w:bCs/>
          <w:sz w:val="32"/>
          <w:szCs w:val="32"/>
          <w:u w:color="000000"/>
        </w:rPr>
      </w:pPr>
    </w:p>
    <w:p w14:paraId="3E32DF81">
      <w:pPr>
        <w:spacing w:after="0" w:line="360" w:lineRule="auto"/>
        <w:jc w:val="center"/>
        <w:rPr>
          <w:rFonts w:asciiTheme="minorEastAsia" w:hAnsiTheme="minorEastAsia" w:eastAsiaTheme="minorEastAsia" w:cstheme="minorEastAsia"/>
          <w:b/>
          <w:bCs/>
          <w:sz w:val="32"/>
          <w:szCs w:val="32"/>
          <w:u w:color="000000"/>
        </w:rPr>
      </w:pPr>
    </w:p>
    <w:p w14:paraId="5123F65E">
      <w:pPr>
        <w:spacing w:after="0" w:line="360" w:lineRule="auto"/>
        <w:jc w:val="center"/>
        <w:rPr>
          <w:rFonts w:asciiTheme="minorEastAsia" w:hAnsiTheme="minorEastAsia" w:eastAsiaTheme="minorEastAsia" w:cstheme="minorEastAsia"/>
          <w:b/>
          <w:bCs/>
          <w:sz w:val="32"/>
          <w:szCs w:val="32"/>
          <w:u w:color="000000"/>
        </w:rPr>
      </w:pPr>
    </w:p>
    <w:p w14:paraId="786B965F">
      <w:pPr>
        <w:spacing w:after="0" w:line="360" w:lineRule="auto"/>
        <w:jc w:val="center"/>
        <w:rPr>
          <w:rFonts w:asciiTheme="minorEastAsia" w:hAnsiTheme="minorEastAsia" w:eastAsiaTheme="minorEastAsia" w:cstheme="minorEastAsia"/>
          <w:b/>
          <w:bCs/>
          <w:sz w:val="32"/>
          <w:szCs w:val="32"/>
          <w:u w:color="000000"/>
        </w:rPr>
      </w:pPr>
    </w:p>
    <w:p w14:paraId="6802087E">
      <w:pPr>
        <w:spacing w:after="0" w:line="360" w:lineRule="auto"/>
        <w:jc w:val="center"/>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图3  2022年河北徐水经济开发区管理委员会</w:t>
      </w:r>
    </w:p>
    <w:p w14:paraId="060FCBA4">
      <w:pPr>
        <w:spacing w:after="0" w:line="360" w:lineRule="auto"/>
        <w:jc w:val="center"/>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决算支出结构图</w:t>
      </w:r>
    </w:p>
    <w:p w14:paraId="400A1660">
      <w:pPr>
        <w:spacing w:after="0" w:line="360" w:lineRule="auto"/>
        <w:jc w:val="center"/>
        <w:rPr>
          <w:rFonts w:ascii="仿宋_GB2312" w:eastAsia="仿宋_GB2312" w:cs="Times New Roman" w:hAnsiTheme="minorEastAsia"/>
          <w:sz w:val="32"/>
          <w:szCs w:val="32"/>
          <w:u w:color="000000"/>
        </w:rPr>
      </w:pPr>
      <w:r>
        <w:drawing>
          <wp:inline distT="0" distB="0" distL="0" distR="0">
            <wp:extent cx="4324350" cy="3295650"/>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7497AC4">
      <w:pPr>
        <w:spacing w:after="0" w:line="50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财政拨款决算支出比年初预算增加</w:t>
      </w:r>
      <w:r>
        <w:rPr>
          <w:rFonts w:ascii="仿宋_GB2312" w:eastAsia="仿宋_GB2312" w:cs="DengXian-Regular"/>
          <w:sz w:val="32"/>
          <w:szCs w:val="32"/>
        </w:rPr>
        <w:t>69147.82</w:t>
      </w:r>
      <w:r>
        <w:rPr>
          <w:rFonts w:hint="eastAsia" w:ascii="仿宋_GB2312" w:eastAsia="仿宋_GB2312" w:cs="DengXian-Regular"/>
          <w:sz w:val="32"/>
          <w:szCs w:val="32"/>
        </w:rPr>
        <w:t>万元。决算支出完成年初预算的365.14%。</w:t>
      </w:r>
      <w:r>
        <w:rPr>
          <w:rFonts w:hint="eastAsia" w:ascii="仿宋_GB2312" w:eastAsia="仿宋_GB2312" w:cs="Times New Roman" w:hAnsiTheme="minorEastAsia"/>
          <w:sz w:val="32"/>
          <w:szCs w:val="32"/>
          <w:u w:color="000000"/>
        </w:rPr>
        <w:t>决算支出大于预算支出的</w:t>
      </w:r>
      <w:r>
        <w:rPr>
          <w:rFonts w:hint="eastAsia" w:ascii="仿宋_GB2312" w:eastAsia="仿宋_GB2312" w:cs="DengXian-Regular"/>
          <w:sz w:val="32"/>
          <w:szCs w:val="32"/>
        </w:rPr>
        <w:t>主要原因为</w:t>
      </w:r>
      <w:r>
        <w:rPr>
          <w:rFonts w:hint="eastAsia" w:ascii="仿宋_GB2312" w:eastAsia="仿宋_GB2312" w:cs="DengXian-Regular"/>
          <w:sz w:val="32"/>
          <w:szCs w:val="32"/>
          <w:u w:val="single"/>
        </w:rPr>
        <w:t>2022年度开发区管委会追加项目的金额相比年初预算大幅增加，其他地方自行试点项目收益专项债券收入安排的支出</w:t>
      </w:r>
      <w:r>
        <w:rPr>
          <w:rFonts w:ascii="仿宋_GB2312" w:eastAsia="仿宋_GB2312" w:cs="DengXian-Regular"/>
          <w:sz w:val="32"/>
          <w:szCs w:val="32"/>
          <w:u w:val="single"/>
        </w:rPr>
        <w:t>69990</w:t>
      </w:r>
      <w:r>
        <w:rPr>
          <w:rFonts w:hint="eastAsia" w:ascii="仿宋_GB2312" w:eastAsia="仿宋_GB2312" w:cs="DengXian-Regular"/>
          <w:sz w:val="32"/>
          <w:szCs w:val="32"/>
          <w:u w:val="single"/>
        </w:rPr>
        <w:t>.</w:t>
      </w:r>
      <w:r>
        <w:rPr>
          <w:rFonts w:ascii="仿宋_GB2312" w:eastAsia="仿宋_GB2312" w:cs="DengXian-Regular"/>
          <w:sz w:val="32"/>
          <w:szCs w:val="32"/>
          <w:u w:val="single"/>
        </w:rPr>
        <w:t>44</w:t>
      </w:r>
      <w:r>
        <w:rPr>
          <w:rFonts w:hint="eastAsia" w:ascii="仿宋_GB2312" w:eastAsia="仿宋_GB2312" w:cs="DengXian-Regular"/>
          <w:sz w:val="32"/>
          <w:szCs w:val="32"/>
          <w:u w:val="single"/>
        </w:rPr>
        <w:t>万元等</w:t>
      </w:r>
      <w:r>
        <w:rPr>
          <w:rFonts w:hint="eastAsia" w:ascii="仿宋_GB2312" w:eastAsia="仿宋_GB2312" w:cs="DengXian-Regular"/>
          <w:sz w:val="32"/>
          <w:szCs w:val="32"/>
        </w:rPr>
        <w:t>。</w:t>
      </w:r>
    </w:p>
    <w:p w14:paraId="13962D2D">
      <w:pPr>
        <w:spacing w:after="0" w:line="500" w:lineRule="exact"/>
        <w:ind w:firstLine="640" w:firstLineChars="200"/>
        <w:jc w:val="both"/>
        <w:rPr>
          <w:rFonts w:ascii="仿宋" w:hAnsi="仿宋" w:eastAsia="仿宋"/>
          <w:snapToGrid w:val="0"/>
          <w:sz w:val="32"/>
          <w:szCs w:val="32"/>
        </w:rPr>
      </w:pPr>
      <w:r>
        <w:rPr>
          <w:rFonts w:hint="eastAsia" w:ascii="仿宋" w:hAnsi="仿宋" w:eastAsia="仿宋"/>
          <w:snapToGrid w:val="0"/>
          <w:sz w:val="32"/>
          <w:szCs w:val="32"/>
        </w:rPr>
        <w:t>预算支出与决算支出对比情况如图4。</w:t>
      </w:r>
    </w:p>
    <w:p w14:paraId="10817C57">
      <w:pPr>
        <w:spacing w:after="0" w:line="360" w:lineRule="auto"/>
        <w:jc w:val="center"/>
        <w:rPr>
          <w:rFonts w:asciiTheme="minorEastAsia" w:hAnsiTheme="minorEastAsia" w:eastAsiaTheme="minorEastAsia" w:cstheme="minorEastAsia"/>
          <w:b/>
          <w:bCs/>
          <w:sz w:val="32"/>
          <w:szCs w:val="32"/>
        </w:rPr>
      </w:pPr>
    </w:p>
    <w:p w14:paraId="07B41EF0">
      <w:pPr>
        <w:spacing w:after="0" w:line="360" w:lineRule="auto"/>
        <w:jc w:val="center"/>
        <w:rPr>
          <w:rFonts w:asciiTheme="minorEastAsia" w:hAnsiTheme="minorEastAsia" w:eastAsiaTheme="minorEastAsia" w:cstheme="minorEastAsia"/>
          <w:b/>
          <w:bCs/>
          <w:sz w:val="32"/>
          <w:szCs w:val="32"/>
        </w:rPr>
      </w:pPr>
    </w:p>
    <w:p w14:paraId="09CFC225">
      <w:pPr>
        <w:spacing w:after="0" w:line="360" w:lineRule="auto"/>
        <w:jc w:val="center"/>
        <w:rPr>
          <w:rFonts w:asciiTheme="minorEastAsia" w:hAnsiTheme="minorEastAsia" w:eastAsiaTheme="minorEastAsia" w:cstheme="minorEastAsia"/>
          <w:b/>
          <w:bCs/>
          <w:sz w:val="32"/>
          <w:szCs w:val="32"/>
        </w:rPr>
      </w:pPr>
    </w:p>
    <w:p w14:paraId="31F9E24B">
      <w:pPr>
        <w:spacing w:after="0" w:line="360" w:lineRule="auto"/>
        <w:jc w:val="center"/>
        <w:rPr>
          <w:rFonts w:asciiTheme="minorEastAsia" w:hAnsiTheme="minorEastAsia" w:eastAsiaTheme="minorEastAsia" w:cstheme="minorEastAsia"/>
          <w:b/>
          <w:bCs/>
          <w:sz w:val="32"/>
          <w:szCs w:val="32"/>
        </w:rPr>
      </w:pPr>
    </w:p>
    <w:p w14:paraId="516AA2C2">
      <w:pPr>
        <w:spacing w:after="0" w:line="360" w:lineRule="auto"/>
        <w:jc w:val="center"/>
        <w:rPr>
          <w:rFonts w:asciiTheme="minorEastAsia" w:hAnsiTheme="minorEastAsia" w:eastAsiaTheme="minorEastAsia" w:cstheme="minorEastAsia"/>
          <w:b/>
          <w:bCs/>
          <w:sz w:val="32"/>
          <w:szCs w:val="32"/>
        </w:rPr>
      </w:pPr>
    </w:p>
    <w:p w14:paraId="5174EBAF">
      <w:pPr>
        <w:spacing w:after="0" w:line="360" w:lineRule="auto"/>
        <w:jc w:val="center"/>
        <w:rPr>
          <w:rFonts w:asciiTheme="minorEastAsia" w:hAnsiTheme="minorEastAsia" w:eastAsiaTheme="minorEastAsia" w:cstheme="minorEastAsia"/>
          <w:b/>
          <w:bCs/>
          <w:sz w:val="32"/>
          <w:szCs w:val="32"/>
        </w:rPr>
      </w:pPr>
    </w:p>
    <w:p w14:paraId="6CD41F5B">
      <w:pPr>
        <w:spacing w:after="0" w:line="360" w:lineRule="auto"/>
        <w:jc w:val="center"/>
        <w:rPr>
          <w:rFonts w:asciiTheme="minorEastAsia" w:hAnsiTheme="minorEastAsia" w:eastAsiaTheme="minorEastAsia" w:cstheme="minorEastAsia"/>
          <w:b/>
          <w:bCs/>
          <w:sz w:val="32"/>
          <w:szCs w:val="32"/>
        </w:rPr>
      </w:pPr>
    </w:p>
    <w:p w14:paraId="5CB4DE1A">
      <w:pPr>
        <w:spacing w:after="0"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图4  2022年河北徐水经济开发区管理委员会</w:t>
      </w:r>
    </w:p>
    <w:p w14:paraId="0E0E8FE5">
      <w:pPr>
        <w:spacing w:after="0"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预算支出与决算支出对比图</w:t>
      </w:r>
    </w:p>
    <w:p w14:paraId="315F2C70">
      <w:pPr>
        <w:spacing w:after="0" w:line="360" w:lineRule="auto"/>
        <w:jc w:val="center"/>
        <w:rPr>
          <w:rFonts w:asciiTheme="minorEastAsia" w:hAnsiTheme="minorEastAsia" w:eastAsiaTheme="minorEastAsia" w:cstheme="minorEastAsia"/>
          <w:b/>
          <w:bCs/>
          <w:sz w:val="32"/>
          <w:szCs w:val="32"/>
        </w:rPr>
      </w:pPr>
      <w:r>
        <w:drawing>
          <wp:inline distT="0" distB="0" distL="0" distR="0">
            <wp:extent cx="5610225" cy="3562350"/>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95F43FA">
      <w:pPr>
        <w:spacing w:after="0" w:line="50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河北徐水经济开发区管理委员会202</w:t>
      </w:r>
      <w:r>
        <w:rPr>
          <w:rFonts w:ascii="仿宋_GB2312" w:eastAsia="仿宋_GB2312" w:cs="DengXian-Regular"/>
          <w:sz w:val="32"/>
          <w:szCs w:val="32"/>
        </w:rPr>
        <w:t>2</w:t>
      </w:r>
      <w:r>
        <w:rPr>
          <w:rFonts w:hint="eastAsia" w:ascii="仿宋_GB2312" w:eastAsia="仿宋_GB2312" w:cs="DengXian-Regular"/>
          <w:sz w:val="32"/>
          <w:szCs w:val="32"/>
        </w:rPr>
        <w:t>年实际项目支出</w:t>
      </w:r>
      <w:r>
        <w:rPr>
          <w:rFonts w:ascii="仿宋_GB2312" w:eastAsia="仿宋_GB2312" w:cs="DengXian-Regular"/>
          <w:sz w:val="32"/>
          <w:szCs w:val="32"/>
        </w:rPr>
        <w:t>94458</w:t>
      </w:r>
      <w:r>
        <w:rPr>
          <w:rFonts w:hint="eastAsia" w:ascii="仿宋_GB2312" w:eastAsia="仿宋_GB2312" w:cs="DengXian-Regular"/>
          <w:sz w:val="32"/>
          <w:szCs w:val="32"/>
        </w:rPr>
        <w:t>.</w:t>
      </w:r>
      <w:r>
        <w:rPr>
          <w:rFonts w:ascii="仿宋_GB2312" w:eastAsia="仿宋_GB2312" w:cs="DengXian-Regular"/>
          <w:sz w:val="32"/>
          <w:szCs w:val="32"/>
        </w:rPr>
        <w:t>65</w:t>
      </w:r>
      <w:r>
        <w:rPr>
          <w:rFonts w:hint="eastAsia" w:ascii="仿宋_GB2312" w:eastAsia="仿宋_GB2312" w:cs="DengXian-Regular"/>
          <w:sz w:val="32"/>
          <w:szCs w:val="32"/>
        </w:rPr>
        <w:t>万元，决算报表中项目支出</w:t>
      </w:r>
      <w:r>
        <w:rPr>
          <w:rFonts w:ascii="仿宋_GB2312" w:eastAsia="仿宋_GB2312" w:cs="DengXian-Regular"/>
          <w:sz w:val="32"/>
          <w:szCs w:val="32"/>
        </w:rPr>
        <w:t>94458</w:t>
      </w:r>
      <w:r>
        <w:rPr>
          <w:rFonts w:hint="eastAsia" w:ascii="仿宋_GB2312" w:eastAsia="仿宋_GB2312" w:cs="DengXian-Regular"/>
          <w:sz w:val="32"/>
          <w:szCs w:val="32"/>
        </w:rPr>
        <w:t>.</w:t>
      </w:r>
      <w:r>
        <w:rPr>
          <w:rFonts w:ascii="仿宋_GB2312" w:eastAsia="仿宋_GB2312" w:cs="DengXian-Regular"/>
          <w:sz w:val="32"/>
          <w:szCs w:val="32"/>
        </w:rPr>
        <w:t>65</w:t>
      </w:r>
      <w:r>
        <w:rPr>
          <w:rFonts w:hint="eastAsia" w:ascii="仿宋_GB2312" w:eastAsia="仿宋_GB2312" w:cs="DengXian-Regular"/>
          <w:sz w:val="32"/>
          <w:szCs w:val="32"/>
        </w:rPr>
        <w:t>万元，实际支出与决算报表差0万元。</w:t>
      </w:r>
    </w:p>
    <w:p w14:paraId="54AA6B86">
      <w:pPr>
        <w:pStyle w:val="4"/>
        <w:spacing w:before="0" w:after="0" w:line="500" w:lineRule="exact"/>
        <w:ind w:firstLine="643" w:firstLineChars="200"/>
        <w:jc w:val="both"/>
        <w:rPr>
          <w:rFonts w:ascii="仿宋_GB2312" w:hAnsi="Tahoma" w:cs="DengXian-Regular"/>
          <w:sz w:val="32"/>
        </w:rPr>
      </w:pPr>
      <w:bookmarkStart w:id="13" w:name="_Toc465149503"/>
      <w:bookmarkStart w:id="14" w:name="_Toc19291"/>
      <w:bookmarkStart w:id="15" w:name="_Toc492652769"/>
      <w:r>
        <w:rPr>
          <w:rFonts w:hint="eastAsia" w:ascii="仿宋_GB2312" w:hAnsi="Tahoma" w:cs="DengXian-Regular"/>
          <w:sz w:val="32"/>
        </w:rPr>
        <w:t>（五）“三公”经费预算安排及支出情况</w:t>
      </w:r>
      <w:bookmarkEnd w:id="13"/>
      <w:bookmarkEnd w:id="14"/>
      <w:bookmarkEnd w:id="15"/>
    </w:p>
    <w:p w14:paraId="6E7AB2E9">
      <w:pPr>
        <w:spacing w:after="0" w:line="50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2022年河北徐水经济开发区管理委员会“三公”经费预算8.64万元（公务用车运行维护费4.86万元，公务接待费3.78万元），实际支出5.74万元（公务用车运行维护费4.21万元，公务接待费1.53万元），比预算减少2.9万元，节约率33.56%。2022年“三公”经费预算数与</w:t>
      </w:r>
      <w:r>
        <w:rPr>
          <w:rFonts w:ascii="仿宋_GB2312" w:eastAsia="仿宋_GB2312" w:cs="DengXian-Regular"/>
          <w:sz w:val="32"/>
          <w:szCs w:val="32"/>
        </w:rPr>
        <w:t>202</w:t>
      </w:r>
      <w:r>
        <w:rPr>
          <w:rFonts w:hint="eastAsia" w:ascii="仿宋_GB2312" w:eastAsia="仿宋_GB2312" w:cs="DengXian-Regular"/>
          <w:sz w:val="32"/>
          <w:szCs w:val="32"/>
        </w:rPr>
        <w:t>1年预算数相比减少61.16万元，决算数与</w:t>
      </w:r>
      <w:r>
        <w:rPr>
          <w:rFonts w:ascii="仿宋_GB2312" w:eastAsia="仿宋_GB2312" w:cs="DengXian-Regular"/>
          <w:sz w:val="32"/>
          <w:szCs w:val="32"/>
        </w:rPr>
        <w:t>202</w:t>
      </w:r>
      <w:r>
        <w:rPr>
          <w:rFonts w:hint="eastAsia" w:ascii="仿宋_GB2312" w:eastAsia="仿宋_GB2312" w:cs="DengXian-Regular"/>
          <w:sz w:val="32"/>
          <w:szCs w:val="32"/>
        </w:rPr>
        <w:t>1年实际支出相比，减少25.06万元。具体详见表1。</w:t>
      </w:r>
    </w:p>
    <w:p w14:paraId="31E7AD41">
      <w:pPr>
        <w:spacing w:after="0" w:line="500" w:lineRule="exact"/>
        <w:ind w:firstLine="643" w:firstLineChars="200"/>
        <w:jc w:val="both"/>
        <w:rPr>
          <w:rFonts w:asciiTheme="minorEastAsia" w:hAnsiTheme="minorEastAsia" w:eastAsiaTheme="minorEastAsia" w:cstheme="minorEastAsia"/>
          <w:b/>
          <w:bCs/>
          <w:sz w:val="32"/>
          <w:szCs w:val="32"/>
        </w:rPr>
      </w:pPr>
    </w:p>
    <w:p w14:paraId="39140ED7">
      <w:pPr>
        <w:spacing w:after="0" w:line="500" w:lineRule="exact"/>
        <w:ind w:firstLine="643" w:firstLineChars="200"/>
        <w:jc w:val="both"/>
        <w:rPr>
          <w:rFonts w:asciiTheme="minorEastAsia" w:hAnsiTheme="minorEastAsia" w:eastAsiaTheme="minorEastAsia" w:cstheme="minorEastAsia"/>
          <w:b/>
          <w:bCs/>
          <w:sz w:val="32"/>
          <w:szCs w:val="32"/>
        </w:rPr>
      </w:pPr>
    </w:p>
    <w:p w14:paraId="51213B0F">
      <w:pPr>
        <w:spacing w:after="0" w:line="520" w:lineRule="exact"/>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表1 2022年河北徐水经济开发区管理委员会</w:t>
      </w:r>
    </w:p>
    <w:p w14:paraId="317A3768">
      <w:pPr>
        <w:spacing w:after="0" w:line="520" w:lineRule="exact"/>
        <w:ind w:firstLine="1606" w:firstLineChars="5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“三公”经费预算及决算明细表</w:t>
      </w:r>
    </w:p>
    <w:p w14:paraId="33199237">
      <w:pPr>
        <w:spacing w:after="0" w:line="52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492F675D">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2307FC">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E34655">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54B473">
            <w:pPr>
              <w:spacing w:after="0"/>
              <w:ind w:firstLine="422" w:firstLineChars="200"/>
              <w:jc w:val="center"/>
              <w:textAlignment w:val="center"/>
              <w:rPr>
                <w:rFonts w:ascii="宋体" w:hAnsi="宋体" w:eastAsia="宋体" w:cs="宋体"/>
                <w:b/>
                <w:bCs/>
                <w:color w:val="000000"/>
                <w:sz w:val="21"/>
                <w:szCs w:val="21"/>
              </w:rPr>
            </w:pPr>
            <w:r>
              <w:rPr>
                <w:rFonts w:ascii="宋体" w:hAnsi="宋体" w:eastAsia="宋体" w:cs="宋体"/>
                <w:b/>
                <w:bCs/>
                <w:color w:val="000000"/>
                <w:sz w:val="21"/>
                <w:szCs w:val="21"/>
              </w:rPr>
              <w:t>2021</w:t>
            </w:r>
            <w:r>
              <w:rPr>
                <w:rFonts w:hint="eastAsia" w:ascii="宋体" w:hAnsi="宋体" w:eastAsia="宋体" w:cs="宋体"/>
                <w:b/>
                <w:bCs/>
                <w:color w:val="000000"/>
                <w:sz w:val="21"/>
                <w:szCs w:val="21"/>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7AA71493">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202</w:t>
            </w:r>
            <w:r>
              <w:rPr>
                <w:rFonts w:ascii="宋体" w:hAnsi="宋体" w:eastAsia="宋体" w:cs="宋体"/>
                <w:b/>
                <w:bCs/>
                <w:color w:val="000000"/>
                <w:sz w:val="21"/>
                <w:szCs w:val="21"/>
              </w:rPr>
              <w:t>2</w:t>
            </w:r>
            <w:r>
              <w:rPr>
                <w:rFonts w:hint="eastAsia" w:ascii="宋体" w:hAnsi="宋体" w:eastAsia="宋体" w:cs="宋体"/>
                <w:b/>
                <w:bCs/>
                <w:color w:val="000000"/>
                <w:sz w:val="21"/>
                <w:szCs w:val="21"/>
              </w:rPr>
              <w:t>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F3740">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72D37F79">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98AAEC">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AD90E5">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B00C7D">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C1826E3">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1FB04C6">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A3E1256">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73AE8DB">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7FBD08B">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2815093B">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BB9D9">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2A2C7082">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05406">
            <w:pPr>
              <w:spacing w:after="0"/>
              <w:ind w:firstLine="420" w:firstLineChars="2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1F65A">
            <w:pPr>
              <w:spacing w:after="0"/>
              <w:ind w:firstLine="420" w:firstLineChars="2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28912">
            <w:pPr>
              <w:spacing w:after="0"/>
              <w:ind w:firstLine="420" w:firstLineChars="2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7AA03E">
            <w:pPr>
              <w:spacing w:after="0"/>
              <w:ind w:firstLine="420" w:firstLineChars="2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3825EBB">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746F232">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r>
      <w:tr w14:paraId="29A7D929">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98F4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3DE528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4C1EB">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61.8</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A547C">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29.86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8238D">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4.86</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C292C">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4.21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2266E6">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-56.94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FE8662">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-25.65</w:t>
            </w:r>
          </w:p>
        </w:tc>
      </w:tr>
      <w:tr w14:paraId="7A2DBB74">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11FBC">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32C0C">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B22C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5F096">
            <w:pPr>
              <w:spacing w:after="0"/>
              <w:ind w:firstLine="210" w:firstLineChars="100"/>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0.94</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BC1B9">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3.78</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2764B">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1.53</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641303">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-4.22</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DD14C1">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0.59</w:t>
            </w:r>
          </w:p>
        </w:tc>
      </w:tr>
      <w:tr w14:paraId="72597218">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8812F">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FF9B8D6">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991B0">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69.8</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1AC72">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30.8</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0E4FE">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8.64</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B665A0">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5.74</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77AFE6">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-61.16</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0A743E">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-25.06</w:t>
            </w:r>
          </w:p>
        </w:tc>
      </w:tr>
    </w:tbl>
    <w:p w14:paraId="48B145DD">
      <w:pPr>
        <w:spacing w:after="0" w:line="52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1、公务用车：2022年底河北徐水经济开发区管理委员会车辆合计2辆，其中机要通信用车2辆，其他用车0辆。202</w:t>
      </w:r>
      <w:r>
        <w:rPr>
          <w:rFonts w:ascii="仿宋_GB2312" w:eastAsia="仿宋_GB2312" w:cs="DengXian-Regular"/>
          <w:sz w:val="32"/>
          <w:szCs w:val="32"/>
        </w:rPr>
        <w:t>2</w:t>
      </w:r>
      <w:r>
        <w:rPr>
          <w:rFonts w:hint="eastAsia" w:ascii="仿宋_GB2312" w:eastAsia="仿宋_GB2312" w:cs="DengXian-Regular"/>
          <w:sz w:val="32"/>
          <w:szCs w:val="32"/>
        </w:rPr>
        <w:t>年公务用车购置及运维费年初预算4.86万元，全部为公务用车运行维护费，实际支出4.21万元，比预算减少0.65万元，节约率13.37%。202</w:t>
      </w:r>
      <w:r>
        <w:rPr>
          <w:rFonts w:ascii="仿宋_GB2312" w:eastAsia="仿宋_GB2312" w:cs="DengXian-Regular"/>
          <w:sz w:val="32"/>
          <w:szCs w:val="32"/>
        </w:rPr>
        <w:t>2</w:t>
      </w:r>
      <w:r>
        <w:rPr>
          <w:rFonts w:hint="eastAsia" w:ascii="仿宋_GB2312" w:eastAsia="仿宋_GB2312" w:cs="DengXian-Regular"/>
          <w:sz w:val="32"/>
          <w:szCs w:val="32"/>
        </w:rPr>
        <w:t>年预算数与</w:t>
      </w:r>
      <w:r>
        <w:rPr>
          <w:rFonts w:ascii="仿宋_GB2312" w:eastAsia="仿宋_GB2312" w:cs="DengXian-Regular"/>
          <w:sz w:val="32"/>
          <w:szCs w:val="32"/>
        </w:rPr>
        <w:t>2021</w:t>
      </w:r>
      <w:r>
        <w:rPr>
          <w:rFonts w:hint="eastAsia" w:ascii="仿宋_GB2312" w:eastAsia="仿宋_GB2312" w:cs="DengXian-Regular"/>
          <w:sz w:val="32"/>
          <w:szCs w:val="32"/>
        </w:rPr>
        <w:t>年预算相比减少56.94万元，主要原因是2021年驻开发区巡特警车辆11辆和综合执法车辆3辆列入“公车运行维护费”中，2022年度未列入；决算数与</w:t>
      </w:r>
      <w:r>
        <w:rPr>
          <w:rFonts w:ascii="仿宋_GB2312" w:eastAsia="仿宋_GB2312" w:cs="DengXian-Regular"/>
          <w:sz w:val="32"/>
          <w:szCs w:val="32"/>
        </w:rPr>
        <w:t>2021</w:t>
      </w:r>
      <w:r>
        <w:rPr>
          <w:rFonts w:hint="eastAsia" w:ascii="仿宋_GB2312" w:eastAsia="仿宋_GB2312" w:cs="DengXian-Regular"/>
          <w:sz w:val="32"/>
          <w:szCs w:val="32"/>
        </w:rPr>
        <w:t>年实际支出相比，减少25.65万元。</w:t>
      </w:r>
    </w:p>
    <w:p w14:paraId="60ABD43F">
      <w:pPr>
        <w:spacing w:after="0" w:line="52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2、公务接待：2022年河北徐水经济开发区管理委员会公务接待费年初预算3.78万元，实际支出1.53万元，比预算减少了2.25万元，节约率59.52%。2022年预算数与</w:t>
      </w:r>
      <w:r>
        <w:rPr>
          <w:rFonts w:ascii="仿宋_GB2312" w:eastAsia="仿宋_GB2312" w:cs="DengXian-Regular"/>
          <w:sz w:val="32"/>
          <w:szCs w:val="32"/>
        </w:rPr>
        <w:t>202</w:t>
      </w:r>
      <w:r>
        <w:rPr>
          <w:rFonts w:hint="eastAsia" w:ascii="仿宋_GB2312" w:eastAsia="仿宋_GB2312" w:cs="DengXian-Regular"/>
          <w:sz w:val="32"/>
          <w:szCs w:val="32"/>
        </w:rPr>
        <w:t>1年预算相比减少4.22万元，决算数与</w:t>
      </w:r>
      <w:r>
        <w:rPr>
          <w:rFonts w:ascii="仿宋_GB2312" w:eastAsia="仿宋_GB2312" w:cs="DengXian-Regular"/>
          <w:sz w:val="32"/>
          <w:szCs w:val="32"/>
        </w:rPr>
        <w:t>202</w:t>
      </w:r>
      <w:r>
        <w:rPr>
          <w:rFonts w:hint="eastAsia" w:ascii="仿宋_GB2312" w:eastAsia="仿宋_GB2312" w:cs="DengXian-Regular"/>
          <w:sz w:val="32"/>
          <w:szCs w:val="32"/>
        </w:rPr>
        <w:t>1年实际支出相比，增加0.59万元。</w:t>
      </w:r>
    </w:p>
    <w:p w14:paraId="35E54AE2">
      <w:pPr>
        <w:pStyle w:val="3"/>
        <w:spacing w:before="0" w:after="0" w:line="360" w:lineRule="auto"/>
        <w:ind w:firstLine="643" w:firstLineChars="200"/>
        <w:rPr>
          <w:rFonts w:ascii="黑体" w:hAnsiTheme="minorEastAsia"/>
          <w:u w:color="000000"/>
        </w:rPr>
      </w:pPr>
      <w:bookmarkStart w:id="16" w:name="_Toc20454"/>
      <w:bookmarkStart w:id="17" w:name="_Toc492652770"/>
      <w:bookmarkStart w:id="18" w:name="_Toc465149504"/>
      <w:r>
        <w:rPr>
          <w:rFonts w:hint="eastAsia" w:ascii="黑体"/>
        </w:rPr>
        <w:t>二、部门整体支出绩效评价指标体系设定情况</w:t>
      </w:r>
      <w:bookmarkEnd w:id="16"/>
      <w:bookmarkEnd w:id="17"/>
    </w:p>
    <w:p w14:paraId="382E6864">
      <w:pPr>
        <w:spacing w:after="0" w:line="50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根据绩效预算管理改革的有关政策和文件规定，绩效评价工作组以绩效预算架构为指导，以部门预算文本及相关资料为基础，制定了部门整体支出绩效评价指标体系。</w:t>
      </w:r>
    </w:p>
    <w:p w14:paraId="3B8E6C11">
      <w:pPr>
        <w:spacing w:after="0" w:line="50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9569"/>
      <w:bookmarkStart w:id="20" w:name="_Toc492652771"/>
    </w:p>
    <w:p w14:paraId="07ACED50">
      <w:pPr>
        <w:spacing w:after="0" w:line="500" w:lineRule="exact"/>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14:paraId="1AE9A75A">
      <w:pPr>
        <w:spacing w:after="0" w:line="50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1BE5DFC2">
      <w:pPr>
        <w:keepNext/>
        <w:widowControl w:val="0"/>
        <w:spacing w:after="0" w:line="50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14:paraId="2FAD3719">
      <w:pPr>
        <w:pStyle w:val="4"/>
        <w:spacing w:before="0" w:after="0" w:line="500" w:lineRule="exact"/>
        <w:ind w:firstLine="643" w:firstLineChars="200"/>
        <w:jc w:val="both"/>
        <w:rPr>
          <w:rFonts w:ascii="楷体" w:hAnsi="楷体" w:eastAsia="楷体"/>
          <w:sz w:val="32"/>
        </w:rPr>
      </w:pPr>
      <w:bookmarkStart w:id="21" w:name="_Toc492652772"/>
      <w:bookmarkStart w:id="22" w:name="_Toc30221"/>
      <w:r>
        <w:rPr>
          <w:rFonts w:hint="eastAsia" w:ascii="楷体" w:hAnsi="楷体" w:eastAsia="楷体"/>
          <w:kern w:val="2"/>
          <w:sz w:val="32"/>
        </w:rPr>
        <w:t>（二）过程（48分）</w:t>
      </w:r>
      <w:bookmarkEnd w:id="21"/>
      <w:bookmarkEnd w:id="22"/>
    </w:p>
    <w:p w14:paraId="17706E85">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64641967">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6B4E4B48">
      <w:pPr>
        <w:pStyle w:val="4"/>
        <w:spacing w:before="0" w:after="0" w:line="500" w:lineRule="exact"/>
        <w:ind w:firstLine="643" w:firstLineChars="200"/>
        <w:jc w:val="both"/>
        <w:rPr>
          <w:rFonts w:ascii="楷体" w:hAnsi="楷体" w:eastAsia="楷体"/>
          <w:kern w:val="2"/>
          <w:sz w:val="32"/>
        </w:rPr>
      </w:pPr>
      <w:bookmarkStart w:id="23" w:name="_Toc492652773"/>
      <w:bookmarkStart w:id="24" w:name="_Toc24932"/>
      <w:r>
        <w:rPr>
          <w:rFonts w:hint="eastAsia" w:ascii="楷体" w:hAnsi="楷体" w:eastAsia="楷体"/>
          <w:kern w:val="2"/>
          <w:sz w:val="32"/>
        </w:rPr>
        <w:t>（三）产出（25分）</w:t>
      </w:r>
      <w:bookmarkEnd w:id="23"/>
      <w:bookmarkEnd w:id="24"/>
    </w:p>
    <w:p w14:paraId="1888E2DC">
      <w:pPr>
        <w:spacing w:after="0" w:line="500" w:lineRule="exact"/>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bookmarkStart w:id="79" w:name="_GoBack"/>
      <w:bookmarkEnd w:id="79"/>
      <w:r>
        <w:rPr>
          <w:rFonts w:hint="eastAsia" w:ascii="仿宋_GB2312" w:eastAsia="仿宋_GB2312" w:cs="DengXian-Regular"/>
          <w:sz w:val="32"/>
          <w:szCs w:val="32"/>
        </w:rPr>
        <w:t>。</w:t>
      </w:r>
    </w:p>
    <w:p w14:paraId="45228A6E">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14:paraId="0317536A">
      <w:pPr>
        <w:pStyle w:val="4"/>
        <w:spacing w:before="0" w:after="0" w:line="500" w:lineRule="exact"/>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14:paraId="5777EC0B">
      <w:pPr>
        <w:spacing w:after="0" w:line="500" w:lineRule="exact"/>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0992738F">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14:paraId="6205A846">
      <w:pPr>
        <w:pStyle w:val="3"/>
        <w:spacing w:before="0" w:after="0" w:line="500" w:lineRule="exact"/>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92652776"/>
      <w:bookmarkStart w:id="30" w:name="_Toc465149505"/>
    </w:p>
    <w:p w14:paraId="2C80E999">
      <w:pPr>
        <w:pStyle w:val="4"/>
        <w:spacing w:before="0" w:after="0" w:line="500" w:lineRule="exact"/>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14:paraId="3A4B981D">
      <w:pPr>
        <w:spacing w:after="0" w:line="500" w:lineRule="exact"/>
        <w:ind w:firstLine="640" w:firstLineChars="200"/>
        <w:jc w:val="both"/>
        <w:textAlignment w:val="baseline"/>
        <w:rPr>
          <w:rFonts w:ascii="仿宋_GB2312" w:eastAsia="仿宋_GB2312" w:cs="DengXian-Regular"/>
          <w:sz w:val="32"/>
          <w:szCs w:val="32"/>
        </w:rPr>
      </w:pPr>
      <w:bookmarkStart w:id="32" w:name="_Toc465149506"/>
      <w:bookmarkStart w:id="33" w:name="_Toc492652777"/>
      <w:r>
        <w:rPr>
          <w:rFonts w:hint="eastAsia" w:ascii="仿宋_GB2312" w:eastAsia="仿宋_GB2312" w:cs="DengXian-Regular"/>
          <w:sz w:val="32"/>
          <w:szCs w:val="32"/>
        </w:rPr>
        <w:t>通过对本单位2022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620CC328">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30A8C0C1">
      <w:pPr>
        <w:pStyle w:val="4"/>
        <w:spacing w:before="0" w:after="0" w:line="500" w:lineRule="exact"/>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14:paraId="20570377">
      <w:pPr>
        <w:spacing w:after="0" w:line="500" w:lineRule="exact"/>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2C73F1EE">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25B8B290">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00CD51D9">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78FDB0B1">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14:paraId="70CB1D0B">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14:paraId="7FAC09DE">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保定市徐水区财政局《关于印发保定市徐水区区级部门预算项目绩效自评管理办法的通知》（徐政财字〔2020〕9号）</w:t>
      </w:r>
    </w:p>
    <w:p w14:paraId="440E7408">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6" w:name="_Toc492652778"/>
    </w:p>
    <w:p w14:paraId="3AED42D5">
      <w:pPr>
        <w:pStyle w:val="4"/>
        <w:spacing w:before="0" w:after="0" w:line="500" w:lineRule="exact"/>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14:paraId="471CFB86">
      <w:pPr>
        <w:spacing w:after="0" w:line="500" w:lineRule="exact"/>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河北徐水经济开发区管理委员会2022年部门整体支出绩效目标和指标的设置及完成情况；资金预算情况、实际收支情况及结转结余情况；部门履职对社会发展所带来的直接或间接影响及服务对象对部门履职效果的满意程度。</w:t>
      </w:r>
    </w:p>
    <w:p w14:paraId="0FC7C671">
      <w:pPr>
        <w:pStyle w:val="4"/>
        <w:spacing w:before="0" w:after="0" w:line="500" w:lineRule="exact"/>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14:paraId="4809920C">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226C57F3">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23850EDF">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79FD03AD">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120883EB">
      <w:pPr>
        <w:pStyle w:val="4"/>
        <w:spacing w:before="0" w:after="0" w:line="480" w:lineRule="exact"/>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14:paraId="0436E8CC">
      <w:pPr>
        <w:spacing w:after="0" w:line="480" w:lineRule="exact"/>
        <w:ind w:firstLine="640" w:firstLineChars="200"/>
        <w:jc w:val="both"/>
        <w:textAlignment w:val="baseline"/>
        <w:rPr>
          <w:rFonts w:ascii="仿宋_GB2312" w:eastAsia="仿宋_GB2312" w:cs="DengXian-Regular"/>
          <w:sz w:val="32"/>
          <w:szCs w:val="32"/>
        </w:rPr>
      </w:pPr>
      <w:bookmarkStart w:id="43" w:name="_Toc421623217"/>
      <w:bookmarkStart w:id="44" w:name="_Toc422314152"/>
      <w:bookmarkStart w:id="45" w:name="_Toc492652780"/>
      <w:bookmarkStart w:id="46" w:name="_Toc46514951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14:paraId="650823F0">
      <w:pPr>
        <w:spacing w:after="0" w:line="480" w:lineRule="exact"/>
        <w:ind w:firstLine="640" w:firstLineChars="200"/>
        <w:jc w:val="both"/>
        <w:textAlignment w:val="baseline"/>
        <w:rPr>
          <w:rFonts w:ascii="仿宋_GB2312" w:eastAsia="仿宋_GB2312" w:cs="DengXian-Regular"/>
          <w:sz w:val="32"/>
          <w:szCs w:val="32"/>
        </w:rPr>
      </w:pPr>
      <w:bookmarkStart w:id="47" w:name="_Toc422314153"/>
      <w:bookmarkStart w:id="48" w:name="_Toc421623218"/>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14:paraId="753CC450">
      <w:pPr>
        <w:spacing w:after="0" w:line="480" w:lineRule="exact"/>
        <w:ind w:firstLine="640" w:firstLineChars="200"/>
        <w:jc w:val="both"/>
        <w:textAlignment w:val="baseline"/>
        <w:rPr>
          <w:rFonts w:ascii="仿宋_GB2312" w:eastAsia="仿宋_GB2312" w:cs="DengXian-Regular"/>
          <w:sz w:val="32"/>
          <w:szCs w:val="32"/>
        </w:rPr>
      </w:pPr>
      <w:bookmarkStart w:id="49" w:name="_Toc422314155"/>
      <w:bookmarkStart w:id="50"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14:paraId="3B7A5A36">
      <w:pPr>
        <w:spacing w:after="0" w:line="480" w:lineRule="exact"/>
        <w:ind w:firstLine="640" w:firstLineChars="200"/>
        <w:jc w:val="both"/>
        <w:textAlignment w:val="baseline"/>
        <w:rPr>
          <w:rFonts w:ascii="仿宋_GB2312" w:eastAsia="仿宋_GB2312" w:cs="DengXian-Regular"/>
          <w:sz w:val="32"/>
          <w:szCs w:val="32"/>
        </w:rPr>
      </w:pPr>
      <w:bookmarkStart w:id="51" w:name="_Toc422314156"/>
      <w:bookmarkStart w:id="52" w:name="_Toc421623221"/>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14:paraId="08581855">
      <w:pPr>
        <w:spacing w:after="0" w:line="480" w:lineRule="exact"/>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14:paraId="54234A64">
      <w:pPr>
        <w:spacing w:after="0" w:line="48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324FC052">
      <w:pPr>
        <w:spacing w:after="0" w:line="48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3F708489">
      <w:pPr>
        <w:spacing w:after="0" w:line="48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充分收集相关资料，主要包括部门职责、工作活动、预决算文本、相关管理制度、资金使用等相关资料，为制定绩效评价实施方案和指标体系奠定了基础。</w:t>
      </w:r>
    </w:p>
    <w:p w14:paraId="5FE03860">
      <w:pPr>
        <w:spacing w:after="0" w:line="48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21CD7078">
      <w:pPr>
        <w:spacing w:after="0" w:line="48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基于对本单位相关资料的收集，制定绩效评价实施方案和体系,确定最终方案。</w:t>
      </w:r>
    </w:p>
    <w:p w14:paraId="4AE55B89">
      <w:pPr>
        <w:spacing w:after="0" w:line="48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246DE98E">
      <w:pPr>
        <w:spacing w:after="0" w:line="48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河北徐水经济开发区管理委员会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4F03809B">
      <w:pPr>
        <w:spacing w:after="0" w:line="48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65149511"/>
      <w:bookmarkStart w:id="55" w:name="_Toc492652781"/>
    </w:p>
    <w:p w14:paraId="31044184">
      <w:pPr>
        <w:spacing w:after="0" w:line="48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1C71A254">
      <w:pPr>
        <w:pStyle w:val="3"/>
        <w:spacing w:before="0" w:after="0" w:line="480" w:lineRule="exact"/>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14:paraId="2ED84BFD">
      <w:pPr>
        <w:spacing w:after="0" w:line="48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河北徐水经济开发区管理委员会2022年部门整体支出绩效评价总得分为91分，综合绩效评价等级为“优”。各项得分情况如下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14:paraId="5641A3DA">
      <w:pPr>
        <w:pStyle w:val="4"/>
        <w:spacing w:before="0" w:after="0" w:line="480" w:lineRule="exact"/>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14:paraId="6E0C6822">
      <w:pPr>
        <w:spacing w:after="0" w:line="48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14:paraId="078B9FD5">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3954D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67871F67">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691CF9B6">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14:paraId="383713AC">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14:paraId="38175CBD">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576A6340">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03405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43EFF57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67DDC531">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14:paraId="7E595E5F">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14:paraId="468A3B5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14:paraId="0971C74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07CFF48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3BBDE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05E8C5C6">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0120B449">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27D972A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14:paraId="53DB045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6E8326D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1AF1D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41F2D282">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30FBA7EC">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27BF864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14:paraId="7080780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0450844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286E6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2270878A">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14:paraId="4118388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358F07F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14:paraId="367B1A5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14:paraId="3078497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5AF5E4A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07F0A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79C88A69">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1977A2D2">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261F695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14:paraId="468C2E9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4E8EA68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33D1C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50370117">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3F40136F">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175F7BE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14:paraId="40CE5C7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6A0EB60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08781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0266C1A9">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14:paraId="3FD816B4">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14:paraId="7F9098F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14:paraId="75C5E41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r>
    </w:tbl>
    <w:p w14:paraId="462E630F">
      <w:pPr>
        <w:spacing w:after="0" w:line="360" w:lineRule="auto"/>
        <w:ind w:firstLine="640" w:firstLineChars="200"/>
        <w:jc w:val="both"/>
        <w:textAlignment w:val="baseline"/>
        <w:rPr>
          <w:rFonts w:ascii="仿宋_GB2312" w:eastAsia="仿宋_GB2312" w:cs="DengXian-Regular"/>
          <w:sz w:val="32"/>
          <w:szCs w:val="32"/>
        </w:rPr>
      </w:pPr>
      <w:bookmarkStart w:id="60" w:name="_Toc465149513"/>
      <w:bookmarkStart w:id="61" w:name="_Toc464638478"/>
      <w:r>
        <w:rPr>
          <w:rFonts w:hint="eastAsia" w:ascii="仿宋_GB2312" w:eastAsia="仿宋_GB2312" w:cs="DengXian-Regular"/>
          <w:sz w:val="32"/>
          <w:szCs w:val="32"/>
        </w:rPr>
        <w:t>1.绩效目标设定（6分）</w:t>
      </w:r>
    </w:p>
    <w:p w14:paraId="5B13428C">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14:paraId="7A7CAE04">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262495CC">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机构编制委员会文件，关于印发《中共河北徐水经济开发区工作委员会河北徐水经济开发区管理委员会职能配备、内设机构和人员编制规定》和河北徐水经济开发区管理委员会2022年预算文本—部门职责工作活动绩效目标，评价工作组认为河北徐水经济开发区管理委员会部门职责符合“三定”方案中所赋予的职责，绩效目标设立依据充分，符合客观实际，与部门职责、工作规划和重点工作相关，工作活动和项目预算安排合理。</w:t>
      </w:r>
    </w:p>
    <w:p w14:paraId="0C473D0F">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23FB2467">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14:paraId="2CFBCB6A">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5D84BBA0">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河北徐水经济开发区管理委员会2022年预算文本—部门职责工作活动绩效目标（详见附件4），绩效目标与部门履职、年度工作任务相符；工作活动有明确的绩效目标，绩效目标与部门职责目标、部门年度工作目标一致。</w:t>
      </w:r>
    </w:p>
    <w:p w14:paraId="726A36CD">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14:paraId="545BDAC8">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14:paraId="0B219580">
      <w:pPr>
        <w:spacing w:after="0" w:line="500" w:lineRule="exact"/>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5CC32209">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根据河北徐水经济开发区管理委员会2022年预算文本—部门职责工作活动绩效目标,该指标实际得分2分。</w:t>
      </w:r>
    </w:p>
    <w:p w14:paraId="01A9F948">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14:paraId="19DB36CF">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14:paraId="5BAC931E">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14:paraId="06139A2C">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根据河北徐水经济开发区管理委员会2022年预算文本及相关会计资料，河北徐水经济开发区管理委员会所有收入均已纳入部门预算，部门支出按基本支出、项目支出分别编制。</w:t>
      </w:r>
    </w:p>
    <w:p w14:paraId="004CE565">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01413AAC">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14:paraId="3F17A097">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14:paraId="220887CC">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14:paraId="576DF416">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根据河北徐水经济开发区管理委员会2022年预算文本—部门项目支出预算表，河北徐水经济开发区管理委员会202年预算项目共15个，涉及资金</w:t>
      </w:r>
      <w:r>
        <w:rPr>
          <w:rFonts w:ascii="仿宋_GB2312" w:eastAsia="仿宋_GB2312" w:cs="DengXian-Regular"/>
          <w:sz w:val="32"/>
          <w:szCs w:val="32"/>
        </w:rPr>
        <w:t>25209.17</w:t>
      </w:r>
      <w:r>
        <w:rPr>
          <w:rFonts w:hint="eastAsia" w:ascii="仿宋_GB2312" w:eastAsia="仿宋_GB2312" w:cs="DengXian-Regular"/>
          <w:sz w:val="32"/>
          <w:szCs w:val="32"/>
        </w:rPr>
        <w:t>万元，所有项目均细化到具体用款单位及项目资金额度。项目预算细化率=（</w:t>
      </w:r>
      <w:r>
        <w:rPr>
          <w:rFonts w:ascii="仿宋_GB2312" w:eastAsia="仿宋_GB2312" w:cs="DengXian-Regular"/>
          <w:sz w:val="32"/>
          <w:szCs w:val="32"/>
        </w:rPr>
        <w:t>25209.17</w:t>
      </w:r>
      <w:r>
        <w:rPr>
          <w:rFonts w:hint="eastAsia" w:ascii="仿宋_GB2312" w:eastAsia="仿宋_GB2312" w:cs="DengXian-Regular"/>
          <w:sz w:val="32"/>
          <w:szCs w:val="32"/>
        </w:rPr>
        <w:t>/</w:t>
      </w:r>
      <w:r>
        <w:rPr>
          <w:rFonts w:ascii="仿宋_GB2312" w:eastAsia="仿宋_GB2312" w:cs="DengXian-Regular"/>
          <w:sz w:val="32"/>
          <w:szCs w:val="32"/>
        </w:rPr>
        <w:t>25209.17</w:t>
      </w:r>
      <w:r>
        <w:rPr>
          <w:rFonts w:hint="eastAsia" w:ascii="仿宋_GB2312" w:eastAsia="仿宋_GB2312" w:cs="DengXian-Regular"/>
          <w:sz w:val="32"/>
          <w:szCs w:val="32"/>
        </w:rPr>
        <w:t>）*100%=100%</w:t>
      </w:r>
    </w:p>
    <w:p w14:paraId="028F5601">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7F71B57B">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14:paraId="773BAC83">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该指标主要考核截至2022年底河北徐水经济开发区管理委员会在职人员控制情况，通过在职人员控制率衡量。</w:t>
      </w:r>
    </w:p>
    <w:p w14:paraId="05D68EA6">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2F062744">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保定市徐水区机构编制委员会文件，关于印发《中共河北徐水经济开发区工作委员会河北徐水经济开发区管理委员会职能配备、内设机构和人员编制规定》的通知，开发区管委会部门人员编制为40人，根据开发区管委会2022年决算文本-部门基本情况表，截至2022年底，在职人员49人，在职人员控制率=（49/40）*100%=122.5%。主要原因是《中共河北徐水经济开发区工作委员会河北徐水经济开发区管理委员会职能配备、内设机构和人员编制规定》的通知于2022年10月12日下发，规定零补助事业编制40人，2022年一直按照徐机编[2017]1号文规定的50名控制数来执行的，因而49人未超50名控制数。</w:t>
      </w:r>
    </w:p>
    <w:p w14:paraId="4330B22A">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bookmarkEnd w:id="60"/>
    <w:bookmarkEnd w:id="61"/>
    <w:p w14:paraId="003AF0F9">
      <w:pPr>
        <w:pStyle w:val="4"/>
        <w:spacing w:before="0" w:after="0" w:line="500" w:lineRule="exact"/>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14:paraId="64D4D944">
      <w:pPr>
        <w:spacing w:after="0" w:line="500" w:lineRule="exact"/>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14:paraId="795C0B6C">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6F5D1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5207658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2A1F1DC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3C67240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57BAFD6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2DD00805">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3D89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4BA0A13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14:paraId="49A2F51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14:paraId="35F189A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14:paraId="36B1F6F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14:paraId="46F5849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1049814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14:paraId="76C21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9EF1269">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2D4C1F4">
            <w:pPr>
              <w:spacing w:line="420" w:lineRule="exact"/>
              <w:jc w:val="center"/>
              <w:rPr>
                <w:rFonts w:cs="宋体" w:asciiTheme="minorEastAsia" w:hAnsiTheme="minorEastAsia" w:eastAsiaTheme="minorEastAsia"/>
                <w:sz w:val="21"/>
                <w:szCs w:val="21"/>
              </w:rPr>
            </w:pPr>
          </w:p>
        </w:tc>
        <w:tc>
          <w:tcPr>
            <w:tcW w:w="2277" w:type="dxa"/>
            <w:vAlign w:val="center"/>
          </w:tcPr>
          <w:p w14:paraId="2703622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14:paraId="46A1C02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09114E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352F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A6C9A4F">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61AD4D9">
            <w:pPr>
              <w:spacing w:line="420" w:lineRule="exact"/>
              <w:jc w:val="center"/>
              <w:rPr>
                <w:rFonts w:cs="宋体" w:asciiTheme="minorEastAsia" w:hAnsiTheme="minorEastAsia" w:eastAsiaTheme="minorEastAsia"/>
                <w:sz w:val="21"/>
                <w:szCs w:val="21"/>
              </w:rPr>
            </w:pPr>
          </w:p>
        </w:tc>
        <w:tc>
          <w:tcPr>
            <w:tcW w:w="2277" w:type="dxa"/>
            <w:vAlign w:val="center"/>
          </w:tcPr>
          <w:p w14:paraId="03F34B2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14:paraId="4EC4437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4D0F865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14:paraId="5AA3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5E8C1F1">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C60D973">
            <w:pPr>
              <w:spacing w:line="420" w:lineRule="exact"/>
              <w:jc w:val="center"/>
              <w:rPr>
                <w:rFonts w:cs="宋体" w:asciiTheme="minorEastAsia" w:hAnsiTheme="minorEastAsia" w:eastAsiaTheme="minorEastAsia"/>
                <w:sz w:val="21"/>
                <w:szCs w:val="21"/>
              </w:rPr>
            </w:pPr>
          </w:p>
        </w:tc>
        <w:tc>
          <w:tcPr>
            <w:tcW w:w="2277" w:type="dxa"/>
            <w:vAlign w:val="center"/>
          </w:tcPr>
          <w:p w14:paraId="1C36EB1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14:paraId="6B05FA8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18B86AF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7AE1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F46B316">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AC8CC47">
            <w:pPr>
              <w:spacing w:line="420" w:lineRule="exact"/>
              <w:jc w:val="center"/>
              <w:rPr>
                <w:rFonts w:cs="宋体" w:asciiTheme="minorEastAsia" w:hAnsiTheme="minorEastAsia" w:eastAsiaTheme="minorEastAsia"/>
                <w:sz w:val="21"/>
                <w:szCs w:val="21"/>
              </w:rPr>
            </w:pPr>
          </w:p>
        </w:tc>
        <w:tc>
          <w:tcPr>
            <w:tcW w:w="2277" w:type="dxa"/>
            <w:vAlign w:val="center"/>
          </w:tcPr>
          <w:p w14:paraId="415881A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14:paraId="368246B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2FD6336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2EEF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E700826">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BE45887">
            <w:pPr>
              <w:spacing w:line="420" w:lineRule="exact"/>
              <w:jc w:val="center"/>
              <w:rPr>
                <w:rFonts w:cs="宋体" w:asciiTheme="minorEastAsia" w:hAnsiTheme="minorEastAsia" w:eastAsiaTheme="minorEastAsia"/>
                <w:sz w:val="21"/>
                <w:szCs w:val="21"/>
              </w:rPr>
            </w:pPr>
          </w:p>
        </w:tc>
        <w:tc>
          <w:tcPr>
            <w:tcW w:w="2277" w:type="dxa"/>
            <w:vAlign w:val="center"/>
          </w:tcPr>
          <w:p w14:paraId="2496AFF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14:paraId="511BCF3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20B286D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2061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AEA94C9">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C134AC6">
            <w:pPr>
              <w:spacing w:line="420" w:lineRule="exact"/>
              <w:jc w:val="center"/>
              <w:rPr>
                <w:rFonts w:cs="宋体" w:asciiTheme="minorEastAsia" w:hAnsiTheme="minorEastAsia" w:eastAsiaTheme="minorEastAsia"/>
                <w:sz w:val="21"/>
                <w:szCs w:val="21"/>
              </w:rPr>
            </w:pPr>
          </w:p>
        </w:tc>
        <w:tc>
          <w:tcPr>
            <w:tcW w:w="2277" w:type="dxa"/>
            <w:vAlign w:val="center"/>
          </w:tcPr>
          <w:p w14:paraId="0ABF772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14:paraId="370706B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1222E56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1F44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397983C">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6D1AE2B">
            <w:pPr>
              <w:spacing w:line="420" w:lineRule="exact"/>
              <w:jc w:val="center"/>
              <w:rPr>
                <w:rFonts w:cs="宋体" w:asciiTheme="minorEastAsia" w:hAnsiTheme="minorEastAsia" w:eastAsiaTheme="minorEastAsia"/>
                <w:sz w:val="21"/>
                <w:szCs w:val="21"/>
              </w:rPr>
            </w:pPr>
          </w:p>
        </w:tc>
        <w:tc>
          <w:tcPr>
            <w:tcW w:w="2277" w:type="dxa"/>
            <w:vAlign w:val="center"/>
          </w:tcPr>
          <w:p w14:paraId="22B4554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14:paraId="011197D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5981E99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6697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A5DD221">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475D029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4738C0B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14:paraId="1954BD1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1DAF1E5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029CEE8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76B9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5EE579B">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4998A70">
            <w:pPr>
              <w:spacing w:line="420" w:lineRule="exact"/>
              <w:jc w:val="center"/>
              <w:rPr>
                <w:rFonts w:cs="宋体" w:asciiTheme="minorEastAsia" w:hAnsiTheme="minorEastAsia" w:eastAsiaTheme="minorEastAsia"/>
                <w:sz w:val="21"/>
                <w:szCs w:val="21"/>
              </w:rPr>
            </w:pPr>
          </w:p>
        </w:tc>
        <w:tc>
          <w:tcPr>
            <w:tcW w:w="2277" w:type="dxa"/>
            <w:vAlign w:val="center"/>
          </w:tcPr>
          <w:p w14:paraId="4D7CDC6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14:paraId="4F05FC5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28DCE0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6E07C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9002568">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8384DAD">
            <w:pPr>
              <w:spacing w:line="420" w:lineRule="exact"/>
              <w:jc w:val="center"/>
              <w:rPr>
                <w:rFonts w:cs="宋体" w:asciiTheme="minorEastAsia" w:hAnsiTheme="minorEastAsia" w:eastAsiaTheme="minorEastAsia"/>
                <w:sz w:val="21"/>
                <w:szCs w:val="21"/>
              </w:rPr>
            </w:pPr>
          </w:p>
        </w:tc>
        <w:tc>
          <w:tcPr>
            <w:tcW w:w="2277" w:type="dxa"/>
            <w:vAlign w:val="center"/>
          </w:tcPr>
          <w:p w14:paraId="092D231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5BA72F2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4209E2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55EA0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BD821D8">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9529A55">
            <w:pPr>
              <w:spacing w:line="420" w:lineRule="exact"/>
              <w:jc w:val="center"/>
              <w:rPr>
                <w:rFonts w:cs="宋体" w:asciiTheme="minorEastAsia" w:hAnsiTheme="minorEastAsia" w:eastAsiaTheme="minorEastAsia"/>
                <w:sz w:val="21"/>
                <w:szCs w:val="21"/>
              </w:rPr>
            </w:pPr>
          </w:p>
        </w:tc>
        <w:tc>
          <w:tcPr>
            <w:tcW w:w="2277" w:type="dxa"/>
            <w:vAlign w:val="center"/>
          </w:tcPr>
          <w:p w14:paraId="61C7149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14:paraId="4F5E435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2C0833D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0EAD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0AF3B764">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1567874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14:paraId="5935E7F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14:paraId="35B6B8D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14:paraId="7FB63DB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2494815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30AD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14:paraId="7F549E1A">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11B4B12">
            <w:pPr>
              <w:spacing w:line="420" w:lineRule="exact"/>
              <w:jc w:val="center"/>
              <w:rPr>
                <w:rFonts w:cs="宋体" w:asciiTheme="minorEastAsia" w:hAnsiTheme="minorEastAsia" w:eastAsiaTheme="minorEastAsia"/>
                <w:sz w:val="21"/>
                <w:szCs w:val="21"/>
              </w:rPr>
            </w:pPr>
          </w:p>
        </w:tc>
        <w:tc>
          <w:tcPr>
            <w:tcW w:w="2277" w:type="dxa"/>
            <w:vAlign w:val="center"/>
          </w:tcPr>
          <w:p w14:paraId="3C87925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14:paraId="7CB50BB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69104F3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20F7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59F4052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69028E53">
            <w:pPr>
              <w:spacing w:line="420" w:lineRule="exact"/>
              <w:jc w:val="center"/>
              <w:rPr>
                <w:rFonts w:cs="宋体" w:asciiTheme="minorEastAsia" w:hAnsiTheme="minorEastAsia" w:eastAsiaTheme="minorEastAsia"/>
                <w:sz w:val="21"/>
                <w:szCs w:val="21"/>
              </w:rPr>
            </w:pPr>
          </w:p>
        </w:tc>
        <w:tc>
          <w:tcPr>
            <w:tcW w:w="1155" w:type="dxa"/>
            <w:vAlign w:val="center"/>
          </w:tcPr>
          <w:p w14:paraId="1587C3C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14:paraId="599E6E4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44</w:t>
            </w:r>
          </w:p>
        </w:tc>
      </w:tr>
      <w:bookmarkEnd w:id="63"/>
    </w:tbl>
    <w:p w14:paraId="0BD9B9AD">
      <w:pPr>
        <w:spacing w:after="0" w:line="500" w:lineRule="exact"/>
        <w:ind w:firstLine="640" w:firstLineChars="200"/>
        <w:jc w:val="both"/>
        <w:textAlignment w:val="baseline"/>
        <w:rPr>
          <w:rFonts w:ascii="仿宋_GB2312" w:eastAsia="仿宋_GB2312" w:cs="DengXian-Regular"/>
          <w:sz w:val="32"/>
          <w:szCs w:val="32"/>
        </w:rPr>
      </w:pPr>
      <w:bookmarkStart w:id="64" w:name="_Toc464638487"/>
      <w:bookmarkStart w:id="65" w:name="_Toc465149514"/>
      <w:r>
        <w:rPr>
          <w:rFonts w:hint="eastAsia" w:ascii="仿宋_GB2312" w:eastAsia="仿宋_GB2312" w:cs="DengXian-Regular"/>
          <w:sz w:val="32"/>
          <w:szCs w:val="32"/>
        </w:rPr>
        <w:t>1.预算执行（24分）</w:t>
      </w:r>
    </w:p>
    <w:p w14:paraId="1C07BD4E">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14:paraId="33666E3B">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14:paraId="677ED2CE">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14:paraId="3D1CD836">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根据河北徐水经济开发区管理委员会的预算指标文件，其中：徐财预指[</w:t>
      </w:r>
      <w:r>
        <w:rPr>
          <w:rFonts w:ascii="仿宋_GB2312" w:eastAsia="仿宋_GB2312" w:cs="DengXian-Regular"/>
          <w:sz w:val="32"/>
          <w:szCs w:val="32"/>
        </w:rPr>
        <w:t>202</w:t>
      </w:r>
      <w:r>
        <w:rPr>
          <w:rFonts w:hint="eastAsia" w:ascii="仿宋_GB2312" w:eastAsia="仿宋_GB2312" w:cs="DengXian-Regular"/>
          <w:sz w:val="32"/>
          <w:szCs w:val="32"/>
        </w:rPr>
        <w:t>2]1-1032号追加象山矿山修复项目首付款（一标段）1787.84万元；徐财预指[</w:t>
      </w:r>
      <w:r>
        <w:rPr>
          <w:rFonts w:ascii="仿宋_GB2312" w:eastAsia="仿宋_GB2312" w:cs="DengXian-Regular"/>
          <w:sz w:val="32"/>
          <w:szCs w:val="32"/>
        </w:rPr>
        <w:t>202</w:t>
      </w:r>
      <w:r>
        <w:rPr>
          <w:rFonts w:hint="eastAsia" w:ascii="仿宋_GB2312" w:eastAsia="仿宋_GB2312" w:cs="DengXian-Regular"/>
          <w:sz w:val="32"/>
          <w:szCs w:val="32"/>
        </w:rPr>
        <w:t>2]1-1187号追加云致科技谷租金及物业费243.87万元；徐财预指[</w:t>
      </w:r>
      <w:r>
        <w:rPr>
          <w:rFonts w:ascii="仿宋_GB2312" w:eastAsia="仿宋_GB2312" w:cs="DengXian-Regular"/>
          <w:sz w:val="32"/>
          <w:szCs w:val="32"/>
        </w:rPr>
        <w:t>202</w:t>
      </w:r>
      <w:r>
        <w:rPr>
          <w:rFonts w:hint="eastAsia" w:ascii="仿宋_GB2312" w:eastAsia="仿宋_GB2312" w:cs="DengXian-Regular"/>
          <w:sz w:val="32"/>
          <w:szCs w:val="32"/>
        </w:rPr>
        <w:t>2]1-1080号追加2022年第二批新增政府债券-河北徐水经济开发区基础设施建设项目30000万元；徐财预指[</w:t>
      </w:r>
      <w:r>
        <w:rPr>
          <w:rFonts w:ascii="仿宋_GB2312" w:eastAsia="仿宋_GB2312" w:cs="DengXian-Regular"/>
          <w:sz w:val="32"/>
          <w:szCs w:val="32"/>
        </w:rPr>
        <w:t>202</w:t>
      </w:r>
      <w:r>
        <w:rPr>
          <w:rFonts w:hint="eastAsia" w:ascii="仿宋_GB2312" w:eastAsia="仿宋_GB2312" w:cs="DengXian-Regular"/>
          <w:sz w:val="32"/>
          <w:szCs w:val="32"/>
        </w:rPr>
        <w:t>2]1-1122号追加2022年第四批新增政府债券-河北徐水经济开发区2022年度基础设施建设项目30000万元；徐财预指[</w:t>
      </w:r>
      <w:r>
        <w:rPr>
          <w:rFonts w:ascii="仿宋_GB2312" w:eastAsia="仿宋_GB2312" w:cs="DengXian-Regular"/>
          <w:sz w:val="32"/>
          <w:szCs w:val="32"/>
        </w:rPr>
        <w:t>202</w:t>
      </w:r>
      <w:r>
        <w:rPr>
          <w:rFonts w:hint="eastAsia" w:ascii="仿宋_GB2312" w:eastAsia="仿宋_GB2312" w:cs="DengXian-Regular"/>
          <w:sz w:val="32"/>
          <w:szCs w:val="32"/>
        </w:rPr>
        <w:t>2]1-1166号追加开发区2022年度徐水经济开发区基础设施建设项目第二批55000万元等。开发区管委会2022年度预算收入的追加数为</w:t>
      </w:r>
      <w:r>
        <w:rPr>
          <w:rFonts w:ascii="仿宋_GB2312" w:eastAsia="仿宋_GB2312" w:cs="DengXian-Regular"/>
          <w:sz w:val="32"/>
          <w:szCs w:val="32"/>
        </w:rPr>
        <w:t>114836.41</w:t>
      </w:r>
      <w:r>
        <w:rPr>
          <w:rFonts w:hint="eastAsia" w:ascii="仿宋_GB2312" w:eastAsia="仿宋_GB2312" w:cs="DengXian-Regular"/>
          <w:sz w:val="32"/>
          <w:szCs w:val="32"/>
        </w:rPr>
        <w:t>万元，年初预算数为</w:t>
      </w:r>
      <w:r>
        <w:rPr>
          <w:rFonts w:ascii="仿宋_GB2312" w:eastAsia="仿宋_GB2312" w:cs="DengXian-Regular"/>
          <w:sz w:val="32"/>
          <w:szCs w:val="32"/>
        </w:rPr>
        <w:t>26079.34</w:t>
      </w:r>
      <w:r>
        <w:rPr>
          <w:rFonts w:hint="eastAsia" w:ascii="仿宋_GB2312" w:eastAsia="仿宋_GB2312" w:cs="DengXian-Regular"/>
          <w:sz w:val="32"/>
          <w:szCs w:val="32"/>
        </w:rPr>
        <w:t>万元，预算收入调整率为440.33%。预算收入调整率大，超过10%，扣3分。</w:t>
      </w:r>
    </w:p>
    <w:p w14:paraId="0021A241">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该项指标实际得分0分。</w:t>
      </w:r>
    </w:p>
    <w:p w14:paraId="6BE971C8">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14:paraId="1F0AA86D">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14:paraId="32BF29E7">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14:paraId="646A207D">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根据开发区管委会2022年预算文本、决算文本，2022年收入预算数</w:t>
      </w:r>
      <w:r>
        <w:rPr>
          <w:rFonts w:ascii="仿宋_GB2312" w:eastAsia="仿宋_GB2312" w:cs="DengXian-Regular"/>
          <w:sz w:val="32"/>
          <w:szCs w:val="32"/>
        </w:rPr>
        <w:t>26079</w:t>
      </w:r>
      <w:r>
        <w:rPr>
          <w:rFonts w:hint="eastAsia" w:ascii="仿宋_GB2312" w:eastAsia="仿宋_GB2312" w:cs="DengXian-Regular"/>
          <w:sz w:val="32"/>
          <w:szCs w:val="32"/>
        </w:rPr>
        <w:t>.</w:t>
      </w:r>
      <w:r>
        <w:rPr>
          <w:rFonts w:ascii="仿宋_GB2312" w:eastAsia="仿宋_GB2312" w:cs="DengXian-Regular"/>
          <w:sz w:val="32"/>
          <w:szCs w:val="32"/>
        </w:rPr>
        <w:t>34</w:t>
      </w:r>
      <w:r>
        <w:rPr>
          <w:rFonts w:hint="eastAsia" w:ascii="仿宋_GB2312" w:eastAsia="仿宋_GB2312" w:cs="DengXian-Regular"/>
          <w:sz w:val="32"/>
          <w:szCs w:val="32"/>
        </w:rPr>
        <w:t>万元，收入决算数</w:t>
      </w:r>
      <w:r>
        <w:rPr>
          <w:rFonts w:ascii="仿宋_GB2312" w:eastAsia="仿宋_GB2312" w:cs="DengXian-Regular"/>
          <w:sz w:val="32"/>
          <w:szCs w:val="32"/>
        </w:rPr>
        <w:t>140915</w:t>
      </w:r>
      <w:r>
        <w:rPr>
          <w:rFonts w:hint="eastAsia" w:ascii="仿宋_GB2312" w:eastAsia="仿宋_GB2312" w:cs="DengXian-Regular"/>
          <w:sz w:val="32"/>
          <w:szCs w:val="32"/>
        </w:rPr>
        <w:t>.</w:t>
      </w:r>
      <w:r>
        <w:rPr>
          <w:rFonts w:ascii="仿宋_GB2312" w:eastAsia="仿宋_GB2312" w:cs="DengXian-Regular"/>
          <w:sz w:val="32"/>
          <w:szCs w:val="32"/>
        </w:rPr>
        <w:t>7</w:t>
      </w:r>
      <w:r>
        <w:rPr>
          <w:rFonts w:hint="eastAsia" w:ascii="仿宋_GB2312" w:eastAsia="仿宋_GB2312" w:cs="DengXian-Regular"/>
          <w:sz w:val="32"/>
          <w:szCs w:val="32"/>
        </w:rPr>
        <w:t>5万元，收入完成率=（决算数/预算数）*100%=540.33%。</w:t>
      </w:r>
    </w:p>
    <w:p w14:paraId="4041F6AE">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2B477149">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14:paraId="52A12E27">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14:paraId="2D6EC80A">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14:paraId="4D193D7B">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下发的预算指标文件，其中：徐财预指[2022]1-1032号追加象山矿山修复项目首付款（一标段）1787.84万元；徐财预指[2022]1-1187号追加云致科技谷租金及物业费243.87万元；徐财预指[2022]1-1080号追加2022年第二批新增政府债券-河北徐水经济开发区基础设施建设项目30000万元；徐财预指[2022]1-1122号追加2022年第四批新增政府债券-河北徐水经济开发区2022年度基础设施建设项目30000万元等。开发区管委会2022年度预算支出的追加数合计</w:t>
      </w:r>
      <w:r>
        <w:rPr>
          <w:rFonts w:ascii="仿宋_GB2312" w:eastAsia="仿宋_GB2312" w:cs="DengXian-Regular"/>
          <w:sz w:val="32"/>
          <w:szCs w:val="32"/>
        </w:rPr>
        <w:t>69147.82</w:t>
      </w:r>
      <w:r>
        <w:rPr>
          <w:rFonts w:hint="eastAsia" w:ascii="仿宋_GB2312" w:eastAsia="仿宋_GB2312" w:cs="DengXian-Regular"/>
          <w:sz w:val="32"/>
          <w:szCs w:val="32"/>
        </w:rPr>
        <w:t>万元，年初预算数为</w:t>
      </w:r>
      <w:r>
        <w:rPr>
          <w:rFonts w:ascii="仿宋_GB2312" w:eastAsia="仿宋_GB2312" w:cs="DengXian-Regular"/>
          <w:sz w:val="32"/>
          <w:szCs w:val="32"/>
        </w:rPr>
        <w:t>26079.34</w:t>
      </w:r>
      <w:r>
        <w:rPr>
          <w:rFonts w:hint="eastAsia" w:ascii="仿宋_GB2312" w:eastAsia="仿宋_GB2312" w:cs="DengXian-Regular"/>
          <w:sz w:val="32"/>
          <w:szCs w:val="32"/>
        </w:rPr>
        <w:t>万元，预算支出调整率为265.14%，预算支出调整率大，超过10%，扣2分。</w:t>
      </w:r>
    </w:p>
    <w:p w14:paraId="16353088">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该指标实际得分0分。</w:t>
      </w:r>
    </w:p>
    <w:p w14:paraId="003D26C6">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14:paraId="228523CB">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14:paraId="14094067">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14:paraId="1F2FA75F">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开发区管委会2022年决算文本，部门决算财政拨款支出数</w:t>
      </w:r>
      <w:r>
        <w:rPr>
          <w:rFonts w:ascii="仿宋_GB2312" w:eastAsia="仿宋_GB2312" w:cs="DengXian-Regular"/>
          <w:sz w:val="32"/>
          <w:szCs w:val="32"/>
        </w:rPr>
        <w:t>95227.16</w:t>
      </w:r>
      <w:r>
        <w:rPr>
          <w:rFonts w:hint="eastAsia" w:ascii="仿宋_GB2312" w:eastAsia="仿宋_GB2312" w:cs="DengXian-Regular"/>
          <w:sz w:val="32"/>
          <w:szCs w:val="32"/>
        </w:rPr>
        <w:t>万元，财政拨款收入数</w:t>
      </w:r>
      <w:r>
        <w:rPr>
          <w:rFonts w:ascii="仿宋_GB2312" w:eastAsia="仿宋_GB2312" w:cs="DengXian-Regular"/>
          <w:sz w:val="32"/>
          <w:szCs w:val="32"/>
        </w:rPr>
        <w:t>26079.34</w:t>
      </w:r>
      <w:r>
        <w:rPr>
          <w:rFonts w:hint="eastAsia" w:ascii="仿宋_GB2312" w:eastAsia="仿宋_GB2312" w:cs="DengXian-Regular"/>
          <w:sz w:val="32"/>
          <w:szCs w:val="32"/>
        </w:rPr>
        <w:t>万元，财政拨款支出率=（财政拨款支出数/财政拨款收入数）*100%=365.14%</w:t>
      </w:r>
      <w:r>
        <w:rPr>
          <w:rFonts w:ascii="Arial" w:hAnsi="Arial" w:eastAsia="仿宋_GB2312" w:cs="Arial"/>
          <w:sz w:val="32"/>
          <w:szCs w:val="32"/>
        </w:rPr>
        <w:t>≥</w:t>
      </w:r>
      <w:r>
        <w:rPr>
          <w:rFonts w:hint="eastAsia" w:ascii="仿宋_GB2312" w:eastAsia="仿宋_GB2312" w:cs="DengXian-Regular"/>
          <w:sz w:val="32"/>
          <w:szCs w:val="32"/>
        </w:rPr>
        <w:t>90%。开发区管委会2022年年初结转和结余0万元，故支出数大于收入数。</w:t>
      </w:r>
    </w:p>
    <w:p w14:paraId="09F5EBDC">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6916504E">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14:paraId="19D36BA7">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00079E59">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5406468D">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开发区管委会2022年预算文本及决算文本，“三公”经费年初预算数8.64万元，年末决算数5.74万元，“三公”经费控制率=（年末决算数/年初预算数）*100%=66.44%</w:t>
      </w:r>
      <w:r>
        <w:rPr>
          <w:rFonts w:ascii="Arial" w:hAnsi="Arial" w:eastAsia="仿宋_GB2312" w:cs="Arial"/>
          <w:sz w:val="32"/>
          <w:szCs w:val="32"/>
        </w:rPr>
        <w:t>≤</w:t>
      </w:r>
      <w:r>
        <w:rPr>
          <w:rFonts w:hint="eastAsia" w:ascii="仿宋_GB2312" w:eastAsia="仿宋_GB2312" w:cs="DengXian-Regular"/>
          <w:sz w:val="32"/>
          <w:szCs w:val="32"/>
        </w:rPr>
        <w:t>100%。</w:t>
      </w:r>
    </w:p>
    <w:p w14:paraId="3EEE4BAB">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2D83F16A">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14:paraId="06CB6B7D">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314CDC95">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08689542">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开发区管委会2022年预算文本及决算文本，政府采购年初预算数328.48万元，年末决算数</w:t>
      </w:r>
      <w:r>
        <w:rPr>
          <w:rFonts w:ascii="仿宋_GB2312" w:eastAsia="仿宋_GB2312" w:cs="DengXian-Regular"/>
          <w:sz w:val="32"/>
          <w:szCs w:val="32"/>
        </w:rPr>
        <w:t>12602</w:t>
      </w:r>
      <w:r>
        <w:rPr>
          <w:rFonts w:hint="eastAsia" w:ascii="仿宋_GB2312" w:eastAsia="仿宋_GB2312" w:cs="DengXian-Regular"/>
          <w:sz w:val="32"/>
          <w:szCs w:val="32"/>
        </w:rPr>
        <w:t>.</w:t>
      </w:r>
      <w:r>
        <w:rPr>
          <w:rFonts w:ascii="仿宋_GB2312" w:eastAsia="仿宋_GB2312" w:cs="DengXian-Regular"/>
          <w:sz w:val="32"/>
          <w:szCs w:val="32"/>
        </w:rPr>
        <w:t>86</w:t>
      </w:r>
      <w:r>
        <w:rPr>
          <w:rFonts w:hint="eastAsia" w:ascii="仿宋_GB2312" w:eastAsia="仿宋_GB2312" w:cs="DengXian-Regular"/>
          <w:sz w:val="32"/>
          <w:szCs w:val="32"/>
        </w:rPr>
        <w:t>万元，政府采购执行率为3836.72%。</w:t>
      </w:r>
    </w:p>
    <w:p w14:paraId="6FD29299">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该指标实际得分为3分。</w:t>
      </w:r>
    </w:p>
    <w:p w14:paraId="519E2D6C">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14:paraId="37ECBEBB">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462F44F8">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开发区管委会2022年明细账、会计凭证等相关资料，开发区管委会资金使用符合相关会计准则和财务制度，资金拨付有完备的审批程序和手续，资金使用符合部门预算批复的用途，未发现截留、挤占、挪用财政资金的情况。</w:t>
      </w:r>
    </w:p>
    <w:p w14:paraId="4E6ACE46">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5178E53C">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14:paraId="27064879">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14:paraId="2D9FE923">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经核查开发区管委会2022年决算文本、明细账及总账，开发区管委会决算文本数据均与明细账、总账一致。</w:t>
      </w:r>
    </w:p>
    <w:p w14:paraId="2AFBA7B1">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5CCF3270">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4381AB03">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5EA337B4">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5CAAD7D3">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河北徐水经济开发区管理委员会工作制度涵盖了财务制度、网络安全制度、公务用车制度等相关制度，经检查河北徐水经济开发区管理委员会付款流程审批单、资产盘点表等资料，河北徐水经济开发区管理委员会已按照相关管理制度的规定执行。</w:t>
      </w:r>
    </w:p>
    <w:p w14:paraId="0A68426F">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14:paraId="592A8E62">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14:paraId="789D0E50">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4FE8B307">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河北徐水经济开发区管理委员会2022年按政府信息公开的有关要求在保定市徐水区人民政府网公开了2022年的预决算情况、部门责任清单、行政监督清单等相关信息。</w:t>
      </w:r>
    </w:p>
    <w:p w14:paraId="0B3AD803">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0A170091">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14:paraId="7E1A4089">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5204D81A">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根据河北徐水经济开发区管理委员会提供的会计账簿、凭证及其他相关资料，河北徐水经济开发区管理委员会会计信息资料真实完整，</w:t>
      </w:r>
    </w:p>
    <w:p w14:paraId="4AB5AEE7">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5BCC2251">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14:paraId="7C3CDC8B">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1ACE3B4F">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河北徐水经济开发区管理委员会建立了固定资产台账、无形资产台账，资产保存完整，2022年新增资产21.28万元，包含：核酸检测亭（6万元），台式电脑及计算机设备（4.13万元），饮水机（0.46万元），音箱（0.38万元），移动信号灯（0.5万元），特警用反窥镜及探测仪、保温水壶、装备训练器、战术臂盾等（8.81万元），釜阳花园小区水表（1万元），资产购置手续完备，配置符合要求，资产管理整体较规范。</w:t>
      </w:r>
    </w:p>
    <w:p w14:paraId="2237B375">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14:paraId="1B93D2CA">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14:paraId="0A19879D">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14:paraId="09152846">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14:paraId="17A00EF5">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14:paraId="7B935701">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2022年度财政专项资金部门绩效自评价工作的通知》及开发区管委会2022年一般项目部门绩效自评表，开发区管委会2022年开展绩效自评的项目数为32个，年初预算文本项目数15个，要求自评项目个数32个，自评覆盖率为 100%。</w:t>
      </w:r>
    </w:p>
    <w:p w14:paraId="0971589D">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4BA30634">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14:paraId="4150631F">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14:paraId="6E90BB65">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14:paraId="169D6342">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开发区管委会2022年参评数量32个，绩效评价结果达到优等的数量29个，绩效评价优等率为90.63%。</w:t>
      </w:r>
    </w:p>
    <w:p w14:paraId="54F5AB2A">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bookmarkEnd w:id="64"/>
      <w:bookmarkEnd w:id="65"/>
    </w:p>
    <w:p w14:paraId="57F28D4C">
      <w:pPr>
        <w:pStyle w:val="4"/>
        <w:spacing w:before="0" w:after="0" w:line="500" w:lineRule="exact"/>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14:paraId="1DDE6244">
      <w:pPr>
        <w:spacing w:after="0" w:line="500" w:lineRule="exact"/>
        <w:ind w:firstLine="660"/>
        <w:jc w:val="center"/>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该一级指标包含责任履行一个二级指标，主要反映结转结余率，项目资金使用率，完成及时率，质量达标率，</w:t>
      </w:r>
    </w:p>
    <w:p w14:paraId="6BBDD917">
      <w:pPr>
        <w:spacing w:after="0" w:line="500" w:lineRule="exact"/>
        <w:textAlignment w:val="baseline"/>
        <w:rPr>
          <w:rFonts w:ascii="仿宋_GB2312" w:eastAsia="仿宋_GB2312" w:cs="DengXian-Regular"/>
          <w:sz w:val="32"/>
          <w:szCs w:val="32"/>
        </w:rPr>
      </w:pPr>
      <w:r>
        <w:rPr>
          <w:rFonts w:hint="eastAsia" w:ascii="仿宋_GB2312" w:eastAsia="仿宋_GB2312" w:cs="DengXian-Regular"/>
          <w:sz w:val="32"/>
          <w:szCs w:val="32"/>
        </w:rPr>
        <w:t>重点工作办结率。</w:t>
      </w:r>
    </w:p>
    <w:p w14:paraId="050BB30A">
      <w:pPr>
        <w:spacing w:after="0" w:line="360" w:lineRule="auto"/>
        <w:ind w:firstLine="1606" w:firstLineChars="500"/>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14:paraId="7C6F688B">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7B56B9EA">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4A2C5B7F">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56EBAD3A">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246DA49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4839D031">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2611AA34">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1DA6686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2A48F55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14:paraId="0BE33F1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24F824B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6160C6A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6ADFD0E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p w14:paraId="142FA7D3">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5</w:t>
            </w:r>
          </w:p>
          <w:p w14:paraId="02E0FABB">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5</w:t>
            </w:r>
          </w:p>
          <w:p w14:paraId="3ACF5A56">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5</w:t>
            </w:r>
          </w:p>
          <w:p w14:paraId="08387B71">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5</w:t>
            </w:r>
          </w:p>
        </w:tc>
      </w:tr>
      <w:tr w14:paraId="011B4C66">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2C864FD3">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4A3AC117">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16B1805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6942B11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5973CD8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7998D6EA">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69087244">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12F17952">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4608AE5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完成及时率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23E88BC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4F022F7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3FC78C2F">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3F0F406C">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2E4462FC">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1FCF420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质量达标率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61EA328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0952A7A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2C6827A0">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1789DF0E">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719804C8">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0043BD6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重点工作办结率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1F4B7E2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15F55DF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4740BC12">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45A1B5F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5EDAF140">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1ABFD57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720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w:t>
            </w:r>
          </w:p>
        </w:tc>
      </w:tr>
    </w:tbl>
    <w:p w14:paraId="52D50317">
      <w:pPr>
        <w:spacing w:after="0" w:line="500" w:lineRule="exact"/>
        <w:ind w:firstLine="640" w:firstLineChars="200"/>
        <w:jc w:val="both"/>
        <w:textAlignment w:val="baseline"/>
        <w:rPr>
          <w:rFonts w:ascii="仿宋_GB2312" w:eastAsia="仿宋_GB2312" w:cs="DengXian-Regular"/>
          <w:sz w:val="32"/>
          <w:szCs w:val="32"/>
        </w:rPr>
      </w:pPr>
      <w:bookmarkStart w:id="67" w:name="_Toc464638518"/>
      <w:bookmarkStart w:id="68" w:name="_Toc465149515"/>
      <w:r>
        <w:rPr>
          <w:rFonts w:hint="eastAsia" w:ascii="仿宋_GB2312" w:eastAsia="仿宋_GB2312" w:cs="DengXian-Regular"/>
          <w:sz w:val="32"/>
          <w:szCs w:val="32"/>
        </w:rPr>
        <w:t>1.结转结余率（5分）</w:t>
      </w:r>
    </w:p>
    <w:p w14:paraId="66D189EF">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14:paraId="1C0D27EB">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14:paraId="47154B39">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根据开发区管委会2022年决算文本及相关资料，开发区管委会2022年结转结余资金</w:t>
      </w:r>
      <w:r>
        <w:rPr>
          <w:rFonts w:ascii="仿宋_GB2312" w:eastAsia="仿宋_GB2312" w:cs="DengXian-Regular"/>
          <w:sz w:val="32"/>
          <w:szCs w:val="32"/>
        </w:rPr>
        <w:t>45693</w:t>
      </w:r>
      <w:r>
        <w:rPr>
          <w:rFonts w:hint="eastAsia" w:ascii="仿宋_GB2312" w:eastAsia="仿宋_GB2312" w:cs="DengXian-Regular"/>
          <w:sz w:val="32"/>
          <w:szCs w:val="32"/>
        </w:rPr>
        <w:t>.</w:t>
      </w:r>
      <w:r>
        <w:rPr>
          <w:rFonts w:ascii="仿宋_GB2312" w:eastAsia="仿宋_GB2312" w:cs="DengXian-Regular"/>
          <w:sz w:val="32"/>
          <w:szCs w:val="32"/>
        </w:rPr>
        <w:t>3</w:t>
      </w:r>
      <w:r>
        <w:rPr>
          <w:rFonts w:hint="eastAsia" w:ascii="仿宋_GB2312" w:eastAsia="仿宋_GB2312" w:cs="DengXian-Regular"/>
          <w:sz w:val="32"/>
          <w:szCs w:val="32"/>
        </w:rPr>
        <w:t>3万元，决算收入</w:t>
      </w:r>
      <w:r>
        <w:rPr>
          <w:rFonts w:ascii="仿宋_GB2312" w:eastAsia="仿宋_GB2312" w:cs="DengXian-Regular"/>
          <w:sz w:val="32"/>
          <w:szCs w:val="32"/>
        </w:rPr>
        <w:t>140915</w:t>
      </w:r>
      <w:r>
        <w:rPr>
          <w:rFonts w:hint="eastAsia" w:ascii="仿宋_GB2312" w:eastAsia="仿宋_GB2312" w:cs="DengXian-Regular"/>
          <w:sz w:val="32"/>
          <w:szCs w:val="32"/>
        </w:rPr>
        <w:t>.</w:t>
      </w:r>
      <w:r>
        <w:rPr>
          <w:rFonts w:ascii="仿宋_GB2312" w:eastAsia="仿宋_GB2312" w:cs="DengXian-Regular"/>
          <w:sz w:val="32"/>
          <w:szCs w:val="32"/>
        </w:rPr>
        <w:t>7</w:t>
      </w:r>
      <w:r>
        <w:rPr>
          <w:rFonts w:hint="eastAsia" w:ascii="仿宋_GB2312" w:eastAsia="仿宋_GB2312" w:cs="DengXian-Regular"/>
          <w:sz w:val="32"/>
          <w:szCs w:val="32"/>
        </w:rPr>
        <w:t>5万元，结转结余率32.43%，大于5%。</w:t>
      </w:r>
    </w:p>
    <w:p w14:paraId="03DD3FE0">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该项指标实际得分0分。</w:t>
      </w:r>
    </w:p>
    <w:p w14:paraId="718FC58B">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14:paraId="35C2D43F">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14:paraId="2B18A9BB">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14:paraId="4A6B9297">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开发区管委会2022年实际支出项目资金总额</w:t>
      </w:r>
      <w:r>
        <w:rPr>
          <w:rFonts w:ascii="仿宋_GB2312" w:eastAsia="仿宋_GB2312" w:cs="DengXian-Regular"/>
          <w:sz w:val="32"/>
          <w:szCs w:val="32"/>
        </w:rPr>
        <w:t>94458</w:t>
      </w:r>
      <w:r>
        <w:rPr>
          <w:rFonts w:hint="eastAsia" w:ascii="仿宋_GB2312" w:eastAsia="仿宋_GB2312" w:cs="DengXian-Regular"/>
          <w:sz w:val="32"/>
          <w:szCs w:val="32"/>
        </w:rPr>
        <w:t>.</w:t>
      </w:r>
      <w:r>
        <w:rPr>
          <w:rFonts w:ascii="仿宋_GB2312" w:eastAsia="仿宋_GB2312" w:cs="DengXian-Regular"/>
          <w:sz w:val="32"/>
          <w:szCs w:val="32"/>
        </w:rPr>
        <w:t>65</w:t>
      </w:r>
      <w:r>
        <w:rPr>
          <w:rFonts w:hint="eastAsia" w:ascii="仿宋_GB2312" w:eastAsia="仿宋_GB2312" w:cs="DengXian-Regular"/>
          <w:sz w:val="32"/>
          <w:szCs w:val="32"/>
        </w:rPr>
        <w:t>万元，年初预算共15个项目，预算数</w:t>
      </w:r>
      <w:r>
        <w:rPr>
          <w:rFonts w:ascii="仿宋_GB2312" w:eastAsia="仿宋_GB2312" w:cs="DengXian-Regular"/>
          <w:sz w:val="32"/>
          <w:szCs w:val="32"/>
        </w:rPr>
        <w:t>25209.17</w:t>
      </w:r>
      <w:r>
        <w:rPr>
          <w:rFonts w:hint="eastAsia" w:ascii="仿宋_GB2312" w:eastAsia="仿宋_GB2312" w:cs="DengXian-Regular"/>
          <w:sz w:val="32"/>
          <w:szCs w:val="32"/>
        </w:rPr>
        <w:t>万元，年中追加项目资金69249.48万元，项目资金使用率为100%。</w:t>
      </w:r>
    </w:p>
    <w:p w14:paraId="4D0419B9">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14:paraId="7CE19586">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3.完成及时率（5分）</w:t>
      </w:r>
    </w:p>
    <w:p w14:paraId="3703BAD2">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该项指标主要评价部门在规定时限内及时完成的实际工作数与计划工作数的比率,用以反映和考核部门履职时效目标的实现程度。。</w:t>
      </w:r>
    </w:p>
    <w:p w14:paraId="19084450">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完成及时率=（及时完成实际工作数/计划工作数）×100%。</w:t>
      </w:r>
    </w:p>
    <w:p w14:paraId="46497AF8">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及时完成实际工作数：部门按照整体绩效目标确定的时限实际完成的工作任务数量。</w:t>
      </w:r>
    </w:p>
    <w:p w14:paraId="45725412">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开发区管委会2022年年初预算项目及追加项目全部在规定时限内完成，完成及时率达到100%。</w:t>
      </w:r>
    </w:p>
    <w:p w14:paraId="7EAD0E95">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14:paraId="58DDE8AB">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w:t>
      </w:r>
      <w:r>
        <w:rPr>
          <w:rFonts w:hint="eastAsia" w:cs="宋体" w:asciiTheme="minorEastAsia" w:hAnsiTheme="minorEastAsia" w:eastAsiaTheme="minorEastAsia"/>
          <w:sz w:val="21"/>
          <w:szCs w:val="21"/>
        </w:rPr>
        <w:t xml:space="preserve"> </w:t>
      </w:r>
      <w:r>
        <w:rPr>
          <w:rFonts w:hint="eastAsia" w:ascii="仿宋_GB2312" w:eastAsia="仿宋_GB2312" w:cs="DengXian-Regular"/>
          <w:sz w:val="32"/>
          <w:szCs w:val="32"/>
        </w:rPr>
        <w:t>质量达标率（5分）</w:t>
      </w:r>
    </w:p>
    <w:p w14:paraId="3F5E4BEF">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该指标主要评价项目是否按照绩效标准实施，通过达到绩效标准值的实际项目数与计划项目数的比率来衡量。</w:t>
      </w:r>
    </w:p>
    <w:p w14:paraId="462F097D">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质量达标率=(达到绩效标准值的实际项目数/计划项目数的比率)*100%。</w:t>
      </w:r>
    </w:p>
    <w:p w14:paraId="4E380C5C">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开发区管委会2022年预算项目全部按照绩效标准实施并全部完成，质量达标率100%。</w:t>
      </w:r>
    </w:p>
    <w:p w14:paraId="7D74A6FF">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14:paraId="23AFE891">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5.重点工作办结率（5分）</w:t>
      </w:r>
    </w:p>
    <w:p w14:paraId="62E4F578">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该指标主要评价重点工作办结情况，通过重点工作办结率来衡量。</w:t>
      </w:r>
    </w:p>
    <w:p w14:paraId="39938DAC">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重点工作办结率=（部门年度重点工作实际完成数/交办或下达数的比率）*100%。</w:t>
      </w:r>
    </w:p>
    <w:p w14:paraId="340207B8">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开发区管委会2022年重点工作如专项债、环境卫生、招商引资等工作完成数与交办的重点工作数的比率。</w:t>
      </w:r>
    </w:p>
    <w:p w14:paraId="4D4DCE3D">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开发区管委会2022年重点工作如专项债、环境卫生、招商引资等重点工作全部按要求办结。</w:t>
      </w:r>
    </w:p>
    <w:p w14:paraId="0327C151">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14:paraId="2E90A373">
      <w:pPr>
        <w:pStyle w:val="4"/>
        <w:spacing w:before="0" w:after="0" w:line="500" w:lineRule="exact"/>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14:paraId="4EBA44DD">
      <w:pPr>
        <w:spacing w:after="0" w:line="500" w:lineRule="exact"/>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2D307489">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14:paraId="04DCF0D0">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3CE73497">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1EF373C9">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3F1D453B">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6DBE1C2E">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3ACBFC8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10D26043">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465DE37B">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14:paraId="0EF2F7BF">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5A52A886">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015A417A">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75ED5A3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60B8001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49CCA56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r w14:paraId="33887295">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4AF1728D">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5D088DF6">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295122E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5A1F06B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184346A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1A7C8441">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2FB149E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1571174A">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75F9CF1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14:paraId="26CDD43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r>
      <w:bookmarkEnd w:id="70"/>
    </w:tbl>
    <w:p w14:paraId="31808694">
      <w:pPr>
        <w:spacing w:after="0" w:line="500" w:lineRule="exact"/>
        <w:ind w:firstLine="640" w:firstLineChars="200"/>
        <w:jc w:val="both"/>
        <w:textAlignment w:val="baseline"/>
        <w:rPr>
          <w:rFonts w:ascii="仿宋_GB2312" w:eastAsia="仿宋_GB2312" w:cs="DengXian-Regular"/>
          <w:sz w:val="32"/>
          <w:szCs w:val="32"/>
        </w:rPr>
      </w:pPr>
      <w:bookmarkStart w:id="71" w:name="_Toc464638561"/>
      <w:bookmarkStart w:id="72" w:name="_Toc465149516"/>
      <w:bookmarkStart w:id="73" w:name="_Toc492652784"/>
      <w:r>
        <w:rPr>
          <w:rFonts w:hint="eastAsia" w:ascii="仿宋_GB2312" w:eastAsia="仿宋_GB2312" w:cs="DengXian-Regular"/>
          <w:sz w:val="32"/>
          <w:szCs w:val="32"/>
        </w:rPr>
        <w:t>1.部门整体效益（10分）</w:t>
      </w:r>
    </w:p>
    <w:p w14:paraId="3C38282F">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14:paraId="6F68CAD9">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经查开发区管委会2022年预决算相关资料，开发区管委会履行职责对社会发展所带来的社会效益较显著，有效拉动了开发区入驻企业及开发区整体经济的有效运行。</w:t>
      </w:r>
    </w:p>
    <w:p w14:paraId="0726CD3B">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该项指标实际得分10分。</w:t>
      </w:r>
    </w:p>
    <w:p w14:paraId="61490D13">
      <w:pPr>
        <w:spacing w:after="0" w:line="50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14:paraId="4DA6B6E2">
      <w:pPr>
        <w:spacing w:after="0" w:line="50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14:paraId="5A97DC5E">
      <w:pPr>
        <w:spacing w:after="0" w:line="50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14:paraId="2CF98ED5">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14:paraId="68A05EE4">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795"/>
        <w:gridCol w:w="1153"/>
        <w:gridCol w:w="1134"/>
        <w:gridCol w:w="1218"/>
        <w:gridCol w:w="767"/>
        <w:gridCol w:w="881"/>
      </w:tblGrid>
      <w:tr w14:paraId="171821F7">
        <w:tblPrEx>
          <w:tblCellMar>
            <w:top w:w="15" w:type="dxa"/>
            <w:left w:w="15" w:type="dxa"/>
            <w:bottom w:w="15" w:type="dxa"/>
            <w:right w:w="15" w:type="dxa"/>
          </w:tblCellMar>
        </w:tblPrEx>
        <w:trPr>
          <w:trHeight w:val="525" w:hRule="atLeast"/>
          <w:jc w:val="center"/>
        </w:trPr>
        <w:tc>
          <w:tcPr>
            <w:tcW w:w="2795" w:type="dxa"/>
            <w:tcBorders>
              <w:top w:val="single" w:color="auto" w:sz="4" w:space="0"/>
              <w:left w:val="single" w:color="auto" w:sz="4" w:space="0"/>
              <w:bottom w:val="single" w:color="auto" w:sz="4" w:space="0"/>
              <w:right w:val="single" w:color="auto" w:sz="4" w:space="0"/>
            </w:tcBorders>
            <w:vAlign w:val="center"/>
          </w:tcPr>
          <w:p w14:paraId="561FF415">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53" w:type="dxa"/>
            <w:tcBorders>
              <w:top w:val="single" w:color="auto" w:sz="4" w:space="0"/>
              <w:left w:val="single" w:color="auto" w:sz="4" w:space="0"/>
              <w:bottom w:val="single" w:color="auto" w:sz="4" w:space="0"/>
              <w:right w:val="single" w:color="auto" w:sz="4" w:space="0"/>
            </w:tcBorders>
            <w:vAlign w:val="center"/>
          </w:tcPr>
          <w:p w14:paraId="5082D85A">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234242D5">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75ED2778">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5D674634">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3F0BA5EC">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14:paraId="4140CABB">
        <w:tblPrEx>
          <w:tblCellMar>
            <w:top w:w="15" w:type="dxa"/>
            <w:left w:w="15" w:type="dxa"/>
            <w:bottom w:w="15" w:type="dxa"/>
            <w:right w:w="15" w:type="dxa"/>
          </w:tblCellMar>
        </w:tblPrEx>
        <w:trPr>
          <w:trHeight w:val="590" w:hRule="atLeast"/>
          <w:jc w:val="center"/>
        </w:trPr>
        <w:tc>
          <w:tcPr>
            <w:tcW w:w="2795" w:type="dxa"/>
            <w:tcBorders>
              <w:top w:val="single" w:color="000000" w:sz="4" w:space="0"/>
              <w:left w:val="single" w:color="000000" w:sz="4" w:space="0"/>
              <w:bottom w:val="single" w:color="000000" w:sz="4" w:space="0"/>
              <w:right w:val="single" w:color="000000" w:sz="4" w:space="0"/>
            </w:tcBorders>
            <w:vAlign w:val="center"/>
          </w:tcPr>
          <w:p w14:paraId="3AFF0F98">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您对开发区管委会项目资金支付及时性程度是否满意？</w:t>
            </w:r>
          </w:p>
        </w:tc>
        <w:tc>
          <w:tcPr>
            <w:tcW w:w="1153" w:type="dxa"/>
            <w:tcBorders>
              <w:top w:val="single" w:color="000000" w:sz="4" w:space="0"/>
              <w:left w:val="single" w:color="000000" w:sz="4" w:space="0"/>
              <w:bottom w:val="single" w:color="000000" w:sz="4" w:space="0"/>
              <w:right w:val="single" w:color="000000" w:sz="4" w:space="0"/>
            </w:tcBorders>
            <w:vAlign w:val="center"/>
          </w:tcPr>
          <w:p w14:paraId="74379240">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c>
          <w:tcPr>
            <w:tcW w:w="1134" w:type="dxa"/>
            <w:tcBorders>
              <w:top w:val="single" w:color="000000" w:sz="4" w:space="0"/>
              <w:left w:val="single" w:color="000000" w:sz="4" w:space="0"/>
              <w:bottom w:val="single" w:color="000000" w:sz="4" w:space="0"/>
              <w:right w:val="single" w:color="000000" w:sz="4" w:space="0"/>
            </w:tcBorders>
            <w:vAlign w:val="center"/>
          </w:tcPr>
          <w:p w14:paraId="0376400F">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229C4328">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799C2D7B">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716E96F6">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r w14:paraId="086164FC">
        <w:tblPrEx>
          <w:tblCellMar>
            <w:top w:w="15" w:type="dxa"/>
            <w:left w:w="15" w:type="dxa"/>
            <w:bottom w:w="15" w:type="dxa"/>
            <w:right w:w="15" w:type="dxa"/>
          </w:tblCellMar>
        </w:tblPrEx>
        <w:trPr>
          <w:trHeight w:val="510" w:hRule="atLeast"/>
          <w:jc w:val="center"/>
        </w:trPr>
        <w:tc>
          <w:tcPr>
            <w:tcW w:w="2795" w:type="dxa"/>
            <w:tcBorders>
              <w:top w:val="single" w:color="000000" w:sz="4" w:space="0"/>
              <w:left w:val="single" w:color="000000" w:sz="4" w:space="0"/>
              <w:bottom w:val="single" w:color="000000" w:sz="4" w:space="0"/>
              <w:right w:val="single" w:color="000000" w:sz="4" w:space="0"/>
            </w:tcBorders>
            <w:vAlign w:val="center"/>
          </w:tcPr>
          <w:p w14:paraId="7CAA3B04">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您对开发区管委会工作人员的服务态度是否满意？</w:t>
            </w:r>
          </w:p>
        </w:tc>
        <w:tc>
          <w:tcPr>
            <w:tcW w:w="1153" w:type="dxa"/>
            <w:tcBorders>
              <w:top w:val="single" w:color="000000" w:sz="4" w:space="0"/>
              <w:left w:val="single" w:color="000000" w:sz="4" w:space="0"/>
              <w:bottom w:val="single" w:color="000000" w:sz="4" w:space="0"/>
              <w:right w:val="single" w:color="000000" w:sz="4" w:space="0"/>
            </w:tcBorders>
            <w:vAlign w:val="center"/>
          </w:tcPr>
          <w:p w14:paraId="720AA996">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c>
          <w:tcPr>
            <w:tcW w:w="1134" w:type="dxa"/>
            <w:tcBorders>
              <w:top w:val="single" w:color="000000" w:sz="4" w:space="0"/>
              <w:left w:val="single" w:color="000000" w:sz="4" w:space="0"/>
              <w:bottom w:val="single" w:color="000000" w:sz="4" w:space="0"/>
              <w:right w:val="single" w:color="000000" w:sz="4" w:space="0"/>
            </w:tcBorders>
            <w:vAlign w:val="center"/>
          </w:tcPr>
          <w:p w14:paraId="0094350B">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4E69A889">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65C41019">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37C23A0A">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r w14:paraId="7E83209B">
        <w:tblPrEx>
          <w:tblCellMar>
            <w:top w:w="15" w:type="dxa"/>
            <w:left w:w="15" w:type="dxa"/>
            <w:bottom w:w="15" w:type="dxa"/>
            <w:right w:w="15" w:type="dxa"/>
          </w:tblCellMar>
        </w:tblPrEx>
        <w:trPr>
          <w:trHeight w:val="585" w:hRule="atLeast"/>
          <w:jc w:val="center"/>
        </w:trPr>
        <w:tc>
          <w:tcPr>
            <w:tcW w:w="2795" w:type="dxa"/>
            <w:tcBorders>
              <w:top w:val="single" w:color="000000" w:sz="4" w:space="0"/>
              <w:left w:val="single" w:color="000000" w:sz="4" w:space="0"/>
              <w:bottom w:val="single" w:color="000000" w:sz="4" w:space="0"/>
              <w:right w:val="single" w:color="000000" w:sz="4" w:space="0"/>
            </w:tcBorders>
            <w:vAlign w:val="center"/>
          </w:tcPr>
          <w:p w14:paraId="1D852729">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您对开发区管委会部门整体印象是否满意？</w:t>
            </w:r>
          </w:p>
        </w:tc>
        <w:tc>
          <w:tcPr>
            <w:tcW w:w="1153" w:type="dxa"/>
            <w:tcBorders>
              <w:top w:val="single" w:color="000000" w:sz="4" w:space="0"/>
              <w:left w:val="single" w:color="000000" w:sz="4" w:space="0"/>
              <w:bottom w:val="single" w:color="000000" w:sz="4" w:space="0"/>
              <w:right w:val="single" w:color="000000" w:sz="4" w:space="0"/>
            </w:tcBorders>
            <w:vAlign w:val="center"/>
          </w:tcPr>
          <w:p w14:paraId="575833EE">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c>
          <w:tcPr>
            <w:tcW w:w="1134" w:type="dxa"/>
            <w:tcBorders>
              <w:top w:val="single" w:color="000000" w:sz="4" w:space="0"/>
              <w:left w:val="single" w:color="000000" w:sz="4" w:space="0"/>
              <w:bottom w:val="single" w:color="000000" w:sz="4" w:space="0"/>
              <w:right w:val="single" w:color="000000" w:sz="4" w:space="0"/>
            </w:tcBorders>
            <w:vAlign w:val="center"/>
          </w:tcPr>
          <w:p w14:paraId="7697B0AB">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543BED09">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4B3AC573">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3309BD20">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bl>
    <w:p w14:paraId="14226DFF">
      <w:pPr>
        <w:spacing w:after="0" w:line="50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14:paraId="6750D26A">
      <w:pPr>
        <w:spacing w:after="0" w:line="50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14:paraId="7AAC010D">
      <w:pPr>
        <w:spacing w:after="0" w:line="50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14:paraId="14CDA2C0">
      <w:pPr>
        <w:spacing w:after="0" w:line="50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经计算，总体得分为100分，大于90分，评价等级为“优”。</w:t>
      </w:r>
    </w:p>
    <w:p w14:paraId="793D388E">
      <w:pPr>
        <w:spacing w:after="0" w:line="500" w:lineRule="exact"/>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该指标实际得分5分。</w:t>
      </w:r>
    </w:p>
    <w:p w14:paraId="28D1F3DB">
      <w:pPr>
        <w:pStyle w:val="3"/>
        <w:keepNext w:val="0"/>
        <w:keepLines w:val="0"/>
        <w:suppressLineNumbers/>
        <w:spacing w:before="0" w:after="0" w:line="500" w:lineRule="exact"/>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14:paraId="0BCEBF5E">
      <w:pPr>
        <w:spacing w:after="0" w:line="50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开发区管委会</w:t>
      </w:r>
      <w:r>
        <w:rPr>
          <w:rFonts w:hint="eastAsia" w:ascii="仿宋_GB2312" w:eastAsia="仿宋_GB2312" w:cs="Times New Roman" w:hAnsiTheme="minorEastAsia"/>
          <w:sz w:val="32"/>
          <w:szCs w:val="32"/>
          <w:u w:color="000000"/>
        </w:rPr>
        <w:t>202</w:t>
      </w:r>
      <w:r>
        <w:rPr>
          <w:rFonts w:hint="eastAsia" w:ascii="仿宋_GB2312" w:eastAsia="仿宋_GB2312" w:cs="DengXian-Regular"/>
          <w:sz w:val="32"/>
          <w:szCs w:val="32"/>
        </w:rPr>
        <w:t>2</w:t>
      </w:r>
      <w:r>
        <w:rPr>
          <w:rFonts w:hint="eastAsia" w:ascii="仿宋_GB2312" w:eastAsia="仿宋_GB2312" w:cs="Times New Roman" w:hAnsiTheme="minorEastAsia"/>
          <w:sz w:val="32"/>
          <w:szCs w:val="32"/>
          <w:u w:color="000000"/>
        </w:rPr>
        <w:t>年部门整体支出基本按相关要求执行预算、决算，完成了绩效目标，资金使用效益良好。通过评价，也发现一些不足之处，具体情况如下：</w:t>
      </w:r>
      <w:bookmarkStart w:id="76" w:name="_Toc20723"/>
    </w:p>
    <w:p w14:paraId="6733E472">
      <w:pPr>
        <w:spacing w:after="0" w:line="50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1.部分绩效指标方面：绩效指标设置应更加明确，增强绩效指标的针对性。</w:t>
      </w:r>
    </w:p>
    <w:p w14:paraId="6021E98F">
      <w:pPr>
        <w:spacing w:after="0" w:line="50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2.预算决算比较：在预算执行过程中，应加强预算监控。</w:t>
      </w:r>
    </w:p>
    <w:p w14:paraId="0045BAEA">
      <w:pPr>
        <w:spacing w:after="0" w:line="50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3.预算追加方面：年初预算应更加细化，减少追加项目。</w:t>
      </w:r>
    </w:p>
    <w:p w14:paraId="7D7E7676">
      <w:pPr>
        <w:spacing w:after="0" w:line="50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4.政府采购方面：加强政府采购预算执行率。</w:t>
      </w:r>
    </w:p>
    <w:p w14:paraId="35FD5748">
      <w:pPr>
        <w:spacing w:after="0" w:line="50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5.项目资金使用率方面：在预算执行过程中，应合理调度专项资金，提高项目资金的使用效益。</w:t>
      </w:r>
    </w:p>
    <w:p w14:paraId="3C54581B">
      <w:pPr>
        <w:spacing w:after="0" w:line="500" w:lineRule="exact"/>
        <w:ind w:firstLine="640" w:firstLineChars="200"/>
        <w:jc w:val="both"/>
        <w:textAlignment w:val="baseline"/>
        <w:rPr>
          <w:rFonts w:ascii="仿宋_GB2312" w:eastAsia="仿宋_GB2312" w:cs="Times New Roman" w:hAnsiTheme="minorEastAsia"/>
          <w:sz w:val="32"/>
          <w:szCs w:val="32"/>
          <w:u w:color="000000"/>
        </w:rPr>
      </w:pPr>
    </w:p>
    <w:bookmarkEnd w:id="75"/>
    <w:bookmarkEnd w:id="76"/>
    <w:p w14:paraId="5075FE60">
      <w:pPr>
        <w:spacing w:after="0" w:line="50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附件：1.河北徐水经济开发区管理委员会部门基本情况及主要职责</w:t>
      </w:r>
    </w:p>
    <w:p w14:paraId="5A769CE7">
      <w:pPr>
        <w:spacing w:after="0" w:line="50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w:t>
      </w:r>
      <w:r>
        <w:rPr>
          <w:rFonts w:ascii="仿宋_GB2312" w:eastAsia="仿宋_GB2312" w:cs="Times New Roman" w:hAnsiTheme="minorEastAsia"/>
          <w:sz w:val="32"/>
          <w:szCs w:val="32"/>
          <w:u w:color="000000"/>
        </w:rPr>
        <w:t>202</w:t>
      </w:r>
      <w:r>
        <w:rPr>
          <w:rFonts w:hint="eastAsia" w:ascii="仿宋_GB2312" w:eastAsia="仿宋_GB2312" w:cs="Times New Roman" w:hAnsiTheme="minorEastAsia"/>
          <w:sz w:val="32"/>
          <w:szCs w:val="32"/>
          <w:u w:color="000000"/>
        </w:rPr>
        <w:t>2年度河北徐水经济开发区管理委员会收支预算及决算明细表</w:t>
      </w:r>
    </w:p>
    <w:p w14:paraId="234FEC97">
      <w:pPr>
        <w:spacing w:after="0" w:line="500" w:lineRule="exact"/>
        <w:ind w:firstLine="960" w:firstLineChars="300"/>
        <w:jc w:val="both"/>
        <w:textAlignment w:val="baseline"/>
        <w:rPr>
          <w:rFonts w:ascii="仿宋_GB2312" w:eastAsia="仿宋_GB2312" w:cs="Times New Roman" w:hAnsiTheme="minorEastAsia"/>
          <w:sz w:val="32"/>
          <w:szCs w:val="32"/>
          <w:u w:color="000000"/>
        </w:rPr>
      </w:pPr>
      <w:bookmarkStart w:id="77" w:name="_Toc465149534"/>
      <w:r>
        <w:rPr>
          <w:rFonts w:hint="eastAsia" w:ascii="仿宋_GB2312" w:eastAsia="仿宋_GB2312" w:cs="Times New Roman" w:hAnsiTheme="minorEastAsia"/>
          <w:sz w:val="32"/>
          <w:szCs w:val="32"/>
          <w:u w:color="000000"/>
        </w:rPr>
        <w:t>3.</w:t>
      </w:r>
      <w:bookmarkEnd w:id="77"/>
      <w:r>
        <w:rPr>
          <w:rFonts w:hint="eastAsia" w:ascii="仿宋_GB2312" w:eastAsia="仿宋_GB2312" w:cs="Times New Roman" w:hAnsiTheme="minorEastAsia"/>
          <w:sz w:val="32"/>
          <w:szCs w:val="32"/>
          <w:u w:color="000000"/>
        </w:rPr>
        <w:t>部门整体支出绩效评价指标体系</w:t>
      </w:r>
    </w:p>
    <w:p w14:paraId="41CB4839">
      <w:pPr>
        <w:spacing w:after="0" w:line="50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44"/>
      <w:r>
        <w:rPr>
          <w:rFonts w:hint="eastAsia" w:ascii="仿宋_GB2312" w:eastAsia="仿宋_GB2312" w:cs="Times New Roman" w:hAnsiTheme="minorEastAsia"/>
          <w:sz w:val="32"/>
          <w:szCs w:val="32"/>
          <w:u w:color="000000"/>
        </w:rPr>
        <w:t>4.</w:t>
      </w:r>
      <w:bookmarkEnd w:id="78"/>
      <w:r>
        <w:rPr>
          <w:rFonts w:ascii="仿宋_GB2312" w:eastAsia="仿宋_GB2312" w:cs="Times New Roman" w:hAnsiTheme="minorEastAsia"/>
          <w:sz w:val="32"/>
          <w:szCs w:val="32"/>
          <w:u w:color="000000"/>
        </w:rPr>
        <w:t>202</w:t>
      </w:r>
      <w:r>
        <w:rPr>
          <w:rFonts w:hint="eastAsia" w:ascii="仿宋_GB2312" w:eastAsia="仿宋_GB2312" w:cs="Times New Roman" w:hAnsiTheme="minorEastAsia"/>
          <w:sz w:val="32"/>
          <w:szCs w:val="32"/>
          <w:u w:color="000000"/>
        </w:rPr>
        <w:t>2年河北徐水经济开发区管理委员会工作活动绩效目标、绩效指标一览表</w:t>
      </w:r>
    </w:p>
    <w:p w14:paraId="60F3257C">
      <w:pPr>
        <w:spacing w:after="0" w:line="500" w:lineRule="exact"/>
        <w:jc w:val="both"/>
        <w:textAlignment w:val="baseline"/>
        <w:rPr>
          <w:rFonts w:ascii="仿宋_GB2312" w:eastAsia="仿宋_GB2312" w:cs="Times New Roman" w:hAnsiTheme="minorEastAsia"/>
          <w:sz w:val="32"/>
          <w:szCs w:val="32"/>
          <w:u w:color="000000"/>
        </w:rPr>
      </w:pPr>
    </w:p>
    <w:p w14:paraId="64901F6B">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355271EF">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 w:name="DengXian-Regular">
    <w:altName w:val="宋体"/>
    <w:panose1 w:val="00000000000000000000"/>
    <w:charset w:val="86"/>
    <w:family w:val="auto"/>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85890">
    <w:pPr>
      <w:pStyle w:val="14"/>
      <w:jc w:val="center"/>
    </w:pPr>
  </w:p>
  <w:p w14:paraId="01F22CD0">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FB999">
    <w:pPr>
      <w:pStyle w:val="14"/>
      <w:jc w:val="center"/>
    </w:pPr>
    <w:r>
      <w:fldChar w:fldCharType="begin"/>
    </w:r>
    <w:r>
      <w:instrText xml:space="preserve"> PAGE   \* MERGEFORMAT </w:instrText>
    </w:r>
    <w:r>
      <w:fldChar w:fldCharType="separate"/>
    </w:r>
    <w:r>
      <w:rPr>
        <w:lang w:val="zh-CN"/>
      </w:rPr>
      <w:t>31</w:t>
    </w:r>
    <w:r>
      <w:rPr>
        <w:lang w:val="zh-CN"/>
      </w:rPr>
      <w:fldChar w:fldCharType="end"/>
    </w:r>
  </w:p>
  <w:p w14:paraId="62514E90">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WE3NGYwYTFmZGE4ZTQ2YmU5NjljNDAyNzdhNjI4MzQifQ=="/>
  </w:docVars>
  <w:rsids>
    <w:rsidRoot w:val="00D31D50"/>
    <w:rsid w:val="000010FC"/>
    <w:rsid w:val="000029A4"/>
    <w:rsid w:val="00004179"/>
    <w:rsid w:val="0000439F"/>
    <w:rsid w:val="00006750"/>
    <w:rsid w:val="00007CA0"/>
    <w:rsid w:val="00015C39"/>
    <w:rsid w:val="000174D3"/>
    <w:rsid w:val="0002415F"/>
    <w:rsid w:val="00025620"/>
    <w:rsid w:val="00026F83"/>
    <w:rsid w:val="0002705B"/>
    <w:rsid w:val="000317D7"/>
    <w:rsid w:val="00032B03"/>
    <w:rsid w:val="000334C2"/>
    <w:rsid w:val="0003450B"/>
    <w:rsid w:val="0003465E"/>
    <w:rsid w:val="00034910"/>
    <w:rsid w:val="0003506D"/>
    <w:rsid w:val="000409C0"/>
    <w:rsid w:val="0004123E"/>
    <w:rsid w:val="00044599"/>
    <w:rsid w:val="000446E5"/>
    <w:rsid w:val="00044A25"/>
    <w:rsid w:val="0004760A"/>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B7EAD"/>
    <w:rsid w:val="000C1EA5"/>
    <w:rsid w:val="000C52FB"/>
    <w:rsid w:val="000C55E6"/>
    <w:rsid w:val="000C6D5A"/>
    <w:rsid w:val="000D09B2"/>
    <w:rsid w:val="000D0DF3"/>
    <w:rsid w:val="000D7C38"/>
    <w:rsid w:val="000E0902"/>
    <w:rsid w:val="000E3830"/>
    <w:rsid w:val="000E45AA"/>
    <w:rsid w:val="000F070B"/>
    <w:rsid w:val="000F3158"/>
    <w:rsid w:val="000F359E"/>
    <w:rsid w:val="000F364D"/>
    <w:rsid w:val="000F4432"/>
    <w:rsid w:val="000F465E"/>
    <w:rsid w:val="000F5E8C"/>
    <w:rsid w:val="001000B2"/>
    <w:rsid w:val="00100A1D"/>
    <w:rsid w:val="00100CAB"/>
    <w:rsid w:val="00104C6C"/>
    <w:rsid w:val="0010560E"/>
    <w:rsid w:val="00105DEB"/>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46D5"/>
    <w:rsid w:val="001B5C88"/>
    <w:rsid w:val="001B6CE6"/>
    <w:rsid w:val="001C046D"/>
    <w:rsid w:val="001C1412"/>
    <w:rsid w:val="001C391F"/>
    <w:rsid w:val="001C5135"/>
    <w:rsid w:val="001C544B"/>
    <w:rsid w:val="001C796E"/>
    <w:rsid w:val="001D1367"/>
    <w:rsid w:val="001D5041"/>
    <w:rsid w:val="001D52AA"/>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02D"/>
    <w:rsid w:val="0020571F"/>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4B72"/>
    <w:rsid w:val="00245CB2"/>
    <w:rsid w:val="00246A44"/>
    <w:rsid w:val="00250BAC"/>
    <w:rsid w:val="00250F6B"/>
    <w:rsid w:val="00255C4E"/>
    <w:rsid w:val="00260245"/>
    <w:rsid w:val="0026252A"/>
    <w:rsid w:val="00262BB1"/>
    <w:rsid w:val="00263D3A"/>
    <w:rsid w:val="002643BE"/>
    <w:rsid w:val="00265325"/>
    <w:rsid w:val="00266E84"/>
    <w:rsid w:val="002715FC"/>
    <w:rsid w:val="0027235C"/>
    <w:rsid w:val="002736FD"/>
    <w:rsid w:val="00274CFA"/>
    <w:rsid w:val="00275677"/>
    <w:rsid w:val="00275A3F"/>
    <w:rsid w:val="0028068C"/>
    <w:rsid w:val="00280F6C"/>
    <w:rsid w:val="00282A89"/>
    <w:rsid w:val="00283F8F"/>
    <w:rsid w:val="002869F9"/>
    <w:rsid w:val="00292F98"/>
    <w:rsid w:val="002939A0"/>
    <w:rsid w:val="002950C7"/>
    <w:rsid w:val="002959A3"/>
    <w:rsid w:val="0029626E"/>
    <w:rsid w:val="00296E59"/>
    <w:rsid w:val="00297CEF"/>
    <w:rsid w:val="002A0364"/>
    <w:rsid w:val="002A1661"/>
    <w:rsid w:val="002A1A25"/>
    <w:rsid w:val="002A563C"/>
    <w:rsid w:val="002A672E"/>
    <w:rsid w:val="002B05EF"/>
    <w:rsid w:val="002B2E34"/>
    <w:rsid w:val="002B76FA"/>
    <w:rsid w:val="002C029E"/>
    <w:rsid w:val="002C2C71"/>
    <w:rsid w:val="002C5A65"/>
    <w:rsid w:val="002C5C81"/>
    <w:rsid w:val="002C71F3"/>
    <w:rsid w:val="002D2112"/>
    <w:rsid w:val="002D41BD"/>
    <w:rsid w:val="002D53D7"/>
    <w:rsid w:val="002D5508"/>
    <w:rsid w:val="002D5FC1"/>
    <w:rsid w:val="002D7AB3"/>
    <w:rsid w:val="002E1D3C"/>
    <w:rsid w:val="002E1F45"/>
    <w:rsid w:val="002E1F73"/>
    <w:rsid w:val="002E269D"/>
    <w:rsid w:val="002E3460"/>
    <w:rsid w:val="002E70AE"/>
    <w:rsid w:val="002F0C41"/>
    <w:rsid w:val="002F5B6A"/>
    <w:rsid w:val="002F5BF5"/>
    <w:rsid w:val="002F5ECA"/>
    <w:rsid w:val="002F69FE"/>
    <w:rsid w:val="00306572"/>
    <w:rsid w:val="003079C7"/>
    <w:rsid w:val="003169F3"/>
    <w:rsid w:val="0032078D"/>
    <w:rsid w:val="00321CE0"/>
    <w:rsid w:val="0032231F"/>
    <w:rsid w:val="00323B43"/>
    <w:rsid w:val="00323E4C"/>
    <w:rsid w:val="00325BCC"/>
    <w:rsid w:val="003309A3"/>
    <w:rsid w:val="003345BC"/>
    <w:rsid w:val="00343662"/>
    <w:rsid w:val="0035365E"/>
    <w:rsid w:val="003536E9"/>
    <w:rsid w:val="00355403"/>
    <w:rsid w:val="003569A8"/>
    <w:rsid w:val="003576A5"/>
    <w:rsid w:val="00360006"/>
    <w:rsid w:val="003612D4"/>
    <w:rsid w:val="00361FFF"/>
    <w:rsid w:val="00362340"/>
    <w:rsid w:val="0036350D"/>
    <w:rsid w:val="003653A5"/>
    <w:rsid w:val="00366971"/>
    <w:rsid w:val="00367DF7"/>
    <w:rsid w:val="00370AFA"/>
    <w:rsid w:val="0037120F"/>
    <w:rsid w:val="0037242E"/>
    <w:rsid w:val="003743E9"/>
    <w:rsid w:val="0038005F"/>
    <w:rsid w:val="003803CC"/>
    <w:rsid w:val="00382949"/>
    <w:rsid w:val="00386D9A"/>
    <w:rsid w:val="003901FF"/>
    <w:rsid w:val="00390B63"/>
    <w:rsid w:val="00391AE3"/>
    <w:rsid w:val="00396D4C"/>
    <w:rsid w:val="003A02BE"/>
    <w:rsid w:val="003A1765"/>
    <w:rsid w:val="003A3C32"/>
    <w:rsid w:val="003A4D02"/>
    <w:rsid w:val="003A4D52"/>
    <w:rsid w:val="003A536E"/>
    <w:rsid w:val="003B6DEC"/>
    <w:rsid w:val="003B79D3"/>
    <w:rsid w:val="003C1BA7"/>
    <w:rsid w:val="003C2B92"/>
    <w:rsid w:val="003D0D9C"/>
    <w:rsid w:val="003D126B"/>
    <w:rsid w:val="003D1D33"/>
    <w:rsid w:val="003D22C9"/>
    <w:rsid w:val="003D28AC"/>
    <w:rsid w:val="003D37D8"/>
    <w:rsid w:val="003D7B2A"/>
    <w:rsid w:val="003E266C"/>
    <w:rsid w:val="003E3400"/>
    <w:rsid w:val="003E3C05"/>
    <w:rsid w:val="003F0B14"/>
    <w:rsid w:val="003F282F"/>
    <w:rsid w:val="00400B42"/>
    <w:rsid w:val="00400E89"/>
    <w:rsid w:val="00401AB4"/>
    <w:rsid w:val="00402CA2"/>
    <w:rsid w:val="00402D95"/>
    <w:rsid w:val="00403ADD"/>
    <w:rsid w:val="00407629"/>
    <w:rsid w:val="004108EE"/>
    <w:rsid w:val="00410F1A"/>
    <w:rsid w:val="0041197A"/>
    <w:rsid w:val="00412A31"/>
    <w:rsid w:val="00415DD8"/>
    <w:rsid w:val="004200B9"/>
    <w:rsid w:val="00426133"/>
    <w:rsid w:val="004300B1"/>
    <w:rsid w:val="00430AF8"/>
    <w:rsid w:val="0043148F"/>
    <w:rsid w:val="0043354D"/>
    <w:rsid w:val="00434EB0"/>
    <w:rsid w:val="004358AB"/>
    <w:rsid w:val="00435DA7"/>
    <w:rsid w:val="004370A2"/>
    <w:rsid w:val="00445C28"/>
    <w:rsid w:val="004468B5"/>
    <w:rsid w:val="004519BD"/>
    <w:rsid w:val="00451E9F"/>
    <w:rsid w:val="00452418"/>
    <w:rsid w:val="0045434B"/>
    <w:rsid w:val="004551F1"/>
    <w:rsid w:val="00456648"/>
    <w:rsid w:val="00457E00"/>
    <w:rsid w:val="00461E7C"/>
    <w:rsid w:val="004639E0"/>
    <w:rsid w:val="00463A6D"/>
    <w:rsid w:val="00465A21"/>
    <w:rsid w:val="0047047F"/>
    <w:rsid w:val="00472C49"/>
    <w:rsid w:val="0047359D"/>
    <w:rsid w:val="00474CFD"/>
    <w:rsid w:val="00474DE3"/>
    <w:rsid w:val="004769ED"/>
    <w:rsid w:val="00477959"/>
    <w:rsid w:val="00482627"/>
    <w:rsid w:val="00486217"/>
    <w:rsid w:val="00486A56"/>
    <w:rsid w:val="0049262A"/>
    <w:rsid w:val="00494D73"/>
    <w:rsid w:val="004A19C4"/>
    <w:rsid w:val="004A23BD"/>
    <w:rsid w:val="004A6EA4"/>
    <w:rsid w:val="004B146A"/>
    <w:rsid w:val="004B1E69"/>
    <w:rsid w:val="004B325B"/>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381A"/>
    <w:rsid w:val="00507211"/>
    <w:rsid w:val="00507934"/>
    <w:rsid w:val="0051171B"/>
    <w:rsid w:val="00512D1D"/>
    <w:rsid w:val="005131A5"/>
    <w:rsid w:val="00515160"/>
    <w:rsid w:val="00516D5A"/>
    <w:rsid w:val="005170FB"/>
    <w:rsid w:val="00521677"/>
    <w:rsid w:val="0052300D"/>
    <w:rsid w:val="00523B77"/>
    <w:rsid w:val="0052474C"/>
    <w:rsid w:val="00525074"/>
    <w:rsid w:val="00525520"/>
    <w:rsid w:val="005319EE"/>
    <w:rsid w:val="00531BE2"/>
    <w:rsid w:val="00534091"/>
    <w:rsid w:val="00540B32"/>
    <w:rsid w:val="005421AC"/>
    <w:rsid w:val="00544C1A"/>
    <w:rsid w:val="00546D1B"/>
    <w:rsid w:val="0055027D"/>
    <w:rsid w:val="00554FA1"/>
    <w:rsid w:val="00556934"/>
    <w:rsid w:val="005601FB"/>
    <w:rsid w:val="005607DF"/>
    <w:rsid w:val="0056127B"/>
    <w:rsid w:val="00564377"/>
    <w:rsid w:val="00564538"/>
    <w:rsid w:val="00566A89"/>
    <w:rsid w:val="005673B8"/>
    <w:rsid w:val="00567E07"/>
    <w:rsid w:val="00570354"/>
    <w:rsid w:val="00570A9D"/>
    <w:rsid w:val="005771F7"/>
    <w:rsid w:val="00577B7B"/>
    <w:rsid w:val="00577E36"/>
    <w:rsid w:val="00581459"/>
    <w:rsid w:val="00583F7F"/>
    <w:rsid w:val="0058600B"/>
    <w:rsid w:val="00587913"/>
    <w:rsid w:val="00593428"/>
    <w:rsid w:val="00593B65"/>
    <w:rsid w:val="005A1551"/>
    <w:rsid w:val="005A15D6"/>
    <w:rsid w:val="005A1FD8"/>
    <w:rsid w:val="005A317D"/>
    <w:rsid w:val="005A79F9"/>
    <w:rsid w:val="005B56D1"/>
    <w:rsid w:val="005B6B7A"/>
    <w:rsid w:val="005C3594"/>
    <w:rsid w:val="005C46B7"/>
    <w:rsid w:val="005C5A19"/>
    <w:rsid w:val="005C7C8B"/>
    <w:rsid w:val="005D5617"/>
    <w:rsid w:val="005D6591"/>
    <w:rsid w:val="005D6869"/>
    <w:rsid w:val="005D7446"/>
    <w:rsid w:val="005E5F88"/>
    <w:rsid w:val="005F06F5"/>
    <w:rsid w:val="005F09C0"/>
    <w:rsid w:val="005F46C0"/>
    <w:rsid w:val="005F471D"/>
    <w:rsid w:val="005F550A"/>
    <w:rsid w:val="005F720A"/>
    <w:rsid w:val="005F7467"/>
    <w:rsid w:val="005F78E7"/>
    <w:rsid w:val="006007F3"/>
    <w:rsid w:val="0060402C"/>
    <w:rsid w:val="0061252A"/>
    <w:rsid w:val="00612B8B"/>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47C29"/>
    <w:rsid w:val="00650C90"/>
    <w:rsid w:val="0065172D"/>
    <w:rsid w:val="0065287D"/>
    <w:rsid w:val="0065671B"/>
    <w:rsid w:val="00656A5A"/>
    <w:rsid w:val="00660A67"/>
    <w:rsid w:val="00663A42"/>
    <w:rsid w:val="0066418E"/>
    <w:rsid w:val="0066469F"/>
    <w:rsid w:val="0067780F"/>
    <w:rsid w:val="00686C30"/>
    <w:rsid w:val="00690FA3"/>
    <w:rsid w:val="0069331D"/>
    <w:rsid w:val="006935C0"/>
    <w:rsid w:val="00696DF8"/>
    <w:rsid w:val="0069783E"/>
    <w:rsid w:val="00697E26"/>
    <w:rsid w:val="006A0330"/>
    <w:rsid w:val="006A3AE1"/>
    <w:rsid w:val="006A3B57"/>
    <w:rsid w:val="006A6AB2"/>
    <w:rsid w:val="006A7D60"/>
    <w:rsid w:val="006B117D"/>
    <w:rsid w:val="006B19B7"/>
    <w:rsid w:val="006B392C"/>
    <w:rsid w:val="006B4CC0"/>
    <w:rsid w:val="006B65B0"/>
    <w:rsid w:val="006C0CE1"/>
    <w:rsid w:val="006C5198"/>
    <w:rsid w:val="006C6A07"/>
    <w:rsid w:val="006C6EC5"/>
    <w:rsid w:val="006D1DC8"/>
    <w:rsid w:val="006D6199"/>
    <w:rsid w:val="006E0A3D"/>
    <w:rsid w:val="006E27F1"/>
    <w:rsid w:val="006E389A"/>
    <w:rsid w:val="006E5BC8"/>
    <w:rsid w:val="006E7CBA"/>
    <w:rsid w:val="006F222F"/>
    <w:rsid w:val="006F7B69"/>
    <w:rsid w:val="0070241F"/>
    <w:rsid w:val="007024A9"/>
    <w:rsid w:val="00703C96"/>
    <w:rsid w:val="00707064"/>
    <w:rsid w:val="007130D7"/>
    <w:rsid w:val="00713E98"/>
    <w:rsid w:val="00715591"/>
    <w:rsid w:val="00715AE8"/>
    <w:rsid w:val="0072516F"/>
    <w:rsid w:val="00725D44"/>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2740"/>
    <w:rsid w:val="0076364A"/>
    <w:rsid w:val="00766FC5"/>
    <w:rsid w:val="00770E5B"/>
    <w:rsid w:val="00772930"/>
    <w:rsid w:val="00776E20"/>
    <w:rsid w:val="007814AF"/>
    <w:rsid w:val="007825F0"/>
    <w:rsid w:val="00787F88"/>
    <w:rsid w:val="007943AF"/>
    <w:rsid w:val="0079721A"/>
    <w:rsid w:val="007A095C"/>
    <w:rsid w:val="007A0AF8"/>
    <w:rsid w:val="007A283A"/>
    <w:rsid w:val="007A65C8"/>
    <w:rsid w:val="007A6B16"/>
    <w:rsid w:val="007A7AC4"/>
    <w:rsid w:val="007B39EC"/>
    <w:rsid w:val="007B3A01"/>
    <w:rsid w:val="007B639C"/>
    <w:rsid w:val="007B7036"/>
    <w:rsid w:val="007C0870"/>
    <w:rsid w:val="007C18FE"/>
    <w:rsid w:val="007C2D10"/>
    <w:rsid w:val="007C3E42"/>
    <w:rsid w:val="007C457D"/>
    <w:rsid w:val="007D02A9"/>
    <w:rsid w:val="007D166D"/>
    <w:rsid w:val="007D17C7"/>
    <w:rsid w:val="007D2766"/>
    <w:rsid w:val="007D2FF7"/>
    <w:rsid w:val="007D549B"/>
    <w:rsid w:val="007D74D8"/>
    <w:rsid w:val="007E13A4"/>
    <w:rsid w:val="007E20CA"/>
    <w:rsid w:val="007E3988"/>
    <w:rsid w:val="007E4698"/>
    <w:rsid w:val="007E4D92"/>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27F73"/>
    <w:rsid w:val="00831065"/>
    <w:rsid w:val="008337A7"/>
    <w:rsid w:val="00835BCB"/>
    <w:rsid w:val="00836773"/>
    <w:rsid w:val="00836E6A"/>
    <w:rsid w:val="008410D0"/>
    <w:rsid w:val="00841559"/>
    <w:rsid w:val="0084558B"/>
    <w:rsid w:val="00845924"/>
    <w:rsid w:val="00846107"/>
    <w:rsid w:val="00847E07"/>
    <w:rsid w:val="00851297"/>
    <w:rsid w:val="00852C43"/>
    <w:rsid w:val="00852DF2"/>
    <w:rsid w:val="00853449"/>
    <w:rsid w:val="00853737"/>
    <w:rsid w:val="008541B8"/>
    <w:rsid w:val="00857249"/>
    <w:rsid w:val="00861067"/>
    <w:rsid w:val="00862AE2"/>
    <w:rsid w:val="00862C25"/>
    <w:rsid w:val="00863CA2"/>
    <w:rsid w:val="00864A80"/>
    <w:rsid w:val="008655ED"/>
    <w:rsid w:val="0086561C"/>
    <w:rsid w:val="00866942"/>
    <w:rsid w:val="00871B0D"/>
    <w:rsid w:val="00871B14"/>
    <w:rsid w:val="008735A1"/>
    <w:rsid w:val="00875962"/>
    <w:rsid w:val="00875B0A"/>
    <w:rsid w:val="00880325"/>
    <w:rsid w:val="00882ABD"/>
    <w:rsid w:val="008844A4"/>
    <w:rsid w:val="00884A7F"/>
    <w:rsid w:val="008857CC"/>
    <w:rsid w:val="0089314F"/>
    <w:rsid w:val="0089328E"/>
    <w:rsid w:val="0089513A"/>
    <w:rsid w:val="00896069"/>
    <w:rsid w:val="00896786"/>
    <w:rsid w:val="008976AB"/>
    <w:rsid w:val="008A2C15"/>
    <w:rsid w:val="008A3DBA"/>
    <w:rsid w:val="008A483E"/>
    <w:rsid w:val="008A5601"/>
    <w:rsid w:val="008A661F"/>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649"/>
    <w:rsid w:val="009007EC"/>
    <w:rsid w:val="00900EF5"/>
    <w:rsid w:val="00901EE5"/>
    <w:rsid w:val="00901F64"/>
    <w:rsid w:val="0090421D"/>
    <w:rsid w:val="00906447"/>
    <w:rsid w:val="0091097E"/>
    <w:rsid w:val="0091349D"/>
    <w:rsid w:val="009141C7"/>
    <w:rsid w:val="009160EA"/>
    <w:rsid w:val="00920597"/>
    <w:rsid w:val="0092140C"/>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3CF2"/>
    <w:rsid w:val="0096408D"/>
    <w:rsid w:val="009651A8"/>
    <w:rsid w:val="009657E9"/>
    <w:rsid w:val="0096666B"/>
    <w:rsid w:val="0097114E"/>
    <w:rsid w:val="009719C3"/>
    <w:rsid w:val="0097578E"/>
    <w:rsid w:val="00976E55"/>
    <w:rsid w:val="00976FE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04EB"/>
    <w:rsid w:val="009B1979"/>
    <w:rsid w:val="009B1E1B"/>
    <w:rsid w:val="009B1E28"/>
    <w:rsid w:val="009B2CC0"/>
    <w:rsid w:val="009B4C38"/>
    <w:rsid w:val="009C0DAB"/>
    <w:rsid w:val="009C1E20"/>
    <w:rsid w:val="009D0378"/>
    <w:rsid w:val="009D0F18"/>
    <w:rsid w:val="009D1EFB"/>
    <w:rsid w:val="009D36AE"/>
    <w:rsid w:val="009D5964"/>
    <w:rsid w:val="009D6A0C"/>
    <w:rsid w:val="009E0725"/>
    <w:rsid w:val="009E1492"/>
    <w:rsid w:val="009E3857"/>
    <w:rsid w:val="009E4B3F"/>
    <w:rsid w:val="009E5877"/>
    <w:rsid w:val="009F1FEB"/>
    <w:rsid w:val="009F53F2"/>
    <w:rsid w:val="009F69B0"/>
    <w:rsid w:val="00A0310D"/>
    <w:rsid w:val="00A073F4"/>
    <w:rsid w:val="00A07BBE"/>
    <w:rsid w:val="00A16439"/>
    <w:rsid w:val="00A20803"/>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26AE"/>
    <w:rsid w:val="00A73299"/>
    <w:rsid w:val="00A7432B"/>
    <w:rsid w:val="00A7536B"/>
    <w:rsid w:val="00A80356"/>
    <w:rsid w:val="00A816B6"/>
    <w:rsid w:val="00A82D81"/>
    <w:rsid w:val="00A96E79"/>
    <w:rsid w:val="00AA2033"/>
    <w:rsid w:val="00AA4A07"/>
    <w:rsid w:val="00AA6230"/>
    <w:rsid w:val="00AB632D"/>
    <w:rsid w:val="00AC5444"/>
    <w:rsid w:val="00AC5EA3"/>
    <w:rsid w:val="00AC70E1"/>
    <w:rsid w:val="00AD1D29"/>
    <w:rsid w:val="00AD328E"/>
    <w:rsid w:val="00AD5147"/>
    <w:rsid w:val="00AD7585"/>
    <w:rsid w:val="00AE0837"/>
    <w:rsid w:val="00AE11C8"/>
    <w:rsid w:val="00AE355C"/>
    <w:rsid w:val="00AE4EFC"/>
    <w:rsid w:val="00AE5731"/>
    <w:rsid w:val="00AE7127"/>
    <w:rsid w:val="00AF2648"/>
    <w:rsid w:val="00AF6BA2"/>
    <w:rsid w:val="00AF7801"/>
    <w:rsid w:val="00B00F10"/>
    <w:rsid w:val="00B019E2"/>
    <w:rsid w:val="00B020ED"/>
    <w:rsid w:val="00B036CB"/>
    <w:rsid w:val="00B130D5"/>
    <w:rsid w:val="00B13263"/>
    <w:rsid w:val="00B13566"/>
    <w:rsid w:val="00B13A54"/>
    <w:rsid w:val="00B14220"/>
    <w:rsid w:val="00B16868"/>
    <w:rsid w:val="00B17251"/>
    <w:rsid w:val="00B2159A"/>
    <w:rsid w:val="00B21D32"/>
    <w:rsid w:val="00B313B2"/>
    <w:rsid w:val="00B337AE"/>
    <w:rsid w:val="00B33D8B"/>
    <w:rsid w:val="00B34A43"/>
    <w:rsid w:val="00B36912"/>
    <w:rsid w:val="00B404A0"/>
    <w:rsid w:val="00B4256A"/>
    <w:rsid w:val="00B432AB"/>
    <w:rsid w:val="00B54D75"/>
    <w:rsid w:val="00B60C2A"/>
    <w:rsid w:val="00B65FC0"/>
    <w:rsid w:val="00B707DD"/>
    <w:rsid w:val="00B70FA2"/>
    <w:rsid w:val="00B719F4"/>
    <w:rsid w:val="00B73995"/>
    <w:rsid w:val="00B74DBC"/>
    <w:rsid w:val="00B75E08"/>
    <w:rsid w:val="00B76684"/>
    <w:rsid w:val="00B7698F"/>
    <w:rsid w:val="00B85828"/>
    <w:rsid w:val="00B85F5F"/>
    <w:rsid w:val="00B86395"/>
    <w:rsid w:val="00B86E2B"/>
    <w:rsid w:val="00B91DEC"/>
    <w:rsid w:val="00B92A56"/>
    <w:rsid w:val="00B931F8"/>
    <w:rsid w:val="00B95DB0"/>
    <w:rsid w:val="00B9722F"/>
    <w:rsid w:val="00B97741"/>
    <w:rsid w:val="00BA0721"/>
    <w:rsid w:val="00BA161D"/>
    <w:rsid w:val="00BA1883"/>
    <w:rsid w:val="00BA227D"/>
    <w:rsid w:val="00BA348B"/>
    <w:rsid w:val="00BA3EFA"/>
    <w:rsid w:val="00BA4C84"/>
    <w:rsid w:val="00BA68EC"/>
    <w:rsid w:val="00BB23D4"/>
    <w:rsid w:val="00BC09FC"/>
    <w:rsid w:val="00BC0DD5"/>
    <w:rsid w:val="00BC60E6"/>
    <w:rsid w:val="00BE204F"/>
    <w:rsid w:val="00BE4B91"/>
    <w:rsid w:val="00BE4F2B"/>
    <w:rsid w:val="00BE66AA"/>
    <w:rsid w:val="00BE73B9"/>
    <w:rsid w:val="00BF444F"/>
    <w:rsid w:val="00BF77F5"/>
    <w:rsid w:val="00C01D8A"/>
    <w:rsid w:val="00C023EF"/>
    <w:rsid w:val="00C0247C"/>
    <w:rsid w:val="00C15415"/>
    <w:rsid w:val="00C16FE4"/>
    <w:rsid w:val="00C172EB"/>
    <w:rsid w:val="00C22F98"/>
    <w:rsid w:val="00C2363B"/>
    <w:rsid w:val="00C25870"/>
    <w:rsid w:val="00C26560"/>
    <w:rsid w:val="00C3062F"/>
    <w:rsid w:val="00C32E7A"/>
    <w:rsid w:val="00C408D9"/>
    <w:rsid w:val="00C42DB9"/>
    <w:rsid w:val="00C447FD"/>
    <w:rsid w:val="00C44B90"/>
    <w:rsid w:val="00C51434"/>
    <w:rsid w:val="00C51743"/>
    <w:rsid w:val="00C51A61"/>
    <w:rsid w:val="00C57393"/>
    <w:rsid w:val="00C64081"/>
    <w:rsid w:val="00C64C71"/>
    <w:rsid w:val="00C6528B"/>
    <w:rsid w:val="00C661B3"/>
    <w:rsid w:val="00C70300"/>
    <w:rsid w:val="00C7037D"/>
    <w:rsid w:val="00C70637"/>
    <w:rsid w:val="00C71DC8"/>
    <w:rsid w:val="00C73689"/>
    <w:rsid w:val="00C73E69"/>
    <w:rsid w:val="00C74592"/>
    <w:rsid w:val="00C767BA"/>
    <w:rsid w:val="00C8048C"/>
    <w:rsid w:val="00C80C68"/>
    <w:rsid w:val="00C86E9A"/>
    <w:rsid w:val="00C90CE5"/>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C7B83"/>
    <w:rsid w:val="00CD37C3"/>
    <w:rsid w:val="00CD3911"/>
    <w:rsid w:val="00CD48EF"/>
    <w:rsid w:val="00CD4BA1"/>
    <w:rsid w:val="00CD59A6"/>
    <w:rsid w:val="00CE2FB1"/>
    <w:rsid w:val="00CE33C1"/>
    <w:rsid w:val="00CE3834"/>
    <w:rsid w:val="00CF148C"/>
    <w:rsid w:val="00CF3D94"/>
    <w:rsid w:val="00CF48A3"/>
    <w:rsid w:val="00CF5081"/>
    <w:rsid w:val="00D058E4"/>
    <w:rsid w:val="00D07178"/>
    <w:rsid w:val="00D11C0B"/>
    <w:rsid w:val="00D11EE9"/>
    <w:rsid w:val="00D12259"/>
    <w:rsid w:val="00D13F47"/>
    <w:rsid w:val="00D14134"/>
    <w:rsid w:val="00D14E66"/>
    <w:rsid w:val="00D17631"/>
    <w:rsid w:val="00D17CD3"/>
    <w:rsid w:val="00D21B22"/>
    <w:rsid w:val="00D24AEB"/>
    <w:rsid w:val="00D24AFD"/>
    <w:rsid w:val="00D252C8"/>
    <w:rsid w:val="00D27902"/>
    <w:rsid w:val="00D27984"/>
    <w:rsid w:val="00D31D50"/>
    <w:rsid w:val="00D323E9"/>
    <w:rsid w:val="00D34F5B"/>
    <w:rsid w:val="00D35023"/>
    <w:rsid w:val="00D403B8"/>
    <w:rsid w:val="00D40D17"/>
    <w:rsid w:val="00D45C1B"/>
    <w:rsid w:val="00D45E14"/>
    <w:rsid w:val="00D51C9A"/>
    <w:rsid w:val="00D5318C"/>
    <w:rsid w:val="00D53371"/>
    <w:rsid w:val="00D53BD5"/>
    <w:rsid w:val="00D55621"/>
    <w:rsid w:val="00D6000E"/>
    <w:rsid w:val="00D64D35"/>
    <w:rsid w:val="00D713D6"/>
    <w:rsid w:val="00D72DAF"/>
    <w:rsid w:val="00D74682"/>
    <w:rsid w:val="00D75BB9"/>
    <w:rsid w:val="00D76276"/>
    <w:rsid w:val="00D77919"/>
    <w:rsid w:val="00D8083C"/>
    <w:rsid w:val="00D8547D"/>
    <w:rsid w:val="00D85F8D"/>
    <w:rsid w:val="00D87B9E"/>
    <w:rsid w:val="00D87F81"/>
    <w:rsid w:val="00D90E39"/>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52D9"/>
    <w:rsid w:val="00E05D64"/>
    <w:rsid w:val="00E07ABB"/>
    <w:rsid w:val="00E07D8F"/>
    <w:rsid w:val="00E13762"/>
    <w:rsid w:val="00E14E2F"/>
    <w:rsid w:val="00E1552D"/>
    <w:rsid w:val="00E1640B"/>
    <w:rsid w:val="00E2677C"/>
    <w:rsid w:val="00E317A6"/>
    <w:rsid w:val="00E3190E"/>
    <w:rsid w:val="00E31F05"/>
    <w:rsid w:val="00E32285"/>
    <w:rsid w:val="00E34295"/>
    <w:rsid w:val="00E3667E"/>
    <w:rsid w:val="00E4228D"/>
    <w:rsid w:val="00E4254E"/>
    <w:rsid w:val="00E4608C"/>
    <w:rsid w:val="00E502A2"/>
    <w:rsid w:val="00E521B6"/>
    <w:rsid w:val="00E521E9"/>
    <w:rsid w:val="00E52931"/>
    <w:rsid w:val="00E53ACE"/>
    <w:rsid w:val="00E5519B"/>
    <w:rsid w:val="00E55FEE"/>
    <w:rsid w:val="00E57BD3"/>
    <w:rsid w:val="00E57D38"/>
    <w:rsid w:val="00E64D82"/>
    <w:rsid w:val="00E65332"/>
    <w:rsid w:val="00E65F77"/>
    <w:rsid w:val="00E670CD"/>
    <w:rsid w:val="00E67EA9"/>
    <w:rsid w:val="00E7727F"/>
    <w:rsid w:val="00E83519"/>
    <w:rsid w:val="00E83757"/>
    <w:rsid w:val="00E91889"/>
    <w:rsid w:val="00E91F0F"/>
    <w:rsid w:val="00E92F2A"/>
    <w:rsid w:val="00E944E2"/>
    <w:rsid w:val="00E95C54"/>
    <w:rsid w:val="00E96103"/>
    <w:rsid w:val="00EA027D"/>
    <w:rsid w:val="00EA06AD"/>
    <w:rsid w:val="00EA1569"/>
    <w:rsid w:val="00EB22CF"/>
    <w:rsid w:val="00EB3414"/>
    <w:rsid w:val="00EB39DD"/>
    <w:rsid w:val="00EB40E4"/>
    <w:rsid w:val="00EB67BA"/>
    <w:rsid w:val="00EB6F67"/>
    <w:rsid w:val="00EC16F8"/>
    <w:rsid w:val="00EC306F"/>
    <w:rsid w:val="00EC3621"/>
    <w:rsid w:val="00EC408E"/>
    <w:rsid w:val="00EC41F2"/>
    <w:rsid w:val="00EC4E40"/>
    <w:rsid w:val="00EC4EB3"/>
    <w:rsid w:val="00EC5617"/>
    <w:rsid w:val="00EC7C9E"/>
    <w:rsid w:val="00ED230D"/>
    <w:rsid w:val="00ED2440"/>
    <w:rsid w:val="00ED46B4"/>
    <w:rsid w:val="00EE1C0B"/>
    <w:rsid w:val="00EE1C9B"/>
    <w:rsid w:val="00EE564D"/>
    <w:rsid w:val="00EE59D0"/>
    <w:rsid w:val="00EE7FF3"/>
    <w:rsid w:val="00EF26BF"/>
    <w:rsid w:val="00EF4861"/>
    <w:rsid w:val="00EF50C7"/>
    <w:rsid w:val="00EF5E19"/>
    <w:rsid w:val="00EF691E"/>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4AD0"/>
    <w:rsid w:val="00F50379"/>
    <w:rsid w:val="00F542AA"/>
    <w:rsid w:val="00F55102"/>
    <w:rsid w:val="00F57115"/>
    <w:rsid w:val="00F6274D"/>
    <w:rsid w:val="00F6298B"/>
    <w:rsid w:val="00F63B02"/>
    <w:rsid w:val="00F65350"/>
    <w:rsid w:val="00F65C21"/>
    <w:rsid w:val="00F700A6"/>
    <w:rsid w:val="00F760D1"/>
    <w:rsid w:val="00F8151A"/>
    <w:rsid w:val="00F83788"/>
    <w:rsid w:val="00F83AFE"/>
    <w:rsid w:val="00F84D69"/>
    <w:rsid w:val="00F85054"/>
    <w:rsid w:val="00F87AEF"/>
    <w:rsid w:val="00F87C14"/>
    <w:rsid w:val="00F90284"/>
    <w:rsid w:val="00F94F61"/>
    <w:rsid w:val="00F95663"/>
    <w:rsid w:val="00FA17B4"/>
    <w:rsid w:val="00FA3581"/>
    <w:rsid w:val="00FB10B8"/>
    <w:rsid w:val="00FB24BA"/>
    <w:rsid w:val="00FB28C8"/>
    <w:rsid w:val="00FB381D"/>
    <w:rsid w:val="00FB6172"/>
    <w:rsid w:val="00FB6492"/>
    <w:rsid w:val="00FC007D"/>
    <w:rsid w:val="00FC1179"/>
    <w:rsid w:val="00FC131A"/>
    <w:rsid w:val="00FC224A"/>
    <w:rsid w:val="00FC43D6"/>
    <w:rsid w:val="00FD145E"/>
    <w:rsid w:val="00FD1C86"/>
    <w:rsid w:val="00FD2208"/>
    <w:rsid w:val="00FD2EC4"/>
    <w:rsid w:val="00FD5FEE"/>
    <w:rsid w:val="00FD6366"/>
    <w:rsid w:val="00FD63D3"/>
    <w:rsid w:val="00FD717D"/>
    <w:rsid w:val="00FE44CF"/>
    <w:rsid w:val="00FF1239"/>
    <w:rsid w:val="00FF1AC1"/>
    <w:rsid w:val="00FF5DE3"/>
    <w:rsid w:val="00FF62F7"/>
    <w:rsid w:val="00FF6EAF"/>
    <w:rsid w:val="00FF7408"/>
    <w:rsid w:val="01F65399"/>
    <w:rsid w:val="026A1A9F"/>
    <w:rsid w:val="03226A0E"/>
    <w:rsid w:val="03F748CF"/>
    <w:rsid w:val="04260169"/>
    <w:rsid w:val="04CC4830"/>
    <w:rsid w:val="050945F2"/>
    <w:rsid w:val="050E4034"/>
    <w:rsid w:val="056F4DC0"/>
    <w:rsid w:val="05E768CC"/>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5B2E30"/>
    <w:rsid w:val="12E866AF"/>
    <w:rsid w:val="130C55D8"/>
    <w:rsid w:val="13244A23"/>
    <w:rsid w:val="13EE6B6B"/>
    <w:rsid w:val="1472386E"/>
    <w:rsid w:val="148F0FC6"/>
    <w:rsid w:val="151600A7"/>
    <w:rsid w:val="159F345A"/>
    <w:rsid w:val="15E43EF8"/>
    <w:rsid w:val="16A81136"/>
    <w:rsid w:val="16AC4207"/>
    <w:rsid w:val="178A56FB"/>
    <w:rsid w:val="17A8647B"/>
    <w:rsid w:val="17A975C2"/>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8864D74"/>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3FFB5643"/>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BF2070"/>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2F4A4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5017D"/>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053692"/>
    <w:rsid w:val="6C2308EC"/>
    <w:rsid w:val="6C867767"/>
    <w:rsid w:val="6CA34648"/>
    <w:rsid w:val="6D031FFE"/>
    <w:rsid w:val="6D865CB4"/>
    <w:rsid w:val="6D870368"/>
    <w:rsid w:val="6DEF74D5"/>
    <w:rsid w:val="6E9856D0"/>
    <w:rsid w:val="6EB840FC"/>
    <w:rsid w:val="6EE920DC"/>
    <w:rsid w:val="6EF66C39"/>
    <w:rsid w:val="6F377C99"/>
    <w:rsid w:val="6F7E7DE2"/>
    <w:rsid w:val="6FAA433E"/>
    <w:rsid w:val="704F1D50"/>
    <w:rsid w:val="7062369D"/>
    <w:rsid w:val="70D8666D"/>
    <w:rsid w:val="70F82977"/>
    <w:rsid w:val="711203ED"/>
    <w:rsid w:val="712A76BE"/>
    <w:rsid w:val="716D6D00"/>
    <w:rsid w:val="719901C6"/>
    <w:rsid w:val="71B131C3"/>
    <w:rsid w:val="71CC5821"/>
    <w:rsid w:val="71F26BCA"/>
    <w:rsid w:val="71F331D2"/>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2640CC"/>
    <w:rsid w:val="78AC0F28"/>
    <w:rsid w:val="78AD7E4B"/>
    <w:rsid w:val="7922758B"/>
    <w:rsid w:val="79766799"/>
    <w:rsid w:val="79B255D2"/>
    <w:rsid w:val="79B45BBB"/>
    <w:rsid w:val="79D0307E"/>
    <w:rsid w:val="79DE121D"/>
    <w:rsid w:val="79E249A2"/>
    <w:rsid w:val="7A5C7B4D"/>
    <w:rsid w:val="7B1F1C18"/>
    <w:rsid w:val="7B387938"/>
    <w:rsid w:val="7BEF5630"/>
    <w:rsid w:val="7C341C52"/>
    <w:rsid w:val="7D033238"/>
    <w:rsid w:val="7D247345"/>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autoRedefine/>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autoRedefine/>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autoRedefine/>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8">
    <w:name w:val="Document Map"/>
    <w:basedOn w:val="1"/>
    <w:link w:val="43"/>
    <w:autoRedefine/>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autoRedefine/>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autoRedefine/>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autoRedefine/>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autoRedefine/>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autoRedefine/>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autoRedefine/>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autoRedefine/>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autoRedefine/>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autoRedefine/>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autoRedefine/>
    <w:qFormat/>
    <w:uiPriority w:val="99"/>
    <w:rPr>
      <w:vertAlign w:val="superscript"/>
    </w:rPr>
  </w:style>
  <w:style w:type="character" w:customStyle="1" w:styleId="31">
    <w:name w:val="标题 1 Char"/>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Char"/>
    <w:basedOn w:val="24"/>
    <w:link w:val="3"/>
    <w:qFormat/>
    <w:uiPriority w:val="99"/>
    <w:rPr>
      <w:rFonts w:ascii="Arial" w:hAnsi="Arial" w:eastAsia="黑体" w:cs="Times New Roman"/>
      <w:b/>
      <w:bCs/>
      <w:kern w:val="2"/>
      <w:sz w:val="32"/>
      <w:szCs w:val="32"/>
    </w:rPr>
  </w:style>
  <w:style w:type="character" w:customStyle="1" w:styleId="33">
    <w:name w:val="标题 3 Char"/>
    <w:basedOn w:val="24"/>
    <w:link w:val="4"/>
    <w:autoRedefine/>
    <w:qFormat/>
    <w:uiPriority w:val="99"/>
    <w:rPr>
      <w:rFonts w:ascii="Times New Roman" w:hAnsi="Times New Roman" w:eastAsia="仿宋_GB2312" w:cs="Times New Roman"/>
      <w:b/>
      <w:bCs/>
      <w:sz w:val="30"/>
      <w:szCs w:val="32"/>
      <w:u w:color="000000"/>
    </w:rPr>
  </w:style>
  <w:style w:type="character" w:customStyle="1" w:styleId="34">
    <w:name w:val="标题 4 Char"/>
    <w:basedOn w:val="24"/>
    <w:link w:val="5"/>
    <w:autoRedefine/>
    <w:qFormat/>
    <w:uiPriority w:val="0"/>
    <w:rPr>
      <w:rFonts w:asciiTheme="majorHAnsi" w:hAnsiTheme="majorHAnsi" w:eastAsiaTheme="majorEastAsia" w:cstheme="majorBidi"/>
      <w:b/>
      <w:bCs/>
      <w:kern w:val="2"/>
      <w:sz w:val="28"/>
      <w:szCs w:val="28"/>
    </w:rPr>
  </w:style>
  <w:style w:type="character" w:customStyle="1" w:styleId="35">
    <w:name w:val="标题 5 Char"/>
    <w:basedOn w:val="24"/>
    <w:link w:val="6"/>
    <w:autoRedefine/>
    <w:qFormat/>
    <w:uiPriority w:val="0"/>
    <w:rPr>
      <w:rFonts w:ascii="Times New Roman" w:hAnsi="Times New Roman" w:eastAsia="宋体" w:cs="Times New Roman"/>
      <w:b/>
      <w:bCs/>
      <w:kern w:val="2"/>
      <w:sz w:val="28"/>
      <w:szCs w:val="28"/>
    </w:rPr>
  </w:style>
  <w:style w:type="character" w:customStyle="1" w:styleId="36">
    <w:name w:val="标题 6 Char"/>
    <w:basedOn w:val="24"/>
    <w:link w:val="7"/>
    <w:autoRedefine/>
    <w:qFormat/>
    <w:uiPriority w:val="0"/>
    <w:rPr>
      <w:rFonts w:asciiTheme="majorHAnsi" w:hAnsiTheme="majorHAnsi" w:eastAsiaTheme="majorEastAsia" w:cstheme="majorBidi"/>
      <w:b/>
      <w:bCs/>
      <w:kern w:val="2"/>
      <w:sz w:val="24"/>
      <w:szCs w:val="24"/>
    </w:rPr>
  </w:style>
  <w:style w:type="character" w:customStyle="1" w:styleId="37">
    <w:name w:val="页眉 Char"/>
    <w:basedOn w:val="24"/>
    <w:link w:val="15"/>
    <w:qFormat/>
    <w:uiPriority w:val="99"/>
    <w:rPr>
      <w:rFonts w:ascii="Tahoma" w:hAnsi="Tahoma"/>
      <w:sz w:val="18"/>
      <w:szCs w:val="18"/>
    </w:rPr>
  </w:style>
  <w:style w:type="character" w:customStyle="1" w:styleId="38">
    <w:name w:val="页脚 Char"/>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Char"/>
    <w:basedOn w:val="24"/>
    <w:link w:val="9"/>
    <w:autoRedefine/>
    <w:qFormat/>
    <w:uiPriority w:val="99"/>
    <w:rPr>
      <w:rFonts w:ascii="Tahoma" w:hAnsi="Tahoma"/>
    </w:rPr>
  </w:style>
  <w:style w:type="character" w:customStyle="1" w:styleId="42">
    <w:name w:val="批注主题 Char"/>
    <w:basedOn w:val="41"/>
    <w:link w:val="22"/>
    <w:qFormat/>
    <w:uiPriority w:val="99"/>
    <w:rPr>
      <w:rFonts w:ascii="Times New Roman" w:hAnsi="Times New Roman" w:eastAsia="宋体" w:cs="Times New Roman"/>
      <w:b/>
      <w:bCs/>
      <w:kern w:val="2"/>
      <w:sz w:val="21"/>
      <w:szCs w:val="24"/>
    </w:rPr>
  </w:style>
  <w:style w:type="character" w:customStyle="1" w:styleId="43">
    <w:name w:val="文档结构图 Char"/>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Char"/>
    <w:basedOn w:val="24"/>
    <w:link w:val="10"/>
    <w:qFormat/>
    <w:uiPriority w:val="99"/>
    <w:rPr>
      <w:rFonts w:ascii="Times New Roman" w:hAnsi="Times New Roman" w:eastAsia="宋体" w:cs="Times New Roman"/>
      <w:kern w:val="2"/>
      <w:sz w:val="21"/>
      <w:szCs w:val="24"/>
    </w:rPr>
  </w:style>
  <w:style w:type="character" w:customStyle="1" w:styleId="45">
    <w:name w:val="纯文本 Char"/>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Char"/>
    <w:basedOn w:val="24"/>
    <w:link w:val="13"/>
    <w:qFormat/>
    <w:uiPriority w:val="99"/>
    <w:rPr>
      <w:rFonts w:ascii="Times New Roman" w:hAnsi="Times New Roman" w:eastAsia="宋体" w:cs="Times New Roman"/>
      <w:kern w:val="2"/>
      <w:sz w:val="18"/>
      <w:szCs w:val="18"/>
    </w:rPr>
  </w:style>
  <w:style w:type="character" w:customStyle="1" w:styleId="47">
    <w:name w:val="脚注文本 Char"/>
    <w:basedOn w:val="24"/>
    <w:link w:val="17"/>
    <w:qFormat/>
    <w:uiPriority w:val="99"/>
    <w:rPr>
      <w:rFonts w:ascii="Times New Roman" w:hAnsi="Times New Roman" w:eastAsia="宋体" w:cs="Times New Roman"/>
      <w:kern w:val="2"/>
      <w:sz w:val="18"/>
      <w:szCs w:val="18"/>
    </w:rPr>
  </w:style>
  <w:style w:type="character" w:customStyle="1" w:styleId="48">
    <w:name w:val="HTML 预设格式 Char"/>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autoRedefine/>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autoRedefine/>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Char"/>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autoRedefine/>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 w:type="paragraph" w:customStyle="1" w:styleId="74">
    <w:name w:val="插入文本样式-插入职责分类绩效目标文件"/>
    <w:basedOn w:val="1"/>
    <w:qFormat/>
    <w:uiPriority w:val="0"/>
    <w:pPr>
      <w:adjustRightInd/>
      <w:snapToGrid/>
      <w:spacing w:after="0" w:line="500" w:lineRule="exact"/>
      <w:ind w:firstLine="560"/>
    </w:pPr>
    <w:rPr>
      <w:rFonts w:ascii="Times New Roman" w:hAnsi="Times New Roman" w:eastAsia="方正仿宋_GBK" w:cs="Times New Roman"/>
      <w:sz w:val="28"/>
      <w:szCs w:val="24"/>
      <w:lang w:eastAsia="uk-U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600" b="0"/>
              <a:t>2022</a:t>
            </a:r>
            <a:r>
              <a:rPr lang="zh-CN" altLang="en-US" sz="1600" b="0"/>
              <a:t>决算收入结构图</a:t>
            </a:r>
            <a:endParaRPr lang="zh-CN" altLang="en-US" sz="1600" b="0"/>
          </a:p>
        </c:rich>
      </c:tx>
      <c:layout/>
      <c:overlay val="0"/>
    </c:title>
    <c:autoTitleDeleted val="0"/>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Lbls>
            <c:dLbl>
              <c:idx val="5"/>
              <c:layout>
                <c:manualLayout>
                  <c:x val="0.0159058392806108"/>
                  <c:y val="-0.025729182226205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Sheet1!$A$2:$A$10</c:f>
              <c:strCache>
                <c:ptCount val="9"/>
                <c:pt idx="0">
                  <c:v>一般公共服务支出</c:v>
                </c:pt>
                <c:pt idx="1">
                  <c:v>公共安全支出</c:v>
                </c:pt>
                <c:pt idx="2">
                  <c:v>科学技术支出</c:v>
                </c:pt>
                <c:pt idx="3">
                  <c:v>社会保障和就业支出</c:v>
                </c:pt>
                <c:pt idx="4">
                  <c:v>卫生健康支出</c:v>
                </c:pt>
                <c:pt idx="5">
                  <c:v>城乡社区支出</c:v>
                </c:pt>
                <c:pt idx="6">
                  <c:v>自然资源海洋气象等支出</c:v>
                </c:pt>
                <c:pt idx="7">
                  <c:v>住房保障支出</c:v>
                </c:pt>
                <c:pt idx="8">
                  <c:v>其他支出</c:v>
                </c:pt>
              </c:strCache>
            </c:strRef>
          </c:cat>
          <c:val>
            <c:numRef>
              <c:f>Sheet1!$B$2:$B$10</c:f>
              <c:numCache>
                <c:formatCode>0.00%</c:formatCode>
                <c:ptCount val="9"/>
                <c:pt idx="0">
                  <c:v>0.0111</c:v>
                </c:pt>
                <c:pt idx="1">
                  <c:v>0.0002</c:v>
                </c:pt>
                <c:pt idx="2">
                  <c:v>0.0212</c:v>
                </c:pt>
                <c:pt idx="3">
                  <c:v>0.0004</c:v>
                </c:pt>
                <c:pt idx="4">
                  <c:v>0.0003</c:v>
                </c:pt>
                <c:pt idx="5">
                  <c:v>0.1329</c:v>
                </c:pt>
                <c:pt idx="6">
                  <c:v>0.0127</c:v>
                </c:pt>
                <c:pt idx="7">
                  <c:v>0.0003</c:v>
                </c:pt>
                <c:pt idx="8">
                  <c:v>0.8209</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87285287209377"/>
          <c:y val="0.197631678154052"/>
          <c:w val="0.312714753868004"/>
          <c:h val="0.737708355561246"/>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25c7721c-8c12-46b1-8098-6eefbc26edae}"/>
      </c:ext>
    </c:extLst>
  </c:chart>
  <c:spPr>
    <a:noFill/>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b="0"/>
              <a:t>2022</a:t>
            </a:r>
            <a:r>
              <a:rPr lang="zh-CN" altLang="en-US" b="0"/>
              <a:t>年预算收入与决算收入对比图</a:t>
            </a:r>
            <a:endParaRPr lang="zh-CN" altLang="en-US" b="0"/>
          </a:p>
        </c:rich>
      </c:tx>
      <c:layout/>
      <c:overlay val="0"/>
    </c:title>
    <c:autoTitleDeleted val="0"/>
    <c:plotArea>
      <c:layout/>
      <c:barChart>
        <c:barDir val="col"/>
        <c:grouping val="clustered"/>
        <c:varyColors val="0"/>
        <c:ser>
          <c:idx val="0"/>
          <c:order val="0"/>
          <c:tx>
            <c:strRef>
              <c:f>Sheet1!$B$39</c:f>
              <c:strCache>
                <c:ptCount val="1"/>
                <c:pt idx="0">
                  <c:v>预算收入(万元)</c:v>
                </c:pt>
              </c:strCache>
            </c:strRef>
          </c:tx>
          <c:invertIfNegative val="0"/>
          <c:dLbls>
            <c:dLbl>
              <c:idx val="0"/>
              <c:layout>
                <c:manualLayout>
                  <c:x val="-0.0151024836875339"/>
                  <c:y val="-0.033257747543461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9449860178862"/>
                  <c:y val="0.01814058956916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29449860178862"/>
                  <c:y val="0.0060468631897203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
                  <c:y val="-0.021164021164021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Sheet1!$A$40:$A$48</c:f>
              <c:strCache>
                <c:ptCount val="9"/>
                <c:pt idx="0">
                  <c:v>一般公共服务支出</c:v>
                </c:pt>
                <c:pt idx="1">
                  <c:v>公共安全支出</c:v>
                </c:pt>
                <c:pt idx="2">
                  <c:v>科学技术支出</c:v>
                </c:pt>
                <c:pt idx="3">
                  <c:v>社会保障和就业支出</c:v>
                </c:pt>
                <c:pt idx="4">
                  <c:v>卫生健康支出</c:v>
                </c:pt>
                <c:pt idx="5">
                  <c:v>城乡社区支出</c:v>
                </c:pt>
                <c:pt idx="6">
                  <c:v>自然资源海洋气象等支出</c:v>
                </c:pt>
                <c:pt idx="7">
                  <c:v>住房保障支出</c:v>
                </c:pt>
                <c:pt idx="8">
                  <c:v>其他支出</c:v>
                </c:pt>
              </c:strCache>
            </c:strRef>
          </c:cat>
          <c:val>
            <c:numRef>
              <c:f>Sheet1!$B$40:$B$48</c:f>
              <c:numCache>
                <c:formatCode>General</c:formatCode>
                <c:ptCount val="9"/>
                <c:pt idx="0">
                  <c:v>1188.23</c:v>
                </c:pt>
                <c:pt idx="1">
                  <c:v>70</c:v>
                </c:pt>
                <c:pt idx="3">
                  <c:v>60.46</c:v>
                </c:pt>
                <c:pt idx="4">
                  <c:v>20.87</c:v>
                </c:pt>
                <c:pt idx="5">
                  <c:v>24701.17</c:v>
                </c:pt>
                <c:pt idx="7">
                  <c:v>38.61</c:v>
                </c:pt>
              </c:numCache>
            </c:numRef>
          </c:val>
        </c:ser>
        <c:ser>
          <c:idx val="1"/>
          <c:order val="1"/>
          <c:tx>
            <c:strRef>
              <c:f>Sheet1!$C$39</c:f>
              <c:strCache>
                <c:ptCount val="1"/>
                <c:pt idx="0">
                  <c:v>决算收入（万元）</c:v>
                </c:pt>
              </c:strCache>
            </c:strRef>
          </c:tx>
          <c:invertIfNegative val="0"/>
          <c:dLbls>
            <c:dLbl>
              <c:idx val="0"/>
              <c:layout>
                <c:manualLayout>
                  <c:x val="0.0258899720357723"/>
                  <c:y val="-0.0060468631897203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15749766964769"/>
                  <c:y val="-0.048374905517762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184928340268146"/>
                  <c:y val="-0.018356278681685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114039890602976"/>
                  <c:y val="-0.024187452758881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129449860178862"/>
                  <c:y val="-0.045351473922902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647249300894308"/>
                  <c:y val="-0.024187452758881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151024836875339"/>
                  <c:y val="-0.03628117913832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366774603840108"/>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Sheet1!$A$40:$A$48</c:f>
              <c:strCache>
                <c:ptCount val="9"/>
                <c:pt idx="0">
                  <c:v>一般公共服务支出</c:v>
                </c:pt>
                <c:pt idx="1">
                  <c:v>公共安全支出</c:v>
                </c:pt>
                <c:pt idx="2">
                  <c:v>科学技术支出</c:v>
                </c:pt>
                <c:pt idx="3">
                  <c:v>社会保障和就业支出</c:v>
                </c:pt>
                <c:pt idx="4">
                  <c:v>卫生健康支出</c:v>
                </c:pt>
                <c:pt idx="5">
                  <c:v>城乡社区支出</c:v>
                </c:pt>
                <c:pt idx="6">
                  <c:v>自然资源海洋气象等支出</c:v>
                </c:pt>
                <c:pt idx="7">
                  <c:v>住房保障支出</c:v>
                </c:pt>
                <c:pt idx="8">
                  <c:v>其他支出</c:v>
                </c:pt>
              </c:strCache>
            </c:strRef>
          </c:cat>
          <c:val>
            <c:numRef>
              <c:f>Sheet1!$C$40:$C$48</c:f>
              <c:numCache>
                <c:formatCode>General</c:formatCode>
                <c:ptCount val="9"/>
                <c:pt idx="0">
                  <c:v>1560.84</c:v>
                </c:pt>
                <c:pt idx="1">
                  <c:v>29.13</c:v>
                </c:pt>
                <c:pt idx="2">
                  <c:v>2987.61</c:v>
                </c:pt>
                <c:pt idx="3">
                  <c:v>62.8</c:v>
                </c:pt>
                <c:pt idx="4">
                  <c:v>36.64</c:v>
                </c:pt>
                <c:pt idx="5">
                  <c:v>18731.89</c:v>
                </c:pt>
                <c:pt idx="6">
                  <c:v>1787.84</c:v>
                </c:pt>
                <c:pt idx="7">
                  <c:v>39.85</c:v>
                </c:pt>
                <c:pt idx="8">
                  <c:v>115679.15</c:v>
                </c:pt>
              </c:numCache>
            </c:numRef>
          </c:val>
        </c:ser>
        <c:dLbls>
          <c:showLegendKey val="0"/>
          <c:showVal val="0"/>
          <c:showCatName val="0"/>
          <c:showSerName val="0"/>
          <c:showPercent val="0"/>
          <c:showBubbleSize val="0"/>
        </c:dLbls>
        <c:gapWidth val="150"/>
        <c:axId val="185361152"/>
        <c:axId val="185362688"/>
      </c:barChart>
      <c:catAx>
        <c:axId val="185361152"/>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5362688"/>
        <c:crosses val="autoZero"/>
        <c:auto val="1"/>
        <c:lblAlgn val="ctr"/>
        <c:lblOffset val="100"/>
        <c:noMultiLvlLbl val="0"/>
      </c:catAx>
      <c:valAx>
        <c:axId val="18536268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536115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378ad82-6d7d-4bf1-b4f0-3a36268ef43e}"/>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600" b="0"/>
              <a:t>2022</a:t>
            </a:r>
            <a:r>
              <a:rPr lang="zh-CN" altLang="en-US" sz="1600" b="0"/>
              <a:t>决算支出结构图</a:t>
            </a:r>
            <a:endParaRPr lang="zh-CN" altLang="en-US" sz="1600" b="0"/>
          </a:p>
        </c:rich>
      </c:tx>
      <c:layout/>
      <c:overlay val="0"/>
    </c:title>
    <c:autoTitleDeleted val="0"/>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Lbls>
            <c:dLbl>
              <c:idx val="5"/>
              <c:layout>
                <c:manualLayout>
                  <c:x val="0.0159058392806108"/>
                  <c:y val="-0.025729182226205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Sheet1!$A$2:$A$10</c:f>
              <c:strCache>
                <c:ptCount val="9"/>
                <c:pt idx="0">
                  <c:v>一般公共服务支出</c:v>
                </c:pt>
                <c:pt idx="1">
                  <c:v>公共安全支出</c:v>
                </c:pt>
                <c:pt idx="2">
                  <c:v>科学技术支出</c:v>
                </c:pt>
                <c:pt idx="3">
                  <c:v>社会保障和就业支出</c:v>
                </c:pt>
                <c:pt idx="4">
                  <c:v>卫生健康支出</c:v>
                </c:pt>
                <c:pt idx="5">
                  <c:v>城乡社区支出</c:v>
                </c:pt>
                <c:pt idx="6">
                  <c:v>自然资源海洋气象等支出</c:v>
                </c:pt>
                <c:pt idx="7">
                  <c:v>住房保障支出</c:v>
                </c:pt>
                <c:pt idx="8">
                  <c:v>其他支出</c:v>
                </c:pt>
              </c:strCache>
            </c:strRef>
          </c:cat>
          <c:val>
            <c:numRef>
              <c:f>Sheet1!$B$2:$B$10</c:f>
              <c:numCache>
                <c:formatCode>0.00%</c:formatCode>
                <c:ptCount val="9"/>
                <c:pt idx="0">
                  <c:v>0.0163</c:v>
                </c:pt>
                <c:pt idx="1">
                  <c:v>0.0003</c:v>
                </c:pt>
                <c:pt idx="2">
                  <c:v>0.0314</c:v>
                </c:pt>
                <c:pt idx="3">
                  <c:v>0.0007</c:v>
                </c:pt>
                <c:pt idx="4">
                  <c:v>0.0004</c:v>
                </c:pt>
                <c:pt idx="5">
                  <c:v>0.1967</c:v>
                </c:pt>
                <c:pt idx="6">
                  <c:v>0.0188</c:v>
                </c:pt>
                <c:pt idx="7">
                  <c:v>0.0004</c:v>
                </c:pt>
                <c:pt idx="8">
                  <c:v>0.735</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87285287209377"/>
          <c:y val="0.197631678154052"/>
          <c:w val="0.296253803884904"/>
          <c:h val="0.737708355561246"/>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43fe56e-bcec-41f0-8e11-ff89ddd8b44c}"/>
      </c:ext>
    </c:extLst>
  </c:chart>
  <c:spPr>
    <a:noFill/>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b="0"/>
              <a:t>2022</a:t>
            </a:r>
            <a:r>
              <a:rPr lang="zh-CN" altLang="en-US" b="0"/>
              <a:t>年预算支出与决算支出对比图</a:t>
            </a:r>
            <a:endParaRPr lang="zh-CN" altLang="en-US" b="0"/>
          </a:p>
        </c:rich>
      </c:tx>
      <c:layout/>
      <c:overlay val="0"/>
    </c:title>
    <c:autoTitleDeleted val="0"/>
    <c:plotArea>
      <c:layout/>
      <c:barChart>
        <c:barDir val="col"/>
        <c:grouping val="clustered"/>
        <c:varyColors val="0"/>
        <c:ser>
          <c:idx val="0"/>
          <c:order val="0"/>
          <c:tx>
            <c:strRef>
              <c:f>Sheet1!$B$39</c:f>
              <c:strCache>
                <c:ptCount val="1"/>
                <c:pt idx="0">
                  <c:v>预算支出(万元)</c:v>
                </c:pt>
              </c:strCache>
            </c:strRef>
          </c:tx>
          <c:invertIfNegative val="0"/>
          <c:dLbls>
            <c:dLbl>
              <c:idx val="0"/>
              <c:layout>
                <c:manualLayout>
                  <c:x val="-0.0151024836875339"/>
                  <c:y val="-0.033257747543461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9449860178862"/>
                  <c:y val="0.01814058956916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29449860178862"/>
                  <c:y val="0.0060468631897203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
                  <c:y val="-0.021164021164021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Sheet1!$A$40:$A$48</c:f>
              <c:strCache>
                <c:ptCount val="9"/>
                <c:pt idx="0">
                  <c:v>一般公共服务支出</c:v>
                </c:pt>
                <c:pt idx="1">
                  <c:v>公共安全支出</c:v>
                </c:pt>
                <c:pt idx="2">
                  <c:v>科学技术支出</c:v>
                </c:pt>
                <c:pt idx="3">
                  <c:v>社会保障和就业支出</c:v>
                </c:pt>
                <c:pt idx="4">
                  <c:v>卫生健康支出</c:v>
                </c:pt>
                <c:pt idx="5">
                  <c:v>城乡社区支出</c:v>
                </c:pt>
                <c:pt idx="6">
                  <c:v>自然资源海洋气象等支出</c:v>
                </c:pt>
                <c:pt idx="7">
                  <c:v>住房保障支出</c:v>
                </c:pt>
                <c:pt idx="8">
                  <c:v>其他支出</c:v>
                </c:pt>
              </c:strCache>
            </c:strRef>
          </c:cat>
          <c:val>
            <c:numRef>
              <c:f>Sheet1!$B$40:$B$48</c:f>
              <c:numCache>
                <c:formatCode>General</c:formatCode>
                <c:ptCount val="9"/>
                <c:pt idx="0">
                  <c:v>1188.23</c:v>
                </c:pt>
                <c:pt idx="1">
                  <c:v>70</c:v>
                </c:pt>
                <c:pt idx="3">
                  <c:v>60.46</c:v>
                </c:pt>
                <c:pt idx="4">
                  <c:v>20.87</c:v>
                </c:pt>
                <c:pt idx="5">
                  <c:v>24701.17</c:v>
                </c:pt>
                <c:pt idx="7">
                  <c:v>38.61</c:v>
                </c:pt>
              </c:numCache>
            </c:numRef>
          </c:val>
        </c:ser>
        <c:ser>
          <c:idx val="1"/>
          <c:order val="1"/>
          <c:tx>
            <c:strRef>
              <c:f>Sheet1!$C$39</c:f>
              <c:strCache>
                <c:ptCount val="1"/>
                <c:pt idx="0">
                  <c:v>决算支出（万元）</c:v>
                </c:pt>
              </c:strCache>
            </c:strRef>
          </c:tx>
          <c:invertIfNegative val="0"/>
          <c:dLbls>
            <c:dLbl>
              <c:idx val="0"/>
              <c:layout>
                <c:manualLayout>
                  <c:x val="0.0258899720357723"/>
                  <c:y val="-0.0060468631897203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15749766964769"/>
                  <c:y val="-0.048374905517762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184928340268146"/>
                  <c:y val="-0.018356278681685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114039890602976"/>
                  <c:y val="-0.024187452758881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172599813571816"/>
                  <c:y val="-0.081632653061224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647249300894308"/>
                  <c:y val="-0.024187452758881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151024836875339"/>
                  <c:y val="-0.03628117913832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366774603840108"/>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Sheet1!$A$40:$A$48</c:f>
              <c:strCache>
                <c:ptCount val="9"/>
                <c:pt idx="0">
                  <c:v>一般公共服务支出</c:v>
                </c:pt>
                <c:pt idx="1">
                  <c:v>公共安全支出</c:v>
                </c:pt>
                <c:pt idx="2">
                  <c:v>科学技术支出</c:v>
                </c:pt>
                <c:pt idx="3">
                  <c:v>社会保障和就业支出</c:v>
                </c:pt>
                <c:pt idx="4">
                  <c:v>卫生健康支出</c:v>
                </c:pt>
                <c:pt idx="5">
                  <c:v>城乡社区支出</c:v>
                </c:pt>
                <c:pt idx="6">
                  <c:v>自然资源海洋气象等支出</c:v>
                </c:pt>
                <c:pt idx="7">
                  <c:v>住房保障支出</c:v>
                </c:pt>
                <c:pt idx="8">
                  <c:v>其他支出</c:v>
                </c:pt>
              </c:strCache>
            </c:strRef>
          </c:cat>
          <c:val>
            <c:numRef>
              <c:f>Sheet1!$C$40:$C$48</c:f>
              <c:numCache>
                <c:formatCode>General</c:formatCode>
                <c:ptCount val="9"/>
                <c:pt idx="0">
                  <c:v>1560.96</c:v>
                </c:pt>
                <c:pt idx="1">
                  <c:v>29.13</c:v>
                </c:pt>
                <c:pt idx="2">
                  <c:v>2987.61</c:v>
                </c:pt>
                <c:pt idx="3">
                  <c:v>62.8</c:v>
                </c:pt>
                <c:pt idx="4">
                  <c:v>36.64</c:v>
                </c:pt>
                <c:pt idx="5">
                  <c:v>18731.89</c:v>
                </c:pt>
                <c:pt idx="6">
                  <c:v>1787.84</c:v>
                </c:pt>
                <c:pt idx="7">
                  <c:v>39.85</c:v>
                </c:pt>
                <c:pt idx="8">
                  <c:v>69990.44</c:v>
                </c:pt>
              </c:numCache>
            </c:numRef>
          </c:val>
        </c:ser>
        <c:dLbls>
          <c:showLegendKey val="0"/>
          <c:showVal val="0"/>
          <c:showCatName val="0"/>
          <c:showSerName val="0"/>
          <c:showPercent val="0"/>
          <c:showBubbleSize val="0"/>
        </c:dLbls>
        <c:gapWidth val="150"/>
        <c:axId val="242748032"/>
        <c:axId val="242749824"/>
      </c:barChart>
      <c:catAx>
        <c:axId val="242748032"/>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2749824"/>
        <c:crosses val="autoZero"/>
        <c:auto val="1"/>
        <c:lblAlgn val="ctr"/>
        <c:lblOffset val="100"/>
        <c:noMultiLvlLbl val="0"/>
      </c:catAx>
      <c:valAx>
        <c:axId val="242749824"/>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274803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764c53d-943d-4986-ab6a-42be91083f93}"/>
      </c:ext>
    </c:extLst>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6B5C5-E693-4C28-841A-2DFBD438AC0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2592</Words>
  <Characters>2678</Characters>
  <Lines>137</Lines>
  <Paragraphs>38</Paragraphs>
  <TotalTime>435</TotalTime>
  <ScaleCrop>false</ScaleCrop>
  <LinksUpToDate>false</LinksUpToDate>
  <CharactersWithSpaces>2776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Administrator</cp:lastModifiedBy>
  <cp:lastPrinted>2023-08-17T08:40:00Z</cp:lastPrinted>
  <dcterms:modified xsi:type="dcterms:W3CDTF">2025-05-12T07:07:22Z</dcterms:modified>
  <cp:revision>324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7E7588654FC244E380CF99C244D2BB12</vt:lpwstr>
  </property>
  <property fmtid="{D5CDD505-2E9C-101B-9397-08002B2CF9AE}" pid="4" name="KSOTemplateDocerSaveRecord">
    <vt:lpwstr>eyJoZGlkIjoiNWE3NGYwYTFmZGE4ZTQ2YmU5NjljNDAyNzdhNjI4MzQifQ==</vt:lpwstr>
  </property>
</Properties>
</file>