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AC68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C8722B3">
      <w:pPr>
        <w:widowControl w:val="0"/>
        <w:adjustRightInd/>
        <w:snapToGrid/>
        <w:spacing w:after="0" w:line="480" w:lineRule="auto"/>
        <w:jc w:val="center"/>
        <w:rPr>
          <w:rFonts w:hint="eastAsia" w:ascii="黑体" w:hAnsi="黑体" w:eastAsia="黑体" w:cs="Times New Roman"/>
          <w:bCs/>
          <w:kern w:val="2"/>
          <w:sz w:val="48"/>
          <w:szCs w:val="48"/>
        </w:rPr>
      </w:pPr>
      <w:r>
        <w:rPr>
          <w:rFonts w:hint="eastAsia" w:ascii="黑体" w:hAnsi="黑体" w:eastAsia="黑体" w:cs="Times New Roman"/>
          <w:bCs/>
          <w:kern w:val="2"/>
          <w:sz w:val="48"/>
          <w:szCs w:val="48"/>
        </w:rPr>
        <w:t>河北徐水经济开发区管委会</w:t>
      </w:r>
    </w:p>
    <w:p w14:paraId="151EE739">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14:paraId="1414770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865037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B4B452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45478E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85E057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9A194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FF5BF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EFB90F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BD0701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BBA470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7F369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46464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9B8FA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AD03D1">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7873432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F0FE801">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14:paraId="5598F5E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75DD4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4FFE94BD">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59648614">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3856AF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B866BD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一、保定市徐水区徐水经济开发区管委会基本情况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99A27E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59CC5E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EAE26A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1FC6EC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C470F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851FE4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F26D750">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2BCA1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1A9197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386816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B0F84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4AC4C1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BB379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6B989A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440933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7AD607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3FEB7B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11E2FB7">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7011DD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F4FF9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E8FBF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8C75E4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44A300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2BBE79C">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E68EAA5">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59E3B9AA">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F7A5F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64391F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徐水经济开发区管委会为副处级行政单位，经费保障形式为财政拨款，下设6个局（办），分别为综合办公室、招商局、经济发展局、行政审批局、建设局（安全生产监督管理局）、财政局，主要职责为负责辖区的总体规划和经济、社会发展规划，经批准后组织实施；负责辖区区域性发展规划、国土利用规划的编制和组织实施；负责招商引资、进出口贸易和国内外经济技术合作工作；负责辖区行政审批工作；负责辖区企业管理和服务工作；负责辖区基础设施和公用设施的建设和管理；负责辖区内城市管理综合执法工作；负责辖区财政管理，实施辖区内财政预算、决算、国有资产管理和财政监督工作；负责辖区内环境保护和安全生产监督管理工作；负责辖区内食品药品安全监督管理工作；负责辖区人力资源和社会保障工作；负责协调辖区内上级有关部门派驻机构工作；负责徐水区政府交办的其他事项。</w:t>
      </w:r>
    </w:p>
    <w:p w14:paraId="69F0C0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5FB94E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7424A3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徐水经济开发区管委会2019年部门整体支出绩效评价工作。</w:t>
      </w:r>
    </w:p>
    <w:p w14:paraId="6B7EF9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2019年部门整体支出绩效评价指标体系共设置4个一级指标、7个二级指标、27个三级指标，从投入、过程、产出、效果四个方面对徐水经济开发区管委会部门整体支出情况评分定级。指标体系设定满分为100分，绩效评价分值≥90为“优”；80≤分值＜90为“良”；60≤分值＜80为“合格”；60分以下为“差”。</w:t>
      </w:r>
    </w:p>
    <w:p w14:paraId="740A12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徐水经济开发区管委会2019年部门整体支出综合评价得分为91.52分，评价等级为“优”。</w:t>
      </w:r>
    </w:p>
    <w:p w14:paraId="706456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徐水经济开发区管委会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05899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37CCA0B1">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1.绩效指标方面</w:t>
      </w:r>
    </w:p>
    <w:p w14:paraId="19CC0F07">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2.预算决算比较</w:t>
      </w:r>
    </w:p>
    <w:p w14:paraId="36100DE3">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3.预算追加方面</w:t>
      </w:r>
    </w:p>
    <w:p w14:paraId="0D38EEA0">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4.政府采购方面</w:t>
      </w:r>
    </w:p>
    <w:p w14:paraId="2F724083">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w:t>
      </w:r>
      <w:bookmarkStart w:id="80" w:name="_GoBack"/>
      <w:r>
        <w:rPr>
          <w:rFonts w:hint="eastAsia" w:ascii="仿宋" w:hAnsi="仿宋" w:eastAsia="仿宋" w:cs="DengXian-Regular"/>
          <w:sz w:val="32"/>
          <w:szCs w:val="32"/>
        </w:rPr>
        <w:t>项目资金使用率</w:t>
      </w:r>
      <w:bookmarkEnd w:id="80"/>
    </w:p>
    <w:p w14:paraId="4F80B83A">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6.部分基础数据信息方面</w:t>
      </w:r>
    </w:p>
    <w:p w14:paraId="7483BD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D231D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2B8AE9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B6F6E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B2D40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B9E2A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3D24E15">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建议严格按照《中华人民共和国政府采购法》及河北省2017年《政府采购集中采购目录和限额标准》的相关规定，执行政府采购，加快预算执行进度，提高政府采购效率。</w:t>
      </w:r>
    </w:p>
    <w:p w14:paraId="66FFB896">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4.提高项目资金使用率</w:t>
      </w:r>
    </w:p>
    <w:p w14:paraId="79BD769C">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 w:hAnsi="仿宋" w:eastAsia="仿宋" w:cs="Times New Roman"/>
          <w:sz w:val="32"/>
          <w:szCs w:val="32"/>
          <w:u w:color="000000"/>
        </w:rPr>
        <w:t>建议</w:t>
      </w:r>
      <w:r>
        <w:rPr>
          <w:rFonts w:hint="eastAsia" w:ascii="仿宋" w:hAnsi="仿宋" w:eastAsia="仿宋" w:cs="DengXian-Regular"/>
          <w:sz w:val="32"/>
          <w:szCs w:val="32"/>
        </w:rPr>
        <w:t>徐水经济开发区管委会</w:t>
      </w:r>
      <w:r>
        <w:rPr>
          <w:rFonts w:hint="eastAsia" w:ascii="仿宋" w:hAnsi="仿宋" w:eastAsia="仿宋" w:cs="Times New Roman"/>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2FCD9D26">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411389C">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6343D4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158B4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2020年预算</w:t>
      </w:r>
      <w:r>
        <w:rPr>
          <w:rFonts w:hint="eastAsia" w:ascii="仿宋_GB2312" w:eastAsia="仿宋_GB2312" w:cs="DengXian-Regular"/>
          <w:sz w:val="32"/>
          <w:szCs w:val="32"/>
        </w:rPr>
        <w:t>在当年消化完毕；</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354C3840">
      <w:pPr>
        <w:spacing w:after="0" w:line="360" w:lineRule="auto"/>
        <w:ind w:firstLine="640" w:firstLineChars="200"/>
        <w:jc w:val="both"/>
        <w:textAlignment w:val="baseline"/>
        <w:rPr>
          <w:rFonts w:ascii="仿宋_GB2312" w:eastAsia="仿宋_GB2312" w:cs="DengXian-Regular"/>
          <w:sz w:val="32"/>
          <w:szCs w:val="32"/>
        </w:rPr>
      </w:pPr>
    </w:p>
    <w:p w14:paraId="034AF466">
      <w:pPr>
        <w:spacing w:after="0" w:line="360" w:lineRule="auto"/>
        <w:ind w:firstLine="640" w:firstLineChars="200"/>
        <w:jc w:val="both"/>
        <w:textAlignment w:val="baseline"/>
        <w:rPr>
          <w:rFonts w:ascii="仿宋_GB2312" w:eastAsia="仿宋_GB2312" w:cs="DengXian-Regular"/>
          <w:sz w:val="32"/>
          <w:szCs w:val="32"/>
        </w:rPr>
      </w:pPr>
    </w:p>
    <w:p w14:paraId="0B4CCFE2">
      <w:pPr>
        <w:spacing w:after="0" w:line="360" w:lineRule="auto"/>
        <w:ind w:firstLine="640" w:firstLineChars="200"/>
        <w:jc w:val="both"/>
        <w:textAlignment w:val="baseline"/>
        <w:rPr>
          <w:rFonts w:ascii="仿宋_GB2312" w:eastAsia="仿宋_GB2312" w:cs="DengXian-Regular"/>
          <w:sz w:val="32"/>
          <w:szCs w:val="32"/>
        </w:rPr>
      </w:pPr>
    </w:p>
    <w:p w14:paraId="296BB2E9">
      <w:pPr>
        <w:spacing w:after="0" w:line="360" w:lineRule="auto"/>
        <w:ind w:firstLine="640" w:firstLineChars="200"/>
        <w:jc w:val="both"/>
        <w:textAlignment w:val="baseline"/>
        <w:rPr>
          <w:rFonts w:ascii="仿宋_GB2312" w:eastAsia="仿宋_GB2312" w:cs="DengXian-Regular"/>
          <w:sz w:val="32"/>
          <w:szCs w:val="32"/>
        </w:rPr>
      </w:pPr>
    </w:p>
    <w:p w14:paraId="6B0F0F18">
      <w:pPr>
        <w:spacing w:after="0" w:line="360" w:lineRule="auto"/>
        <w:ind w:firstLine="640" w:firstLineChars="200"/>
        <w:jc w:val="both"/>
        <w:textAlignment w:val="baseline"/>
        <w:rPr>
          <w:rFonts w:ascii="仿宋_GB2312" w:eastAsia="仿宋_GB2312" w:cs="DengXian-Regular"/>
          <w:sz w:val="32"/>
          <w:szCs w:val="32"/>
        </w:rPr>
      </w:pPr>
    </w:p>
    <w:p w14:paraId="35431E70">
      <w:pPr>
        <w:spacing w:after="0" w:line="360" w:lineRule="auto"/>
        <w:ind w:firstLine="640" w:firstLineChars="200"/>
        <w:jc w:val="both"/>
        <w:textAlignment w:val="baseline"/>
        <w:rPr>
          <w:rFonts w:ascii="仿宋_GB2312" w:eastAsia="仿宋_GB2312" w:cs="DengXian-Regular"/>
          <w:sz w:val="32"/>
          <w:szCs w:val="32"/>
        </w:rPr>
      </w:pPr>
    </w:p>
    <w:p w14:paraId="7A3D08CE">
      <w:pPr>
        <w:spacing w:after="0" w:line="360" w:lineRule="auto"/>
        <w:ind w:firstLine="640" w:firstLineChars="200"/>
        <w:jc w:val="both"/>
        <w:textAlignment w:val="baseline"/>
        <w:rPr>
          <w:rFonts w:ascii="仿宋_GB2312" w:eastAsia="仿宋_GB2312" w:cs="DengXian-Regular"/>
          <w:sz w:val="32"/>
          <w:szCs w:val="32"/>
        </w:rPr>
      </w:pPr>
    </w:p>
    <w:p w14:paraId="54951B55">
      <w:pPr>
        <w:spacing w:after="0" w:line="360" w:lineRule="auto"/>
        <w:ind w:firstLine="640" w:firstLineChars="200"/>
        <w:jc w:val="both"/>
        <w:textAlignment w:val="baseline"/>
        <w:rPr>
          <w:rFonts w:ascii="仿宋_GB2312" w:eastAsia="仿宋_GB2312" w:cs="DengXian-Regular"/>
          <w:sz w:val="32"/>
          <w:szCs w:val="32"/>
        </w:rPr>
      </w:pPr>
    </w:p>
    <w:p w14:paraId="326A2401">
      <w:pPr>
        <w:pStyle w:val="3"/>
        <w:spacing w:line="540" w:lineRule="exact"/>
        <w:jc w:val="center"/>
        <w:rPr>
          <w:rFonts w:ascii="黑体" w:hAnsi="黑体"/>
          <w:b w:val="0"/>
        </w:rPr>
      </w:pPr>
      <w:r>
        <w:rPr>
          <w:rFonts w:hint="eastAsia" w:ascii="黑体" w:hAnsi="黑体"/>
          <w:b w:val="0"/>
        </w:rPr>
        <w:t>第二部分   绩效评价报告</w:t>
      </w:r>
      <w:bookmarkEnd w:id="1"/>
    </w:p>
    <w:p w14:paraId="40B74493">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一、保定市徐水区徐水经济开发区管委会基本情况</w:t>
      </w:r>
      <w:bookmarkEnd w:id="2"/>
      <w:bookmarkEnd w:id="3"/>
      <w:bookmarkStart w:id="4" w:name="_Toc492652764"/>
    </w:p>
    <w:p w14:paraId="61BAA7F3">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2395ED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机构编制委员会文件，关于印发《中共河北徐水经济开发区工作委员会河北徐水经济开发区管理委员会主要职责内设机构和人员控制数规定》的通知，徐水经济开发区管委会为区政府工作部门，副处级单位，下设6个局（办）。徐水经济开发区管委会根据绩效预算管理改革的相关要求，按照“部门职责—工作活动绩效目标”的层级设立了绩效预算架构，职责活动包括宣传思想工作、政法综治稳定和国家安全、社会管理与服务、政府专项工作服务于管理、促进政府职能转变、对外贸易管理、城乡建设管理、交通运输基础设施建设、交通运输基础设施养护维护、农民文化建设、医疗保障、人事管理、政务管理、环境污染综合治理、自然生态保护、信访问题处理、劳动关系管理、义务教育、林业生态建设、市容环境卫生管理、促进县级区域经济发展、推动文化发展、组织全区安全生产综合监督管理、工会事务管理、服务引导青少年工作、维护妇女儿童合法权益促进妇女儿童发展、地方金融机构建设和监管共27部分。</w:t>
      </w:r>
      <w:bookmarkStart w:id="6" w:name="_Toc465149499"/>
      <w:bookmarkStart w:id="7" w:name="_Toc492652765"/>
    </w:p>
    <w:p w14:paraId="090B58D8">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F2DEA25">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按照2019年绩效预算编制要求，徐水经济开发区管委会设置的年度发展规划总体目标为：</w:t>
      </w:r>
    </w:p>
    <w:p w14:paraId="348675EE">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按照科学发展的要求，未来开发区将被打造成保定市中国汽车城的核心区，产城互动的示范区，体制机制的创新区，低碳环保的先行区。立足“思想高站位、规划高起点、建设高标准、发展可持续”的原则，结合徐水经济开发区现状和发展要求，依托徐水独有的区位、交通等优势，主动承接京、津工业区的辐射，大力引进多元化投资，发展新兴产业，谋划立区项目，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预计在未来5-7年内实现产值过千亿元，年创利税过百亿元，达到10万人的城镇化规模，成为支撑徐水长远发展的战略平台，保定市新的经济增长极。</w:t>
      </w:r>
    </w:p>
    <w:p w14:paraId="7F912918">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2019年河北徐水经济开发区管委会将进一步围绕园区中心工作和区政府重要部署，进行园区项目建设和经济发展工作。进一步创新管理体制，壮大主导产业，提升服务功能，争创全国知名品牌示范区、新型工业化和战略</w:t>
      </w:r>
      <w:r>
        <w:rPr>
          <w:rFonts w:hint="eastAsia" w:ascii="仿宋_GB2312" w:hAnsi="Tahoma" w:eastAsia="仿宋_GB2312" w:cs="DengXian-Regular"/>
          <w:kern w:val="0"/>
          <w:sz w:val="32"/>
          <w:szCs w:val="32"/>
          <w:lang w:val="en-US" w:eastAsia="zh-CN"/>
        </w:rPr>
        <w:t>性</w:t>
      </w:r>
      <w:r>
        <w:rPr>
          <w:rFonts w:hint="eastAsia" w:ascii="仿宋_GB2312" w:hAnsi="Tahoma" w:eastAsia="仿宋_GB2312" w:cs="DengXian-Regular"/>
          <w:kern w:val="0"/>
          <w:sz w:val="32"/>
          <w:szCs w:val="32"/>
        </w:rPr>
        <w:t>新兴产业示范基地，努力将开发区建设成为国际合作之城、开放繁荣之城和低碳宜居之城。</w:t>
      </w:r>
    </w:p>
    <w:p w14:paraId="4390A9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D6CCEAD">
      <w:pPr>
        <w:pStyle w:val="66"/>
        <w:spacing w:line="360" w:lineRule="auto"/>
        <w:ind w:firstLine="640" w:firstLineChars="200"/>
        <w:rPr>
          <w:rFonts w:ascii="仿宋_GB2312" w:hAnsi="Tahoma" w:eastAsia="仿宋_GB2312" w:cs="DengXian-Regular"/>
          <w:kern w:val="0"/>
          <w:sz w:val="32"/>
          <w:szCs w:val="32"/>
        </w:rPr>
      </w:pPr>
      <w:bookmarkStart w:id="9" w:name="_Toc1678"/>
      <w:bookmarkStart w:id="10" w:name="_Toc465149500"/>
      <w:bookmarkStart w:id="11" w:name="_Toc492652766"/>
      <w:r>
        <w:rPr>
          <w:rFonts w:hint="eastAsia" w:ascii="仿宋_GB2312" w:hAnsi="Tahoma" w:eastAsia="仿宋_GB2312" w:cs="DengXian-Regular"/>
          <w:kern w:val="0"/>
          <w:sz w:val="32"/>
          <w:szCs w:val="32"/>
        </w:rPr>
        <w:t>2019年河北徐水经济开发区管理委员会根据开发区职责和区政府的有关预算安排，我开发区围绕政法综治稳定和国家安全、社会管理与服务、政府专项工作服务与管理、城乡建设管理、人事管理、政务管理、环境污染综合防治、自然生态保护、市容环境卫生管理、促进县级区域经济发展、推动文化发展等活动项目支出进行预算编制，相关活动的开展为开发区的社会安定、基础设施建设、经济与文化发展等方面创造了良好的环境，奠定了稳固的基础。</w:t>
      </w:r>
    </w:p>
    <w:p w14:paraId="1D409429">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1.开展政法综治稳定和国家安全工作。</w:t>
      </w:r>
    </w:p>
    <w:p w14:paraId="0BA5864C">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协调维护社会稳定和国家安全。组建公安特警大队维护徐水经济开发区治安环境、交通秩序，营造整洁、文明、规范有序的园区环境，树立园区形象，创建美丽园区，促进徐水经济开发区经济发展，争创国家级园区。</w:t>
      </w:r>
    </w:p>
    <w:p w14:paraId="022F0963">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2.开展社会管理与服务工作。</w:t>
      </w:r>
    </w:p>
    <w:p w14:paraId="4D19358C">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基层政权和社区建设。组织维持社区管理服务中心运转，加强六村社区居委会建设工作，把釜阳花园社区建设成为功能完善、充满活力、作用明显、群众满意的社区；统一建设公墓和骨灰堂，用于安置存放六各庄、智武营、刘官营、西公村、孟官营、马亮营六个拆迁村及童庄村、佃头村骨灰。通过开展社区管理服务相关工作，推进基层建设。</w:t>
      </w:r>
    </w:p>
    <w:p w14:paraId="78ADC152">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3.开展政府专项工作服务与管理工作。</w:t>
      </w:r>
    </w:p>
    <w:p w14:paraId="56FE9A5C">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政府债务管理。通过及时上解开发区棚户区改造项目2019年1-4季度回购资金本息。维护政府信用，提升政府公信力及形象，进一步推进开发区建设步伐，改善居民居住生活条件，破解城市建设资金不足的瓶颈。</w:t>
      </w:r>
    </w:p>
    <w:p w14:paraId="69C6692A">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4.开展城乡建设管理工作。</w:t>
      </w:r>
    </w:p>
    <w:p w14:paraId="5ACA7659">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公用设施建设与管理。通过亮化与道路新建及室外管网工程打造园区整体形象，打造良好的投资环境，提高开发区品位，优化开发区建设环境。努力将园区打造成为保定·中国汽车城的核心区、产城互动的示范区、体制机制的创新区、低碳环保先行区。</w:t>
      </w:r>
    </w:p>
    <w:p w14:paraId="59E558E3">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5.开展人事管理工作。</w:t>
      </w:r>
    </w:p>
    <w:p w14:paraId="0DF7172D">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机关单位及公务员管理。为进一步增强开发区加快发展的动力和活力，充分发挥开发区全区经济发展主力军、对外开放排头兵、深化改革试验田的作用，根据省委、省政府《关于加快开发区改革发展的意见》（冀发〔2016〕12号）文件精神，结合开发区实际，需要进行人事薪酬改革。</w:t>
      </w:r>
    </w:p>
    <w:p w14:paraId="618D2926">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6.开展政务管理工作。</w:t>
      </w:r>
    </w:p>
    <w:p w14:paraId="1CBBE4F3">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综合事务管理。通过纪检办公运转，按照上级纪检监察机关的要求，及时报告开发区管委会纪检监察工作情况，并有针对性地开展专项治理工作。</w:t>
      </w:r>
    </w:p>
    <w:p w14:paraId="2566A153">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7.开展环境污染综合防治工作。</w:t>
      </w:r>
    </w:p>
    <w:p w14:paraId="76606C2A">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大气污染防治。根据《中华人民共和国大气污染防治法》以及上级政府关于农作物秸秆以及垃圾禁烧工作的总体安排部署，按照“属地管理，源头控制”的原则，特别在夏收、秋收两季对园区内各地块划定区域，明确责任，对京昆高速、荣乌高速、园区内道路两侧等重点路段进行全天</w:t>
      </w:r>
      <w:r>
        <w:rPr>
          <w:rFonts w:hint="eastAsia" w:ascii="仿宋_GB2312" w:hAnsi="Tahoma" w:eastAsia="仿宋_GB2312" w:cs="DengXian-Regular"/>
          <w:kern w:val="0"/>
          <w:sz w:val="32"/>
          <w:szCs w:val="32"/>
          <w:lang w:val="en-US" w:eastAsia="zh-CN"/>
        </w:rPr>
        <w:t>候</w:t>
      </w:r>
      <w:r>
        <w:rPr>
          <w:rFonts w:hint="eastAsia" w:ascii="仿宋_GB2312" w:hAnsi="Tahoma" w:eastAsia="仿宋_GB2312" w:cs="DengXian-Regular"/>
          <w:kern w:val="0"/>
          <w:sz w:val="32"/>
          <w:szCs w:val="32"/>
        </w:rPr>
        <w:t>看护，对道路两侧堆放的秸秆以及垃圾进行及时清运；同时对园区内临时发生的上访等特殊案件进行及时处置，以维护全区稳定大局。</w:t>
      </w:r>
    </w:p>
    <w:p w14:paraId="0269426C">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8.开展自然生态保护工作。</w:t>
      </w:r>
    </w:p>
    <w:p w14:paraId="2398D61C">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农村环境综合整治。确保徐水经济开发区环境卫生整洁，提升开发区整体形象；采用压缩式垃圾车密闭运输，将釜阳花园小区、哈弗城小区垃圾做到日产日清，垃圾运到区政府指定的垃圾处理场，确保小区环境干净、整洁。</w:t>
      </w:r>
    </w:p>
    <w:p w14:paraId="73E789D3">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9.开展市容环境卫生管理工作。</w:t>
      </w:r>
    </w:p>
    <w:p w14:paraId="32ED6D71">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城市容貌环境综合整治。开发区综合执法中队以严厉打击摊点占道、黑出租、违法占地、施工外部环境等为突破点。强化违法经营综合整治力度，取缔店外经营、拆除违法违章建筑，规范行车秩序，打击违法运营行为；规范建筑工地环境整治，建章立制，长效管理。</w:t>
      </w:r>
    </w:p>
    <w:p w14:paraId="6AC727EC">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10.开展促进县级区域经济发展工作。</w:t>
      </w:r>
    </w:p>
    <w:p w14:paraId="609CF2A1">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推进区域经济与可持续发展。全面贯彻落实科学发展观，坚持把项目建设作为推动又好又快发展的主要抓手，明确责任目标，突出工作重点，优化建设环境，健全工作机制，集中要素资源，调动各方面积极性，全力推进项目建设，特别是推进徐水经济开发区土地整合、村庄改造工作。设立招商中心，切实加强园区招商力度，争取更多企业落户园区，为园区创造更多的经济效益。</w:t>
      </w:r>
    </w:p>
    <w:p w14:paraId="12E7408B">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11.开展推动文化发展工作。</w:t>
      </w:r>
    </w:p>
    <w:p w14:paraId="41EB4748">
      <w:pPr>
        <w:pStyle w:val="66"/>
        <w:spacing w:line="360" w:lineRule="auto"/>
        <w:ind w:firstLine="640" w:firstLineChars="200"/>
        <w:rPr>
          <w:rFonts w:ascii="仿宋_GB2312" w:eastAsia="仿宋_GB2312"/>
          <w:sz w:val="28"/>
        </w:rPr>
      </w:pPr>
      <w:r>
        <w:rPr>
          <w:rFonts w:hint="eastAsia" w:ascii="仿宋_GB2312" w:hAnsi="Tahoma" w:eastAsia="仿宋_GB2312" w:cs="DengXian-Regular"/>
          <w:kern w:val="0"/>
          <w:sz w:val="32"/>
          <w:szCs w:val="32"/>
        </w:rPr>
        <w:t>文化事业产业发展。通过高速塔牌对徐水开发区进行宣传，提高徐水经济开发区的社会知名度，吸引更多有实力的企业来徐水经济开发区投资兴业，尽早将徐水经济开发区打造成千亿元产值园</w:t>
      </w:r>
      <w:r>
        <w:rPr>
          <w:rFonts w:hint="eastAsia" w:ascii="仿宋_GB2312" w:eastAsia="仿宋_GB2312"/>
          <w:sz w:val="28"/>
        </w:rPr>
        <w:t>区。</w:t>
      </w:r>
    </w:p>
    <w:p w14:paraId="7638E0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751090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预算收入为17121.09万元,其中：一般公共预算收入1306.06万元，基金预算收入15815.03万元，财政专户收入0万元，其他来源收0万元。预算收入按功能分类包含：一般公共服务支出1106.94万元，公共安全支出156.68万元，社会保障和就业支出22.28万元，卫生健康支出6.79万元，城乡社区支出15815.03万元，住房保障支出13.37万元。具体预算收入详见附件2。</w:t>
      </w:r>
    </w:p>
    <w:p w14:paraId="0F1812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徐水经济开发区管委会决算收入10752.9万元，其中：财政拨款收入10752.68万元，其他收入0.22万元（全部为利息收入）。决算收入按功能分类包含：一般公共服务支出1107.16万元，占比10.30%；公共安全支出156.68万元，占比1.46%；社会保障和就业支出22.28万元，占比0.21%；卫生健康支出6.79万元，占比0.06%；城乡社区支出9446.62万元，占比87.85%；住房保障支出13.37万元，占比0.12%。具体决算收入详见附件2。决算收入结构如图1。</w:t>
      </w:r>
    </w:p>
    <w:p w14:paraId="26163FE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2019年度徐水经济开发区管委会决算收入结构图</w:t>
      </w:r>
    </w:p>
    <w:p w14:paraId="745ABFC1">
      <w:pPr>
        <w:rPr>
          <w:rFonts w:asciiTheme="minorEastAsia" w:hAnsiTheme="minorEastAsia" w:eastAsiaTheme="minorEastAsia" w:cstheme="minorEastAsia"/>
          <w:sz w:val="32"/>
          <w:szCs w:val="32"/>
        </w:rPr>
      </w:pPr>
    </w:p>
    <w:p w14:paraId="5B4526F1">
      <w:pPr>
        <w:spacing w:after="0" w:line="360" w:lineRule="auto"/>
        <w:jc w:val="center"/>
        <w:textAlignment w:val="baseline"/>
        <w:rPr>
          <w:rFonts w:ascii="仿宋_GB2312" w:eastAsia="仿宋_GB2312" w:cs="DengXian-Regular"/>
          <w:sz w:val="32"/>
          <w:szCs w:val="32"/>
        </w:rPr>
      </w:pPr>
      <w:r>
        <w:drawing>
          <wp:inline distT="0" distB="0" distL="0" distR="0">
            <wp:extent cx="4848225" cy="29813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8B839F">
      <w:pPr>
        <w:spacing w:after="0" w:line="540" w:lineRule="exact"/>
        <w:ind w:firstLine="640" w:firstLineChars="200"/>
        <w:jc w:val="both"/>
        <w:rPr>
          <w:rFonts w:ascii="仿宋_GB2312" w:eastAsia="仿宋_GB2312" w:cs="Times New Roman" w:hAnsiTheme="minorEastAsia"/>
          <w:sz w:val="32"/>
          <w:szCs w:val="32"/>
          <w:u w:color="000000"/>
        </w:rPr>
      </w:pPr>
    </w:p>
    <w:p w14:paraId="3BDB0CA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经济开发区管委会一般公共预算财政拨款决算收入比年初预算增加5272.8万元，完成年初预算的503.72%。决算收入大于预算收入的主要原因为2019年度我单位追加项目较多，主要有长城学校大王店分校运营经费768.56万元、2018年开发区发展专项资金400万元、2019年世界机器人大赛总决赛工作经费500万元、棚户区改造项目第四季度回购资金2457.65万元、风帆公司建设发展项目资金1000万元等。政府性基金决算收入比年初预算减少11641.21万元，完成年初预算的26.39%，主要原因是上解2019年棚改贷款回购资金1.52亿元，由于国库资金紧张，未按年初预算执行。预算收入与决算收入对比情况见图2。</w:t>
      </w:r>
    </w:p>
    <w:p w14:paraId="79B7C44C">
      <w:pPr>
        <w:spacing w:after="0" w:line="360" w:lineRule="auto"/>
        <w:jc w:val="center"/>
        <w:rPr>
          <w:rFonts w:asciiTheme="minorEastAsia" w:hAnsiTheme="minorEastAsia" w:eastAsiaTheme="minorEastAsia" w:cstheme="minorEastAsia"/>
          <w:b/>
          <w:sz w:val="32"/>
          <w:szCs w:val="32"/>
          <w:u w:color="000000"/>
        </w:rPr>
      </w:pPr>
    </w:p>
    <w:p w14:paraId="3003B534">
      <w:pPr>
        <w:spacing w:after="0" w:line="360" w:lineRule="auto"/>
        <w:jc w:val="center"/>
        <w:rPr>
          <w:rFonts w:asciiTheme="minorEastAsia" w:hAnsiTheme="minorEastAsia" w:eastAsiaTheme="minorEastAsia" w:cstheme="minorEastAsia"/>
          <w:b/>
          <w:sz w:val="32"/>
          <w:szCs w:val="32"/>
          <w:u w:color="000000"/>
        </w:rPr>
      </w:pPr>
    </w:p>
    <w:p w14:paraId="655409C7">
      <w:pPr>
        <w:spacing w:after="0" w:line="360" w:lineRule="auto"/>
        <w:jc w:val="center"/>
        <w:rPr>
          <w:rFonts w:asciiTheme="minorEastAsia" w:hAnsiTheme="minorEastAsia" w:eastAsiaTheme="minorEastAsia" w:cstheme="minorEastAsia"/>
          <w:b/>
          <w:sz w:val="32"/>
          <w:szCs w:val="32"/>
          <w:u w:color="000000"/>
        </w:rPr>
      </w:pPr>
    </w:p>
    <w:p w14:paraId="1FBA21F9">
      <w:pPr>
        <w:spacing w:after="0" w:line="360" w:lineRule="auto"/>
        <w:jc w:val="center"/>
        <w:rPr>
          <w:rFonts w:asciiTheme="minorEastAsia" w:hAnsiTheme="minorEastAsia" w:eastAsiaTheme="minorEastAsia" w:cstheme="minorEastAsia"/>
          <w:b/>
          <w:sz w:val="32"/>
          <w:szCs w:val="32"/>
          <w:u w:color="000000"/>
        </w:rPr>
      </w:pPr>
    </w:p>
    <w:p w14:paraId="04BB723D">
      <w:pPr>
        <w:spacing w:after="0" w:line="360" w:lineRule="auto"/>
        <w:jc w:val="center"/>
        <w:rPr>
          <w:rFonts w:asciiTheme="minorEastAsia" w:hAnsiTheme="minorEastAsia" w:eastAsiaTheme="minorEastAsia" w:cstheme="minorEastAsia"/>
          <w:b/>
          <w:sz w:val="32"/>
          <w:szCs w:val="32"/>
          <w:u w:color="000000"/>
        </w:rPr>
      </w:pPr>
    </w:p>
    <w:p w14:paraId="0F4743C3">
      <w:pPr>
        <w:spacing w:after="0" w:line="360" w:lineRule="auto"/>
        <w:jc w:val="center"/>
        <w:rPr>
          <w:rFonts w:asciiTheme="minorEastAsia" w:hAnsiTheme="minorEastAsia" w:eastAsiaTheme="minorEastAsia" w:cstheme="minorEastAsia"/>
          <w:b/>
          <w:sz w:val="32"/>
          <w:szCs w:val="32"/>
          <w:u w:color="000000"/>
        </w:rPr>
      </w:pPr>
    </w:p>
    <w:p w14:paraId="18E9DC41">
      <w:pPr>
        <w:spacing w:after="0" w:line="360" w:lineRule="auto"/>
        <w:jc w:val="center"/>
        <w:rPr>
          <w:rFonts w:asciiTheme="minorEastAsia" w:hAnsiTheme="minorEastAsia" w:eastAsiaTheme="minorEastAsia" w:cstheme="minorEastAsia"/>
          <w:b/>
          <w:sz w:val="32"/>
          <w:szCs w:val="32"/>
          <w:u w:color="000000"/>
        </w:rPr>
      </w:pPr>
    </w:p>
    <w:p w14:paraId="46F37C48">
      <w:pPr>
        <w:spacing w:after="0" w:line="360" w:lineRule="auto"/>
        <w:jc w:val="center"/>
        <w:rPr>
          <w:rFonts w:asciiTheme="minorEastAsia" w:hAnsiTheme="minorEastAsia" w:eastAsiaTheme="minorEastAsia" w:cstheme="minorEastAsia"/>
          <w:b/>
          <w:sz w:val="32"/>
          <w:szCs w:val="32"/>
          <w:u w:color="000000"/>
        </w:rPr>
      </w:pPr>
    </w:p>
    <w:p w14:paraId="76C03657">
      <w:pPr>
        <w:spacing w:after="0" w:line="360" w:lineRule="auto"/>
        <w:jc w:val="center"/>
        <w:rPr>
          <w:rFonts w:asciiTheme="minorEastAsia" w:hAnsiTheme="minorEastAsia" w:eastAsiaTheme="minorEastAsia" w:cstheme="minorEastAsia"/>
          <w:b/>
          <w:sz w:val="32"/>
          <w:szCs w:val="32"/>
          <w:u w:color="000000"/>
        </w:rPr>
      </w:pPr>
    </w:p>
    <w:p w14:paraId="1719AFE3">
      <w:pPr>
        <w:spacing w:after="0" w:line="360" w:lineRule="auto"/>
        <w:jc w:val="center"/>
        <w:rPr>
          <w:rFonts w:asciiTheme="minorEastAsia" w:hAnsiTheme="minorEastAsia" w:eastAsiaTheme="minorEastAsia" w:cstheme="minorEastAsia"/>
          <w:b/>
          <w:sz w:val="32"/>
          <w:szCs w:val="32"/>
          <w:u w:color="000000"/>
        </w:rPr>
      </w:pPr>
    </w:p>
    <w:p w14:paraId="50B7A85D">
      <w:pPr>
        <w:spacing w:after="0" w:line="360" w:lineRule="auto"/>
        <w:jc w:val="center"/>
        <w:rPr>
          <w:rFonts w:asciiTheme="minorEastAsia" w:hAnsiTheme="minorEastAsia" w:eastAsiaTheme="minorEastAsia" w:cstheme="minorEastAsia"/>
          <w:b/>
          <w:color w:val="FF0000"/>
          <w:sz w:val="28"/>
          <w:szCs w:val="32"/>
          <w:u w:color="000000"/>
        </w:rPr>
      </w:pPr>
      <w:r>
        <w:rPr>
          <w:rFonts w:hint="eastAsia" w:asciiTheme="minorEastAsia" w:hAnsiTheme="minorEastAsia" w:eastAsiaTheme="minorEastAsia" w:cstheme="minorEastAsia"/>
          <w:b/>
          <w:sz w:val="32"/>
          <w:szCs w:val="32"/>
          <w:u w:color="000000"/>
        </w:rPr>
        <w:t xml:space="preserve">图2 </w:t>
      </w:r>
      <w:r>
        <w:rPr>
          <w:rFonts w:hint="eastAsia" w:asciiTheme="minorEastAsia" w:hAnsiTheme="minorEastAsia" w:eastAsiaTheme="minorEastAsia" w:cstheme="minorEastAsia"/>
          <w:b/>
          <w:sz w:val="28"/>
          <w:szCs w:val="32"/>
          <w:u w:color="000000"/>
        </w:rPr>
        <w:t>2019年度徐水经济开发区管委会预算收入与决算收入对比图</w:t>
      </w:r>
    </w:p>
    <w:p w14:paraId="2C00F061">
      <w:pPr>
        <w:spacing w:after="0" w:line="360" w:lineRule="auto"/>
        <w:jc w:val="center"/>
        <w:rPr>
          <w:rFonts w:ascii="仿宋_GB2312" w:eastAsia="仿宋_GB2312" w:cs="Times New Roman" w:hAnsiTheme="minorEastAsia"/>
          <w:bCs/>
          <w:sz w:val="32"/>
          <w:szCs w:val="32"/>
          <w:u w:color="000000"/>
        </w:rPr>
      </w:pPr>
      <w:r>
        <w:drawing>
          <wp:inline distT="0" distB="0" distL="0" distR="0">
            <wp:extent cx="6010275" cy="55245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99D640">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466C463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2019年度徐水经济开发区管委会</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17121.09</w:t>
      </w:r>
      <w:r>
        <w:rPr>
          <w:rFonts w:hint="eastAsia" w:ascii="仿宋_GB2312" w:eastAsia="仿宋_GB2312" w:cs="Times New Roman" w:hAnsiTheme="minorEastAsia"/>
          <w:sz w:val="32"/>
          <w:szCs w:val="32"/>
          <w:u w:color="000000"/>
        </w:rPr>
        <w:t>万元，其中：基本支出318.22万元，项目支出16802.87万元。预算支出按功能分类包含：</w:t>
      </w:r>
      <w:r>
        <w:rPr>
          <w:rFonts w:hint="eastAsia" w:ascii="仿宋_GB2312" w:eastAsia="仿宋_GB2312" w:cs="DengXian-Regular"/>
          <w:sz w:val="32"/>
          <w:szCs w:val="32"/>
        </w:rPr>
        <w:t>一般公共服务支出1106.94万元，公共安全支出156.68万元，社会保障和就业支出22.28万元，卫生健康支出6.79万元，城乡社区支出15815.03万元，住房保障支出13.37万元。</w:t>
      </w:r>
      <w:r>
        <w:rPr>
          <w:rFonts w:hint="eastAsia" w:ascii="仿宋_GB2312" w:eastAsia="仿宋_GB2312" w:cs="Times New Roman" w:hAnsiTheme="minorEastAsia"/>
          <w:sz w:val="32"/>
          <w:szCs w:val="32"/>
          <w:u w:color="000000"/>
        </w:rPr>
        <w:t>具体预算支出详见附件2。</w:t>
      </w:r>
    </w:p>
    <w:p w14:paraId="660FE249">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2019年度徐水经济开发区管委会</w:t>
      </w:r>
      <w:r>
        <w:rPr>
          <w:rFonts w:hint="eastAsia" w:ascii="仿宋_GB2312" w:eastAsia="仿宋_GB2312" w:cs="Times New Roman" w:hAnsiTheme="minorEastAsia"/>
          <w:sz w:val="32"/>
          <w:szCs w:val="32"/>
          <w:u w:color="000000"/>
        </w:rPr>
        <w:t>决算支出为36004.46万元，其中：基本支出276.21万元，项目支出35728.26万元。决算支出按功能分类包含：</w:t>
      </w:r>
      <w:r>
        <w:rPr>
          <w:rFonts w:hint="eastAsia" w:ascii="仿宋_GB2312" w:eastAsia="仿宋_GB2312" w:cs="DengXian-Regular"/>
          <w:sz w:val="32"/>
          <w:szCs w:val="32"/>
        </w:rPr>
        <w:t>一般公共服务支出22536.76万元，占比62.59%；</w:t>
      </w:r>
      <w:r>
        <w:rPr>
          <w:rFonts w:hint="eastAsia" w:ascii="仿宋_GB2312" w:eastAsia="仿宋_GB2312" w:cs="Times New Roman" w:hAnsiTheme="minorEastAsia"/>
          <w:sz w:val="32"/>
          <w:szCs w:val="32"/>
          <w:u w:color="000000"/>
        </w:rPr>
        <w:t>公共安全支出98.65万元，占比0.27%；教育支出768.56万元，占比2.13%；科学技术支出500万元，占比1.39%；社会保障和就业支出19.45万元，占比0.05%；卫生健康支出6.78万元，占比0.02%；城乡社区支出5316.88万元，占比14.77%；住房保障支出6757.38万元，占比18.77%。具体决算支出详见附件2。决算支出结构如图3。</w:t>
      </w:r>
    </w:p>
    <w:p w14:paraId="48C38073">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2019年度徐水经济开发区管委会</w:t>
      </w:r>
      <w:r>
        <w:rPr>
          <w:rFonts w:hint="eastAsia" w:asciiTheme="minorEastAsia" w:hAnsiTheme="minorEastAsia" w:eastAsiaTheme="minorEastAsia" w:cstheme="minorEastAsia"/>
          <w:b/>
          <w:bCs/>
          <w:sz w:val="32"/>
          <w:szCs w:val="32"/>
          <w:u w:color="000000"/>
        </w:rPr>
        <w:t>决算支出结构图</w:t>
      </w:r>
    </w:p>
    <w:p w14:paraId="3A2366B4">
      <w:pPr>
        <w:pStyle w:val="66"/>
        <w:ind w:left="106" w:leftChars="48" w:firstLine="315" w:firstLineChars="150"/>
        <w:jc w:val="left"/>
        <w:rPr>
          <w:rFonts w:ascii="仿宋_GB2312" w:eastAsia="仿宋_GB2312" w:hAnsiTheme="minorEastAsia"/>
          <w:kern w:val="0"/>
          <w:sz w:val="32"/>
          <w:szCs w:val="32"/>
          <w:u w:color="000000"/>
        </w:rPr>
      </w:pPr>
      <w:r>
        <w:drawing>
          <wp:inline distT="0" distB="0" distL="0" distR="0">
            <wp:extent cx="4714875" cy="27527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rPr>
        <w:t xml:space="preserve">              </w:t>
      </w:r>
      <w:r>
        <w:rPr>
          <w:rFonts w:hint="eastAsia" w:ascii="仿宋_GB2312" w:hAnsi="Tahoma" w:eastAsia="仿宋_GB2312" w:cs="DengXian-Regular"/>
          <w:kern w:val="0"/>
          <w:sz w:val="32"/>
          <w:szCs w:val="32"/>
        </w:rPr>
        <w:t>财政拨款决算支出比年初预算增加18883.37万元。决算支出完成年初预算的210.29%。决算支出大于预算支出的主要原因为本年度追加项目较多，并且将暂付款挂账转列支出（土地储备交易中心土地储备费用转列支出）。预算支出与决算支出对比情况如图4。</w:t>
      </w:r>
    </w:p>
    <w:p w14:paraId="0A37F93A">
      <w:pPr>
        <w:spacing w:after="0" w:line="360" w:lineRule="auto"/>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2019年度徐水经济开发区管委会</w:t>
      </w:r>
      <w:r>
        <w:rPr>
          <w:rFonts w:hint="eastAsia" w:asciiTheme="minorEastAsia" w:hAnsiTheme="minorEastAsia" w:eastAsiaTheme="minorEastAsia" w:cstheme="minorEastAsia"/>
          <w:b/>
          <w:bCs/>
          <w:sz w:val="24"/>
          <w:szCs w:val="32"/>
        </w:rPr>
        <w:t>预算支出与决算支出对比</w:t>
      </w:r>
      <w:r>
        <w:rPr>
          <w:rFonts w:hint="eastAsia" w:asciiTheme="minorEastAsia" w:hAnsiTheme="minorEastAsia" w:eastAsiaTheme="minorEastAsia" w:cstheme="minorEastAsia"/>
          <w:b/>
          <w:bCs/>
          <w:szCs w:val="32"/>
        </w:rPr>
        <w:t>图</w:t>
      </w:r>
    </w:p>
    <w:p w14:paraId="29920621">
      <w:pPr>
        <w:spacing w:after="0" w:line="360" w:lineRule="auto"/>
        <w:rPr>
          <w:rFonts w:ascii="仿宋_GB2312" w:eastAsia="仿宋_GB2312" w:cs="DengXian-Regular"/>
          <w:sz w:val="32"/>
          <w:szCs w:val="32"/>
        </w:rPr>
      </w:pPr>
      <w:r>
        <w:drawing>
          <wp:inline distT="0" distB="0" distL="0" distR="0">
            <wp:extent cx="5278120" cy="5695315"/>
            <wp:effectExtent l="0" t="0" r="0" b="6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57A54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徐水经济开发区管委会2019年实际项目支出35728.26万元，决算报表中项目支出35728.26万元，实际支出与决算报表差0万元。</w:t>
      </w:r>
    </w:p>
    <w:p w14:paraId="67D5651E">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0401799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徐水经济开发区管委会单位“三公”经费预算82万元（公务用车运行维护费74万元，公务接待费8万元），实际支出54.48万元（因公出国（境）费5.37万元，公务用车运行维护费46.19万元，公务接待费2.91万元），比预算减少27.52万元，节约率33.56%。2019年“三公”经费预算数与2018年预算数相比无变化，决算数与2018年实际支出相比，减少0.93万元。具体详见表1。</w:t>
      </w:r>
    </w:p>
    <w:p w14:paraId="21DD8DBD">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徐水经济开发区管委会单位“三公”经费预算及决算明细表</w:t>
      </w:r>
    </w:p>
    <w:p w14:paraId="5EB5A345">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327A81C4">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C438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F116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DCBE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8FBA6FB">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8DC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3A27DE3B">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C051C">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7B916">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C0EF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4DAFA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499EB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1D9AD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5C715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ED019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125AFE7">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213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058E035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B297">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27F3">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51D7">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BCAEEB">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C847C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5EF0A7">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5.37</w:t>
            </w:r>
          </w:p>
        </w:tc>
      </w:tr>
      <w:tr w14:paraId="7FF7AEEF">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078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77AD5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745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17F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47.79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343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77F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46.19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5B11A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522DF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r>
      <w:tr w14:paraId="5019B58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5A0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41B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2DC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A828">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7.62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C30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8AF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9C5544">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A0DA3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-4.71</w:t>
            </w:r>
          </w:p>
        </w:tc>
      </w:tr>
      <w:tr w14:paraId="5396651A">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783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299E0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0D5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BED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55.41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15C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DA9E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54.48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04A3A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62D37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-0.94</w:t>
            </w:r>
          </w:p>
        </w:tc>
      </w:tr>
    </w:tbl>
    <w:p w14:paraId="183F5E8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徐水经济开发区管委会车辆合计18辆，其中公务用车18辆，其他用车0辆。2019年公务用车购置及运维费年初预算74万元，全部为公务用车运行维护费，实际支出46.19万元，比预算减少27.81万元，节约率37.58%。2019年预算数与2018年预算相比无变化，决算数与2018年实际支出相比，减少1.6万元。</w:t>
      </w:r>
    </w:p>
    <w:p w14:paraId="64EE74E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徐水经济开发区管委会单位公务接待费年初预算8万元，实际支出2.91万元，比预算减少了5.09万元，节约率63.63%。2019年预算数与2018年预算相比无变化，决算数与2018年实际支出相比，减少4.71万元。</w:t>
      </w:r>
    </w:p>
    <w:p w14:paraId="11BA7E92">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2373A17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378C3B4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4945F12C">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0458750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D93AA2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07D6931">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2E7C72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2E71AA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03DB24D">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2392D113">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454940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D707E37">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3671A6C9">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693A58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49A522EA">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1F8EE161">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5856F5E8">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本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22EB06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55A31E41">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6FB4BF6D">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744E88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474A4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60E575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673FD9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C60BB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0FFFA8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3307392B">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2B67931E">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徐水经济开发区管委会2019年部门整体支出绩效目标和指标的设置及完成情况；资金预算情况、实际收支情况及结转结余情况；部门履职对社会发展所带来的直接或间接影响及服务对象对部门履职效果的满意程度。</w:t>
      </w:r>
    </w:p>
    <w:p w14:paraId="2A6F89BA">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7AE244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042784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40BD7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D8EB1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DD2CE22">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4A7850E6">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5879010C">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414D98E2">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158BF892">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44D59F96">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201C35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24500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EB857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12D061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C5A7A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基于对相关资料的收集，制定绩效评价实施方案和体系,确定最终方案。</w:t>
      </w:r>
    </w:p>
    <w:p w14:paraId="59EEF7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1C19C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本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697430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7AD799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381735E3">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60CB74C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徐水经济开发区管委会部门整体支出绩效评价总得分为91.52分，综合绩效评价等级为“优”。各项得分情况如下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09E407A0">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635736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0108B8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29F7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546CF43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7946622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2B7A535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3F16281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24F3B49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17D46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4B855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4CF2BB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96E121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1EA42C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1301BC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81974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81E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291663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09E07C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3F7C1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2B15A0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4BCC8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259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D532B3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526F73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7CDB4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7C9308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C5E3C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386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8BCEF0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456FE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78152E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7F13BD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69869E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F41DA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16DD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88F469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32A782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99800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D46E7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4A29C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4AB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E95DA7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EFB22E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8A819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8182C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25173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923C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72BC204B">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235EB14">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5A15BA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126B63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0A97660A">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3D10A1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163616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021E2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机构编制委员会文件，关于印发《中共河北徐水经济开发区工作委员会河北徐水经济开发区管理委员会主要职责内设机构和人员控制数规定》的通知，和本单位2019年预算文本—部门职责工作活动绩效目标，评价工作组认为本单位部门职责符合“三定”方案中所赋予的职责，绩效目标设立依据充分，符合客观实际，与部门职责、工作规划和重点工作相关，工作活动和项目预算安排合理。</w:t>
      </w:r>
    </w:p>
    <w:p w14:paraId="717AE7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ACB58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061D9C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427C61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预算文本—部门职责工作活动绩效目标（详见附件4），绩效目标与部门履职、年度工作任务相符；工作活动有明确的绩效目标，绩效目标与部门职责目标、部门年度工作目标一致。</w:t>
      </w:r>
    </w:p>
    <w:p w14:paraId="119241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65D4CE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6AE17B6B">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0FA172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根据徐水经济开发区管委会2019年预算文本—部门职责工作活动绩效目标,该指标实际得分2分。</w:t>
      </w:r>
    </w:p>
    <w:p w14:paraId="7D9B1D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02D749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05C1DD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5A1A7E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根据徐水经济开发区管委会2019年预算文本及相关会计资料，徐水经济开发区管委会所有收入均已纳入部门预算，部门支出按基本支出、项目支出分别编制。</w:t>
      </w:r>
    </w:p>
    <w:p w14:paraId="5DE10F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CFA51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4A2C9A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34A4D9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FF263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根据徐水经济开发区管委会2019年预算文本—部门项目支出预算表，开发区2019年预算项目共15个（详见附件2-2-2），涉及资金16802.87万元，所有项目均细化到具体用款单位及项目资金额度。项目预算细化率=（</w:t>
      </w:r>
      <w:r>
        <w:rPr>
          <w:rFonts w:ascii="仿宋_GB2312" w:eastAsia="仿宋_GB2312" w:cs="DengXian-Regular"/>
          <w:sz w:val="32"/>
          <w:szCs w:val="32"/>
        </w:rPr>
        <w:t>16802.87</w:t>
      </w:r>
      <w:r>
        <w:rPr>
          <w:rFonts w:hint="eastAsia" w:ascii="仿宋_GB2312" w:eastAsia="仿宋_GB2312" w:cs="DengXian-Regular"/>
          <w:sz w:val="32"/>
          <w:szCs w:val="32"/>
        </w:rPr>
        <w:t>/</w:t>
      </w:r>
      <w:r>
        <w:rPr>
          <w:rFonts w:ascii="仿宋_GB2312" w:eastAsia="仿宋_GB2312" w:cs="DengXian-Regular"/>
          <w:sz w:val="32"/>
          <w:szCs w:val="32"/>
        </w:rPr>
        <w:t>16802.87</w:t>
      </w:r>
      <w:r>
        <w:rPr>
          <w:rFonts w:hint="eastAsia" w:ascii="仿宋_GB2312" w:eastAsia="仿宋_GB2312" w:cs="DengXian-Regular"/>
          <w:sz w:val="32"/>
          <w:szCs w:val="32"/>
        </w:rPr>
        <w:t>）*100%=100%</w:t>
      </w:r>
    </w:p>
    <w:p w14:paraId="129D39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BF19F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5469A5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该指标主要考核截至2019年底徐水经济开发区管委会在职人员控制情况，通过在职人员控制率衡量。</w:t>
      </w:r>
    </w:p>
    <w:p w14:paraId="6E9CA3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在职人员控制率=决算在职人员（工资关系在开发区）/人员控制数×100%。</w:t>
      </w:r>
    </w:p>
    <w:p w14:paraId="7C2F75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机构编制委员会文件，关于印发《中共河北徐水经济开发区工作委员会河北徐水经济开发区管理委员会主要职责内设机构和人员控制数规定》的通知，徐水经济开发区人员控制数为50人，根据开发区管委会2019年决算文本-部门基本情况表，截至2019年底，在职（工资关系在开发区）人员23人，在职人员控制率=（23/50）*100%=46%。</w:t>
      </w:r>
    </w:p>
    <w:p w14:paraId="7BE2AD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14:paraId="783C7591">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5E2DC86A">
      <w:pPr>
        <w:spacing w:after="0" w:line="360" w:lineRule="auto"/>
        <w:ind w:firstLine="560" w:firstLineChars="200"/>
        <w:jc w:val="both"/>
        <w:textAlignment w:val="baseline"/>
        <w:rPr>
          <w:rFonts w:ascii="仿宋_GB2312" w:eastAsia="仿宋_GB2312" w:cs="DengXian-Regular"/>
          <w:sz w:val="28"/>
          <w:szCs w:val="32"/>
        </w:rPr>
      </w:pPr>
      <w:bookmarkStart w:id="63" w:name="_Toc464638480"/>
      <w:r>
        <w:rPr>
          <w:rFonts w:hint="eastAsia" w:ascii="仿宋_GB2312" w:eastAsia="仿宋_GB2312" w:cs="DengXian-Regular"/>
          <w:sz w:val="28"/>
          <w:szCs w:val="32"/>
        </w:rPr>
        <w:t>该一级指标包含预算执行、预算管理和绩效评价三个二级指标，主要反映预算调整、收入支出完成情况，“三公”经费、政府采购执行情况，财务管理是否规范、资金使用是否合规，决算真实性。</w:t>
      </w:r>
    </w:p>
    <w:p w14:paraId="612AE0AB">
      <w:pPr>
        <w:spacing w:after="0" w:line="360" w:lineRule="auto"/>
        <w:jc w:val="center"/>
        <w:textAlignment w:val="baseline"/>
        <w:rPr>
          <w:rFonts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726B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21AD833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33CAEB9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1462E00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7EBBAE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274EAF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F10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223E96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382A72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1D2122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63660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BF42B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E293C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B9B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22E805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007D441">
            <w:pPr>
              <w:spacing w:line="420" w:lineRule="exact"/>
              <w:jc w:val="center"/>
              <w:rPr>
                <w:rFonts w:cs="宋体" w:asciiTheme="minorEastAsia" w:hAnsiTheme="minorEastAsia" w:eastAsiaTheme="minorEastAsia"/>
                <w:sz w:val="21"/>
                <w:szCs w:val="21"/>
              </w:rPr>
            </w:pPr>
          </w:p>
        </w:tc>
        <w:tc>
          <w:tcPr>
            <w:tcW w:w="2277" w:type="dxa"/>
            <w:vAlign w:val="center"/>
          </w:tcPr>
          <w:p w14:paraId="49A654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578B21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6A291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930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E4FA38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999D3D0">
            <w:pPr>
              <w:spacing w:line="420" w:lineRule="exact"/>
              <w:jc w:val="center"/>
              <w:rPr>
                <w:rFonts w:cs="宋体" w:asciiTheme="minorEastAsia" w:hAnsiTheme="minorEastAsia" w:eastAsiaTheme="minorEastAsia"/>
                <w:sz w:val="21"/>
                <w:szCs w:val="21"/>
              </w:rPr>
            </w:pPr>
          </w:p>
        </w:tc>
        <w:tc>
          <w:tcPr>
            <w:tcW w:w="2277" w:type="dxa"/>
            <w:vAlign w:val="center"/>
          </w:tcPr>
          <w:p w14:paraId="3EA2DD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09E208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EF496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36CC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768B2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181B138">
            <w:pPr>
              <w:spacing w:line="420" w:lineRule="exact"/>
              <w:jc w:val="center"/>
              <w:rPr>
                <w:rFonts w:cs="宋体" w:asciiTheme="minorEastAsia" w:hAnsiTheme="minorEastAsia" w:eastAsiaTheme="minorEastAsia"/>
                <w:sz w:val="21"/>
                <w:szCs w:val="21"/>
              </w:rPr>
            </w:pPr>
          </w:p>
        </w:tc>
        <w:tc>
          <w:tcPr>
            <w:tcW w:w="2277" w:type="dxa"/>
            <w:vAlign w:val="center"/>
          </w:tcPr>
          <w:p w14:paraId="488A19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718AF0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3E699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900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952CB8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2486E3B">
            <w:pPr>
              <w:spacing w:line="420" w:lineRule="exact"/>
              <w:jc w:val="center"/>
              <w:rPr>
                <w:rFonts w:cs="宋体" w:asciiTheme="minorEastAsia" w:hAnsiTheme="minorEastAsia" w:eastAsiaTheme="minorEastAsia"/>
                <w:sz w:val="21"/>
                <w:szCs w:val="21"/>
              </w:rPr>
            </w:pPr>
          </w:p>
        </w:tc>
        <w:tc>
          <w:tcPr>
            <w:tcW w:w="2277" w:type="dxa"/>
            <w:vAlign w:val="center"/>
          </w:tcPr>
          <w:p w14:paraId="05CD69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07A3E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FE315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A5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99641D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695B1F">
            <w:pPr>
              <w:spacing w:line="420" w:lineRule="exact"/>
              <w:jc w:val="center"/>
              <w:rPr>
                <w:rFonts w:cs="宋体" w:asciiTheme="minorEastAsia" w:hAnsiTheme="minorEastAsia" w:eastAsiaTheme="minorEastAsia"/>
                <w:sz w:val="21"/>
                <w:szCs w:val="21"/>
              </w:rPr>
            </w:pPr>
          </w:p>
        </w:tc>
        <w:tc>
          <w:tcPr>
            <w:tcW w:w="2277" w:type="dxa"/>
            <w:vAlign w:val="center"/>
          </w:tcPr>
          <w:p w14:paraId="399F39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5CAF7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DEBEF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321D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10E030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4176910">
            <w:pPr>
              <w:spacing w:line="420" w:lineRule="exact"/>
              <w:jc w:val="center"/>
              <w:rPr>
                <w:rFonts w:cs="宋体" w:asciiTheme="minorEastAsia" w:hAnsiTheme="minorEastAsia" w:eastAsiaTheme="minorEastAsia"/>
                <w:sz w:val="21"/>
                <w:szCs w:val="21"/>
              </w:rPr>
            </w:pPr>
          </w:p>
        </w:tc>
        <w:tc>
          <w:tcPr>
            <w:tcW w:w="2277" w:type="dxa"/>
            <w:vAlign w:val="center"/>
          </w:tcPr>
          <w:p w14:paraId="31DDAF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447B6A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B4AD2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1D8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9D09DB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4746070">
            <w:pPr>
              <w:spacing w:line="420" w:lineRule="exact"/>
              <w:jc w:val="center"/>
              <w:rPr>
                <w:rFonts w:cs="宋体" w:asciiTheme="minorEastAsia" w:hAnsiTheme="minorEastAsia" w:eastAsiaTheme="minorEastAsia"/>
                <w:sz w:val="21"/>
                <w:szCs w:val="21"/>
              </w:rPr>
            </w:pPr>
          </w:p>
        </w:tc>
        <w:tc>
          <w:tcPr>
            <w:tcW w:w="2277" w:type="dxa"/>
            <w:vAlign w:val="center"/>
          </w:tcPr>
          <w:p w14:paraId="6394F4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87C6F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FB203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505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2EB0335">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8E801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1A02D6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6129E1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3BA80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9F0CB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93E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10E1D4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F1D3EBF">
            <w:pPr>
              <w:spacing w:line="420" w:lineRule="exact"/>
              <w:jc w:val="center"/>
              <w:rPr>
                <w:rFonts w:cs="宋体" w:asciiTheme="minorEastAsia" w:hAnsiTheme="minorEastAsia" w:eastAsiaTheme="minorEastAsia"/>
                <w:sz w:val="21"/>
                <w:szCs w:val="21"/>
              </w:rPr>
            </w:pPr>
          </w:p>
        </w:tc>
        <w:tc>
          <w:tcPr>
            <w:tcW w:w="2277" w:type="dxa"/>
            <w:vAlign w:val="center"/>
          </w:tcPr>
          <w:p w14:paraId="30480D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38FDF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460FF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0F6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1321F3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D297F88">
            <w:pPr>
              <w:spacing w:line="420" w:lineRule="exact"/>
              <w:jc w:val="center"/>
              <w:rPr>
                <w:rFonts w:cs="宋体" w:asciiTheme="minorEastAsia" w:hAnsiTheme="minorEastAsia" w:eastAsiaTheme="minorEastAsia"/>
                <w:sz w:val="21"/>
                <w:szCs w:val="21"/>
              </w:rPr>
            </w:pPr>
          </w:p>
        </w:tc>
        <w:tc>
          <w:tcPr>
            <w:tcW w:w="2277" w:type="dxa"/>
            <w:vAlign w:val="center"/>
          </w:tcPr>
          <w:p w14:paraId="3A9965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34E102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E245E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BA4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901D1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394776A">
            <w:pPr>
              <w:spacing w:line="420" w:lineRule="exact"/>
              <w:jc w:val="center"/>
              <w:rPr>
                <w:rFonts w:cs="宋体" w:asciiTheme="minorEastAsia" w:hAnsiTheme="minorEastAsia" w:eastAsiaTheme="minorEastAsia"/>
                <w:sz w:val="21"/>
                <w:szCs w:val="21"/>
              </w:rPr>
            </w:pPr>
          </w:p>
        </w:tc>
        <w:tc>
          <w:tcPr>
            <w:tcW w:w="2277" w:type="dxa"/>
            <w:vAlign w:val="center"/>
          </w:tcPr>
          <w:p w14:paraId="763CAB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562C8B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6528C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EC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2DD37D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D6A54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4797F0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FED76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F2EEA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F9C79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784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2E0565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28C5581">
            <w:pPr>
              <w:spacing w:line="420" w:lineRule="exact"/>
              <w:jc w:val="center"/>
              <w:rPr>
                <w:rFonts w:cs="宋体" w:asciiTheme="minorEastAsia" w:hAnsiTheme="minorEastAsia" w:eastAsiaTheme="minorEastAsia"/>
                <w:sz w:val="21"/>
                <w:szCs w:val="21"/>
              </w:rPr>
            </w:pPr>
          </w:p>
        </w:tc>
        <w:tc>
          <w:tcPr>
            <w:tcW w:w="2277" w:type="dxa"/>
            <w:vAlign w:val="center"/>
          </w:tcPr>
          <w:p w14:paraId="31B389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1F8B34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9A61B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3.2</w:t>
            </w:r>
          </w:p>
        </w:tc>
      </w:tr>
      <w:tr w14:paraId="4F2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8DB5D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432D4EE1">
            <w:pPr>
              <w:spacing w:line="420" w:lineRule="exact"/>
              <w:jc w:val="center"/>
              <w:rPr>
                <w:rFonts w:cs="宋体" w:asciiTheme="minorEastAsia" w:hAnsiTheme="minorEastAsia" w:eastAsiaTheme="minorEastAsia"/>
                <w:sz w:val="21"/>
                <w:szCs w:val="21"/>
              </w:rPr>
            </w:pPr>
          </w:p>
        </w:tc>
        <w:tc>
          <w:tcPr>
            <w:tcW w:w="1155" w:type="dxa"/>
            <w:vAlign w:val="center"/>
          </w:tcPr>
          <w:p w14:paraId="01E98A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381F95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40.2</w:t>
            </w:r>
          </w:p>
        </w:tc>
      </w:tr>
      <w:bookmarkEnd w:id="63"/>
    </w:tbl>
    <w:p w14:paraId="019BB3E4">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5938C1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487E10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4F6B9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203E82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的预算指标文件，其中：徐财预指[2019]1-1012号追加长城学校大王店分校运营经费768.56万元；徐财预指[2019]2-1001号追加财政运行及改革创新补助资金10万元；徐财预指[2019]1-1185号追加开发区内亮化用电预付电费14.59万元；徐财预指[2019]2-1071号追加世界机器人大赛总决赛经费500万元；徐财预指[2019]1-1374号追加风帆公司建设发展项目资金1000万元等。开发区管委会2019年度预算收入的追加数为18969.45万元，年初预算数为17121.09万元，预算收入调整率为110.8%，预算调整增加了110.8个百分点，超过10%。</w:t>
      </w:r>
    </w:p>
    <w:p w14:paraId="561257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414913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00AB0B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558AB9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3C07DE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根据徐水经济开发区管委会2019年预算文本、决算文本，2019年收入预算数17121.09万元，收入决算数36090.54万元，收入完成率=（决算数/预算数）*100%=210.8%。</w:t>
      </w:r>
    </w:p>
    <w:p w14:paraId="400CD3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C0A47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034CF9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0193E9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325C6127">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根据徐水经济开发区管委会的预算指标文件，其中：徐财预指[2019]1-1012号追加长城学校大王店分校运营经费768.56万元；徐财预指[2019]2-1001号追加财政运行及改革创新补助资金10万元；徐财预指[2019]1-1185号追加开发区内亮化用电预付电费14.59万元；徐财预指[2019]2-1071号追加世界机器人大赛总决赛经费500万元；徐财预指[2019]1-1374号追加风帆公司建设发展项目资金1000万元等。开发区管委会2019年度预算支出的追加数合计</w:t>
      </w:r>
      <w:r>
        <w:rPr>
          <w:rFonts w:ascii="仿宋_GB2312" w:eastAsia="仿宋_GB2312" w:cs="DengXian-Regular"/>
          <w:sz w:val="32"/>
          <w:szCs w:val="32"/>
        </w:rPr>
        <w:t>18883.37</w:t>
      </w:r>
      <w:r>
        <w:rPr>
          <w:rFonts w:hint="eastAsia" w:ascii="仿宋_GB2312" w:eastAsia="仿宋_GB2312" w:cs="DengXian-Regular"/>
          <w:sz w:val="32"/>
          <w:szCs w:val="32"/>
        </w:rPr>
        <w:t>万元，年初预算数为</w:t>
      </w:r>
      <w:r>
        <w:rPr>
          <w:rFonts w:ascii="仿宋_GB2312" w:eastAsia="仿宋_GB2312" w:cs="DengXian-Regular"/>
          <w:sz w:val="32"/>
          <w:szCs w:val="32"/>
        </w:rPr>
        <w:t>17121.09</w:t>
      </w:r>
      <w:r>
        <w:rPr>
          <w:rFonts w:hint="eastAsia" w:ascii="仿宋_GB2312" w:eastAsia="仿宋_GB2312" w:cs="DengXian-Regular"/>
          <w:sz w:val="32"/>
          <w:szCs w:val="32"/>
        </w:rPr>
        <w:t>元，预算支出调整率为110.29%，预算调整增加了110.29个百分点，超过10%。</w:t>
      </w:r>
    </w:p>
    <w:p w14:paraId="7CB77E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25567F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28BE47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71332D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51EC7F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徐水经济开发区管委会2019年决算文本，部门决算财政拨款支出数36004.46万元，财政拨款收入数36090.54万元，财政拨款支出率=（财政拨款支出数/财政拨款收入数）*100%=99.76%</w:t>
      </w:r>
      <w:r>
        <w:rPr>
          <w:rFonts w:ascii="Arial" w:hAnsi="Arial" w:eastAsia="仿宋_GB2312" w:cs="Arial"/>
          <w:sz w:val="32"/>
          <w:szCs w:val="32"/>
        </w:rPr>
        <w:t>≥</w:t>
      </w:r>
      <w:r>
        <w:rPr>
          <w:rFonts w:hint="eastAsia" w:ascii="仿宋_GB2312" w:eastAsia="仿宋_GB2312" w:cs="DengXian-Regular"/>
          <w:sz w:val="32"/>
          <w:szCs w:val="32"/>
        </w:rPr>
        <w:t>90%。徐水经济开发区管委会2019年年末结转和结余86.08万元，故支出数小于收入数。</w:t>
      </w:r>
    </w:p>
    <w:p w14:paraId="270546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241AF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29E01E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E7399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14BA75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根据区徐水经济开发区管委会2019年预算文本及决算文本，“三公”经费年初预算数82万元，年末决算数54.48万元，“三公”经费控制率=（年末决算数/年初预算数）*100%=66.44%</w:t>
      </w:r>
      <w:r>
        <w:rPr>
          <w:rFonts w:hint="eastAsia" w:ascii="仿宋_GB2312" w:hAnsi="仿宋_GB2312" w:eastAsia="仿宋_GB2312" w:cs="Arial"/>
          <w:sz w:val="32"/>
          <w:szCs w:val="32"/>
        </w:rPr>
        <w:t>&lt;</w:t>
      </w:r>
      <w:r>
        <w:rPr>
          <w:rFonts w:hint="eastAsia" w:ascii="仿宋_GB2312" w:eastAsia="仿宋_GB2312" w:cs="DengXian-Regular"/>
          <w:sz w:val="32"/>
          <w:szCs w:val="32"/>
        </w:rPr>
        <w:t>100%。</w:t>
      </w:r>
    </w:p>
    <w:p w14:paraId="501E86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01886B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0CC827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04375A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A4ACA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根据徐水经济开发区管委会2019年预算文本及决算文本，政府采购年初预算数351.52万元，年末决算数11.62万元，政府采购执行率为3.31%。</w:t>
      </w:r>
    </w:p>
    <w:p w14:paraId="6F0947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该指标实际得分为0分。</w:t>
      </w:r>
    </w:p>
    <w:p w14:paraId="3B0703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B25FA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5F377B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2019年明细账、会计凭证等相关资料，本单位资金使用符合相关会计准则和财务制度，资金拨付有完备的审批程序和手续，资金使用符合部门预算批复的用途，未发现截留、挤占、挪用财政资金的情况。</w:t>
      </w:r>
    </w:p>
    <w:p w14:paraId="7A7217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77DEB9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175127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453BA0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经核查徐水经济开发区2019年决算文本、明细账及总账，本单位决算文本数据均与明细账、总账一致。</w:t>
      </w:r>
    </w:p>
    <w:p w14:paraId="64D204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126517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6DFCB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99A0B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325D1F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徐水经济开发区管委会工作制度涵盖了财务制度、网络安全制度、公务用车制度等相关制度，经检查本单位付款流程审批单、资产盘点表等资料，本单位已按照相关管理制度的规定执行。</w:t>
      </w:r>
    </w:p>
    <w:p w14:paraId="3FE169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59EE39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1F42E1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7FC0E1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徐水经济开发区管委会2019年按政府信息公开的有关要求在保定市徐水区人民政府网公开了2019年的预决算情况、部门责任清单、行政监督清单等相关信息。</w:t>
      </w:r>
    </w:p>
    <w:p w14:paraId="422460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AE380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196A3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3ECB8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根据徐水经济开发区管委会提供的会计账簿、凭证及其他相关资料，该单位会计信息资料真实完整，</w:t>
      </w:r>
    </w:p>
    <w:p w14:paraId="018396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9511D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26786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305CD1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建立了固定资产台账、无形资产台账，资产保存完整，2019年新增资产68.36万元，包含：树苗等植物（53.1万元）、电脑及计算机设备（3.90万元）、办公家具（5.53万元）、特警装备等（5.83万元），资产购置手续完备，配置符合要求，资产管理整体较规范。</w:t>
      </w:r>
    </w:p>
    <w:p w14:paraId="4D079C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27B050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74E8AB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6BEE24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34C42A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F6483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经济开发区2019年一般项目部门绩效自评表，徐水经济开发区2019年开展绩效自评的项目数为15个，年初预算文本项目数15个，要求自评项目个数15个，自评覆盖率为 100%。</w:t>
      </w:r>
    </w:p>
    <w:p w14:paraId="709BD3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F7D9A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364518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0DACCC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35113F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徐水经济开发区管委会2019年参评数量15个，绩效评价结果达到优等的数量12个，绩效评价优等率为80%。</w:t>
      </w:r>
    </w:p>
    <w:p w14:paraId="58E611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该指标实际得分3.2分。</w:t>
      </w:r>
      <w:bookmarkEnd w:id="64"/>
      <w:bookmarkEnd w:id="65"/>
    </w:p>
    <w:p w14:paraId="5A0DCA50">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CEC39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14:paraId="306DE98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56455734">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506619B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94AA81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3367E76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0D1214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E79AAE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5D5E048">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36B77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3F694B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75EB8C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95042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65B82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5E263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70260C8">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A71962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4E5221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28746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FAC8A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F7FC7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4.32</w:t>
            </w:r>
          </w:p>
        </w:tc>
      </w:tr>
      <w:tr w14:paraId="63BDF77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890814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40773F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80D11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BA582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B499E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1D48AE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AE97FC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2AF315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29ACDFE">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06621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661FE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EE29D5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ED3071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3969E0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57CDCE2">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C6302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0F81F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6901388">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720765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0CBB45FC">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92CA8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E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24.32</w:t>
            </w:r>
          </w:p>
        </w:tc>
      </w:tr>
    </w:tbl>
    <w:p w14:paraId="3FB5882E">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14AFEF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8DB18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25F39E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根据区徐水经济开发区管委会2019年决算文本及相关资料，徐水经济开发区管委会2019年结转结余资金86.08万元，决算收入36090.54万元，结转结余率0.24%，小于大于5%。</w:t>
      </w:r>
    </w:p>
    <w:p w14:paraId="742FD1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1125E7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D9A06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3C8967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DBF37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徐水经济开发区管委会2019年实际支出项目资金总额35728.26万元，年初预算共15个项目，预算数16802.87万元，年中追加项目资金24547.45万元，项目资金使用率为86.4%。</w:t>
      </w:r>
    </w:p>
    <w:p w14:paraId="7E1477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该指标实际得分4.3分。</w:t>
      </w:r>
    </w:p>
    <w:p w14:paraId="0FA089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14:paraId="63399C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14:paraId="1063C7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14:paraId="5F7528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本单位2019年年初预算项目及追加项目全部在规定时限内完成，完成及时率达到100%。</w:t>
      </w:r>
    </w:p>
    <w:p w14:paraId="54BBDB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1C217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14:paraId="2A0A96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w:t>
      </w:r>
      <w:r>
        <w:rPr>
          <w:rFonts w:hint="eastAsia" w:ascii="仿宋_GB2312" w:eastAsia="仿宋_GB2312" w:cs="DengXian-Regular"/>
          <w:sz w:val="32"/>
          <w:szCs w:val="32"/>
          <w:lang w:eastAsia="zh-CN"/>
        </w:rPr>
        <w:t>实施</w:t>
      </w:r>
      <w:r>
        <w:rPr>
          <w:rFonts w:hint="eastAsia" w:ascii="仿宋_GB2312" w:eastAsia="仿宋_GB2312" w:cs="DengXian-Regular"/>
          <w:sz w:val="32"/>
          <w:szCs w:val="32"/>
        </w:rPr>
        <w:t>，通过达到绩效标准值的实际项目数与计划项目数的比率来衡量。</w:t>
      </w:r>
    </w:p>
    <w:p w14:paraId="2B687E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14:paraId="02D612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本单位2019年预算项目全部按照绩效标准</w:t>
      </w:r>
      <w:r>
        <w:rPr>
          <w:rFonts w:hint="eastAsia" w:ascii="仿宋_GB2312" w:eastAsia="仿宋_GB2312" w:cs="DengXian-Regular"/>
          <w:sz w:val="32"/>
          <w:szCs w:val="32"/>
          <w:lang w:eastAsia="zh-CN"/>
        </w:rPr>
        <w:t>实施</w:t>
      </w:r>
      <w:r>
        <w:rPr>
          <w:rFonts w:hint="eastAsia" w:ascii="仿宋_GB2312" w:eastAsia="仿宋_GB2312" w:cs="DengXian-Regular"/>
          <w:sz w:val="32"/>
          <w:szCs w:val="32"/>
        </w:rPr>
        <w:t>并全部完成，质量达标率100%。</w:t>
      </w:r>
    </w:p>
    <w:p w14:paraId="194C15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77C76F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14:paraId="700E259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14:paraId="05A42F5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14:paraId="3C5B8C8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本单位2019年重点工作如维稳、环境卫生、招商引资等工作完成数与交办的重点工作数的比率。</w:t>
      </w:r>
    </w:p>
    <w:p w14:paraId="7A2BB69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本单位2019年重点工作如维稳、环境卫生、招商引资等重点工作全部按要求办结。</w:t>
      </w:r>
    </w:p>
    <w:p w14:paraId="3F8B9BE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3A790AFF">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0DB8B0A6">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675D97B3">
      <w:pPr>
        <w:spacing w:after="0" w:line="360" w:lineRule="auto"/>
        <w:jc w:val="center"/>
        <w:textAlignment w:val="baseline"/>
        <w:rPr>
          <w:rFonts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323ADBA0">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864E85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DFEB46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126D73B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F0941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4D320D0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5F9E2DF">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4F2C0E6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7F0A5DA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6A743E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5B0D1E0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46C7EA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36913B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466BF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2071BE21">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2DABD0A">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1F8AFB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00F2AA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0A0F2CC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04CF9D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5B85302">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36DAAE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B5B8FC0">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83C73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02731D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192A460B">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14:paraId="712125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B06FC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本单位提供的相关资料，本单位履行职责对社会发展所带来的社会效益较显著，有效的推进了园区项目的建设、促进了园区企业的发展；通过特警和综合执法的巡逻，维护了社会稳定；保障了园区企业和居民的安全等。该项指标实际得分10分。</w:t>
      </w:r>
    </w:p>
    <w:p w14:paraId="5BE735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51F1242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FEDF87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007C68C4">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033BBFDF">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0A36F984">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BD5E98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6531F4E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5CB08A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035DD40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D3047A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6EEC74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6FB53F0">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E52FB53">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7F303A1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1B7EBD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0989494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B90B63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B3D30D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709F501F">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BBB278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8A92D4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6609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542C21B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871068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973904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21BF42C5">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09150D2">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185E990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693656E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15EAE0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8528CE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9D76F7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16E348F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410EF94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D21759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6ECC830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14:paraId="062C4FD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240E969F">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6D0FED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徐水经济开发区管委会</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020EAE3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1.部分绩效指标方面：绩效指标设置应更加明确，增强绩效指标的针对性。</w:t>
      </w:r>
    </w:p>
    <w:p w14:paraId="196D059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2.预算决算比较：在预算执行过程中，应加强预算监控。</w:t>
      </w:r>
    </w:p>
    <w:p w14:paraId="473AF0F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3.预算追加方面：年初预算应更加细化，减少追加项目。</w:t>
      </w:r>
    </w:p>
    <w:p w14:paraId="7745182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4.政府采购方面：加强政府采购预算执行率。</w:t>
      </w:r>
    </w:p>
    <w:p w14:paraId="3CB4C8C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5.项目资金使用率方面：在预算执行过程中，应合理调度专项资金，提高项目资金的使用效益。</w:t>
      </w:r>
    </w:p>
    <w:bookmarkEnd w:id="75"/>
    <w:bookmarkEnd w:id="76"/>
    <w:p w14:paraId="385B3AAA">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区徐水经济开发区管委会</w:t>
      </w:r>
      <w:r>
        <w:rPr>
          <w:rFonts w:hint="eastAsia" w:ascii="仿宋_GB2312" w:eastAsia="仿宋_GB2312" w:cs="Times New Roman" w:hAnsiTheme="minorEastAsia"/>
          <w:sz w:val="32"/>
          <w:szCs w:val="32"/>
          <w:u w:color="000000"/>
        </w:rPr>
        <w:t>部门基本情况及主要职责</w:t>
      </w:r>
    </w:p>
    <w:p w14:paraId="3B89E1E1">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徐水经济开发区管委会</w:t>
      </w:r>
      <w:r>
        <w:rPr>
          <w:rFonts w:hint="eastAsia" w:ascii="仿宋_GB2312" w:eastAsia="仿宋_GB2312" w:cs="Times New Roman" w:hAnsiTheme="minorEastAsia"/>
          <w:sz w:val="32"/>
          <w:szCs w:val="32"/>
          <w:u w:color="000000"/>
        </w:rPr>
        <w:t>收支预算及决算明细表</w:t>
      </w:r>
    </w:p>
    <w:p w14:paraId="02861459">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1E7AA814">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徐水经济开发区管委会</w:t>
      </w:r>
      <w:r>
        <w:rPr>
          <w:rFonts w:hint="eastAsia" w:ascii="仿宋_GB2312" w:eastAsia="仿宋_GB2312" w:cs="Times New Roman" w:hAnsiTheme="minorEastAsia"/>
          <w:sz w:val="32"/>
          <w:szCs w:val="32"/>
          <w:u w:color="000000"/>
        </w:rPr>
        <w:t>工作活动绩效目标、绩效指标一览表</w:t>
      </w:r>
      <w:bookmarkEnd w:id="77"/>
    </w:p>
    <w:p w14:paraId="0E886323">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A1705F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C452982">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4B98E38">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9CE4986">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3D6A">
    <w:pPr>
      <w:pStyle w:val="14"/>
      <w:jc w:val="center"/>
    </w:pPr>
  </w:p>
  <w:p w14:paraId="006E353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3037">
    <w:pPr>
      <w:pStyle w:val="14"/>
      <w:jc w:val="center"/>
    </w:pPr>
    <w:r>
      <w:fldChar w:fldCharType="begin"/>
    </w:r>
    <w:r>
      <w:instrText xml:space="preserve"> PAGE   \* MERGEFORMAT </w:instrText>
    </w:r>
    <w:r>
      <w:fldChar w:fldCharType="separate"/>
    </w:r>
    <w:r>
      <w:rPr>
        <w:lang w:val="zh-CN"/>
      </w:rPr>
      <w:t>40</w:t>
    </w:r>
    <w:r>
      <w:rPr>
        <w:lang w:val="zh-CN"/>
      </w:rPr>
      <w:fldChar w:fldCharType="end"/>
    </w:r>
  </w:p>
  <w:p w14:paraId="020AF74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E3NGYwYTFmZGE4ZTQ2YmU5NjljNDAyNzdhNjI4MzQifQ=="/>
  </w:docVars>
  <w:rsids>
    <w:rsidRoot w:val="00D31D50"/>
    <w:rsid w:val="0000238E"/>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66AAA"/>
    <w:rsid w:val="00072BF5"/>
    <w:rsid w:val="000752C6"/>
    <w:rsid w:val="00075B78"/>
    <w:rsid w:val="00077648"/>
    <w:rsid w:val="00080E48"/>
    <w:rsid w:val="00081AD8"/>
    <w:rsid w:val="00091476"/>
    <w:rsid w:val="00091D50"/>
    <w:rsid w:val="000935D5"/>
    <w:rsid w:val="0009618D"/>
    <w:rsid w:val="00096195"/>
    <w:rsid w:val="0009756F"/>
    <w:rsid w:val="000A0D25"/>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2779"/>
    <w:rsid w:val="000F3158"/>
    <w:rsid w:val="000F364D"/>
    <w:rsid w:val="000F4432"/>
    <w:rsid w:val="000F465E"/>
    <w:rsid w:val="000F5E8C"/>
    <w:rsid w:val="001000B2"/>
    <w:rsid w:val="00103BB4"/>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26A49"/>
    <w:rsid w:val="00132AE4"/>
    <w:rsid w:val="0013591D"/>
    <w:rsid w:val="001373C8"/>
    <w:rsid w:val="00141DE8"/>
    <w:rsid w:val="00144105"/>
    <w:rsid w:val="00145B4E"/>
    <w:rsid w:val="00147A7C"/>
    <w:rsid w:val="001544E1"/>
    <w:rsid w:val="001551CE"/>
    <w:rsid w:val="00163541"/>
    <w:rsid w:val="00164732"/>
    <w:rsid w:val="001648F0"/>
    <w:rsid w:val="00164FE1"/>
    <w:rsid w:val="001703D7"/>
    <w:rsid w:val="001719D0"/>
    <w:rsid w:val="00172245"/>
    <w:rsid w:val="0017403C"/>
    <w:rsid w:val="00174241"/>
    <w:rsid w:val="0017497B"/>
    <w:rsid w:val="00176E7D"/>
    <w:rsid w:val="001804B7"/>
    <w:rsid w:val="001827F5"/>
    <w:rsid w:val="00183C43"/>
    <w:rsid w:val="00185652"/>
    <w:rsid w:val="00187750"/>
    <w:rsid w:val="00190292"/>
    <w:rsid w:val="001926B8"/>
    <w:rsid w:val="0019341A"/>
    <w:rsid w:val="001952EC"/>
    <w:rsid w:val="001A0F7A"/>
    <w:rsid w:val="001A1677"/>
    <w:rsid w:val="001A5FD3"/>
    <w:rsid w:val="001A6EE2"/>
    <w:rsid w:val="001B0380"/>
    <w:rsid w:val="001B04A4"/>
    <w:rsid w:val="001B1ADB"/>
    <w:rsid w:val="001B30D5"/>
    <w:rsid w:val="001B382A"/>
    <w:rsid w:val="001B5C88"/>
    <w:rsid w:val="001B6CE6"/>
    <w:rsid w:val="001C046D"/>
    <w:rsid w:val="001C1412"/>
    <w:rsid w:val="001C1BCB"/>
    <w:rsid w:val="001C391F"/>
    <w:rsid w:val="001C5135"/>
    <w:rsid w:val="001C796E"/>
    <w:rsid w:val="001D1367"/>
    <w:rsid w:val="001D5041"/>
    <w:rsid w:val="001D5A7C"/>
    <w:rsid w:val="001D76AA"/>
    <w:rsid w:val="001E21EA"/>
    <w:rsid w:val="001E288A"/>
    <w:rsid w:val="001E3ABB"/>
    <w:rsid w:val="001E4C24"/>
    <w:rsid w:val="001E5C43"/>
    <w:rsid w:val="001E6414"/>
    <w:rsid w:val="001F07B6"/>
    <w:rsid w:val="001F0A92"/>
    <w:rsid w:val="001F0B92"/>
    <w:rsid w:val="001F1094"/>
    <w:rsid w:val="001F2F0E"/>
    <w:rsid w:val="001F33AA"/>
    <w:rsid w:val="001F6236"/>
    <w:rsid w:val="00200051"/>
    <w:rsid w:val="00202D5A"/>
    <w:rsid w:val="00205F02"/>
    <w:rsid w:val="00210CF7"/>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5128B"/>
    <w:rsid w:val="002552A4"/>
    <w:rsid w:val="00260245"/>
    <w:rsid w:val="0026252A"/>
    <w:rsid w:val="00262BB1"/>
    <w:rsid w:val="00263D3A"/>
    <w:rsid w:val="002643BE"/>
    <w:rsid w:val="00265325"/>
    <w:rsid w:val="00266E84"/>
    <w:rsid w:val="002715FC"/>
    <w:rsid w:val="002736FD"/>
    <w:rsid w:val="00274CFA"/>
    <w:rsid w:val="00275677"/>
    <w:rsid w:val="00275A3F"/>
    <w:rsid w:val="00276127"/>
    <w:rsid w:val="0028068C"/>
    <w:rsid w:val="00282A89"/>
    <w:rsid w:val="00283F8F"/>
    <w:rsid w:val="00284510"/>
    <w:rsid w:val="002869F9"/>
    <w:rsid w:val="002871FB"/>
    <w:rsid w:val="00292F98"/>
    <w:rsid w:val="002939A0"/>
    <w:rsid w:val="002959A3"/>
    <w:rsid w:val="0029626E"/>
    <w:rsid w:val="00296E59"/>
    <w:rsid w:val="00296FDD"/>
    <w:rsid w:val="00297CEF"/>
    <w:rsid w:val="002A0364"/>
    <w:rsid w:val="002A1661"/>
    <w:rsid w:val="002A1A25"/>
    <w:rsid w:val="002A563C"/>
    <w:rsid w:val="002B05EF"/>
    <w:rsid w:val="002B2E34"/>
    <w:rsid w:val="002B5061"/>
    <w:rsid w:val="002B61E5"/>
    <w:rsid w:val="002B76FA"/>
    <w:rsid w:val="002C029E"/>
    <w:rsid w:val="002C2C71"/>
    <w:rsid w:val="002C4F7B"/>
    <w:rsid w:val="002C5A65"/>
    <w:rsid w:val="002C71F3"/>
    <w:rsid w:val="002D2112"/>
    <w:rsid w:val="002D5314"/>
    <w:rsid w:val="002D53D7"/>
    <w:rsid w:val="002D5508"/>
    <w:rsid w:val="002D5FC1"/>
    <w:rsid w:val="002D7AB3"/>
    <w:rsid w:val="002E1D3C"/>
    <w:rsid w:val="002E1F73"/>
    <w:rsid w:val="002E269D"/>
    <w:rsid w:val="002E3460"/>
    <w:rsid w:val="002E70AE"/>
    <w:rsid w:val="002F0C41"/>
    <w:rsid w:val="002F2694"/>
    <w:rsid w:val="002F5B6A"/>
    <w:rsid w:val="002F5BF5"/>
    <w:rsid w:val="002F5ECA"/>
    <w:rsid w:val="00302B6A"/>
    <w:rsid w:val="00306572"/>
    <w:rsid w:val="003079C7"/>
    <w:rsid w:val="00313CB0"/>
    <w:rsid w:val="003169F3"/>
    <w:rsid w:val="00316D95"/>
    <w:rsid w:val="0032078D"/>
    <w:rsid w:val="00321CE0"/>
    <w:rsid w:val="0032231F"/>
    <w:rsid w:val="00323B43"/>
    <w:rsid w:val="00325BCC"/>
    <w:rsid w:val="003309A3"/>
    <w:rsid w:val="003345BC"/>
    <w:rsid w:val="00343662"/>
    <w:rsid w:val="0035365E"/>
    <w:rsid w:val="00355403"/>
    <w:rsid w:val="00355AEA"/>
    <w:rsid w:val="003569A8"/>
    <w:rsid w:val="00361F94"/>
    <w:rsid w:val="00361FFF"/>
    <w:rsid w:val="00362340"/>
    <w:rsid w:val="003653A5"/>
    <w:rsid w:val="00366971"/>
    <w:rsid w:val="00367DF7"/>
    <w:rsid w:val="00370AFA"/>
    <w:rsid w:val="0037120F"/>
    <w:rsid w:val="00371DD1"/>
    <w:rsid w:val="0037242E"/>
    <w:rsid w:val="003743E9"/>
    <w:rsid w:val="0037492F"/>
    <w:rsid w:val="0038005F"/>
    <w:rsid w:val="003803CC"/>
    <w:rsid w:val="00382949"/>
    <w:rsid w:val="00384F34"/>
    <w:rsid w:val="0039000B"/>
    <w:rsid w:val="00391AE3"/>
    <w:rsid w:val="00396D4C"/>
    <w:rsid w:val="003A02BE"/>
    <w:rsid w:val="003A1765"/>
    <w:rsid w:val="003A3C32"/>
    <w:rsid w:val="003A41D2"/>
    <w:rsid w:val="003A4D02"/>
    <w:rsid w:val="003A4D52"/>
    <w:rsid w:val="003A536E"/>
    <w:rsid w:val="003B07E2"/>
    <w:rsid w:val="003B6DEC"/>
    <w:rsid w:val="003B79D3"/>
    <w:rsid w:val="003C2B92"/>
    <w:rsid w:val="003D126B"/>
    <w:rsid w:val="003D1D33"/>
    <w:rsid w:val="003D22C9"/>
    <w:rsid w:val="003D28AC"/>
    <w:rsid w:val="003D37D8"/>
    <w:rsid w:val="003D7B2A"/>
    <w:rsid w:val="003E266C"/>
    <w:rsid w:val="003E3C05"/>
    <w:rsid w:val="003F282F"/>
    <w:rsid w:val="00400871"/>
    <w:rsid w:val="00400E89"/>
    <w:rsid w:val="00401AB4"/>
    <w:rsid w:val="00402CA2"/>
    <w:rsid w:val="00402D95"/>
    <w:rsid w:val="00403ADD"/>
    <w:rsid w:val="0040619C"/>
    <w:rsid w:val="00407629"/>
    <w:rsid w:val="004108EE"/>
    <w:rsid w:val="00410F1A"/>
    <w:rsid w:val="00412A31"/>
    <w:rsid w:val="004200B9"/>
    <w:rsid w:val="00426133"/>
    <w:rsid w:val="004300B1"/>
    <w:rsid w:val="00430AF8"/>
    <w:rsid w:val="0043148F"/>
    <w:rsid w:val="0043326E"/>
    <w:rsid w:val="0043354D"/>
    <w:rsid w:val="00434EB0"/>
    <w:rsid w:val="004358AB"/>
    <w:rsid w:val="00435DA7"/>
    <w:rsid w:val="00436D8D"/>
    <w:rsid w:val="004370A2"/>
    <w:rsid w:val="00440084"/>
    <w:rsid w:val="00445C28"/>
    <w:rsid w:val="004468B5"/>
    <w:rsid w:val="00446A96"/>
    <w:rsid w:val="00450A5C"/>
    <w:rsid w:val="00451E9F"/>
    <w:rsid w:val="004551F1"/>
    <w:rsid w:val="00456648"/>
    <w:rsid w:val="00457E00"/>
    <w:rsid w:val="0046193F"/>
    <w:rsid w:val="00461E7C"/>
    <w:rsid w:val="004639E0"/>
    <w:rsid w:val="00463A6D"/>
    <w:rsid w:val="00465A21"/>
    <w:rsid w:val="0047047F"/>
    <w:rsid w:val="00472C49"/>
    <w:rsid w:val="00474DE3"/>
    <w:rsid w:val="00477959"/>
    <w:rsid w:val="004800A9"/>
    <w:rsid w:val="004834CF"/>
    <w:rsid w:val="00486217"/>
    <w:rsid w:val="00486A56"/>
    <w:rsid w:val="00494D73"/>
    <w:rsid w:val="004A19C4"/>
    <w:rsid w:val="004A6EA4"/>
    <w:rsid w:val="004A7997"/>
    <w:rsid w:val="004B146A"/>
    <w:rsid w:val="004B1E69"/>
    <w:rsid w:val="004B334B"/>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5F01"/>
    <w:rsid w:val="004E642E"/>
    <w:rsid w:val="004E7ADC"/>
    <w:rsid w:val="004F4875"/>
    <w:rsid w:val="005031BA"/>
    <w:rsid w:val="005049A0"/>
    <w:rsid w:val="00507211"/>
    <w:rsid w:val="00507934"/>
    <w:rsid w:val="00507BF9"/>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3293"/>
    <w:rsid w:val="005432B2"/>
    <w:rsid w:val="00544C1A"/>
    <w:rsid w:val="00546D1B"/>
    <w:rsid w:val="0055027D"/>
    <w:rsid w:val="00552121"/>
    <w:rsid w:val="00554FA1"/>
    <w:rsid w:val="00556934"/>
    <w:rsid w:val="005607DF"/>
    <w:rsid w:val="00564377"/>
    <w:rsid w:val="00564538"/>
    <w:rsid w:val="00566A89"/>
    <w:rsid w:val="00567E07"/>
    <w:rsid w:val="005771F7"/>
    <w:rsid w:val="00577B7B"/>
    <w:rsid w:val="00583F7F"/>
    <w:rsid w:val="0058429D"/>
    <w:rsid w:val="00585648"/>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1783"/>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65EFF"/>
    <w:rsid w:val="00674C4B"/>
    <w:rsid w:val="0067780F"/>
    <w:rsid w:val="00685417"/>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13F0"/>
    <w:rsid w:val="006E27F1"/>
    <w:rsid w:val="006E5BC8"/>
    <w:rsid w:val="006E6B33"/>
    <w:rsid w:val="006E7CBA"/>
    <w:rsid w:val="006F222F"/>
    <w:rsid w:val="006F768F"/>
    <w:rsid w:val="006F7B69"/>
    <w:rsid w:val="00700849"/>
    <w:rsid w:val="0070241F"/>
    <w:rsid w:val="007024A9"/>
    <w:rsid w:val="00703C96"/>
    <w:rsid w:val="00703D0F"/>
    <w:rsid w:val="007076D9"/>
    <w:rsid w:val="007130D7"/>
    <w:rsid w:val="0071315E"/>
    <w:rsid w:val="00713E98"/>
    <w:rsid w:val="00715591"/>
    <w:rsid w:val="00715AE8"/>
    <w:rsid w:val="0072516F"/>
    <w:rsid w:val="0073034D"/>
    <w:rsid w:val="00731ADC"/>
    <w:rsid w:val="007330F2"/>
    <w:rsid w:val="00733DB0"/>
    <w:rsid w:val="00735043"/>
    <w:rsid w:val="00740444"/>
    <w:rsid w:val="00740CA1"/>
    <w:rsid w:val="00744577"/>
    <w:rsid w:val="007452CF"/>
    <w:rsid w:val="00746055"/>
    <w:rsid w:val="00746DA9"/>
    <w:rsid w:val="00747086"/>
    <w:rsid w:val="007515E2"/>
    <w:rsid w:val="00756997"/>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0C8"/>
    <w:rsid w:val="007C2D10"/>
    <w:rsid w:val="007C457D"/>
    <w:rsid w:val="007C6927"/>
    <w:rsid w:val="007D02A9"/>
    <w:rsid w:val="007D166D"/>
    <w:rsid w:val="007D17C7"/>
    <w:rsid w:val="007D2766"/>
    <w:rsid w:val="007D2FF7"/>
    <w:rsid w:val="007D74D8"/>
    <w:rsid w:val="007E13A4"/>
    <w:rsid w:val="007E1EDA"/>
    <w:rsid w:val="007E20CA"/>
    <w:rsid w:val="007E3988"/>
    <w:rsid w:val="007E4698"/>
    <w:rsid w:val="007E6959"/>
    <w:rsid w:val="007E6991"/>
    <w:rsid w:val="007E6A1A"/>
    <w:rsid w:val="007E7A36"/>
    <w:rsid w:val="007F222D"/>
    <w:rsid w:val="007F3FB7"/>
    <w:rsid w:val="007F518D"/>
    <w:rsid w:val="007F68FE"/>
    <w:rsid w:val="007F7E7E"/>
    <w:rsid w:val="00803C29"/>
    <w:rsid w:val="00804E5E"/>
    <w:rsid w:val="00804FAA"/>
    <w:rsid w:val="00805678"/>
    <w:rsid w:val="00805D26"/>
    <w:rsid w:val="00810EDA"/>
    <w:rsid w:val="0081553D"/>
    <w:rsid w:val="00815BE9"/>
    <w:rsid w:val="00815C94"/>
    <w:rsid w:val="00815CF6"/>
    <w:rsid w:val="00816990"/>
    <w:rsid w:val="00817981"/>
    <w:rsid w:val="00822851"/>
    <w:rsid w:val="00824A75"/>
    <w:rsid w:val="0082509A"/>
    <w:rsid w:val="00825A51"/>
    <w:rsid w:val="00825D53"/>
    <w:rsid w:val="008272DF"/>
    <w:rsid w:val="0083008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14D"/>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44CF"/>
    <w:rsid w:val="008857CC"/>
    <w:rsid w:val="0089314F"/>
    <w:rsid w:val="0089328E"/>
    <w:rsid w:val="00894929"/>
    <w:rsid w:val="0089513A"/>
    <w:rsid w:val="00896069"/>
    <w:rsid w:val="00896786"/>
    <w:rsid w:val="008976AB"/>
    <w:rsid w:val="008A2C15"/>
    <w:rsid w:val="008A3DBA"/>
    <w:rsid w:val="008A483E"/>
    <w:rsid w:val="008A5601"/>
    <w:rsid w:val="008A7984"/>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8F6970"/>
    <w:rsid w:val="009002A3"/>
    <w:rsid w:val="0090038C"/>
    <w:rsid w:val="009007C7"/>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41FF"/>
    <w:rsid w:val="00945198"/>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3F5D"/>
    <w:rsid w:val="00984D41"/>
    <w:rsid w:val="009852BB"/>
    <w:rsid w:val="009853C4"/>
    <w:rsid w:val="0098547C"/>
    <w:rsid w:val="009860B4"/>
    <w:rsid w:val="00986724"/>
    <w:rsid w:val="0098718E"/>
    <w:rsid w:val="00994269"/>
    <w:rsid w:val="0099439A"/>
    <w:rsid w:val="00994737"/>
    <w:rsid w:val="009965BC"/>
    <w:rsid w:val="009A0F00"/>
    <w:rsid w:val="009A37AE"/>
    <w:rsid w:val="009A4059"/>
    <w:rsid w:val="009A47EF"/>
    <w:rsid w:val="009A619C"/>
    <w:rsid w:val="009B1979"/>
    <w:rsid w:val="009B1E1B"/>
    <w:rsid w:val="009B1E74"/>
    <w:rsid w:val="009B2CC0"/>
    <w:rsid w:val="009B4C38"/>
    <w:rsid w:val="009B566A"/>
    <w:rsid w:val="009C0523"/>
    <w:rsid w:val="009C0DAB"/>
    <w:rsid w:val="009C1E20"/>
    <w:rsid w:val="009D0378"/>
    <w:rsid w:val="009D0F18"/>
    <w:rsid w:val="009D1EFB"/>
    <w:rsid w:val="009D5964"/>
    <w:rsid w:val="009D6A0C"/>
    <w:rsid w:val="009E0725"/>
    <w:rsid w:val="009E1492"/>
    <w:rsid w:val="009E4B3F"/>
    <w:rsid w:val="009E5877"/>
    <w:rsid w:val="009E701C"/>
    <w:rsid w:val="009F5F5E"/>
    <w:rsid w:val="009F69B0"/>
    <w:rsid w:val="00A0310D"/>
    <w:rsid w:val="00A073F4"/>
    <w:rsid w:val="00A0760B"/>
    <w:rsid w:val="00A07BBE"/>
    <w:rsid w:val="00A16439"/>
    <w:rsid w:val="00A21057"/>
    <w:rsid w:val="00A217CE"/>
    <w:rsid w:val="00A21E86"/>
    <w:rsid w:val="00A22DFB"/>
    <w:rsid w:val="00A305E3"/>
    <w:rsid w:val="00A353F1"/>
    <w:rsid w:val="00A357B0"/>
    <w:rsid w:val="00A35B22"/>
    <w:rsid w:val="00A37088"/>
    <w:rsid w:val="00A42B99"/>
    <w:rsid w:val="00A479B6"/>
    <w:rsid w:val="00A50D3C"/>
    <w:rsid w:val="00A532E3"/>
    <w:rsid w:val="00A54D9C"/>
    <w:rsid w:val="00A57200"/>
    <w:rsid w:val="00A57865"/>
    <w:rsid w:val="00A62284"/>
    <w:rsid w:val="00A62B31"/>
    <w:rsid w:val="00A64850"/>
    <w:rsid w:val="00A64BD8"/>
    <w:rsid w:val="00A65003"/>
    <w:rsid w:val="00A65202"/>
    <w:rsid w:val="00A65611"/>
    <w:rsid w:val="00A65CFF"/>
    <w:rsid w:val="00A6687F"/>
    <w:rsid w:val="00A66B19"/>
    <w:rsid w:val="00A66D0D"/>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4618"/>
    <w:rsid w:val="00AD5147"/>
    <w:rsid w:val="00AE0837"/>
    <w:rsid w:val="00AE11C8"/>
    <w:rsid w:val="00AE355C"/>
    <w:rsid w:val="00AE4EFC"/>
    <w:rsid w:val="00AE5731"/>
    <w:rsid w:val="00AE7127"/>
    <w:rsid w:val="00AF6BA2"/>
    <w:rsid w:val="00AF7801"/>
    <w:rsid w:val="00B019E2"/>
    <w:rsid w:val="00B020ED"/>
    <w:rsid w:val="00B022E6"/>
    <w:rsid w:val="00B036CB"/>
    <w:rsid w:val="00B130D5"/>
    <w:rsid w:val="00B13566"/>
    <w:rsid w:val="00B13A54"/>
    <w:rsid w:val="00B14220"/>
    <w:rsid w:val="00B16868"/>
    <w:rsid w:val="00B17251"/>
    <w:rsid w:val="00B2159A"/>
    <w:rsid w:val="00B21D32"/>
    <w:rsid w:val="00B225D3"/>
    <w:rsid w:val="00B313B2"/>
    <w:rsid w:val="00B34A43"/>
    <w:rsid w:val="00B36912"/>
    <w:rsid w:val="00B404A0"/>
    <w:rsid w:val="00B4256A"/>
    <w:rsid w:val="00B432AB"/>
    <w:rsid w:val="00B54D75"/>
    <w:rsid w:val="00B552F4"/>
    <w:rsid w:val="00B60C2A"/>
    <w:rsid w:val="00B65FC0"/>
    <w:rsid w:val="00B707DD"/>
    <w:rsid w:val="00B719F4"/>
    <w:rsid w:val="00B73995"/>
    <w:rsid w:val="00B74DBC"/>
    <w:rsid w:val="00B75E08"/>
    <w:rsid w:val="00B76684"/>
    <w:rsid w:val="00B7698F"/>
    <w:rsid w:val="00B84FA3"/>
    <w:rsid w:val="00B85F5F"/>
    <w:rsid w:val="00B86395"/>
    <w:rsid w:val="00B86E2B"/>
    <w:rsid w:val="00B87311"/>
    <w:rsid w:val="00B91DEC"/>
    <w:rsid w:val="00B92A56"/>
    <w:rsid w:val="00B931F8"/>
    <w:rsid w:val="00B95DB0"/>
    <w:rsid w:val="00B9722F"/>
    <w:rsid w:val="00B97741"/>
    <w:rsid w:val="00BA0721"/>
    <w:rsid w:val="00BA1883"/>
    <w:rsid w:val="00BA227D"/>
    <w:rsid w:val="00BA4C84"/>
    <w:rsid w:val="00BA6373"/>
    <w:rsid w:val="00BC09FC"/>
    <w:rsid w:val="00BC0DD5"/>
    <w:rsid w:val="00BC60E6"/>
    <w:rsid w:val="00BC7B04"/>
    <w:rsid w:val="00BE4424"/>
    <w:rsid w:val="00BE66AA"/>
    <w:rsid w:val="00BE73B9"/>
    <w:rsid w:val="00BF0886"/>
    <w:rsid w:val="00BF444F"/>
    <w:rsid w:val="00BF77F5"/>
    <w:rsid w:val="00C01D8A"/>
    <w:rsid w:val="00C023EF"/>
    <w:rsid w:val="00C1338D"/>
    <w:rsid w:val="00C15415"/>
    <w:rsid w:val="00C16FE4"/>
    <w:rsid w:val="00C172EB"/>
    <w:rsid w:val="00C22F98"/>
    <w:rsid w:val="00C2363B"/>
    <w:rsid w:val="00C26560"/>
    <w:rsid w:val="00C3062F"/>
    <w:rsid w:val="00C32E7A"/>
    <w:rsid w:val="00C3633B"/>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1AD"/>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011"/>
    <w:rsid w:val="00CC6216"/>
    <w:rsid w:val="00CC6A8D"/>
    <w:rsid w:val="00CC70FA"/>
    <w:rsid w:val="00CD37C3"/>
    <w:rsid w:val="00CD3911"/>
    <w:rsid w:val="00CD48EF"/>
    <w:rsid w:val="00CD4BA1"/>
    <w:rsid w:val="00CD59A6"/>
    <w:rsid w:val="00CE328A"/>
    <w:rsid w:val="00CE33C1"/>
    <w:rsid w:val="00CE3834"/>
    <w:rsid w:val="00CF148C"/>
    <w:rsid w:val="00CF3838"/>
    <w:rsid w:val="00CF3D94"/>
    <w:rsid w:val="00CF48A3"/>
    <w:rsid w:val="00CF5081"/>
    <w:rsid w:val="00D00377"/>
    <w:rsid w:val="00D058E4"/>
    <w:rsid w:val="00D07178"/>
    <w:rsid w:val="00D11C0B"/>
    <w:rsid w:val="00D11EE9"/>
    <w:rsid w:val="00D13F47"/>
    <w:rsid w:val="00D14E66"/>
    <w:rsid w:val="00D16E40"/>
    <w:rsid w:val="00D17631"/>
    <w:rsid w:val="00D17CD3"/>
    <w:rsid w:val="00D21B22"/>
    <w:rsid w:val="00D24AEB"/>
    <w:rsid w:val="00D24AFD"/>
    <w:rsid w:val="00D27902"/>
    <w:rsid w:val="00D27984"/>
    <w:rsid w:val="00D31D50"/>
    <w:rsid w:val="00D323E9"/>
    <w:rsid w:val="00D34F5B"/>
    <w:rsid w:val="00D35023"/>
    <w:rsid w:val="00D403B8"/>
    <w:rsid w:val="00D406D4"/>
    <w:rsid w:val="00D4108C"/>
    <w:rsid w:val="00D45C1B"/>
    <w:rsid w:val="00D45E14"/>
    <w:rsid w:val="00D51C9A"/>
    <w:rsid w:val="00D5318C"/>
    <w:rsid w:val="00D53371"/>
    <w:rsid w:val="00D53BD5"/>
    <w:rsid w:val="00D55621"/>
    <w:rsid w:val="00D6000E"/>
    <w:rsid w:val="00D713D6"/>
    <w:rsid w:val="00D727F1"/>
    <w:rsid w:val="00D72DAF"/>
    <w:rsid w:val="00D75BB9"/>
    <w:rsid w:val="00D76276"/>
    <w:rsid w:val="00D77919"/>
    <w:rsid w:val="00D8083C"/>
    <w:rsid w:val="00D80FFC"/>
    <w:rsid w:val="00D85F8D"/>
    <w:rsid w:val="00D872EC"/>
    <w:rsid w:val="00D87F81"/>
    <w:rsid w:val="00D90E39"/>
    <w:rsid w:val="00D97E89"/>
    <w:rsid w:val="00DA3A98"/>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4B84"/>
    <w:rsid w:val="00DD7F91"/>
    <w:rsid w:val="00DE0985"/>
    <w:rsid w:val="00DE42BF"/>
    <w:rsid w:val="00DE4A1A"/>
    <w:rsid w:val="00DE4E11"/>
    <w:rsid w:val="00DE53FE"/>
    <w:rsid w:val="00DE6ED8"/>
    <w:rsid w:val="00DF0524"/>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614"/>
    <w:rsid w:val="00E53ACE"/>
    <w:rsid w:val="00E5519B"/>
    <w:rsid w:val="00E55FEE"/>
    <w:rsid w:val="00E57BD3"/>
    <w:rsid w:val="00E57D38"/>
    <w:rsid w:val="00E65332"/>
    <w:rsid w:val="00E65F77"/>
    <w:rsid w:val="00E670CD"/>
    <w:rsid w:val="00E67EA9"/>
    <w:rsid w:val="00E7662D"/>
    <w:rsid w:val="00E7727F"/>
    <w:rsid w:val="00E83519"/>
    <w:rsid w:val="00E91889"/>
    <w:rsid w:val="00E91F0F"/>
    <w:rsid w:val="00E92C54"/>
    <w:rsid w:val="00E944E2"/>
    <w:rsid w:val="00E95C54"/>
    <w:rsid w:val="00E96103"/>
    <w:rsid w:val="00EA027D"/>
    <w:rsid w:val="00EB22CF"/>
    <w:rsid w:val="00EB3414"/>
    <w:rsid w:val="00EB39DD"/>
    <w:rsid w:val="00EB40E4"/>
    <w:rsid w:val="00EB483C"/>
    <w:rsid w:val="00EB67BA"/>
    <w:rsid w:val="00EC16F8"/>
    <w:rsid w:val="00EC306F"/>
    <w:rsid w:val="00EC374C"/>
    <w:rsid w:val="00EC408E"/>
    <w:rsid w:val="00EC41F2"/>
    <w:rsid w:val="00EC4EB3"/>
    <w:rsid w:val="00EC5617"/>
    <w:rsid w:val="00EC7457"/>
    <w:rsid w:val="00EC7C9E"/>
    <w:rsid w:val="00ED230D"/>
    <w:rsid w:val="00ED2440"/>
    <w:rsid w:val="00EE1C0B"/>
    <w:rsid w:val="00EE59D0"/>
    <w:rsid w:val="00EE7FF3"/>
    <w:rsid w:val="00EF1370"/>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166E5"/>
    <w:rsid w:val="00F21AC1"/>
    <w:rsid w:val="00F22D55"/>
    <w:rsid w:val="00F24A9A"/>
    <w:rsid w:val="00F2592D"/>
    <w:rsid w:val="00F25C5F"/>
    <w:rsid w:val="00F3182D"/>
    <w:rsid w:val="00F34EF2"/>
    <w:rsid w:val="00F3580F"/>
    <w:rsid w:val="00F406BB"/>
    <w:rsid w:val="00F44AD0"/>
    <w:rsid w:val="00F45A7A"/>
    <w:rsid w:val="00F50379"/>
    <w:rsid w:val="00F55102"/>
    <w:rsid w:val="00F56FEE"/>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1AD3"/>
    <w:rsid w:val="00FA3581"/>
    <w:rsid w:val="00FB10B8"/>
    <w:rsid w:val="00FB24BA"/>
    <w:rsid w:val="00FB28C8"/>
    <w:rsid w:val="00FB381D"/>
    <w:rsid w:val="00FB40AD"/>
    <w:rsid w:val="00FB6172"/>
    <w:rsid w:val="00FB6492"/>
    <w:rsid w:val="00FC007D"/>
    <w:rsid w:val="00FC131A"/>
    <w:rsid w:val="00FC224A"/>
    <w:rsid w:val="00FC43D6"/>
    <w:rsid w:val="00FC4AD3"/>
    <w:rsid w:val="00FD1ECF"/>
    <w:rsid w:val="00FD2208"/>
    <w:rsid w:val="00FD2EC4"/>
    <w:rsid w:val="00FD63D3"/>
    <w:rsid w:val="00FD717D"/>
    <w:rsid w:val="00FE14C7"/>
    <w:rsid w:val="00FE44CF"/>
    <w:rsid w:val="00FF1239"/>
    <w:rsid w:val="00FF1AC1"/>
    <w:rsid w:val="00FF5DE3"/>
    <w:rsid w:val="00FF62F7"/>
    <w:rsid w:val="00FF6EAF"/>
    <w:rsid w:val="00FF7408"/>
    <w:rsid w:val="01F65399"/>
    <w:rsid w:val="026A1A9F"/>
    <w:rsid w:val="03226A0E"/>
    <w:rsid w:val="04260169"/>
    <w:rsid w:val="0478256E"/>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CE265BB"/>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1F34293"/>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1530A0"/>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0A63C2"/>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一般公共服务支出</c:v>
                </c:pt>
                <c:pt idx="1">
                  <c:v>公共安全支出</c:v>
                </c:pt>
                <c:pt idx="2">
                  <c:v>社会保障和就业支出</c:v>
                </c:pt>
                <c:pt idx="3">
                  <c:v>卫生健康支出</c:v>
                </c:pt>
                <c:pt idx="4">
                  <c:v>城乡社区支出</c:v>
                </c:pt>
                <c:pt idx="5">
                  <c:v>住房保障支出</c:v>
                </c:pt>
              </c:strCache>
            </c:strRef>
          </c:cat>
          <c:val>
            <c:numRef>
              <c:f>Sheet1!$B$2:$B$7</c:f>
              <c:numCache>
                <c:formatCode>0.00%</c:formatCode>
                <c:ptCount val="6"/>
                <c:pt idx="0">
                  <c:v>0.103</c:v>
                </c:pt>
                <c:pt idx="1">
                  <c:v>0.0146</c:v>
                </c:pt>
                <c:pt idx="2">
                  <c:v>0.0021</c:v>
                </c:pt>
                <c:pt idx="3">
                  <c:v>0.0006</c:v>
                </c:pt>
                <c:pt idx="4">
                  <c:v>0.8785</c:v>
                </c:pt>
                <c:pt idx="5">
                  <c:v>0.0012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c3cf778-c1df-4f2d-ac72-f1c073f406c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Sheet1!$B$37</c:f>
              <c:strCache>
                <c:ptCount val="1"/>
                <c:pt idx="0">
                  <c:v>预算收入(万元)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Sheet1!$A$38:$A$45</c:f>
              <c:strCache>
                <c:ptCount val="8"/>
                <c:pt idx="0">
                  <c:v>一般公共服务支出</c:v>
                </c:pt>
                <c:pt idx="1">
                  <c:v>公共安全支出</c:v>
                </c:pt>
                <c:pt idx="2">
                  <c:v>教育支出</c:v>
                </c:pt>
                <c:pt idx="3">
                  <c:v>科学技术支出</c:v>
                </c:pt>
                <c:pt idx="4">
                  <c:v>社会保障和就业支出</c:v>
                </c:pt>
                <c:pt idx="5">
                  <c:v>卫生健康支出</c:v>
                </c:pt>
                <c:pt idx="6">
                  <c:v>城乡社区支出</c:v>
                </c:pt>
                <c:pt idx="7">
                  <c:v>住房保障支出</c:v>
                </c:pt>
              </c:strCache>
            </c:strRef>
          </c:cat>
          <c:val>
            <c:numRef>
              <c:f>Sheet1!$B$38:$B$45</c:f>
              <c:numCache>
                <c:formatCode>General</c:formatCode>
                <c:ptCount val="8"/>
                <c:pt idx="0">
                  <c:v>1106.94</c:v>
                </c:pt>
                <c:pt idx="1">
                  <c:v>156.68</c:v>
                </c:pt>
                <c:pt idx="2">
                  <c:v>0</c:v>
                </c:pt>
                <c:pt idx="3">
                  <c:v>0</c:v>
                </c:pt>
                <c:pt idx="4">
                  <c:v>22.28</c:v>
                </c:pt>
                <c:pt idx="5">
                  <c:v>6.79</c:v>
                </c:pt>
                <c:pt idx="6">
                  <c:v>15815.03</c:v>
                </c:pt>
                <c:pt idx="7">
                  <c:v>13.37</c:v>
                </c:pt>
              </c:numCache>
            </c:numRef>
          </c:val>
        </c:ser>
        <c:ser>
          <c:idx val="1"/>
          <c:order val="1"/>
          <c:tx>
            <c:strRef>
              <c:f>Sheet1!$C$37</c:f>
              <c:strCache>
                <c:ptCount val="1"/>
                <c:pt idx="0">
                  <c:v>决算收入（万元）</c:v>
                </c:pt>
              </c:strCache>
            </c:strRef>
          </c:tx>
          <c:invertIfNegative val="0"/>
          <c:dLbls>
            <c:dLbl>
              <c:idx val="1"/>
              <c:layout>
                <c:manualLayout>
                  <c:x val="0.00422609614368727"/>
                  <c:y val="-0.01379310344827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22609614368727"/>
                  <c:y val="-0.01609195402298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1379310344827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Sheet1!$A$38:$A$45</c:f>
              <c:strCache>
                <c:ptCount val="8"/>
                <c:pt idx="0">
                  <c:v>一般公共服务支出</c:v>
                </c:pt>
                <c:pt idx="1">
                  <c:v>公共安全支出</c:v>
                </c:pt>
                <c:pt idx="2">
                  <c:v>教育支出</c:v>
                </c:pt>
                <c:pt idx="3">
                  <c:v>科学技术支出</c:v>
                </c:pt>
                <c:pt idx="4">
                  <c:v>社会保障和就业支出</c:v>
                </c:pt>
                <c:pt idx="5">
                  <c:v>卫生健康支出</c:v>
                </c:pt>
                <c:pt idx="6">
                  <c:v>城乡社区支出</c:v>
                </c:pt>
                <c:pt idx="7">
                  <c:v>住房保障支出</c:v>
                </c:pt>
              </c:strCache>
            </c:strRef>
          </c:cat>
          <c:val>
            <c:numRef>
              <c:f>Sheet1!$C$38:$C$45</c:f>
              <c:numCache>
                <c:formatCode>General</c:formatCode>
                <c:ptCount val="8"/>
                <c:pt idx="0">
                  <c:v>2625.36</c:v>
                </c:pt>
                <c:pt idx="1">
                  <c:v>98.65</c:v>
                </c:pt>
                <c:pt idx="2">
                  <c:v>768.56</c:v>
                </c:pt>
                <c:pt idx="3">
                  <c:v>500</c:v>
                </c:pt>
                <c:pt idx="4">
                  <c:v>19.45</c:v>
                </c:pt>
                <c:pt idx="5">
                  <c:v>6.78</c:v>
                </c:pt>
                <c:pt idx="6">
                  <c:v>4173.82</c:v>
                </c:pt>
                <c:pt idx="7">
                  <c:v>2560.07</c:v>
                </c:pt>
              </c:numCache>
            </c:numRef>
          </c:val>
        </c:ser>
        <c:dLbls>
          <c:showLegendKey val="0"/>
          <c:showVal val="0"/>
          <c:showCatName val="0"/>
          <c:showSerName val="0"/>
          <c:showPercent val="0"/>
          <c:showBubbleSize val="0"/>
        </c:dLbls>
        <c:gapWidth val="150"/>
        <c:axId val="172271488"/>
        <c:axId val="131145728"/>
      </c:barChart>
      <c:catAx>
        <c:axId val="1722714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145728"/>
        <c:crosses val="autoZero"/>
        <c:auto val="1"/>
        <c:lblAlgn val="ctr"/>
        <c:lblOffset val="100"/>
        <c:noMultiLvlLbl val="0"/>
      </c:catAx>
      <c:valAx>
        <c:axId val="13114572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2714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9d8be36-7779-42b7-8f2c-fdcc62d82d2f}"/>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一般公共服务支出</c:v>
                </c:pt>
                <c:pt idx="1">
                  <c:v>公共安全支出</c:v>
                </c:pt>
                <c:pt idx="2">
                  <c:v>教育支出</c:v>
                </c:pt>
                <c:pt idx="3">
                  <c:v>科学技术支出</c:v>
                </c:pt>
                <c:pt idx="4">
                  <c:v>社会保障和就业支出</c:v>
                </c:pt>
                <c:pt idx="5">
                  <c:v>卫生健康支出</c:v>
                </c:pt>
                <c:pt idx="6">
                  <c:v>城乡社区支出</c:v>
                </c:pt>
                <c:pt idx="7">
                  <c:v>住房保障支出</c:v>
                </c:pt>
              </c:strCache>
            </c:strRef>
          </c:cat>
          <c:val>
            <c:numRef>
              <c:f>Sheet1!$B$2:$B$9</c:f>
              <c:numCache>
                <c:formatCode>0.00%</c:formatCode>
                <c:ptCount val="8"/>
                <c:pt idx="0">
                  <c:v>0.6259</c:v>
                </c:pt>
                <c:pt idx="1">
                  <c:v>0.0027</c:v>
                </c:pt>
                <c:pt idx="2">
                  <c:v>0.0213</c:v>
                </c:pt>
                <c:pt idx="3">
                  <c:v>0.0139</c:v>
                </c:pt>
                <c:pt idx="4">
                  <c:v>0.0005</c:v>
                </c:pt>
                <c:pt idx="5">
                  <c:v>0.0002</c:v>
                </c:pt>
                <c:pt idx="6">
                  <c:v>0.1477</c:v>
                </c:pt>
                <c:pt idx="7">
                  <c:v>0.1877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a08cf6a-ce64-49e6-baab-03944f883811}"/>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Sheet1!$B$39</c:f>
              <c:strCache>
                <c:ptCount val="1"/>
                <c:pt idx="0">
                  <c:v>预算支出(万元)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Sheet1!$A$40:$A$47</c:f>
              <c:strCache>
                <c:ptCount val="8"/>
                <c:pt idx="0">
                  <c:v>一般公共服务支出</c:v>
                </c:pt>
                <c:pt idx="1">
                  <c:v>公共安全支出</c:v>
                </c:pt>
                <c:pt idx="2">
                  <c:v>教育支出</c:v>
                </c:pt>
                <c:pt idx="3">
                  <c:v>科学技术支出</c:v>
                </c:pt>
                <c:pt idx="4">
                  <c:v>社会保障和就业支出</c:v>
                </c:pt>
                <c:pt idx="5">
                  <c:v>卫生健康支出</c:v>
                </c:pt>
                <c:pt idx="6">
                  <c:v>城乡社区支出</c:v>
                </c:pt>
                <c:pt idx="7">
                  <c:v>住房保障支出</c:v>
                </c:pt>
              </c:strCache>
            </c:strRef>
          </c:cat>
          <c:val>
            <c:numRef>
              <c:f>Sheet1!$B$40:$B$47</c:f>
              <c:numCache>
                <c:formatCode>General</c:formatCode>
                <c:ptCount val="8"/>
                <c:pt idx="0">
                  <c:v>1106.94</c:v>
                </c:pt>
                <c:pt idx="1">
                  <c:v>156.68</c:v>
                </c:pt>
                <c:pt idx="2">
                  <c:v>0</c:v>
                </c:pt>
                <c:pt idx="3">
                  <c:v>0</c:v>
                </c:pt>
                <c:pt idx="4">
                  <c:v>22.28</c:v>
                </c:pt>
                <c:pt idx="5">
                  <c:v>6.79</c:v>
                </c:pt>
                <c:pt idx="6">
                  <c:v>15815.03</c:v>
                </c:pt>
                <c:pt idx="7">
                  <c:v>13.37</c:v>
                </c:pt>
              </c:numCache>
            </c:numRef>
          </c:val>
        </c:ser>
        <c:ser>
          <c:idx val="1"/>
          <c:order val="1"/>
          <c:tx>
            <c:strRef>
              <c:f>Sheet1!$C$39</c:f>
              <c:strCache>
                <c:ptCount val="1"/>
                <c:pt idx="0">
                  <c:v>决算支出（万元）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Sheet1!$A$40:$A$47</c:f>
              <c:strCache>
                <c:ptCount val="8"/>
                <c:pt idx="0">
                  <c:v>一般公共服务支出</c:v>
                </c:pt>
                <c:pt idx="1">
                  <c:v>公共安全支出</c:v>
                </c:pt>
                <c:pt idx="2">
                  <c:v>教育支出</c:v>
                </c:pt>
                <c:pt idx="3">
                  <c:v>科学技术支出</c:v>
                </c:pt>
                <c:pt idx="4">
                  <c:v>社会保障和就业支出</c:v>
                </c:pt>
                <c:pt idx="5">
                  <c:v>卫生健康支出</c:v>
                </c:pt>
                <c:pt idx="6">
                  <c:v>城乡社区支出</c:v>
                </c:pt>
                <c:pt idx="7">
                  <c:v>住房保障支出</c:v>
                </c:pt>
              </c:strCache>
            </c:strRef>
          </c:cat>
          <c:val>
            <c:numRef>
              <c:f>Sheet1!$C$40:$C$47</c:f>
              <c:numCache>
                <c:formatCode>General</c:formatCode>
                <c:ptCount val="8"/>
                <c:pt idx="0">
                  <c:v>22536.76</c:v>
                </c:pt>
                <c:pt idx="1">
                  <c:v>98.65</c:v>
                </c:pt>
                <c:pt idx="2">
                  <c:v>768.56</c:v>
                </c:pt>
                <c:pt idx="3">
                  <c:v>500</c:v>
                </c:pt>
                <c:pt idx="4">
                  <c:v>19.45</c:v>
                </c:pt>
                <c:pt idx="5">
                  <c:v>6.78</c:v>
                </c:pt>
                <c:pt idx="6">
                  <c:v>5316.88</c:v>
                </c:pt>
                <c:pt idx="7">
                  <c:v>6757.38</c:v>
                </c:pt>
              </c:numCache>
            </c:numRef>
          </c:val>
        </c:ser>
        <c:dLbls>
          <c:showLegendKey val="0"/>
          <c:showVal val="0"/>
          <c:showCatName val="0"/>
          <c:showSerName val="0"/>
          <c:showPercent val="0"/>
          <c:showBubbleSize val="0"/>
        </c:dLbls>
        <c:gapWidth val="150"/>
        <c:axId val="131330432"/>
        <c:axId val="131331968"/>
      </c:barChart>
      <c:catAx>
        <c:axId val="1313304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331968"/>
        <c:crosses val="autoZero"/>
        <c:auto val="1"/>
        <c:lblAlgn val="ctr"/>
        <c:lblOffset val="100"/>
        <c:noMultiLvlLbl val="0"/>
      </c:catAx>
      <c:valAx>
        <c:axId val="13133196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3304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74b6031-da5c-437d-a642-89c93dda6b49}"/>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4251-0DF0-4A02-95FD-EA0B1BFDD6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15020</Words>
  <Characters>16389</Characters>
  <Lines>131</Lines>
  <Paragraphs>37</Paragraphs>
  <TotalTime>3009</TotalTime>
  <ScaleCrop>false</ScaleCrop>
  <LinksUpToDate>false</LinksUpToDate>
  <CharactersWithSpaces>16568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2020-10-13T02:44:00Z</cp:lastPrinted>
  <dcterms:modified xsi:type="dcterms:W3CDTF">2025-05-12T08:09:16Z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69A4FC1773854246AB293248CBC370A9_12</vt:lpwstr>
  </property>
  <property fmtid="{D5CDD505-2E9C-101B-9397-08002B2CF9AE}" pid="4" name="KSOTemplateDocerSaveRecord">
    <vt:lpwstr>eyJoZGlkIjoiNWE3NGYwYTFmZGE4ZTQ2YmU5NjljNDAyNzdhNjI4MzQifQ==</vt:lpwstr>
  </property>
</Properties>
</file>