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4</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p>
    <w:p>
      <w:pPr>
        <w:pStyle w:val="2"/>
        <w:tabs>
          <w:tab w:val="right" w:leader="dot" w:pos="14562"/>
        </w:tabs>
        <w:rPr>
          <w:rFonts w:hint="default"/>
          <w:lang w:val="en-US"/>
        </w:rPr>
      </w:pP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5</w:t>
      </w:r>
    </w:p>
    <w:p>
      <w:pPr>
        <w:pStyle w:val="2"/>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rPr>
          <w:rFonts w:hint="default"/>
          <w:lang w:val="en-US"/>
        </w:rPr>
        <w:t>27</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7</w:t>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2</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41</w:t>
      </w:r>
      <w:r>
        <w:fldChar w:fldCharType="end"/>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4</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4</w:t>
      </w:r>
      <w:r>
        <w:fldChar w:fldCharType="end"/>
      </w:r>
      <w:r>
        <w:rPr>
          <w:rFonts w:hint="default"/>
          <w:lang w:val="en-US"/>
        </w:rPr>
        <w:t>3</w:t>
      </w:r>
    </w:p>
    <w:p>
      <w:pPr>
        <w:pStyle w:val="2"/>
        <w:tabs>
          <w:tab w:val="right" w:leader="dot" w:pos="14562"/>
        </w:tabs>
        <w:ind w:left="0" w:leftChars="0" w:firstLine="560" w:firstLineChars="200"/>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4</w:t>
      </w:r>
      <w:r>
        <w:fldChar w:fldCharType="end"/>
      </w:r>
      <w:r>
        <w:rPr>
          <w:rFonts w:hint="default"/>
          <w:lang w:val="en-US"/>
        </w:rPr>
        <w:t>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598.78</w:t>
            </w:r>
          </w:p>
        </w:tc>
        <w:tc>
          <w:tcPr>
            <w:tcW w:w="4535" w:type="dxa"/>
            <w:vAlign w:val="center"/>
          </w:tcPr>
          <w:p>
            <w:pPr>
              <w:pStyle w:val="12"/>
            </w:pPr>
            <w:r>
              <w:t>一、一般公共服务支出</w:t>
            </w:r>
          </w:p>
        </w:tc>
        <w:tc>
          <w:tcPr>
            <w:tcW w:w="2126" w:type="dxa"/>
            <w:vAlign w:val="center"/>
          </w:tcPr>
          <w:p>
            <w:pPr>
              <w:pStyle w:val="11"/>
            </w:pPr>
            <w:r>
              <w:t>528.19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598.78</w:t>
            </w:r>
          </w:p>
        </w:tc>
        <w:tc>
          <w:tcPr>
            <w:tcW w:w="4535" w:type="dxa"/>
            <w:vAlign w:val="center"/>
          </w:tcPr>
          <w:p>
            <w:pPr>
              <w:pStyle w:val="14"/>
            </w:pPr>
            <w:r>
              <w:t>本年支出合计</w:t>
            </w:r>
          </w:p>
        </w:tc>
        <w:tc>
          <w:tcPr>
            <w:tcW w:w="2126" w:type="dxa"/>
            <w:vAlign w:val="center"/>
          </w:tcPr>
          <w:p>
            <w:pPr>
              <w:pStyle w:val="15"/>
            </w:pPr>
            <w:r>
              <w:t>598.78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598.78</w:t>
            </w:r>
          </w:p>
        </w:tc>
        <w:tc>
          <w:tcPr>
            <w:tcW w:w="4535" w:type="dxa"/>
            <w:vAlign w:val="center"/>
          </w:tcPr>
          <w:p>
            <w:pPr>
              <w:pStyle w:val="14"/>
            </w:pPr>
            <w:r>
              <w:t>支出总计</w:t>
            </w:r>
          </w:p>
        </w:tc>
        <w:tc>
          <w:tcPr>
            <w:tcW w:w="2126" w:type="dxa"/>
            <w:vAlign w:val="center"/>
          </w:tcPr>
          <w:p>
            <w:pPr>
              <w:pStyle w:val="15"/>
            </w:pPr>
            <w:r>
              <w:t>598.78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598.78</w:t>
            </w:r>
          </w:p>
        </w:tc>
        <w:tc>
          <w:tcPr>
            <w:tcW w:w="1134" w:type="dxa"/>
            <w:vAlign w:val="center"/>
          </w:tcPr>
          <w:p>
            <w:pPr>
              <w:pStyle w:val="15"/>
            </w:pPr>
            <w:r>
              <w:t>598.78</w:t>
            </w:r>
          </w:p>
        </w:tc>
        <w:tc>
          <w:tcPr>
            <w:tcW w:w="1134" w:type="dxa"/>
            <w:vAlign w:val="center"/>
          </w:tcPr>
          <w:p>
            <w:pPr>
              <w:pStyle w:val="15"/>
            </w:pPr>
            <w:r>
              <w:t>598.78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528.19</w:t>
            </w:r>
          </w:p>
        </w:tc>
        <w:tc>
          <w:tcPr>
            <w:tcW w:w="1134" w:type="dxa"/>
            <w:vAlign w:val="center"/>
          </w:tcPr>
          <w:p>
            <w:pPr>
              <w:pStyle w:val="11"/>
            </w:pPr>
            <w:r>
              <w:t>528.19</w:t>
            </w:r>
          </w:p>
        </w:tc>
        <w:tc>
          <w:tcPr>
            <w:tcW w:w="1134" w:type="dxa"/>
            <w:vAlign w:val="center"/>
          </w:tcPr>
          <w:p>
            <w:pPr>
              <w:pStyle w:val="11"/>
            </w:pPr>
            <w:r>
              <w:t>528.19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528.19</w:t>
            </w:r>
          </w:p>
        </w:tc>
        <w:tc>
          <w:tcPr>
            <w:tcW w:w="1134" w:type="dxa"/>
            <w:vAlign w:val="center"/>
          </w:tcPr>
          <w:p>
            <w:pPr>
              <w:pStyle w:val="11"/>
            </w:pPr>
            <w:r>
              <w:t>528.19</w:t>
            </w:r>
          </w:p>
        </w:tc>
        <w:tc>
          <w:tcPr>
            <w:tcW w:w="1134" w:type="dxa"/>
            <w:vAlign w:val="center"/>
          </w:tcPr>
          <w:p>
            <w:pPr>
              <w:pStyle w:val="11"/>
            </w:pPr>
            <w:r>
              <w:t>528.19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238.28</w:t>
            </w:r>
          </w:p>
        </w:tc>
        <w:tc>
          <w:tcPr>
            <w:tcW w:w="1134" w:type="dxa"/>
            <w:vAlign w:val="center"/>
          </w:tcPr>
          <w:p>
            <w:pPr>
              <w:pStyle w:val="11"/>
            </w:pPr>
            <w:r>
              <w:t>238.28</w:t>
            </w:r>
          </w:p>
        </w:tc>
        <w:tc>
          <w:tcPr>
            <w:tcW w:w="1134" w:type="dxa"/>
            <w:vAlign w:val="center"/>
          </w:tcPr>
          <w:p>
            <w:pPr>
              <w:pStyle w:val="11"/>
            </w:pPr>
            <w:r>
              <w:t>238.28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231.74</w:t>
            </w:r>
          </w:p>
        </w:tc>
        <w:tc>
          <w:tcPr>
            <w:tcW w:w="1134" w:type="dxa"/>
            <w:vAlign w:val="center"/>
          </w:tcPr>
          <w:p>
            <w:pPr>
              <w:pStyle w:val="11"/>
            </w:pPr>
            <w:r>
              <w:t>231.74</w:t>
            </w:r>
          </w:p>
        </w:tc>
        <w:tc>
          <w:tcPr>
            <w:tcW w:w="1134" w:type="dxa"/>
            <w:vAlign w:val="center"/>
          </w:tcPr>
          <w:p>
            <w:pPr>
              <w:pStyle w:val="11"/>
            </w:pPr>
            <w:r>
              <w:t>231.74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58.17</w:t>
            </w:r>
          </w:p>
        </w:tc>
        <w:tc>
          <w:tcPr>
            <w:tcW w:w="1134" w:type="dxa"/>
            <w:vAlign w:val="center"/>
          </w:tcPr>
          <w:p>
            <w:pPr>
              <w:pStyle w:val="11"/>
            </w:pPr>
            <w:r>
              <w:t>58.17</w:t>
            </w:r>
          </w:p>
        </w:tc>
        <w:tc>
          <w:tcPr>
            <w:tcW w:w="1134" w:type="dxa"/>
            <w:vAlign w:val="center"/>
          </w:tcPr>
          <w:p>
            <w:pPr>
              <w:pStyle w:val="11"/>
            </w:pPr>
            <w:r>
              <w:t>58.17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34.20</w:t>
            </w:r>
          </w:p>
        </w:tc>
        <w:tc>
          <w:tcPr>
            <w:tcW w:w="1134" w:type="dxa"/>
            <w:vAlign w:val="center"/>
          </w:tcPr>
          <w:p>
            <w:pPr>
              <w:pStyle w:val="11"/>
            </w:pPr>
            <w:r>
              <w:t>34.20</w:t>
            </w:r>
          </w:p>
        </w:tc>
        <w:tc>
          <w:tcPr>
            <w:tcW w:w="1134" w:type="dxa"/>
            <w:vAlign w:val="center"/>
          </w:tcPr>
          <w:p>
            <w:pPr>
              <w:pStyle w:val="11"/>
            </w:pPr>
            <w:r>
              <w:t>34.20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31.32</w:t>
            </w:r>
          </w:p>
        </w:tc>
        <w:tc>
          <w:tcPr>
            <w:tcW w:w="1134" w:type="dxa"/>
            <w:vAlign w:val="center"/>
          </w:tcPr>
          <w:p>
            <w:pPr>
              <w:pStyle w:val="11"/>
            </w:pPr>
            <w:r>
              <w:t>31.32</w:t>
            </w:r>
          </w:p>
        </w:tc>
        <w:tc>
          <w:tcPr>
            <w:tcW w:w="1134" w:type="dxa"/>
            <w:vAlign w:val="center"/>
          </w:tcPr>
          <w:p>
            <w:pPr>
              <w:pStyle w:val="11"/>
            </w:pPr>
            <w:r>
              <w:t>31.32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31.32</w:t>
            </w:r>
          </w:p>
        </w:tc>
        <w:tc>
          <w:tcPr>
            <w:tcW w:w="1134" w:type="dxa"/>
            <w:vAlign w:val="center"/>
          </w:tcPr>
          <w:p>
            <w:pPr>
              <w:pStyle w:val="11"/>
            </w:pPr>
            <w:r>
              <w:t>31.32</w:t>
            </w:r>
          </w:p>
        </w:tc>
        <w:tc>
          <w:tcPr>
            <w:tcW w:w="1134" w:type="dxa"/>
            <w:vAlign w:val="center"/>
          </w:tcPr>
          <w:p>
            <w:pPr>
              <w:pStyle w:val="11"/>
            </w:pPr>
            <w:r>
              <w:t>31.32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r>
              <w:t>10.56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r>
              <w:t>25.83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598.78</w:t>
            </w:r>
          </w:p>
        </w:tc>
        <w:tc>
          <w:tcPr>
            <w:tcW w:w="1361" w:type="dxa"/>
            <w:vAlign w:val="center"/>
          </w:tcPr>
          <w:p>
            <w:pPr>
              <w:pStyle w:val="15"/>
            </w:pPr>
            <w:r>
              <w:t>364.16</w:t>
            </w:r>
          </w:p>
        </w:tc>
        <w:tc>
          <w:tcPr>
            <w:tcW w:w="1361" w:type="dxa"/>
            <w:vAlign w:val="center"/>
          </w:tcPr>
          <w:p>
            <w:pPr>
              <w:pStyle w:val="15"/>
            </w:pPr>
            <w:r>
              <w:t>234.62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528.19</w:t>
            </w:r>
          </w:p>
        </w:tc>
        <w:tc>
          <w:tcPr>
            <w:tcW w:w="1361" w:type="dxa"/>
            <w:vAlign w:val="center"/>
          </w:tcPr>
          <w:p>
            <w:pPr>
              <w:pStyle w:val="11"/>
            </w:pPr>
            <w:r>
              <w:t>296.45</w:t>
            </w:r>
          </w:p>
        </w:tc>
        <w:tc>
          <w:tcPr>
            <w:tcW w:w="1361" w:type="dxa"/>
            <w:vAlign w:val="center"/>
          </w:tcPr>
          <w:p>
            <w:pPr>
              <w:pStyle w:val="11"/>
            </w:pPr>
            <w:r>
              <w:t>231.74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528.19</w:t>
            </w:r>
          </w:p>
        </w:tc>
        <w:tc>
          <w:tcPr>
            <w:tcW w:w="1361" w:type="dxa"/>
            <w:vAlign w:val="center"/>
          </w:tcPr>
          <w:p>
            <w:pPr>
              <w:pStyle w:val="11"/>
            </w:pPr>
            <w:r>
              <w:t>296.45</w:t>
            </w:r>
          </w:p>
        </w:tc>
        <w:tc>
          <w:tcPr>
            <w:tcW w:w="1361" w:type="dxa"/>
            <w:vAlign w:val="center"/>
          </w:tcPr>
          <w:p>
            <w:pPr>
              <w:pStyle w:val="11"/>
            </w:pPr>
            <w:r>
              <w:t>231.74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238.28</w:t>
            </w:r>
          </w:p>
        </w:tc>
        <w:tc>
          <w:tcPr>
            <w:tcW w:w="1361" w:type="dxa"/>
            <w:vAlign w:val="center"/>
          </w:tcPr>
          <w:p>
            <w:pPr>
              <w:pStyle w:val="11"/>
            </w:pPr>
            <w:r>
              <w:t>238.28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231.74</w:t>
            </w:r>
          </w:p>
        </w:tc>
        <w:tc>
          <w:tcPr>
            <w:tcW w:w="1361" w:type="dxa"/>
            <w:vAlign w:val="center"/>
          </w:tcPr>
          <w:p>
            <w:pPr>
              <w:pStyle w:val="11"/>
            </w:pPr>
          </w:p>
        </w:tc>
        <w:tc>
          <w:tcPr>
            <w:tcW w:w="1361" w:type="dxa"/>
            <w:vAlign w:val="center"/>
          </w:tcPr>
          <w:p>
            <w:pPr>
              <w:pStyle w:val="11"/>
            </w:pPr>
            <w:r>
              <w:t>231.74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58.17</w:t>
            </w:r>
          </w:p>
        </w:tc>
        <w:tc>
          <w:tcPr>
            <w:tcW w:w="1361" w:type="dxa"/>
            <w:vAlign w:val="center"/>
          </w:tcPr>
          <w:p>
            <w:pPr>
              <w:pStyle w:val="11"/>
            </w:pPr>
            <w:r>
              <w:t>58.17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34.20</w:t>
            </w:r>
          </w:p>
        </w:tc>
        <w:tc>
          <w:tcPr>
            <w:tcW w:w="1361" w:type="dxa"/>
            <w:vAlign w:val="center"/>
          </w:tcPr>
          <w:p>
            <w:pPr>
              <w:pStyle w:val="11"/>
            </w:pPr>
            <w:r>
              <w:t>31.32</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31.32</w:t>
            </w: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31.32</w:t>
            </w: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10.56</w:t>
            </w:r>
          </w:p>
        </w:tc>
        <w:tc>
          <w:tcPr>
            <w:tcW w:w="1361" w:type="dxa"/>
            <w:vAlign w:val="center"/>
          </w:tcPr>
          <w:p>
            <w:pPr>
              <w:pStyle w:val="11"/>
            </w:pPr>
            <w:r>
              <w:t>10.56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10.56</w:t>
            </w:r>
          </w:p>
        </w:tc>
        <w:tc>
          <w:tcPr>
            <w:tcW w:w="1361" w:type="dxa"/>
            <w:vAlign w:val="center"/>
          </w:tcPr>
          <w:p>
            <w:pPr>
              <w:pStyle w:val="11"/>
            </w:pPr>
            <w:r>
              <w:t>10.56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10.56</w:t>
            </w:r>
          </w:p>
        </w:tc>
        <w:tc>
          <w:tcPr>
            <w:tcW w:w="1361" w:type="dxa"/>
            <w:vAlign w:val="center"/>
          </w:tcPr>
          <w:p>
            <w:pPr>
              <w:pStyle w:val="11"/>
            </w:pPr>
            <w:r>
              <w:t>10.56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25.83</w:t>
            </w:r>
          </w:p>
        </w:tc>
        <w:tc>
          <w:tcPr>
            <w:tcW w:w="1361" w:type="dxa"/>
            <w:vAlign w:val="center"/>
          </w:tcPr>
          <w:p>
            <w:pPr>
              <w:pStyle w:val="11"/>
            </w:pPr>
            <w:r>
              <w:t>25.83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25.83</w:t>
            </w:r>
          </w:p>
        </w:tc>
        <w:tc>
          <w:tcPr>
            <w:tcW w:w="1361" w:type="dxa"/>
            <w:vAlign w:val="center"/>
          </w:tcPr>
          <w:p>
            <w:pPr>
              <w:pStyle w:val="11"/>
            </w:pPr>
            <w:r>
              <w:t>25.83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25.83</w:t>
            </w:r>
          </w:p>
        </w:tc>
        <w:tc>
          <w:tcPr>
            <w:tcW w:w="1361" w:type="dxa"/>
            <w:vAlign w:val="center"/>
          </w:tcPr>
          <w:p>
            <w:pPr>
              <w:pStyle w:val="11"/>
            </w:pPr>
            <w:r>
              <w:t>25.83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598.78</w:t>
            </w:r>
          </w:p>
        </w:tc>
        <w:tc>
          <w:tcPr>
            <w:tcW w:w="3402" w:type="dxa"/>
            <w:vAlign w:val="center"/>
          </w:tcPr>
          <w:p>
            <w:pPr>
              <w:pStyle w:val="12"/>
            </w:pPr>
            <w:r>
              <w:t>一、一般公共服务支出</w:t>
            </w:r>
          </w:p>
        </w:tc>
        <w:tc>
          <w:tcPr>
            <w:tcW w:w="1474" w:type="dxa"/>
            <w:vAlign w:val="center"/>
          </w:tcPr>
          <w:p>
            <w:pPr>
              <w:pStyle w:val="11"/>
            </w:pPr>
            <w:r>
              <w:t>528.19</w:t>
            </w:r>
          </w:p>
        </w:tc>
        <w:tc>
          <w:tcPr>
            <w:tcW w:w="1474" w:type="dxa"/>
            <w:vAlign w:val="center"/>
          </w:tcPr>
          <w:p>
            <w:pPr>
              <w:pStyle w:val="11"/>
            </w:pPr>
            <w:r>
              <w:t>528.19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34.20</w:t>
            </w:r>
          </w:p>
        </w:tc>
        <w:tc>
          <w:tcPr>
            <w:tcW w:w="1474" w:type="dxa"/>
            <w:vAlign w:val="center"/>
          </w:tcPr>
          <w:p>
            <w:pPr>
              <w:pStyle w:val="11"/>
            </w:pPr>
            <w:r>
              <w:t>34.20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10.56</w:t>
            </w:r>
          </w:p>
        </w:tc>
        <w:tc>
          <w:tcPr>
            <w:tcW w:w="1474" w:type="dxa"/>
            <w:vAlign w:val="center"/>
          </w:tcPr>
          <w:p>
            <w:pPr>
              <w:pStyle w:val="11"/>
            </w:pPr>
            <w:r>
              <w:t>10.56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25.83</w:t>
            </w:r>
          </w:p>
        </w:tc>
        <w:tc>
          <w:tcPr>
            <w:tcW w:w="1474" w:type="dxa"/>
            <w:vAlign w:val="center"/>
          </w:tcPr>
          <w:p>
            <w:pPr>
              <w:pStyle w:val="11"/>
            </w:pPr>
            <w:r>
              <w:t>25.83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598.78</w:t>
            </w:r>
          </w:p>
        </w:tc>
        <w:tc>
          <w:tcPr>
            <w:tcW w:w="3402" w:type="dxa"/>
            <w:vAlign w:val="center"/>
          </w:tcPr>
          <w:p>
            <w:pPr>
              <w:pStyle w:val="14"/>
            </w:pPr>
            <w:r>
              <w:t>本年支出合计</w:t>
            </w:r>
          </w:p>
        </w:tc>
        <w:tc>
          <w:tcPr>
            <w:tcW w:w="1474" w:type="dxa"/>
            <w:vAlign w:val="center"/>
          </w:tcPr>
          <w:p>
            <w:pPr>
              <w:pStyle w:val="15"/>
            </w:pPr>
            <w:r>
              <w:t>598.78</w:t>
            </w:r>
          </w:p>
        </w:tc>
        <w:tc>
          <w:tcPr>
            <w:tcW w:w="1474" w:type="dxa"/>
            <w:vAlign w:val="center"/>
          </w:tcPr>
          <w:p>
            <w:pPr>
              <w:pStyle w:val="15"/>
            </w:pPr>
            <w:r>
              <w:t>598.78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598.78</w:t>
            </w:r>
          </w:p>
        </w:tc>
        <w:tc>
          <w:tcPr>
            <w:tcW w:w="3402" w:type="dxa"/>
            <w:vAlign w:val="center"/>
          </w:tcPr>
          <w:p>
            <w:pPr>
              <w:pStyle w:val="14"/>
            </w:pPr>
            <w:r>
              <w:t>支出总计</w:t>
            </w:r>
          </w:p>
        </w:tc>
        <w:tc>
          <w:tcPr>
            <w:tcW w:w="1474" w:type="dxa"/>
            <w:vAlign w:val="center"/>
          </w:tcPr>
          <w:p>
            <w:pPr>
              <w:pStyle w:val="15"/>
            </w:pPr>
            <w:r>
              <w:t>598.78</w:t>
            </w:r>
          </w:p>
        </w:tc>
        <w:tc>
          <w:tcPr>
            <w:tcW w:w="1474" w:type="dxa"/>
            <w:vAlign w:val="center"/>
          </w:tcPr>
          <w:p>
            <w:pPr>
              <w:pStyle w:val="15"/>
            </w:pPr>
            <w:r>
              <w:t>598.78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598.78</w:t>
            </w:r>
          </w:p>
        </w:tc>
        <w:tc>
          <w:tcPr>
            <w:tcW w:w="2551" w:type="dxa"/>
            <w:vAlign w:val="center"/>
          </w:tcPr>
          <w:p>
            <w:pPr>
              <w:pStyle w:val="15"/>
            </w:pPr>
            <w:r>
              <w:t>364.16</w:t>
            </w:r>
          </w:p>
        </w:tc>
        <w:tc>
          <w:tcPr>
            <w:tcW w:w="2551" w:type="dxa"/>
            <w:vAlign w:val="center"/>
          </w:tcPr>
          <w:p>
            <w:pPr>
              <w:pStyle w:val="15"/>
            </w:pPr>
            <w:r>
              <w:t>234.62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528.19</w:t>
            </w:r>
          </w:p>
        </w:tc>
        <w:tc>
          <w:tcPr>
            <w:tcW w:w="2551" w:type="dxa"/>
            <w:vAlign w:val="center"/>
          </w:tcPr>
          <w:p>
            <w:pPr>
              <w:pStyle w:val="11"/>
            </w:pPr>
            <w:r>
              <w:t>296.45</w:t>
            </w:r>
          </w:p>
        </w:tc>
        <w:tc>
          <w:tcPr>
            <w:tcW w:w="2551" w:type="dxa"/>
            <w:vAlign w:val="center"/>
          </w:tcPr>
          <w:p>
            <w:pPr>
              <w:pStyle w:val="11"/>
            </w:pPr>
            <w:r>
              <w:t>231.74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528.19</w:t>
            </w:r>
          </w:p>
        </w:tc>
        <w:tc>
          <w:tcPr>
            <w:tcW w:w="2551" w:type="dxa"/>
            <w:vAlign w:val="center"/>
          </w:tcPr>
          <w:p>
            <w:pPr>
              <w:pStyle w:val="11"/>
            </w:pPr>
            <w:r>
              <w:t>296.45</w:t>
            </w:r>
          </w:p>
        </w:tc>
        <w:tc>
          <w:tcPr>
            <w:tcW w:w="2551" w:type="dxa"/>
            <w:vAlign w:val="center"/>
          </w:tcPr>
          <w:p>
            <w:pPr>
              <w:pStyle w:val="11"/>
            </w:pPr>
            <w:r>
              <w:t>231.74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238.28</w:t>
            </w:r>
          </w:p>
        </w:tc>
        <w:tc>
          <w:tcPr>
            <w:tcW w:w="2551" w:type="dxa"/>
            <w:vAlign w:val="center"/>
          </w:tcPr>
          <w:p>
            <w:pPr>
              <w:pStyle w:val="11"/>
            </w:pPr>
            <w:r>
              <w:t>238.28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231.74</w:t>
            </w:r>
          </w:p>
        </w:tc>
        <w:tc>
          <w:tcPr>
            <w:tcW w:w="2551" w:type="dxa"/>
            <w:vAlign w:val="center"/>
          </w:tcPr>
          <w:p>
            <w:pPr>
              <w:pStyle w:val="11"/>
            </w:pPr>
          </w:p>
        </w:tc>
        <w:tc>
          <w:tcPr>
            <w:tcW w:w="2551" w:type="dxa"/>
            <w:vAlign w:val="center"/>
          </w:tcPr>
          <w:p>
            <w:pPr>
              <w:pStyle w:val="11"/>
            </w:pPr>
            <w:r>
              <w:t>231.74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58.17</w:t>
            </w:r>
          </w:p>
        </w:tc>
        <w:tc>
          <w:tcPr>
            <w:tcW w:w="2551" w:type="dxa"/>
            <w:vAlign w:val="center"/>
          </w:tcPr>
          <w:p>
            <w:pPr>
              <w:pStyle w:val="11"/>
            </w:pPr>
            <w:r>
              <w:t>58.17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34.20</w:t>
            </w:r>
          </w:p>
        </w:tc>
        <w:tc>
          <w:tcPr>
            <w:tcW w:w="2551" w:type="dxa"/>
            <w:vAlign w:val="center"/>
          </w:tcPr>
          <w:p>
            <w:pPr>
              <w:pStyle w:val="11"/>
            </w:pPr>
            <w:r>
              <w:t>31.32</w:t>
            </w: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31.32</w:t>
            </w:r>
          </w:p>
        </w:tc>
        <w:tc>
          <w:tcPr>
            <w:tcW w:w="2551" w:type="dxa"/>
            <w:vAlign w:val="center"/>
          </w:tcPr>
          <w:p>
            <w:pPr>
              <w:pStyle w:val="11"/>
            </w:pPr>
            <w:r>
              <w:t>31.32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31.32</w:t>
            </w:r>
          </w:p>
        </w:tc>
        <w:tc>
          <w:tcPr>
            <w:tcW w:w="2551" w:type="dxa"/>
            <w:vAlign w:val="center"/>
          </w:tcPr>
          <w:p>
            <w:pPr>
              <w:pStyle w:val="11"/>
            </w:pPr>
            <w:r>
              <w:t>31.32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2.88</w:t>
            </w:r>
          </w:p>
        </w:tc>
        <w:tc>
          <w:tcPr>
            <w:tcW w:w="2551" w:type="dxa"/>
            <w:vAlign w:val="center"/>
          </w:tcPr>
          <w:p>
            <w:pPr>
              <w:pStyle w:val="11"/>
            </w:pP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2.88</w:t>
            </w:r>
          </w:p>
        </w:tc>
        <w:tc>
          <w:tcPr>
            <w:tcW w:w="2551" w:type="dxa"/>
            <w:vAlign w:val="center"/>
          </w:tcPr>
          <w:p>
            <w:pPr>
              <w:pStyle w:val="11"/>
            </w:pP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10.56</w:t>
            </w:r>
          </w:p>
        </w:tc>
        <w:tc>
          <w:tcPr>
            <w:tcW w:w="2551" w:type="dxa"/>
            <w:vAlign w:val="center"/>
          </w:tcPr>
          <w:p>
            <w:pPr>
              <w:pStyle w:val="11"/>
            </w:pPr>
            <w:r>
              <w:t>10.56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10.56</w:t>
            </w:r>
          </w:p>
        </w:tc>
        <w:tc>
          <w:tcPr>
            <w:tcW w:w="2551" w:type="dxa"/>
            <w:vAlign w:val="center"/>
          </w:tcPr>
          <w:p>
            <w:pPr>
              <w:pStyle w:val="11"/>
            </w:pPr>
            <w:r>
              <w:t>10.56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10.56</w:t>
            </w:r>
          </w:p>
        </w:tc>
        <w:tc>
          <w:tcPr>
            <w:tcW w:w="2551" w:type="dxa"/>
            <w:vAlign w:val="center"/>
          </w:tcPr>
          <w:p>
            <w:pPr>
              <w:pStyle w:val="11"/>
            </w:pPr>
            <w:r>
              <w:t>10.56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25.83</w:t>
            </w:r>
          </w:p>
        </w:tc>
        <w:tc>
          <w:tcPr>
            <w:tcW w:w="2551" w:type="dxa"/>
            <w:vAlign w:val="center"/>
          </w:tcPr>
          <w:p>
            <w:pPr>
              <w:pStyle w:val="11"/>
            </w:pPr>
            <w:r>
              <w:t>25.83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25.83</w:t>
            </w:r>
          </w:p>
        </w:tc>
        <w:tc>
          <w:tcPr>
            <w:tcW w:w="2551" w:type="dxa"/>
            <w:vAlign w:val="center"/>
          </w:tcPr>
          <w:p>
            <w:pPr>
              <w:pStyle w:val="11"/>
            </w:pPr>
            <w:r>
              <w:t>25.83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25.83</w:t>
            </w:r>
          </w:p>
        </w:tc>
        <w:tc>
          <w:tcPr>
            <w:tcW w:w="2551" w:type="dxa"/>
            <w:vAlign w:val="center"/>
          </w:tcPr>
          <w:p>
            <w:pPr>
              <w:pStyle w:val="11"/>
            </w:pPr>
            <w:r>
              <w:t>25.83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364.16</w:t>
            </w:r>
          </w:p>
        </w:tc>
        <w:tc>
          <w:tcPr>
            <w:tcW w:w="2551" w:type="dxa"/>
            <w:vAlign w:val="center"/>
          </w:tcPr>
          <w:p>
            <w:pPr>
              <w:pStyle w:val="15"/>
            </w:pPr>
            <w:r>
              <w:t>332.43</w:t>
            </w:r>
          </w:p>
        </w:tc>
        <w:tc>
          <w:tcPr>
            <w:tcW w:w="2551" w:type="dxa"/>
            <w:vAlign w:val="center"/>
          </w:tcPr>
          <w:p>
            <w:pPr>
              <w:pStyle w:val="15"/>
            </w:pPr>
            <w:r>
              <w:t>31.73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332.42</w:t>
            </w:r>
          </w:p>
        </w:tc>
        <w:tc>
          <w:tcPr>
            <w:tcW w:w="2551" w:type="dxa"/>
            <w:vAlign w:val="center"/>
          </w:tcPr>
          <w:p>
            <w:pPr>
              <w:pStyle w:val="11"/>
            </w:pPr>
            <w:r>
              <w:t>332.42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84.94</w:t>
            </w:r>
          </w:p>
        </w:tc>
        <w:tc>
          <w:tcPr>
            <w:tcW w:w="2551" w:type="dxa"/>
            <w:vAlign w:val="center"/>
          </w:tcPr>
          <w:p>
            <w:pPr>
              <w:pStyle w:val="11"/>
            </w:pPr>
            <w:r>
              <w:t>84.94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68.38</w:t>
            </w:r>
          </w:p>
        </w:tc>
        <w:tc>
          <w:tcPr>
            <w:tcW w:w="2551" w:type="dxa"/>
            <w:vAlign w:val="center"/>
          </w:tcPr>
          <w:p>
            <w:pPr>
              <w:pStyle w:val="11"/>
            </w:pPr>
            <w:r>
              <w:t>68.38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50.93</w:t>
            </w:r>
          </w:p>
        </w:tc>
        <w:tc>
          <w:tcPr>
            <w:tcW w:w="2551" w:type="dxa"/>
            <w:vAlign w:val="center"/>
          </w:tcPr>
          <w:p>
            <w:pPr>
              <w:pStyle w:val="11"/>
            </w:pPr>
            <w:r>
              <w:t>50.93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29.02</w:t>
            </w:r>
          </w:p>
        </w:tc>
        <w:tc>
          <w:tcPr>
            <w:tcW w:w="2551" w:type="dxa"/>
            <w:vAlign w:val="center"/>
          </w:tcPr>
          <w:p>
            <w:pPr>
              <w:pStyle w:val="11"/>
            </w:pPr>
            <w:r>
              <w:t>29.02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31.32</w:t>
            </w:r>
          </w:p>
        </w:tc>
        <w:tc>
          <w:tcPr>
            <w:tcW w:w="2551" w:type="dxa"/>
            <w:vAlign w:val="center"/>
          </w:tcPr>
          <w:p>
            <w:pPr>
              <w:pStyle w:val="11"/>
            </w:pPr>
            <w:r>
              <w:t>31.32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10.56</w:t>
            </w:r>
          </w:p>
        </w:tc>
        <w:tc>
          <w:tcPr>
            <w:tcW w:w="2551" w:type="dxa"/>
            <w:vAlign w:val="center"/>
          </w:tcPr>
          <w:p>
            <w:pPr>
              <w:pStyle w:val="11"/>
            </w:pPr>
            <w:r>
              <w:t>10.56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25.83</w:t>
            </w:r>
          </w:p>
        </w:tc>
        <w:tc>
          <w:tcPr>
            <w:tcW w:w="2551" w:type="dxa"/>
            <w:vAlign w:val="center"/>
          </w:tcPr>
          <w:p>
            <w:pPr>
              <w:pStyle w:val="11"/>
            </w:pPr>
            <w:r>
              <w:t>25.83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30.42</w:t>
            </w:r>
          </w:p>
        </w:tc>
        <w:tc>
          <w:tcPr>
            <w:tcW w:w="2551" w:type="dxa"/>
            <w:vAlign w:val="center"/>
          </w:tcPr>
          <w:p>
            <w:pPr>
              <w:pStyle w:val="11"/>
            </w:pPr>
            <w:r>
              <w:t>30.42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31.73</w:t>
            </w:r>
          </w:p>
        </w:tc>
        <w:tc>
          <w:tcPr>
            <w:tcW w:w="2551" w:type="dxa"/>
            <w:vAlign w:val="center"/>
          </w:tcPr>
          <w:p>
            <w:pPr>
              <w:pStyle w:val="11"/>
            </w:pPr>
          </w:p>
        </w:tc>
        <w:tc>
          <w:tcPr>
            <w:tcW w:w="2551" w:type="dxa"/>
            <w:vAlign w:val="center"/>
          </w:tcPr>
          <w:p>
            <w:pPr>
              <w:pStyle w:val="11"/>
            </w:pPr>
            <w:r>
              <w:t>31.73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7.13</w:t>
            </w:r>
          </w:p>
        </w:tc>
        <w:tc>
          <w:tcPr>
            <w:tcW w:w="2551" w:type="dxa"/>
            <w:vAlign w:val="center"/>
          </w:tcPr>
          <w:p>
            <w:pPr>
              <w:pStyle w:val="11"/>
            </w:pPr>
          </w:p>
        </w:tc>
        <w:tc>
          <w:tcPr>
            <w:tcW w:w="2551" w:type="dxa"/>
            <w:vAlign w:val="center"/>
          </w:tcPr>
          <w:p>
            <w:pPr>
              <w:pStyle w:val="11"/>
            </w:pPr>
            <w:r>
              <w:t>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8.56</w:t>
            </w:r>
          </w:p>
        </w:tc>
        <w:tc>
          <w:tcPr>
            <w:tcW w:w="2551" w:type="dxa"/>
            <w:vAlign w:val="center"/>
          </w:tcPr>
          <w:p>
            <w:pPr>
              <w:pStyle w:val="11"/>
            </w:pPr>
          </w:p>
        </w:tc>
        <w:tc>
          <w:tcPr>
            <w:tcW w:w="2551" w:type="dxa"/>
            <w:vAlign w:val="center"/>
          </w:tcPr>
          <w:p>
            <w:pPr>
              <w:pStyle w:val="11"/>
            </w:pPr>
            <w:r>
              <w:t>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3.14</w:t>
            </w:r>
          </w:p>
        </w:tc>
        <w:tc>
          <w:tcPr>
            <w:tcW w:w="2551" w:type="dxa"/>
            <w:vAlign w:val="center"/>
          </w:tcPr>
          <w:p>
            <w:pPr>
              <w:pStyle w:val="11"/>
            </w:pPr>
          </w:p>
        </w:tc>
        <w:tc>
          <w:tcPr>
            <w:tcW w:w="2551" w:type="dxa"/>
            <w:vAlign w:val="center"/>
          </w:tcPr>
          <w:p>
            <w:pPr>
              <w:pStyle w:val="11"/>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2.12</w:t>
            </w:r>
          </w:p>
        </w:tc>
        <w:tc>
          <w:tcPr>
            <w:tcW w:w="2551" w:type="dxa"/>
            <w:vAlign w:val="center"/>
          </w:tcPr>
          <w:p>
            <w:pPr>
              <w:pStyle w:val="11"/>
            </w:pPr>
          </w:p>
        </w:tc>
        <w:tc>
          <w:tcPr>
            <w:tcW w:w="2551" w:type="dxa"/>
            <w:vAlign w:val="center"/>
          </w:tcPr>
          <w:p>
            <w:pPr>
              <w:pStyle w:val="11"/>
            </w:pPr>
            <w: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10.56</w:t>
            </w:r>
          </w:p>
        </w:tc>
        <w:tc>
          <w:tcPr>
            <w:tcW w:w="2551" w:type="dxa"/>
            <w:vAlign w:val="center"/>
          </w:tcPr>
          <w:p>
            <w:pPr>
              <w:pStyle w:val="11"/>
            </w:pPr>
          </w:p>
        </w:tc>
        <w:tc>
          <w:tcPr>
            <w:tcW w:w="2551" w:type="dxa"/>
            <w:vAlign w:val="center"/>
          </w:tcPr>
          <w:p>
            <w:pPr>
              <w:pStyle w:val="11"/>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0.01</w:t>
            </w:r>
          </w:p>
        </w:tc>
        <w:tc>
          <w:tcPr>
            <w:tcW w:w="2551" w:type="dxa"/>
            <w:vAlign w:val="center"/>
          </w:tcPr>
          <w:p>
            <w:pPr>
              <w:pStyle w:val="11"/>
            </w:pPr>
            <w:r>
              <w:t>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0.01</w:t>
            </w:r>
          </w:p>
        </w:tc>
        <w:tc>
          <w:tcPr>
            <w:tcW w:w="2551" w:type="dxa"/>
            <w:vAlign w:val="center"/>
          </w:tcPr>
          <w:p>
            <w:pPr>
              <w:pStyle w:val="11"/>
            </w:pPr>
            <w:r>
              <w:t>0.01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0.15</w:t>
            </w:r>
          </w:p>
        </w:tc>
        <w:tc>
          <w:tcPr>
            <w:tcW w:w="2381" w:type="dxa"/>
            <w:vAlign w:val="center"/>
          </w:tcPr>
          <w:p>
            <w:pPr>
              <w:pStyle w:val="15"/>
            </w:pPr>
            <w:r>
              <w:t>0.15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0.15</w:t>
            </w:r>
          </w:p>
        </w:tc>
        <w:tc>
          <w:tcPr>
            <w:tcW w:w="2381" w:type="dxa"/>
            <w:vAlign w:val="center"/>
          </w:tcPr>
          <w:p>
            <w:pPr>
              <w:pStyle w:val="11"/>
            </w:pPr>
            <w:r>
              <w:t>0.15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0.15</w:t>
            </w:r>
          </w:p>
        </w:tc>
        <w:tc>
          <w:tcPr>
            <w:tcW w:w="2381" w:type="dxa"/>
            <w:vAlign w:val="center"/>
          </w:tcPr>
          <w:p>
            <w:pPr>
              <w:pStyle w:val="11"/>
            </w:pPr>
            <w:r>
              <w:t>0.15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保定市徐水区行政审批局本级2024年单位预算信息公开情况说明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按照《中华人民共和国预算法》、《地方预决算公开操作规程》和《关于进一步推进预算公开工作的实施意见》规定，现将保定市徐水区行政审批局本级2024年单位预算公开如下：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根据《保定市徐水区行政审批局职能配置、内设机构和人员编制规定》（徐办字[2019]23号）规定，保定市徐水区行政审批局主要职责是：</w:t>
      </w:r>
    </w:p>
    <w:p>
      <w:pPr>
        <w:pStyle w:val="17"/>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pPr>
        <w:pStyle w:val="17"/>
      </w:pPr>
      <w:r>
        <w:t>（二）贯彻执行国家、省、市“放管服”改革、行政审批制度改革、政务服务管理、公共资源交易、社会信用体系建设有关方针政策和法律法规。起草有关政府规章，制定有关政策，协调指导并监督实施。</w:t>
      </w:r>
    </w:p>
    <w:p>
      <w:pPr>
        <w:pStyle w:val="17"/>
      </w:pPr>
      <w:r>
        <w:t>（三）组织协调全区“放管服”改革工作，指导、督促贯彻落实国家、省、市关于“放管服”改革重要领域、关键环节重大政策措施，承担区推进政府职能转变和“放管服”改革协调小组的日常工作。</w:t>
      </w:r>
    </w:p>
    <w:p>
      <w:pPr>
        <w:pStyle w:val="17"/>
      </w:pPr>
      <w:r>
        <w:t>（四）负责投资项目、企业注册、市场服务、公共事务、文教卫体、社会事务、住建交通、城市管理、农林</w:t>
      </w:r>
      <w:r>
        <w:rPr>
          <w:rFonts w:hint="eastAsia"/>
          <w:lang w:eastAsia="zh-CN"/>
        </w:rPr>
        <w:t>蓄</w:t>
      </w:r>
      <w:bookmarkStart w:id="0" w:name="_GoBack"/>
      <w:bookmarkEnd w:id="0"/>
      <w:r>
        <w:t>水、经贸商务等方面行政审批事项的办理及相关行政性收费，并承担相应的法律责任。</w:t>
      </w:r>
    </w:p>
    <w:p>
      <w:pPr>
        <w:pStyle w:val="17"/>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pPr>
        <w:pStyle w:val="17"/>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pPr>
        <w:pStyle w:val="17"/>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pPr>
        <w:pStyle w:val="17"/>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pPr>
        <w:pStyle w:val="17"/>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pPr>
        <w:pStyle w:val="17"/>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pPr>
        <w:pStyle w:val="17"/>
      </w:pPr>
      <w:r>
        <w:t>（十一）承办区政府交办的其他工作。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保定市徐水区行政审批局本级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一、收入说明</w:t>
      </w:r>
    </w:p>
    <w:p>
      <w:pPr>
        <w:pStyle w:val="18"/>
      </w:pPr>
      <w:r>
        <w:t>反映本单位当年全部收入。2024年预算收入598.78万元，其中：一般公共预算收入598.78万元，基金预算收入0万元，国有资本经营预算收入0万元，财政专户核拨收入0万元，单位资金收入0万元，上年结转结余0万元。</w:t>
      </w:r>
    </w:p>
    <w:p>
      <w:pPr>
        <w:pStyle w:val="18"/>
      </w:pPr>
      <w:r>
        <w:t>二、支出说明</w:t>
      </w:r>
    </w:p>
    <w:p>
      <w:pPr>
        <w:pStyle w:val="18"/>
      </w:pPr>
      <w:r>
        <w:t>收支预算总表支出栏、基本支出表、项目支出表按经济分类和支出功能分类科目编制，反映保定市徐水区行政审批局年度单位预算中支出预算的总体情况。2024年支出预算598.78万元，其中基本支出364.16万元，包括人员经费332.43万元和日常公用经费31.73万元；项目支出234.62万元，主要为政务服务中心工作经费、公共资源交易中心工作经费等。</w:t>
      </w:r>
    </w:p>
    <w:p>
      <w:pPr>
        <w:pStyle w:val="18"/>
      </w:pPr>
      <w:r>
        <w:t>三、比上年增减情况</w:t>
      </w:r>
    </w:p>
    <w:p>
      <w:pPr>
        <w:pStyle w:val="18"/>
      </w:pPr>
      <w:r>
        <w:t>本年度预算收支安排598.78万元，较上年减少87.5万元。其中:基本支出减少61.58万元，主要原因是人员减少；项目支出减少25.92万元，主要原因是压减支出。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2024年我</w:t>
      </w:r>
      <w:r>
        <w:rPr>
          <w:rFonts w:hint="eastAsia"/>
          <w:lang w:eastAsia="zh-CN"/>
        </w:rPr>
        <w:t>单位</w:t>
      </w:r>
      <w:r>
        <w:t>机关运行经费安排3</w:t>
      </w:r>
      <w:r>
        <w:rPr>
          <w:rFonts w:hint="eastAsia"/>
          <w:lang w:val="en-US" w:eastAsia="zh-CN"/>
        </w:rPr>
        <w:t>1.73</w:t>
      </w:r>
      <w:r>
        <w:t>万元，其中办公费7.13万元，邮电费</w:t>
      </w:r>
      <w:r>
        <w:rPr>
          <w:rFonts w:hint="eastAsia"/>
          <w:lang w:val="en-US" w:eastAsia="zh-CN"/>
        </w:rPr>
        <w:t>8.56</w:t>
      </w:r>
      <w:r>
        <w:t>万元，工会经费</w:t>
      </w:r>
      <w:r>
        <w:rPr>
          <w:rFonts w:hint="eastAsia"/>
          <w:lang w:val="en-US" w:eastAsia="zh-CN"/>
        </w:rPr>
        <w:t>3.14万元</w:t>
      </w:r>
      <w:r>
        <w:t>、福利费</w:t>
      </w:r>
      <w:r>
        <w:rPr>
          <w:rFonts w:hint="eastAsia"/>
          <w:lang w:val="en-US" w:eastAsia="zh-CN"/>
        </w:rPr>
        <w:t>2.12</w:t>
      </w:r>
      <w:r>
        <w:t>万元，公务用车运行维护费0万元，其他支出</w:t>
      </w:r>
      <w:r>
        <w:rPr>
          <w:rFonts w:hint="eastAsia"/>
          <w:lang w:val="en-US" w:eastAsia="zh-CN"/>
        </w:rPr>
        <w:t>10.79</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w:t>
      </w:r>
      <w:r>
        <w:rPr>
          <w:rFonts w:hint="eastAsia"/>
          <w:lang w:val="en-US" w:eastAsia="zh-CN"/>
        </w:rPr>
        <w:t>15</w:t>
      </w:r>
      <w:r>
        <w:t>万元，其中因公出国（境）费0万元；公务用车购置及运维费0万元（其中：公务用车购置费为0万元，公务用车运维费0万元)；公务接待费0.15万元。与2023年相比减少2.43万元，减少的主要原因是：我单位无公务用车购置。</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1、“环评”审批事项专家评估服务费用绩效目标表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13062524P000015103258</w:t>
            </w:r>
          </w:p>
        </w:tc>
        <w:tc>
          <w:tcPr>
            <w:tcW w:w="2835" w:type="dxa"/>
            <w:vAlign w:val="center"/>
          </w:tcPr>
          <w:p>
            <w:pPr>
              <w:pStyle w:val="10"/>
            </w:pPr>
            <w:r>
              <w:t>项目名称</w:t>
            </w:r>
          </w:p>
        </w:tc>
        <w:tc>
          <w:tcPr>
            <w:tcW w:w="6094" w:type="dxa"/>
            <w:gridSpan w:val="3"/>
            <w:vAlign w:val="center"/>
          </w:tcPr>
          <w:p>
            <w:pPr>
              <w:pStyle w:val="12"/>
            </w:pPr>
            <w:r>
              <w:t>“环评”审批事项专家评估服务费用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42.25</w:t>
            </w:r>
          </w:p>
        </w:tc>
        <w:tc>
          <w:tcPr>
            <w:tcW w:w="2835" w:type="dxa"/>
            <w:vAlign w:val="center"/>
          </w:tcPr>
          <w:p>
            <w:pPr>
              <w:pStyle w:val="10"/>
            </w:pPr>
            <w:r>
              <w:t>其中：财政    资金</w:t>
            </w:r>
          </w:p>
        </w:tc>
        <w:tc>
          <w:tcPr>
            <w:tcW w:w="2551" w:type="dxa"/>
            <w:vAlign w:val="center"/>
          </w:tcPr>
          <w:p>
            <w:pPr>
              <w:pStyle w:val="12"/>
            </w:pPr>
            <w:r>
              <w:t>42.25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用于支付环评审批事项专家评估费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1.优化营商环境，激发市场活力和社会创造力</w:t>
            </w:r>
          </w:p>
          <w:p>
            <w:pPr>
              <w:pStyle w:val="12"/>
            </w:pPr>
            <w:r>
              <w:t>2.提升服务能力和水平 ，提升公众满意度</w:t>
            </w:r>
          </w:p>
          <w:p>
            <w:pPr>
              <w:pStyle w:val="12"/>
            </w:pPr>
            <w:r>
              <w:t>3.用于支付项目单位环境报告书、环境影响报告表的专家技术评估服务费用，完成审批事项不少于30个。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环评审批事项完成情况</w:t>
            </w:r>
          </w:p>
        </w:tc>
        <w:tc>
          <w:tcPr>
            <w:tcW w:w="5386" w:type="dxa"/>
            <w:vAlign w:val="center"/>
          </w:tcPr>
          <w:p>
            <w:pPr>
              <w:pStyle w:val="12"/>
            </w:pPr>
            <w:r>
              <w:t>环评审批事项完成数量不少于30个</w:t>
            </w:r>
          </w:p>
        </w:tc>
        <w:tc>
          <w:tcPr>
            <w:tcW w:w="2268" w:type="dxa"/>
            <w:vAlign w:val="center"/>
          </w:tcPr>
          <w:p>
            <w:pPr>
              <w:pStyle w:val="12"/>
            </w:pPr>
            <w:r>
              <w:t>≥30个</w:t>
            </w:r>
          </w:p>
        </w:tc>
        <w:tc>
          <w:tcPr>
            <w:tcW w:w="1276" w:type="dxa"/>
            <w:vAlign w:val="center"/>
          </w:tcPr>
          <w:p>
            <w:pPr>
              <w:pStyle w:val="12"/>
            </w:pPr>
            <w:r>
              <w:t>组织技术机构根据建设项目特点和所在区域环境特征，判断环境影响评价结论的准确性，明确评估结论，并提出修改意见。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环评审批事项完成合格率</w:t>
            </w:r>
          </w:p>
        </w:tc>
        <w:tc>
          <w:tcPr>
            <w:tcW w:w="5386" w:type="dxa"/>
            <w:vAlign w:val="center"/>
          </w:tcPr>
          <w:p>
            <w:pPr>
              <w:pStyle w:val="12"/>
            </w:pPr>
            <w:r>
              <w:t>环评审批事项完成合格情况，重点评估建设项目可能产生的环境影响，核实环境影响评价文件采用的技术方法与评价标准的正确性，判断环境影响评价结论的准确性，指出建设项目环境影响评价文件中存在的主要问题或项目存在的制约因素，明确评估结论，并提出修改意见。</w:t>
            </w:r>
          </w:p>
        </w:tc>
        <w:tc>
          <w:tcPr>
            <w:tcW w:w="2268" w:type="dxa"/>
            <w:vAlign w:val="center"/>
          </w:tcPr>
          <w:p>
            <w:pPr>
              <w:pStyle w:val="12"/>
            </w:pPr>
            <w:r>
              <w:t>≥95%</w:t>
            </w:r>
          </w:p>
        </w:tc>
        <w:tc>
          <w:tcPr>
            <w:tcW w:w="1276" w:type="dxa"/>
            <w:vAlign w:val="center"/>
          </w:tcPr>
          <w:p>
            <w:pPr>
              <w:pStyle w:val="12"/>
            </w:pPr>
            <w:r>
              <w:t>组织技术机构根据建设项目特点和所在区域环境特征，判断环境影响评价结论的准确性，明确评估结论，并提出修改意见。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环评审批事项及时完成情况</w:t>
            </w:r>
          </w:p>
        </w:tc>
        <w:tc>
          <w:tcPr>
            <w:tcW w:w="5386" w:type="dxa"/>
            <w:vAlign w:val="center"/>
          </w:tcPr>
          <w:p>
            <w:pPr>
              <w:pStyle w:val="12"/>
            </w:pPr>
            <w:r>
              <w:t>技术机构按时提供评估结论及时完成，我单位出具验收报告，完成审批事项</w:t>
            </w:r>
          </w:p>
        </w:tc>
        <w:tc>
          <w:tcPr>
            <w:tcW w:w="2268" w:type="dxa"/>
            <w:vAlign w:val="center"/>
          </w:tcPr>
          <w:p>
            <w:pPr>
              <w:pStyle w:val="12"/>
            </w:pPr>
            <w:r>
              <w:t>≥95%</w:t>
            </w:r>
          </w:p>
        </w:tc>
        <w:tc>
          <w:tcPr>
            <w:tcW w:w="1276" w:type="dxa"/>
            <w:vAlign w:val="center"/>
          </w:tcPr>
          <w:p>
            <w:pPr>
              <w:pStyle w:val="12"/>
            </w:pPr>
            <w:r>
              <w:t>组织技术机构根据建设项目特点和所在区域环境特征，判断环境影响评价结论的准确性，明确评估结论，并提出修改意见。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支出成本费用</w:t>
            </w:r>
          </w:p>
        </w:tc>
        <w:tc>
          <w:tcPr>
            <w:tcW w:w="5386" w:type="dxa"/>
            <w:vAlign w:val="center"/>
          </w:tcPr>
          <w:p>
            <w:pPr>
              <w:pStyle w:val="12"/>
            </w:pPr>
            <w:r>
              <w:t>技术评估实际支出费用与审批事项完成费用比率</w:t>
            </w:r>
          </w:p>
        </w:tc>
        <w:tc>
          <w:tcPr>
            <w:tcW w:w="2268" w:type="dxa"/>
            <w:vAlign w:val="center"/>
          </w:tcPr>
          <w:p>
            <w:pPr>
              <w:pStyle w:val="12"/>
            </w:pPr>
            <w:r>
              <w:t>≥95%</w:t>
            </w:r>
          </w:p>
        </w:tc>
        <w:tc>
          <w:tcPr>
            <w:tcW w:w="1276" w:type="dxa"/>
            <w:vAlign w:val="center"/>
          </w:tcPr>
          <w:p>
            <w:pPr>
              <w:pStyle w:val="12"/>
            </w:pPr>
            <w:r>
              <w:t>组织技术机构根据建设项目特点和所在区域环境特征，判断环境影响评价结论的准确性，明确评估结论，并提出修改意见。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优化营商环境，提高服务水平提升度</w:t>
            </w:r>
          </w:p>
        </w:tc>
        <w:tc>
          <w:tcPr>
            <w:tcW w:w="5386" w:type="dxa"/>
            <w:vAlign w:val="center"/>
          </w:tcPr>
          <w:p>
            <w:pPr>
              <w:pStyle w:val="12"/>
            </w:pPr>
            <w:r>
              <w:t>优化营商环境，提高服务水平提升，激发市场活力和创造力</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企业满意率</w:t>
            </w:r>
          </w:p>
        </w:tc>
        <w:tc>
          <w:tcPr>
            <w:tcW w:w="5386" w:type="dxa"/>
            <w:vAlign w:val="center"/>
          </w:tcPr>
          <w:p>
            <w:pPr>
              <w:pStyle w:val="12"/>
            </w:pPr>
            <w:r>
              <w:t>企业对服务的满意情况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13062524P00001510533F</w:t>
            </w:r>
          </w:p>
        </w:tc>
        <w:tc>
          <w:tcPr>
            <w:tcW w:w="2835" w:type="dxa"/>
            <w:vAlign w:val="center"/>
          </w:tcPr>
          <w:p>
            <w:pPr>
              <w:pStyle w:val="10"/>
            </w:pPr>
            <w:r>
              <w:t>项目名称</w:t>
            </w:r>
          </w:p>
        </w:tc>
        <w:tc>
          <w:tcPr>
            <w:tcW w:w="6094" w:type="dxa"/>
            <w:gridSpan w:val="3"/>
            <w:vAlign w:val="center"/>
          </w:tcPr>
          <w:p>
            <w:pPr>
              <w:pStyle w:val="12"/>
            </w:pPr>
            <w:r>
              <w:t>保安保洁服务费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30.62</w:t>
            </w:r>
          </w:p>
        </w:tc>
        <w:tc>
          <w:tcPr>
            <w:tcW w:w="2835" w:type="dxa"/>
            <w:vAlign w:val="center"/>
          </w:tcPr>
          <w:p>
            <w:pPr>
              <w:pStyle w:val="10"/>
            </w:pPr>
            <w:r>
              <w:t>其中：财政    资金</w:t>
            </w:r>
          </w:p>
        </w:tc>
        <w:tc>
          <w:tcPr>
            <w:tcW w:w="2551" w:type="dxa"/>
            <w:vAlign w:val="center"/>
          </w:tcPr>
          <w:p>
            <w:pPr>
              <w:pStyle w:val="12"/>
            </w:pPr>
            <w:r>
              <w:t>30.62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用于支付保安保洁服务费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1.为提升大厅服务水平，提高社会效益，优化营商环境。聘用专业保洁人员数量1人，每天完成3900平方米办公区域的保洁打扫，确保办公区域保洁验收达标率达到90%以上，满意度达到90%以上。</w:t>
            </w:r>
          </w:p>
          <w:p>
            <w:pPr>
              <w:pStyle w:val="12"/>
            </w:pPr>
            <w:r>
              <w:t>2.加强机关安全保卫工作，维护正常工作秩序。增强外部安全防范能力，交通顺畅。提高环境卫生质量，确保群众在干净整洁的环境中办理业务。</w:t>
            </w:r>
          </w:p>
          <w:p>
            <w:pPr>
              <w:pStyle w:val="12"/>
            </w:pPr>
            <w:r>
              <w:t>3.聘用专业保安人员数量4人，保障办公场所安全，办公人员满意度达到90%以上。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聘用保安人员数量</w:t>
            </w:r>
          </w:p>
        </w:tc>
        <w:tc>
          <w:tcPr>
            <w:tcW w:w="2268" w:type="dxa"/>
            <w:vAlign w:val="center"/>
          </w:tcPr>
          <w:p>
            <w:pPr>
              <w:pStyle w:val="12"/>
            </w:pPr>
            <w:r>
              <w:t>4人</w:t>
            </w:r>
          </w:p>
        </w:tc>
        <w:tc>
          <w:tcPr>
            <w:tcW w:w="1276" w:type="dxa"/>
            <w:vAlign w:val="center"/>
          </w:tcPr>
          <w:p>
            <w:pPr>
              <w:pStyle w:val="12"/>
            </w:pPr>
            <w:r>
              <w:t>我局通过聘请专业的保安提升行政服务大厅和公共资源交易中心的工作环境，确保群众在干净整洁的环境中办理业务，保障各项工作的顺利开展。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聘用保洁人员数量</w:t>
            </w:r>
          </w:p>
        </w:tc>
        <w:tc>
          <w:tcPr>
            <w:tcW w:w="2268" w:type="dxa"/>
            <w:vAlign w:val="center"/>
          </w:tcPr>
          <w:p>
            <w:pPr>
              <w:pStyle w:val="12"/>
            </w:pPr>
            <w:r>
              <w:t>1人</w:t>
            </w:r>
          </w:p>
        </w:tc>
        <w:tc>
          <w:tcPr>
            <w:tcW w:w="1276" w:type="dxa"/>
            <w:vAlign w:val="center"/>
          </w:tcPr>
          <w:p>
            <w:pPr>
              <w:pStyle w:val="12"/>
            </w:pPr>
            <w:r>
              <w:t>我局通过聘请专业保洁人员，提升行政服务大厅和公共资源交易中心的工作环境，确保群众在干净整洁的环境中办理业务，保障各项工作的顺利开展。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厨师人员数量</w:t>
            </w:r>
          </w:p>
        </w:tc>
        <w:tc>
          <w:tcPr>
            <w:tcW w:w="5386" w:type="dxa"/>
            <w:vAlign w:val="center"/>
          </w:tcPr>
          <w:p>
            <w:pPr>
              <w:pStyle w:val="12"/>
            </w:pPr>
            <w:r>
              <w:t>聘用厨师人员数量</w:t>
            </w:r>
          </w:p>
        </w:tc>
        <w:tc>
          <w:tcPr>
            <w:tcW w:w="2268" w:type="dxa"/>
            <w:vAlign w:val="center"/>
          </w:tcPr>
          <w:p>
            <w:pPr>
              <w:pStyle w:val="12"/>
            </w:pPr>
            <w:r>
              <w:t>1人</w:t>
            </w:r>
          </w:p>
        </w:tc>
        <w:tc>
          <w:tcPr>
            <w:tcW w:w="1276" w:type="dxa"/>
            <w:vAlign w:val="center"/>
          </w:tcPr>
          <w:p>
            <w:pPr>
              <w:pStyle w:val="12"/>
            </w:pPr>
            <w:r>
              <w:t>我局通过聘请厨师为单位人员提供便利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≥3900平方米</w:t>
            </w:r>
          </w:p>
        </w:tc>
        <w:tc>
          <w:tcPr>
            <w:tcW w:w="1276" w:type="dxa"/>
            <w:vAlign w:val="center"/>
          </w:tcPr>
          <w:p>
            <w:pPr>
              <w:pStyle w:val="12"/>
            </w:pPr>
            <w:r>
              <w:t>我局通过聘请专业的保安和保洁人员，提升行政服务大厅和公共资源交易中心的工作环境，确保群众在干净整洁的环境中办理业务，保障各项工作的顺利开展。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工资发放准确情况</w:t>
            </w:r>
          </w:p>
        </w:tc>
        <w:tc>
          <w:tcPr>
            <w:tcW w:w="2268" w:type="dxa"/>
            <w:vAlign w:val="center"/>
          </w:tcPr>
          <w:p>
            <w:pPr>
              <w:pStyle w:val="12"/>
            </w:pPr>
            <w:r>
              <w:t>≥95%</w:t>
            </w:r>
          </w:p>
        </w:tc>
        <w:tc>
          <w:tcPr>
            <w:tcW w:w="1276" w:type="dxa"/>
            <w:vAlign w:val="center"/>
          </w:tcPr>
          <w:p>
            <w:pPr>
              <w:pStyle w:val="12"/>
            </w:pPr>
            <w:r>
              <w:t>我局通过聘请专业的保安和保洁人员，提升行政服务大厅和公共资源交易中心的工作环境，确保群众在干净整洁的环境中办理业务，保障各项工作的顺利开展。。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工资发放及时情况</w:t>
            </w:r>
          </w:p>
        </w:tc>
        <w:tc>
          <w:tcPr>
            <w:tcW w:w="2268" w:type="dxa"/>
            <w:vAlign w:val="center"/>
          </w:tcPr>
          <w:p>
            <w:pPr>
              <w:pStyle w:val="12"/>
            </w:pPr>
            <w:r>
              <w:t>≥95%</w:t>
            </w:r>
          </w:p>
        </w:tc>
        <w:tc>
          <w:tcPr>
            <w:tcW w:w="1276" w:type="dxa"/>
            <w:vAlign w:val="center"/>
          </w:tcPr>
          <w:p>
            <w:pPr>
              <w:pStyle w:val="12"/>
            </w:pPr>
            <w:r>
              <w:t>我局通过聘请专业的保安和保洁人员，提升行政服务大厅和公共资源交易中心的工作环境，确保群众在干净整洁的环境中办理业务，保障各项工作的顺利开展。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雇佣保安保洁厨师的成本费用</w:t>
            </w:r>
          </w:p>
        </w:tc>
        <w:tc>
          <w:tcPr>
            <w:tcW w:w="5386" w:type="dxa"/>
            <w:vAlign w:val="center"/>
          </w:tcPr>
          <w:p>
            <w:pPr>
              <w:pStyle w:val="12"/>
            </w:pPr>
            <w:r>
              <w:t>保安保洁厨师服务费用与支出费用比率</w:t>
            </w:r>
          </w:p>
        </w:tc>
        <w:tc>
          <w:tcPr>
            <w:tcW w:w="2268" w:type="dxa"/>
            <w:vAlign w:val="center"/>
          </w:tcPr>
          <w:p>
            <w:pPr>
              <w:pStyle w:val="12"/>
            </w:pPr>
            <w:r>
              <w:t>≥95%</w:t>
            </w:r>
          </w:p>
        </w:tc>
        <w:tc>
          <w:tcPr>
            <w:tcW w:w="1276" w:type="dxa"/>
            <w:vAlign w:val="center"/>
          </w:tcPr>
          <w:p>
            <w:pPr>
              <w:pStyle w:val="12"/>
            </w:pPr>
            <w:r>
              <w:t>我局通过聘请专业的保安和保洁人员，提升行政服务大厅和公共资源交易中心的工作环境，确保群众在干净整洁的环境中办理业务，保障各项工作的顺利开展。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大厅维持秩序，安保情况</w:t>
            </w:r>
          </w:p>
        </w:tc>
        <w:tc>
          <w:tcPr>
            <w:tcW w:w="5386" w:type="dxa"/>
            <w:vAlign w:val="center"/>
          </w:tcPr>
          <w:p>
            <w:pPr>
              <w:pStyle w:val="12"/>
            </w:pPr>
            <w:r>
              <w:t>大厅服务水平满意度</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环境整洁情况</w:t>
            </w:r>
          </w:p>
        </w:tc>
        <w:tc>
          <w:tcPr>
            <w:tcW w:w="5386" w:type="dxa"/>
            <w:vAlign w:val="center"/>
          </w:tcPr>
          <w:p>
            <w:pPr>
              <w:pStyle w:val="12"/>
            </w:pPr>
            <w:r>
              <w:t>大厅办公环境整洁度，提升办公环境</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服务对象对办公环境整洁度满意度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3、辅助人员费用（劳务派遣）绩效目标表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13062524P00001510537X</w:t>
            </w:r>
          </w:p>
        </w:tc>
        <w:tc>
          <w:tcPr>
            <w:tcW w:w="2835" w:type="dxa"/>
            <w:vAlign w:val="center"/>
          </w:tcPr>
          <w:p>
            <w:pPr>
              <w:pStyle w:val="10"/>
            </w:pPr>
            <w:r>
              <w:t>项目名称</w:t>
            </w:r>
          </w:p>
        </w:tc>
        <w:tc>
          <w:tcPr>
            <w:tcW w:w="6094" w:type="dxa"/>
            <w:gridSpan w:val="3"/>
            <w:vAlign w:val="center"/>
          </w:tcPr>
          <w:p>
            <w:pPr>
              <w:pStyle w:val="12"/>
            </w:pPr>
            <w:r>
              <w:t>辅助人员费用（劳务派遣）</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49.07</w:t>
            </w:r>
          </w:p>
        </w:tc>
        <w:tc>
          <w:tcPr>
            <w:tcW w:w="2835" w:type="dxa"/>
            <w:vAlign w:val="center"/>
          </w:tcPr>
          <w:p>
            <w:pPr>
              <w:pStyle w:val="10"/>
            </w:pPr>
            <w:r>
              <w:t>其中：财政    资金</w:t>
            </w:r>
          </w:p>
        </w:tc>
        <w:tc>
          <w:tcPr>
            <w:tcW w:w="2551" w:type="dxa"/>
            <w:vAlign w:val="center"/>
          </w:tcPr>
          <w:p>
            <w:pPr>
              <w:pStyle w:val="12"/>
            </w:pPr>
            <w:r>
              <w:t>49.07</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用于支付劳务派遣人员服务费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1.自组建以来至今，一直处于业务量大、工作人员偏少的实际状况，鉴于工作实际需要，聘用劳务派遣人员10人，解决单位运转问题。</w:t>
            </w:r>
          </w:p>
          <w:p>
            <w:pPr>
              <w:pStyle w:val="12"/>
            </w:pPr>
            <w:r>
              <w:t>2.提高工作效率，增加服务人员，提高为民服务水平。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聘用劳务派遣人员数量</w:t>
            </w:r>
          </w:p>
        </w:tc>
        <w:tc>
          <w:tcPr>
            <w:tcW w:w="2268" w:type="dxa"/>
            <w:vAlign w:val="center"/>
          </w:tcPr>
          <w:p>
            <w:pPr>
              <w:pStyle w:val="12"/>
            </w:pPr>
            <w:r>
              <w:t>10人</w:t>
            </w:r>
          </w:p>
        </w:tc>
        <w:tc>
          <w:tcPr>
            <w:tcW w:w="1276" w:type="dxa"/>
            <w:vAlign w:val="center"/>
          </w:tcPr>
          <w:p>
            <w:pPr>
              <w:pStyle w:val="12"/>
            </w:pPr>
            <w:r>
              <w:t>区行政审批局自组建以来至今，一直处于业务量大、工作人员偏少的实际状况，鉴于工作实际需要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工资发放准确情况</w:t>
            </w:r>
          </w:p>
        </w:tc>
        <w:tc>
          <w:tcPr>
            <w:tcW w:w="2268" w:type="dxa"/>
            <w:vAlign w:val="center"/>
          </w:tcPr>
          <w:p>
            <w:pPr>
              <w:pStyle w:val="12"/>
            </w:pPr>
            <w:r>
              <w:t>≥95%</w:t>
            </w:r>
          </w:p>
        </w:tc>
        <w:tc>
          <w:tcPr>
            <w:tcW w:w="1276" w:type="dxa"/>
            <w:vAlign w:val="center"/>
          </w:tcPr>
          <w:p>
            <w:pPr>
              <w:pStyle w:val="12"/>
            </w:pPr>
            <w:r>
              <w:t>区行政审批局自组建以来至今，一直处于业务量大、工作人员偏少的实际状况，鉴于工作实际需要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工资发放及时情况</w:t>
            </w:r>
          </w:p>
        </w:tc>
        <w:tc>
          <w:tcPr>
            <w:tcW w:w="2268" w:type="dxa"/>
            <w:vAlign w:val="center"/>
          </w:tcPr>
          <w:p>
            <w:pPr>
              <w:pStyle w:val="12"/>
            </w:pPr>
            <w:r>
              <w:t>≥95%</w:t>
            </w:r>
          </w:p>
        </w:tc>
        <w:tc>
          <w:tcPr>
            <w:tcW w:w="1276" w:type="dxa"/>
            <w:vAlign w:val="center"/>
          </w:tcPr>
          <w:p>
            <w:pPr>
              <w:pStyle w:val="12"/>
            </w:pPr>
            <w:r>
              <w:t>区行政审批局自组建以来至今，一直处于业务量大、工作人员偏少的实际状况，鉴于工作实际需要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项目的成本费用</w:t>
            </w:r>
          </w:p>
        </w:tc>
        <w:tc>
          <w:tcPr>
            <w:tcW w:w="5386" w:type="dxa"/>
            <w:vAlign w:val="center"/>
          </w:tcPr>
          <w:p>
            <w:pPr>
              <w:pStyle w:val="12"/>
            </w:pPr>
            <w:r>
              <w:t>劳务派遣人员服务费用与实际支出成本费用的比率</w:t>
            </w:r>
          </w:p>
        </w:tc>
        <w:tc>
          <w:tcPr>
            <w:tcW w:w="2268" w:type="dxa"/>
            <w:vAlign w:val="center"/>
          </w:tcPr>
          <w:p>
            <w:pPr>
              <w:pStyle w:val="12"/>
            </w:pPr>
            <w:r>
              <w:t>≥95%</w:t>
            </w:r>
          </w:p>
        </w:tc>
        <w:tc>
          <w:tcPr>
            <w:tcW w:w="1276" w:type="dxa"/>
            <w:vAlign w:val="center"/>
          </w:tcPr>
          <w:p>
            <w:pPr>
              <w:pStyle w:val="12"/>
            </w:pPr>
            <w:r>
              <w:t>区行政审批局自组建以来至今，一直处于业务量大、工作人员偏少的实际状况，鉴于工作实际需要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提供优质服务，优化营商环境</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办公人员满意率</w:t>
            </w:r>
          </w:p>
        </w:tc>
        <w:tc>
          <w:tcPr>
            <w:tcW w:w="5386" w:type="dxa"/>
            <w:vAlign w:val="center"/>
          </w:tcPr>
          <w:p>
            <w:pPr>
              <w:pStyle w:val="12"/>
            </w:pPr>
            <w:r>
              <w:t>办事人员对办公人员工作满意度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4、公共资源交易中心工作经费绩效目标表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13062524P000015105247</w:t>
            </w:r>
          </w:p>
        </w:tc>
        <w:tc>
          <w:tcPr>
            <w:tcW w:w="2835" w:type="dxa"/>
            <w:vAlign w:val="center"/>
          </w:tcPr>
          <w:p>
            <w:pPr>
              <w:pStyle w:val="10"/>
            </w:pPr>
            <w:r>
              <w:t>项目名称</w:t>
            </w:r>
          </w:p>
        </w:tc>
        <w:tc>
          <w:tcPr>
            <w:tcW w:w="6094" w:type="dxa"/>
            <w:gridSpan w:val="3"/>
            <w:vAlign w:val="center"/>
          </w:tcPr>
          <w:p>
            <w:pPr>
              <w:pStyle w:val="12"/>
            </w:pPr>
            <w:r>
              <w:t>公共资源交易中心工作经费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用于支付公共资源交易中心运转工作经费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1.为群众提供更好地公共资源交易平台，优化营商环境，提升服务水平。</w:t>
            </w:r>
          </w:p>
          <w:p>
            <w:pPr>
              <w:pStyle w:val="12"/>
            </w:pPr>
            <w:r>
              <w:t>2.协调各股室，保障公共资源各项工作有序进行。按相关要求，做好办公设施设备的运行维护。</w:t>
            </w:r>
          </w:p>
          <w:p>
            <w:pPr>
              <w:pStyle w:val="12"/>
            </w:pPr>
            <w:r>
              <w:t>3.按规定进行设备维修维护保养消防设施，水电暖设施保养，保障服务大厅正常运转。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空调运行维护次数</w:t>
            </w:r>
          </w:p>
        </w:tc>
        <w:tc>
          <w:tcPr>
            <w:tcW w:w="5386" w:type="dxa"/>
            <w:vAlign w:val="center"/>
          </w:tcPr>
          <w:p>
            <w:pPr>
              <w:pStyle w:val="12"/>
            </w:pPr>
            <w:r>
              <w:t>设施设备运行维护次数</w:t>
            </w:r>
          </w:p>
        </w:tc>
        <w:tc>
          <w:tcPr>
            <w:tcW w:w="2268" w:type="dxa"/>
            <w:vAlign w:val="center"/>
          </w:tcPr>
          <w:p>
            <w:pPr>
              <w:pStyle w:val="12"/>
            </w:pPr>
            <w:r>
              <w:t>≥3次</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设备正常运行</w:t>
            </w:r>
          </w:p>
        </w:tc>
        <w:tc>
          <w:tcPr>
            <w:tcW w:w="5386" w:type="dxa"/>
            <w:vAlign w:val="center"/>
          </w:tcPr>
          <w:p>
            <w:pPr>
              <w:pStyle w:val="12"/>
            </w:pPr>
            <w:r>
              <w:t>设备正常运行天数</w:t>
            </w:r>
          </w:p>
        </w:tc>
        <w:tc>
          <w:tcPr>
            <w:tcW w:w="2268" w:type="dxa"/>
            <w:vAlign w:val="center"/>
          </w:tcPr>
          <w:p>
            <w:pPr>
              <w:pStyle w:val="12"/>
            </w:pPr>
            <w:r>
              <w:t>≥360天</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消防设施数量</w:t>
            </w:r>
          </w:p>
        </w:tc>
        <w:tc>
          <w:tcPr>
            <w:tcW w:w="5386" w:type="dxa"/>
            <w:vAlign w:val="center"/>
          </w:tcPr>
          <w:p>
            <w:pPr>
              <w:pStyle w:val="12"/>
            </w:pPr>
            <w:r>
              <w:t>干粉灭火器数量</w:t>
            </w:r>
          </w:p>
        </w:tc>
        <w:tc>
          <w:tcPr>
            <w:tcW w:w="2268" w:type="dxa"/>
            <w:vAlign w:val="center"/>
          </w:tcPr>
          <w:p>
            <w:pPr>
              <w:pStyle w:val="12"/>
            </w:pPr>
            <w:r>
              <w:t>≥8个</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返修率</w:t>
            </w:r>
          </w:p>
        </w:tc>
        <w:tc>
          <w:tcPr>
            <w:tcW w:w="5386" w:type="dxa"/>
            <w:vAlign w:val="center"/>
          </w:tcPr>
          <w:p>
            <w:pPr>
              <w:pStyle w:val="12"/>
            </w:pPr>
            <w:r>
              <w:t>维修维护完成后故障返修频率</w:t>
            </w:r>
          </w:p>
        </w:tc>
        <w:tc>
          <w:tcPr>
            <w:tcW w:w="2268" w:type="dxa"/>
            <w:vAlign w:val="center"/>
          </w:tcPr>
          <w:p>
            <w:pPr>
              <w:pStyle w:val="12"/>
            </w:pPr>
            <w:r>
              <w:t>≤3次</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故障维修及时率</w:t>
            </w:r>
          </w:p>
        </w:tc>
        <w:tc>
          <w:tcPr>
            <w:tcW w:w="5386" w:type="dxa"/>
            <w:vAlign w:val="center"/>
          </w:tcPr>
          <w:p>
            <w:pPr>
              <w:pStyle w:val="12"/>
            </w:pPr>
            <w:r>
              <w:t>发现故障是否及时维修</w:t>
            </w:r>
          </w:p>
        </w:tc>
        <w:tc>
          <w:tcPr>
            <w:tcW w:w="2268" w:type="dxa"/>
            <w:vAlign w:val="center"/>
          </w:tcPr>
          <w:p>
            <w:pPr>
              <w:pStyle w:val="12"/>
            </w:pPr>
            <w:r>
              <w:t>≤2天</w:t>
            </w:r>
          </w:p>
        </w:tc>
        <w:tc>
          <w:tcPr>
            <w:tcW w:w="1276" w:type="dxa"/>
            <w:vAlign w:val="center"/>
          </w:tcPr>
          <w:p>
            <w:pPr>
              <w:pStyle w:val="12"/>
            </w:pPr>
            <w:r>
              <w:t>是否当天维修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设施设备维修维护成本</w:t>
            </w:r>
          </w:p>
        </w:tc>
        <w:tc>
          <w:tcPr>
            <w:tcW w:w="5386" w:type="dxa"/>
            <w:vAlign w:val="center"/>
          </w:tcPr>
          <w:p>
            <w:pPr>
              <w:pStyle w:val="12"/>
            </w:pPr>
            <w:r>
              <w:t>维修维护费用与设施设备原值比率</w:t>
            </w:r>
          </w:p>
        </w:tc>
        <w:tc>
          <w:tcPr>
            <w:tcW w:w="2268" w:type="dxa"/>
            <w:vAlign w:val="center"/>
          </w:tcPr>
          <w:p>
            <w:pPr>
              <w:pStyle w:val="12"/>
            </w:pPr>
            <w:r>
              <w:t>≥95%</w:t>
            </w:r>
          </w:p>
        </w:tc>
        <w:tc>
          <w:tcPr>
            <w:tcW w:w="1276" w:type="dxa"/>
            <w:vAlign w:val="center"/>
          </w:tcPr>
          <w:p>
            <w:pPr>
              <w:pStyle w:val="12"/>
            </w:pPr>
            <w:r>
              <w:t>维修维护记录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社会稳定水平提升度</w:t>
            </w:r>
          </w:p>
        </w:tc>
        <w:tc>
          <w:tcPr>
            <w:tcW w:w="5386" w:type="dxa"/>
            <w:vAlign w:val="center"/>
          </w:tcPr>
          <w:p>
            <w:pPr>
              <w:pStyle w:val="12"/>
            </w:pPr>
            <w:r>
              <w:t>通过及时维修维护设备为服务对象提供便利，优化营商环境</w:t>
            </w:r>
          </w:p>
        </w:tc>
        <w:tc>
          <w:tcPr>
            <w:tcW w:w="2268" w:type="dxa"/>
            <w:vAlign w:val="center"/>
          </w:tcPr>
          <w:p>
            <w:pPr>
              <w:pStyle w:val="12"/>
            </w:pPr>
            <w:r>
              <w:t>≥95%</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13062524P00001510797P</w:t>
            </w:r>
          </w:p>
        </w:tc>
        <w:tc>
          <w:tcPr>
            <w:tcW w:w="2835" w:type="dxa"/>
            <w:vAlign w:val="center"/>
          </w:tcPr>
          <w:p>
            <w:pPr>
              <w:pStyle w:val="10"/>
            </w:pPr>
            <w:r>
              <w:t>项目名称</w:t>
            </w:r>
          </w:p>
        </w:tc>
        <w:tc>
          <w:tcPr>
            <w:tcW w:w="6094"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w:t>
            </w:r>
          </w:p>
        </w:tc>
        <w:tc>
          <w:tcPr>
            <w:tcW w:w="2835" w:type="dxa"/>
            <w:vAlign w:val="center"/>
          </w:tcPr>
          <w:p>
            <w:pPr>
              <w:pStyle w:val="10"/>
            </w:pPr>
            <w:r>
              <w:t>其中：财政    资金</w:t>
            </w:r>
          </w:p>
        </w:tc>
        <w:tc>
          <w:tcPr>
            <w:tcW w:w="2551" w:type="dxa"/>
            <w:vAlign w:val="center"/>
          </w:tcPr>
          <w:p>
            <w:pPr>
              <w:pStyle w:val="12"/>
            </w:pPr>
            <w:r>
              <w:t>2.88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用于支付退役军人专岗人员生活补助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1.确保全区稳定，保障退役军人专岗人员更好发挥作用。</w:t>
            </w:r>
          </w:p>
          <w:p>
            <w:pPr>
              <w:pStyle w:val="12"/>
            </w:pPr>
            <w:r>
              <w:t>2.按时足额发放到位，落实退伍兵待遇。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8人</w:t>
            </w:r>
          </w:p>
        </w:tc>
        <w:tc>
          <w:tcPr>
            <w:tcW w:w="1276" w:type="dxa"/>
            <w:vAlign w:val="center"/>
          </w:tcPr>
          <w:p>
            <w:pPr>
              <w:pStyle w:val="12"/>
            </w:pPr>
            <w:r>
              <w:t>保定市徐水区退役军人事务局《关于徐水区退役军人专岗人员提高</w:t>
            </w:r>
          </w:p>
          <w:p>
            <w:pPr>
              <w:pStyle w:val="12"/>
            </w:pPr>
            <w:r>
              <w:t>待遇的请示》及区政府2021年6月17日的批示、退役军人专岗人员提高待遇资金项目实施计划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w:t>
            </w:r>
          </w:p>
          <w:p>
            <w:pPr>
              <w:pStyle w:val="12"/>
            </w:pPr>
            <w:r>
              <w:t>待遇的请示》及区政府2021年6月17日的批示、退役军人专岗人员提高待遇资金项目实施计划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≥85%</w:t>
            </w:r>
          </w:p>
        </w:tc>
        <w:tc>
          <w:tcPr>
            <w:tcW w:w="1276" w:type="dxa"/>
            <w:vAlign w:val="center"/>
          </w:tcPr>
          <w:p>
            <w:pPr>
              <w:pStyle w:val="12"/>
            </w:pPr>
            <w:r>
              <w:t>保定市徐水区退役军人事务局《关于徐水区退役军人专岗人员提高</w:t>
            </w:r>
          </w:p>
          <w:p>
            <w:pPr>
              <w:pStyle w:val="12"/>
            </w:pPr>
            <w:r>
              <w:t>待遇的请示》及区政府2021年6月17日的批示、退役军人专岗人员提高待遇资金项目实施计划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≤28800元</w:t>
            </w:r>
          </w:p>
        </w:tc>
        <w:tc>
          <w:tcPr>
            <w:tcW w:w="1276" w:type="dxa"/>
            <w:vAlign w:val="center"/>
          </w:tcPr>
          <w:p>
            <w:pPr>
              <w:pStyle w:val="12"/>
            </w:pPr>
            <w:r>
              <w:t>保定市徐水区退役军人事务局《关于徐水区退役军人专岗人员提高</w:t>
            </w:r>
          </w:p>
          <w:p>
            <w:pPr>
              <w:pStyle w:val="12"/>
            </w:pPr>
            <w:r>
              <w:t>待遇的请示》及区政府2021年6月17日的批示、退役军人专岗人员提高待遇资金项目实施计划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w:t>
            </w:r>
          </w:p>
          <w:p>
            <w:pPr>
              <w:pStyle w:val="12"/>
            </w:pPr>
            <w:r>
              <w:t>待遇的请示》及区政府2021年6月17日的批示、退役军人专岗人员提高待遇资金项目实施计划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6、政务服务中心工作经费绩效目标表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13062524P00001510521C</w:t>
            </w:r>
          </w:p>
        </w:tc>
        <w:tc>
          <w:tcPr>
            <w:tcW w:w="2835" w:type="dxa"/>
            <w:vAlign w:val="center"/>
          </w:tcPr>
          <w:p>
            <w:pPr>
              <w:pStyle w:val="10"/>
            </w:pPr>
            <w:r>
              <w:t>项目名称</w:t>
            </w:r>
          </w:p>
        </w:tc>
        <w:tc>
          <w:tcPr>
            <w:tcW w:w="6094" w:type="dxa"/>
            <w:gridSpan w:val="3"/>
            <w:vAlign w:val="center"/>
          </w:tcPr>
          <w:p>
            <w:pPr>
              <w:pStyle w:val="12"/>
            </w:pPr>
            <w:r>
              <w:t>政务服务中心工作经费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89.80</w:t>
            </w:r>
          </w:p>
        </w:tc>
        <w:tc>
          <w:tcPr>
            <w:tcW w:w="2835" w:type="dxa"/>
            <w:vAlign w:val="center"/>
          </w:tcPr>
          <w:p>
            <w:pPr>
              <w:pStyle w:val="10"/>
            </w:pPr>
            <w:r>
              <w:t>其中：财政    资金</w:t>
            </w:r>
          </w:p>
        </w:tc>
        <w:tc>
          <w:tcPr>
            <w:tcW w:w="2551" w:type="dxa"/>
            <w:vAlign w:val="center"/>
          </w:tcPr>
          <w:p>
            <w:pPr>
              <w:pStyle w:val="12"/>
            </w:pPr>
            <w:r>
              <w:t>89.80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用于政务服务中心运转工作经费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1.全力做好各项设施设备的运行维护，保障工作需求。保障服务大厅各项设施设备正常运行，做好日常维护。</w:t>
            </w:r>
          </w:p>
          <w:p>
            <w:pPr>
              <w:pStyle w:val="12"/>
            </w:pPr>
            <w:r>
              <w:t>2.保证办公设备正常运行，提供便利办公环境。</w:t>
            </w:r>
          </w:p>
          <w:p>
            <w:pPr>
              <w:pStyle w:val="12"/>
            </w:pPr>
            <w:r>
              <w:t>3.按规定进行设备维修维护保养消防设施，水电暖设施保养，保障服务大厅正常运转。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空调运行维护次数</w:t>
            </w:r>
          </w:p>
        </w:tc>
        <w:tc>
          <w:tcPr>
            <w:tcW w:w="5386" w:type="dxa"/>
            <w:vAlign w:val="center"/>
          </w:tcPr>
          <w:p>
            <w:pPr>
              <w:pStyle w:val="12"/>
            </w:pPr>
            <w:r>
              <w:t>设施设备运行维护次数</w:t>
            </w:r>
          </w:p>
        </w:tc>
        <w:tc>
          <w:tcPr>
            <w:tcW w:w="2268" w:type="dxa"/>
            <w:vAlign w:val="center"/>
          </w:tcPr>
          <w:p>
            <w:pPr>
              <w:pStyle w:val="12"/>
            </w:pPr>
            <w:r>
              <w:t>≥5次</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设备正常运行</w:t>
            </w:r>
          </w:p>
        </w:tc>
        <w:tc>
          <w:tcPr>
            <w:tcW w:w="5386" w:type="dxa"/>
            <w:vAlign w:val="center"/>
          </w:tcPr>
          <w:p>
            <w:pPr>
              <w:pStyle w:val="12"/>
            </w:pPr>
            <w:r>
              <w:t>设备正常运行天数</w:t>
            </w:r>
          </w:p>
        </w:tc>
        <w:tc>
          <w:tcPr>
            <w:tcW w:w="2268" w:type="dxa"/>
            <w:vAlign w:val="center"/>
          </w:tcPr>
          <w:p>
            <w:pPr>
              <w:pStyle w:val="12"/>
            </w:pPr>
            <w:r>
              <w:t>≥360天</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消防设施数量</w:t>
            </w:r>
          </w:p>
        </w:tc>
        <w:tc>
          <w:tcPr>
            <w:tcW w:w="5386" w:type="dxa"/>
            <w:vAlign w:val="center"/>
          </w:tcPr>
          <w:p>
            <w:pPr>
              <w:pStyle w:val="12"/>
            </w:pPr>
            <w:r>
              <w:t>干粉灭火器数量</w:t>
            </w:r>
          </w:p>
        </w:tc>
        <w:tc>
          <w:tcPr>
            <w:tcW w:w="2268" w:type="dxa"/>
            <w:vAlign w:val="center"/>
          </w:tcPr>
          <w:p>
            <w:pPr>
              <w:pStyle w:val="12"/>
            </w:pPr>
            <w:r>
              <w:t>≥50个</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返修率</w:t>
            </w:r>
          </w:p>
        </w:tc>
        <w:tc>
          <w:tcPr>
            <w:tcW w:w="5386" w:type="dxa"/>
            <w:vAlign w:val="center"/>
          </w:tcPr>
          <w:p>
            <w:pPr>
              <w:pStyle w:val="12"/>
            </w:pPr>
            <w:r>
              <w:t>维修维护完成后故障返修频率</w:t>
            </w:r>
          </w:p>
        </w:tc>
        <w:tc>
          <w:tcPr>
            <w:tcW w:w="2268" w:type="dxa"/>
            <w:vAlign w:val="center"/>
          </w:tcPr>
          <w:p>
            <w:pPr>
              <w:pStyle w:val="12"/>
            </w:pPr>
            <w:r>
              <w:t>≤3次</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故障维修及时率</w:t>
            </w:r>
          </w:p>
        </w:tc>
        <w:tc>
          <w:tcPr>
            <w:tcW w:w="5386" w:type="dxa"/>
            <w:vAlign w:val="center"/>
          </w:tcPr>
          <w:p>
            <w:pPr>
              <w:pStyle w:val="12"/>
            </w:pPr>
            <w:r>
              <w:t>发现故障是否及时维修</w:t>
            </w:r>
          </w:p>
        </w:tc>
        <w:tc>
          <w:tcPr>
            <w:tcW w:w="2268" w:type="dxa"/>
            <w:vAlign w:val="center"/>
          </w:tcPr>
          <w:p>
            <w:pPr>
              <w:pStyle w:val="12"/>
            </w:pPr>
            <w:r>
              <w:t>≤2天</w:t>
            </w:r>
          </w:p>
        </w:tc>
        <w:tc>
          <w:tcPr>
            <w:tcW w:w="1276" w:type="dxa"/>
            <w:vAlign w:val="center"/>
          </w:tcPr>
          <w:p>
            <w:pPr>
              <w:pStyle w:val="12"/>
            </w:pPr>
            <w:r>
              <w:t>是否当天维修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设施设备维修维护成本</w:t>
            </w:r>
          </w:p>
        </w:tc>
        <w:tc>
          <w:tcPr>
            <w:tcW w:w="5386" w:type="dxa"/>
            <w:vAlign w:val="center"/>
          </w:tcPr>
          <w:p>
            <w:pPr>
              <w:pStyle w:val="12"/>
            </w:pPr>
            <w:r>
              <w:t>维修维护费用与设施设备原值比率</w:t>
            </w:r>
          </w:p>
        </w:tc>
        <w:tc>
          <w:tcPr>
            <w:tcW w:w="2268" w:type="dxa"/>
            <w:vAlign w:val="center"/>
          </w:tcPr>
          <w:p>
            <w:pPr>
              <w:pStyle w:val="12"/>
            </w:pPr>
            <w:r>
              <w:t>≥95%</w:t>
            </w:r>
          </w:p>
        </w:tc>
        <w:tc>
          <w:tcPr>
            <w:tcW w:w="1276" w:type="dxa"/>
            <w:vAlign w:val="center"/>
          </w:tcPr>
          <w:p>
            <w:pPr>
              <w:pStyle w:val="12"/>
            </w:pPr>
            <w:r>
              <w:t>维修维护记录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社会稳定水平提升度</w:t>
            </w:r>
          </w:p>
        </w:tc>
        <w:tc>
          <w:tcPr>
            <w:tcW w:w="5386" w:type="dxa"/>
            <w:vAlign w:val="center"/>
          </w:tcPr>
          <w:p>
            <w:pPr>
              <w:pStyle w:val="12"/>
            </w:pPr>
            <w:r>
              <w:t>通过及时维修维护设备为服务对象提供便利，优化营商环境</w:t>
            </w:r>
          </w:p>
        </w:tc>
        <w:tc>
          <w:tcPr>
            <w:tcW w:w="2268" w:type="dxa"/>
            <w:vAlign w:val="center"/>
          </w:tcPr>
          <w:p>
            <w:pPr>
              <w:pStyle w:val="12"/>
            </w:pPr>
            <w:r>
              <w:t>≥95%</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服务对象满意情况</w:t>
            </w:r>
          </w:p>
        </w:tc>
        <w:tc>
          <w:tcPr>
            <w:tcW w:w="2268" w:type="dxa"/>
            <w:vAlign w:val="center"/>
          </w:tcPr>
          <w:p>
            <w:pPr>
              <w:pStyle w:val="12"/>
            </w:pPr>
            <w:r>
              <w:t>≥95%</w:t>
            </w:r>
          </w:p>
        </w:tc>
        <w:tc>
          <w:tcPr>
            <w:tcW w:w="1276" w:type="dxa"/>
            <w:vAlign w:val="center"/>
          </w:tcPr>
          <w:p>
            <w:pPr>
              <w:pStyle w:val="12"/>
            </w:pPr>
          </w:p>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52.25</w:t>
            </w:r>
          </w:p>
        </w:tc>
        <w:tc>
          <w:tcPr>
            <w:tcW w:w="964" w:type="dxa"/>
            <w:vAlign w:val="center"/>
          </w:tcPr>
          <w:p>
            <w:pPr>
              <w:pStyle w:val="15"/>
            </w:pPr>
            <w:r>
              <w:t>52.25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保定市徐水区行政审批局本级小计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52.25</w:t>
            </w:r>
          </w:p>
        </w:tc>
        <w:tc>
          <w:tcPr>
            <w:tcW w:w="964" w:type="dxa"/>
            <w:vAlign w:val="center"/>
          </w:tcPr>
          <w:p>
            <w:pPr>
              <w:pStyle w:val="15"/>
            </w:pPr>
            <w:r>
              <w:t>52.25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“环评”审批事项专家评估服务费用</w:t>
            </w:r>
          </w:p>
        </w:tc>
        <w:tc>
          <w:tcPr>
            <w:tcW w:w="964" w:type="dxa"/>
            <w:vAlign w:val="center"/>
          </w:tcPr>
          <w:p>
            <w:pPr>
              <w:pStyle w:val="11"/>
            </w:pPr>
            <w:r>
              <w:t>42.25</w:t>
            </w:r>
          </w:p>
        </w:tc>
        <w:tc>
          <w:tcPr>
            <w:tcW w:w="1134" w:type="dxa"/>
            <w:vAlign w:val="center"/>
          </w:tcPr>
          <w:p>
            <w:pPr>
              <w:pStyle w:val="12"/>
            </w:pPr>
            <w:r>
              <w:t>环境评估服务</w:t>
            </w:r>
          </w:p>
        </w:tc>
        <w:tc>
          <w:tcPr>
            <w:tcW w:w="1134" w:type="dxa"/>
            <w:vAlign w:val="center"/>
          </w:tcPr>
          <w:p>
            <w:pPr>
              <w:pStyle w:val="12"/>
            </w:pPr>
            <w:r>
              <w:t>C20020800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42.25</w:t>
            </w:r>
          </w:p>
        </w:tc>
        <w:tc>
          <w:tcPr>
            <w:tcW w:w="964" w:type="dxa"/>
            <w:vAlign w:val="center"/>
          </w:tcPr>
          <w:p>
            <w:pPr>
              <w:pStyle w:val="11"/>
            </w:pPr>
            <w:r>
              <w:t>42.25</w:t>
            </w:r>
          </w:p>
        </w:tc>
        <w:tc>
          <w:tcPr>
            <w:tcW w:w="964" w:type="dxa"/>
            <w:vAlign w:val="center"/>
          </w:tcPr>
          <w:p>
            <w:pPr>
              <w:pStyle w:val="11"/>
            </w:pPr>
            <w:r>
              <w:t>42.25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政务服务中心工作经费</w:t>
            </w:r>
          </w:p>
        </w:tc>
        <w:tc>
          <w:tcPr>
            <w:tcW w:w="964" w:type="dxa"/>
            <w:vAlign w:val="center"/>
          </w:tcPr>
          <w:p>
            <w:pPr>
              <w:pStyle w:val="11"/>
            </w:pPr>
            <w:r>
              <w:t>89.80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政务服务中心工作经费</w:t>
            </w:r>
          </w:p>
        </w:tc>
        <w:tc>
          <w:tcPr>
            <w:tcW w:w="964" w:type="dxa"/>
            <w:vAlign w:val="center"/>
          </w:tcPr>
          <w:p>
            <w:pPr>
              <w:pStyle w:val="11"/>
            </w:pPr>
            <w:r>
              <w:t>89.80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保定市徐水区行政审批局本级上年末固定资产金额为4905913.70万元（详见下表）。本年度拟购置固定资产总额为10.00万元，已按要求列入政府采购预算，详见政府采购预算表。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4905913.70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40.49</w:t>
            </w:r>
          </w:p>
        </w:tc>
        <w:tc>
          <w:tcPr>
            <w:tcW w:w="2835" w:type="dxa"/>
            <w:vAlign w:val="center"/>
          </w:tcPr>
          <w:p>
            <w:pPr>
              <w:pStyle w:val="11"/>
            </w:pPr>
            <w:r>
              <w:t>48331.20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20.49</w:t>
            </w:r>
          </w:p>
        </w:tc>
        <w:tc>
          <w:tcPr>
            <w:tcW w:w="2835" w:type="dxa"/>
            <w:vAlign w:val="center"/>
          </w:tcPr>
          <w:p>
            <w:pPr>
              <w:pStyle w:val="11"/>
            </w:pPr>
            <w:r>
              <w:t>40031.20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1305</w:t>
            </w:r>
          </w:p>
        </w:tc>
        <w:tc>
          <w:tcPr>
            <w:tcW w:w="2835" w:type="dxa"/>
            <w:vAlign w:val="center"/>
          </w:tcPr>
          <w:p>
            <w:pPr>
              <w:pStyle w:val="11"/>
            </w:pPr>
            <w:r>
              <w:t>4857582.50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ODBhZGNlNWRhMmZjODA5N2Q3NGI3YmQ1NzZkZGIifQ=="/>
  </w:docVars>
  <w:rsids>
    <w:rsidRoot w:val="00000000"/>
    <w:rsid w:val="014F3621"/>
    <w:rsid w:val="15EA0DA2"/>
    <w:rsid w:val="189D0B39"/>
    <w:rsid w:val="1C1C1F91"/>
    <w:rsid w:val="23DC20E5"/>
    <w:rsid w:val="304964FC"/>
    <w:rsid w:val="33F91EC8"/>
    <w:rsid w:val="3F297CC5"/>
    <w:rsid w:val="45AC53E0"/>
    <w:rsid w:val="4BA8614E"/>
    <w:rsid w:val="580175A3"/>
    <w:rsid w:val="5B1177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2024-02-26T17:10:50Z</dcterms:created>
  <dcterms:modified xsi:type="dcterms:W3CDTF">2024-02-26T09:10:50Z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2024-02-26T17:10:55Z</dcterms:created>
  <dcterms:modified xsi:type="dcterms:W3CDTF">2024-02-26T09:10:55Z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2024-02-26T17:10:54Z</dcterms:created>
  <dcterms:modified xsi:type="dcterms:W3CDTF">2024-02-26T09:10:54Z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2024-02-26T17:10:54Z</dcterms:created>
  <dcterms:modified xsi:type="dcterms:W3CDTF">2024-02-26T09:10:54Z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2024-02-26T17:10:54Z</dcterms:created>
  <dcterms:modified xsi:type="dcterms:W3CDTF">2024-02-26T09:10:54Z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2024-02-26T17:10:54Z</dcterms:created>
  <dcterms:modified xsi:type="dcterms:W3CDTF">2024-02-26T09:10:53Z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2024-02-26T17:10:53Z</dcterms:created>
  <dcterms:modified xsi:type="dcterms:W3CDTF">2024-02-26T09:10:53Z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2024-02-26T17:10:53Z</dcterms:created>
  <dcterms:modified xsi:type="dcterms:W3CDTF">2024-02-26T09:10:53Z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2024-02-26T17:10:53Z</dcterms:created>
  <dcterms:modified xsi:type="dcterms:W3CDTF">2024-02-26T09:10:52Z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50c231b-a30f-4702-82b0-bd9bbee10e8f}">
  <ds:schemaRefs/>
</ds:datastoreItem>
</file>

<file path=customXml/itemProps10.xml><?xml version="1.0" encoding="utf-8"?>
<ds:datastoreItem xmlns:ds="http://schemas.openxmlformats.org/officeDocument/2006/customXml" ds:itemID="{b56e1124-bbe5-4518-9433-c35b97163303}">
  <ds:schemaRefs/>
</ds:datastoreItem>
</file>

<file path=customXml/itemProps11.xml><?xml version="1.0" encoding="utf-8"?>
<ds:datastoreItem xmlns:ds="http://schemas.openxmlformats.org/officeDocument/2006/customXml" ds:itemID="{bb7776e4-3378-4f55-bae8-7a53ad932d06}">
  <ds:schemaRefs/>
</ds:datastoreItem>
</file>

<file path=customXml/itemProps12.xml><?xml version="1.0" encoding="utf-8"?>
<ds:datastoreItem xmlns:ds="http://schemas.openxmlformats.org/officeDocument/2006/customXml" ds:itemID="{132285fc-c111-44e7-aff2-b137478ec6f4}">
  <ds:schemaRefs/>
</ds:datastoreItem>
</file>

<file path=customXml/itemProps13.xml><?xml version="1.0" encoding="utf-8"?>
<ds:datastoreItem xmlns:ds="http://schemas.openxmlformats.org/officeDocument/2006/customXml" ds:itemID="{aea75bf4-c375-4ae4-b765-600593c5e973}">
  <ds:schemaRefs/>
</ds:datastoreItem>
</file>

<file path=customXml/itemProps14.xml><?xml version="1.0" encoding="utf-8"?>
<ds:datastoreItem xmlns:ds="http://schemas.openxmlformats.org/officeDocument/2006/customXml" ds:itemID="{89feaa1e-f6fa-458d-b0ae-5c4d2c825cc0}">
  <ds:schemaRefs/>
</ds:datastoreItem>
</file>

<file path=customXml/itemProps15.xml><?xml version="1.0" encoding="utf-8"?>
<ds:datastoreItem xmlns:ds="http://schemas.openxmlformats.org/officeDocument/2006/customXml" ds:itemID="{96190325-5314-43ea-be76-bf641f06274c}">
  <ds:schemaRefs/>
</ds:datastoreItem>
</file>

<file path=customXml/itemProps16.xml><?xml version="1.0" encoding="utf-8"?>
<ds:datastoreItem xmlns:ds="http://schemas.openxmlformats.org/officeDocument/2006/customXml" ds:itemID="{e88b420d-9c5b-450e-bd47-18e44b28ac19}">
  <ds:schemaRefs/>
</ds:datastoreItem>
</file>

<file path=customXml/itemProps17.xml><?xml version="1.0" encoding="utf-8"?>
<ds:datastoreItem xmlns:ds="http://schemas.openxmlformats.org/officeDocument/2006/customXml" ds:itemID="{9cee2ed9-4228-4680-b3a9-456e26506ef0}">
  <ds:schemaRefs/>
</ds:datastoreItem>
</file>

<file path=customXml/itemProps18.xml><?xml version="1.0" encoding="utf-8"?>
<ds:datastoreItem xmlns:ds="http://schemas.openxmlformats.org/officeDocument/2006/customXml" ds:itemID="{56984467-f065-48b2-90f6-d9f0256e613b}">
  <ds:schemaRefs/>
</ds:datastoreItem>
</file>

<file path=customXml/itemProps2.xml><?xml version="1.0" encoding="utf-8"?>
<ds:datastoreItem xmlns:ds="http://schemas.openxmlformats.org/officeDocument/2006/customXml" ds:itemID="{a886ff8c-93d9-4bdc-993c-c28f9fdc73e6}">
  <ds:schemaRefs/>
</ds:datastoreItem>
</file>

<file path=customXml/itemProps3.xml><?xml version="1.0" encoding="utf-8"?>
<ds:datastoreItem xmlns:ds="http://schemas.openxmlformats.org/officeDocument/2006/customXml" ds:itemID="{e3ed0f80-ca36-4398-a1a2-82b4f8d1b513}">
  <ds:schemaRefs/>
</ds:datastoreItem>
</file>

<file path=customXml/itemProps4.xml><?xml version="1.0" encoding="utf-8"?>
<ds:datastoreItem xmlns:ds="http://schemas.openxmlformats.org/officeDocument/2006/customXml" ds:itemID="{9711a218-9b11-41bb-8a69-97cfdd170106}">
  <ds:schemaRefs/>
</ds:datastoreItem>
</file>

<file path=customXml/itemProps5.xml><?xml version="1.0" encoding="utf-8"?>
<ds:datastoreItem xmlns:ds="http://schemas.openxmlformats.org/officeDocument/2006/customXml" ds:itemID="{314a8973-642a-4500-a29d-7e28b9e39f21}">
  <ds:schemaRefs/>
</ds:datastoreItem>
</file>

<file path=customXml/itemProps6.xml><?xml version="1.0" encoding="utf-8"?>
<ds:datastoreItem xmlns:ds="http://schemas.openxmlformats.org/officeDocument/2006/customXml" ds:itemID="{1fdf91a7-8cfd-4ac6-9248-c0e5632ceee9}">
  <ds:schemaRefs/>
</ds:datastoreItem>
</file>

<file path=customXml/itemProps7.xml><?xml version="1.0" encoding="utf-8"?>
<ds:datastoreItem xmlns:ds="http://schemas.openxmlformats.org/officeDocument/2006/customXml" ds:itemID="{d0344a49-2da0-442e-af60-80ded4de0247}">
  <ds:schemaRefs/>
</ds:datastoreItem>
</file>

<file path=customXml/itemProps8.xml><?xml version="1.0" encoding="utf-8"?>
<ds:datastoreItem xmlns:ds="http://schemas.openxmlformats.org/officeDocument/2006/customXml" ds:itemID="{e325b55c-ce33-4c8b-940f-42a4503985b8}">
  <ds:schemaRefs/>
</ds:datastoreItem>
</file>

<file path=customXml/itemProps9.xml><?xml version="1.0" encoding="utf-8"?>
<ds:datastoreItem xmlns:ds="http://schemas.openxmlformats.org/officeDocument/2006/customXml" ds:itemID="{8f1cfb5b-2812-49f2-ac78-ae4885f9e77c}">
  <ds:schemaRefs/>
</ds:datastoreItem>
</file>

<file path=docProps/app.xml><?xml version="1.0" encoding="utf-8"?>
<Properties xmlns="http://schemas.openxmlformats.org/officeDocument/2006/extended-properties" xmlns:vt="http://schemas.openxmlformats.org/officeDocument/2006/docPropsVTypes">
  <Pages>42</Pages>
  <Words>10464</Words>
  <Characters>12364</Characters>
  <TotalTime>3</TotalTime>
  <ScaleCrop>false</ScaleCrop>
  <LinksUpToDate>false</LinksUpToDate>
  <CharactersWithSpaces>12554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2024-02-26T17:10:00Z</dcterms:created>
  <dc:creator>Administrator</dc:creator>
  <cp:lastModifiedBy>Administrator</cp:lastModifiedBy>
  <dcterms:modified xsi:type="dcterms:W3CDTF">2024-06-05T02:05:39Z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2861115813B545F8BA3A76E58ED50F1D</vt:lpwstr>
  </property>
</Properties>
</file>