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w:t>
      </w:r>
      <w:r>
        <w:rPr>
          <w:rFonts w:hint="eastAsia" w:asciiTheme="majorEastAsia" w:hAnsiTheme="majorEastAsia" w:eastAsiaTheme="majorEastAsia" w:cstheme="majorEastAsia"/>
          <w:b/>
          <w:bCs w:val="0"/>
          <w:kern w:val="2"/>
          <w:sz w:val="44"/>
          <w:szCs w:val="44"/>
          <w:lang w:eastAsia="zh-CN"/>
        </w:rPr>
        <w:t>区妇女联合会</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11</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妇女联合会</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default" w:asciiTheme="majorEastAsia" w:hAnsiTheme="majorEastAsia" w:eastAsiaTheme="majorEastAsia" w:cstheme="majorEastAsia"/>
              <w:b/>
              <w:bCs/>
              <w:sz w:val="24"/>
              <w:lang w:val="en-US"/>
            </w:rPr>
            <w:t>4</w:t>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4</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4</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5</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8</w:t>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default" w:asciiTheme="majorEastAsia" w:hAnsiTheme="majorEastAsia" w:eastAsiaTheme="majorEastAsia" w:cstheme="majorEastAsia"/>
              <w:b/>
              <w:bCs/>
              <w:sz w:val="24"/>
              <w:lang w:val="en-US"/>
            </w:rPr>
            <w:t>9</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hint="default" w:asciiTheme="majorEastAsia" w:hAnsiTheme="majorEastAsia" w:eastAsiaTheme="majorEastAsia" w:cstheme="majorEastAsia"/>
              <w:sz w:val="24"/>
              <w:lang w:val="en-US"/>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1</w:t>
          </w:r>
          <w:r>
            <w:rPr>
              <w:rFonts w:hint="eastAsia" w:asciiTheme="majorEastAsia" w:hAnsiTheme="majorEastAsia" w:eastAsiaTheme="majorEastAsia" w:cstheme="majorEastAsia"/>
              <w:sz w:val="24"/>
            </w:rPr>
            <w:fldChar w:fldCharType="end"/>
          </w:r>
          <w:r>
            <w:rPr>
              <w:rFonts w:hint="default" w:asciiTheme="majorEastAsia" w:hAnsiTheme="majorEastAsia" w:eastAsiaTheme="majorEastAsia" w:cstheme="majorEastAsia"/>
              <w:sz w:val="24"/>
              <w:lang w:val="en-US"/>
            </w:rPr>
            <w:t>0</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hint="default" w:asciiTheme="majorEastAsia" w:hAnsiTheme="majorEastAsia" w:eastAsiaTheme="majorEastAsia" w:cstheme="majorEastAsia"/>
              <w:sz w:val="24"/>
              <w:lang w:val="en-US"/>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1</w:t>
          </w:r>
          <w:r>
            <w:rPr>
              <w:rFonts w:hint="eastAsia" w:asciiTheme="majorEastAsia" w:hAnsiTheme="majorEastAsia" w:eastAsiaTheme="majorEastAsia" w:cstheme="majorEastAsia"/>
              <w:sz w:val="24"/>
            </w:rPr>
            <w:fldChar w:fldCharType="end"/>
          </w:r>
          <w:r>
            <w:rPr>
              <w:rFonts w:hint="default" w:asciiTheme="majorEastAsia" w:hAnsiTheme="majorEastAsia" w:eastAsiaTheme="majorEastAsia" w:cstheme="majorEastAsia"/>
              <w:sz w:val="24"/>
              <w:lang w:val="en-US"/>
            </w:rPr>
            <w:t>9</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hint="default"/>
              <w:b/>
              <w:bCs/>
              <w:lang w:val="en-U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default" w:asciiTheme="majorEastAsia" w:hAnsiTheme="majorEastAsia" w:eastAsiaTheme="majorEastAsia" w:cstheme="majorEastAsia"/>
              <w:b/>
              <w:bCs/>
              <w:sz w:val="24"/>
              <w:lang w:val="en-US"/>
            </w:rPr>
            <w:t>2</w:t>
          </w:r>
          <w:r>
            <w:rPr>
              <w:rFonts w:hint="eastAsia" w:asciiTheme="majorEastAsia" w:hAnsiTheme="majorEastAsia" w:eastAsiaTheme="majorEastAsia" w:cstheme="majorEastAsia"/>
              <w:b/>
              <w:bCs/>
              <w:sz w:val="24"/>
            </w:rPr>
            <w:fldChar w:fldCharType="end"/>
          </w:r>
          <w:r>
            <w:rPr>
              <w:rFonts w:hint="default" w:asciiTheme="majorEastAsia" w:hAnsiTheme="majorEastAsia" w:eastAsiaTheme="majorEastAsia" w:cstheme="majorEastAsia"/>
              <w:b/>
              <w:bCs/>
              <w:sz w:val="24"/>
              <w:lang w:val="en-US"/>
            </w:rPr>
            <w:t>9</w:t>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妇女联合会</w:t>
      </w:r>
      <w:r>
        <w:rPr>
          <w:rFonts w:hint="eastAsia" w:ascii="仿宋_GB2312" w:eastAsia="仿宋_GB2312" w:cs="DengXian-Regular"/>
          <w:sz w:val="32"/>
          <w:szCs w:val="32"/>
        </w:rPr>
        <w:t>为正科级行政单位，经费保障形式为财政拨款，下设</w:t>
      </w:r>
      <w:r>
        <w:rPr>
          <w:rFonts w:hint="default" w:ascii="仿宋_GB2312" w:eastAsia="仿宋_GB2312" w:cs="DengXian-Regular"/>
          <w:sz w:val="32"/>
          <w:szCs w:val="32"/>
          <w:lang w:val="en-US"/>
        </w:rPr>
        <w:t>1</w:t>
      </w:r>
      <w:r>
        <w:rPr>
          <w:rFonts w:hint="eastAsia" w:ascii="仿宋_GB2312" w:eastAsia="仿宋_GB2312" w:cs="DengXian-Regular"/>
          <w:sz w:val="32"/>
          <w:szCs w:val="32"/>
        </w:rPr>
        <w:t>个股室，</w:t>
      </w:r>
      <w:r>
        <w:rPr>
          <w:rFonts w:hint="eastAsia" w:ascii="仿宋_GB2312" w:eastAsia="仿宋_GB2312" w:cs="DengXian-Regular"/>
          <w:sz w:val="32"/>
          <w:szCs w:val="32"/>
          <w:lang w:eastAsia="zh-CN"/>
        </w:rPr>
        <w:t>为综合</w:t>
      </w:r>
      <w:r>
        <w:rPr>
          <w:rFonts w:hint="eastAsia" w:ascii="仿宋_GB2312" w:eastAsia="仿宋_GB2312" w:cs="DengXian-Regular"/>
          <w:sz w:val="32"/>
          <w:szCs w:val="32"/>
        </w:rPr>
        <w:t>股，主要职责有维护妇女儿童的合法权益，团结动员妇女投身改革，参与经济建设，促进全区经济发展，负责全区工作。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保定市徐水区妇女联合会</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年部门整体支出综合评价得分为</w:t>
      </w:r>
      <w:r>
        <w:rPr>
          <w:rFonts w:hint="default" w:ascii="仿宋_GB2312" w:eastAsia="仿宋_GB2312" w:cs="DengXian-Regular"/>
          <w:sz w:val="32"/>
          <w:szCs w:val="32"/>
          <w:highlight w:val="none"/>
          <w:lang w:val="en-US"/>
        </w:rPr>
        <w:t>96</w:t>
      </w:r>
      <w:r>
        <w:rPr>
          <w:rFonts w:hint="eastAsia" w:ascii="仿宋_GB2312" w:eastAsia="仿宋_GB2312" w:cs="DengXian-Regular"/>
          <w:sz w:val="32"/>
          <w:szCs w:val="32"/>
        </w:rPr>
        <w:t>分，评价等级为</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优</w:t>
      </w:r>
      <w:r>
        <w:rPr>
          <w:rFonts w:hint="eastAsia" w:ascii="仿宋_GB2312" w:eastAsia="仿宋_GB2312" w:cs="DengXian-Regular"/>
          <w:sz w:val="32"/>
          <w:szCs w:val="32"/>
          <w:highlight w:val="none"/>
        </w:rPr>
        <w:t>”</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，采购预算编制不够科学合理。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default" w:ascii="仿宋_GB2312" w:eastAsia="仿宋_GB2312" w:cs="DengXian-Regular"/>
          <w:sz w:val="32"/>
          <w:szCs w:val="32"/>
          <w:lang w:val="en-US"/>
        </w:rPr>
        <w:t>1.</w:t>
      </w:r>
      <w:r>
        <w:rPr>
          <w:rFonts w:hint="eastAsia" w:ascii="仿宋_GB2312" w:eastAsia="仿宋_GB2312" w:cs="DengXian-Regular"/>
          <w:sz w:val="32"/>
          <w:szCs w:val="32"/>
        </w:rPr>
        <w:t>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bookmarkStart w:id="1" w:name="_Toc4346"/>
      <w:r>
        <w:rPr>
          <w:rFonts w:hint="default" w:ascii="仿宋_GB2312" w:eastAsia="仿宋_GB2312" w:cs="DengXian-Regular"/>
          <w:sz w:val="32"/>
          <w:szCs w:val="32"/>
          <w:lang w:val="en-US"/>
        </w:rPr>
        <w:t>2</w:t>
      </w:r>
      <w:r>
        <w:rPr>
          <w:rFonts w:hint="eastAsia" w:ascii="仿宋_GB2312" w:eastAsia="仿宋_GB2312" w:cs="DengXian-Regular"/>
          <w:sz w:val="32"/>
          <w:szCs w:val="32"/>
        </w:rPr>
        <w:t>.预算安排建议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ascii="仿宋_GB2312" w:eastAsia="仿宋_GB2312" w:cs="DengXian-Regular"/>
          <w:sz w:val="32"/>
          <w:szCs w:val="32"/>
        </w:rPr>
        <w:t>年基本支出决算数较预算数增加比例较大，主要原因为</w:t>
      </w:r>
      <w:r>
        <w:rPr>
          <w:rFonts w:hint="eastAsia" w:ascii="仿宋_GB2312" w:eastAsia="仿宋_GB2312" w:cs="DengXian-Regular"/>
          <w:sz w:val="32"/>
          <w:szCs w:val="32"/>
          <w:lang w:eastAsia="zh-CN"/>
        </w:rPr>
        <w:t>区妇联人员转入，</w:t>
      </w:r>
      <w:r>
        <w:rPr>
          <w:rFonts w:ascii="仿宋_GB2312" w:eastAsia="仿宋_GB2312" w:cs="DengXian-Regular"/>
          <w:sz w:val="32"/>
          <w:szCs w:val="32"/>
        </w:rPr>
        <w:t>增加人员经费支出，建议202</w:t>
      </w:r>
      <w:r>
        <w:rPr>
          <w:rFonts w:hint="default" w:ascii="仿宋_GB2312" w:eastAsia="仿宋_GB2312" w:cs="DengXian-Regular"/>
          <w:sz w:val="32"/>
          <w:szCs w:val="32"/>
          <w:lang w:val="en-US"/>
        </w:rPr>
        <w:t>2</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年实际发生人员经费支出、人员数量和工资标准适当安排人员经费预算。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ascii="仿宋_GB2312" w:eastAsia="仿宋_GB2312" w:cs="DengXian-Regular"/>
          <w:sz w:val="32"/>
          <w:szCs w:val="32"/>
        </w:rPr>
        <w:t>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eastAsia="zh-CN"/>
        </w:rPr>
        <w:t>妇女联合会</w:t>
      </w:r>
      <w:r>
        <w:rPr>
          <w:rFonts w:hint="eastAsia" w:ascii="楷体" w:hAnsi="楷体" w:eastAsia="楷体" w:cs="楷体"/>
        </w:rPr>
        <w:t>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pStyle w:val="4"/>
        <w:spacing w:before="0" w:after="0"/>
        <w:ind w:firstLine="640" w:firstLineChars="200"/>
        <w:jc w:val="both"/>
        <w:rPr>
          <w:rFonts w:hint="eastAsia" w:ascii="仿宋_GB2312" w:hAnsi="Tahoma" w:eastAsia="仿宋_GB2312" w:cs="DengXian-Regular"/>
          <w:b w:val="0"/>
          <w:bCs w:val="0"/>
          <w:sz w:val="32"/>
          <w:szCs w:val="32"/>
          <w:lang w:val="en-US" w:eastAsia="zh-CN" w:bidi="ar-SA"/>
        </w:rPr>
      </w:pPr>
      <w:bookmarkStart w:id="6" w:name="_Toc465149499"/>
      <w:bookmarkStart w:id="7" w:name="_Toc7075"/>
      <w:bookmarkStart w:id="8" w:name="_Toc492652765"/>
      <w:r>
        <w:rPr>
          <w:rFonts w:hint="eastAsia" w:ascii="仿宋_GB2312" w:hAnsi="Tahoma" w:eastAsia="仿宋_GB2312" w:cs="DengXian-Regular"/>
          <w:b w:val="0"/>
          <w:bCs w:val="0"/>
          <w:sz w:val="32"/>
          <w:szCs w:val="32"/>
          <w:lang w:val="en-US" w:eastAsia="zh-CN" w:bidi="ar-SA"/>
        </w:rPr>
        <w:t>根据中共保定市徐水区委办公室、保定市徐水区人民政府办公室关于印发《保定市徐水区妇联职能配置内设机构和人员编制规定》的通知，区妇联为区政府工作部门，正科级单位，下设1个股室。区妇联根据绩效预算管理改革的相关要求，按照“部门职责—工作活动绩效目标”的层级设立了绩效预算架构，职责活动包括：美丽庭院</w:t>
      </w:r>
      <w:r>
        <w:rPr>
          <w:rFonts w:hint="eastAsia" w:ascii="仿宋_GB2312" w:hAnsi="Tahoma" w:cs="DengXian-Regular"/>
          <w:b w:val="0"/>
          <w:bCs w:val="0"/>
          <w:sz w:val="32"/>
          <w:szCs w:val="32"/>
          <w:lang w:val="en-US" w:eastAsia="zh-CN" w:bidi="ar-SA"/>
        </w:rPr>
        <w:t>示范</w:t>
      </w:r>
      <w:r>
        <w:rPr>
          <w:rFonts w:hint="eastAsia" w:ascii="仿宋_GB2312" w:hAnsi="Tahoma" w:eastAsia="仿宋_GB2312" w:cs="DengXian-Regular"/>
          <w:b w:val="0"/>
          <w:bCs w:val="0"/>
          <w:sz w:val="32"/>
          <w:szCs w:val="32"/>
          <w:lang w:val="en-US" w:eastAsia="zh-CN" w:bidi="ar-SA"/>
        </w:rPr>
        <w:t>创建、基层组织建设、妇女儿童工作委员会办公室日常</w:t>
      </w:r>
      <w:r>
        <w:rPr>
          <w:rFonts w:hint="eastAsia" w:ascii="仿宋_GB2312" w:hAnsi="Tahoma" w:cs="DengXian-Regular"/>
          <w:b w:val="0"/>
          <w:bCs w:val="0"/>
          <w:sz w:val="32"/>
          <w:szCs w:val="32"/>
          <w:lang w:val="en-US" w:eastAsia="zh-CN" w:bidi="ar-SA"/>
        </w:rPr>
        <w:t>活动、</w:t>
      </w:r>
      <w:r>
        <w:rPr>
          <w:rFonts w:hint="eastAsia" w:ascii="仿宋_GB2312" w:hAnsi="Tahoma" w:eastAsia="仿宋_GB2312" w:cs="DengXian-Regular"/>
          <w:b w:val="0"/>
          <w:bCs w:val="0"/>
          <w:sz w:val="32"/>
          <w:szCs w:val="32"/>
          <w:lang w:val="en-US" w:eastAsia="zh-CN" w:bidi="ar-SA"/>
        </w:rPr>
        <w:t>庆</w:t>
      </w:r>
      <w:r>
        <w:rPr>
          <w:rFonts w:hint="eastAsia" w:ascii="仿宋_GB2312" w:hAnsi="Tahoma" w:cs="DengXian-Regular"/>
          <w:b w:val="0"/>
          <w:bCs w:val="0"/>
          <w:sz w:val="32"/>
          <w:szCs w:val="32"/>
          <w:lang w:val="en-US" w:eastAsia="zh-CN" w:bidi="ar-SA"/>
        </w:rPr>
        <w:t>祝</w:t>
      </w:r>
      <w:r>
        <w:rPr>
          <w:rFonts w:hint="eastAsia" w:ascii="仿宋_GB2312" w:hAnsi="Tahoma" w:eastAsia="仿宋_GB2312" w:cs="DengXian-Regular"/>
          <w:b w:val="0"/>
          <w:bCs w:val="0"/>
          <w:sz w:val="32"/>
          <w:szCs w:val="32"/>
          <w:lang w:val="en-US" w:eastAsia="zh-CN" w:bidi="ar-SA"/>
        </w:rPr>
        <w:t>三八</w:t>
      </w:r>
      <w:r>
        <w:rPr>
          <w:rFonts w:hint="eastAsia" w:ascii="仿宋_GB2312" w:hAnsi="Tahoma" w:cs="DengXian-Regular"/>
          <w:b w:val="0"/>
          <w:bCs w:val="0"/>
          <w:sz w:val="32"/>
          <w:szCs w:val="32"/>
          <w:lang w:val="en-US" w:eastAsia="zh-CN" w:bidi="ar-SA"/>
        </w:rPr>
        <w:t>妇女节、</w:t>
      </w:r>
      <w:r>
        <w:rPr>
          <w:rFonts w:hint="eastAsia" w:ascii="仿宋_GB2312" w:hAnsi="Tahoma" w:eastAsia="仿宋_GB2312" w:cs="DengXian-Regular"/>
          <w:b w:val="0"/>
          <w:bCs w:val="0"/>
          <w:sz w:val="32"/>
          <w:szCs w:val="32"/>
          <w:lang w:val="en-US" w:eastAsia="zh-CN" w:bidi="ar-SA"/>
        </w:rPr>
        <w:t>庆</w:t>
      </w:r>
      <w:r>
        <w:rPr>
          <w:rFonts w:hint="eastAsia" w:ascii="仿宋_GB2312" w:hAnsi="Tahoma" w:cs="DengXian-Regular"/>
          <w:b w:val="0"/>
          <w:bCs w:val="0"/>
          <w:sz w:val="32"/>
          <w:szCs w:val="32"/>
          <w:lang w:val="en-US" w:eastAsia="zh-CN" w:bidi="ar-SA"/>
        </w:rPr>
        <w:t>祝</w:t>
      </w:r>
      <w:r>
        <w:rPr>
          <w:rFonts w:hint="eastAsia" w:ascii="仿宋_GB2312" w:hAnsi="Tahoma" w:eastAsia="仿宋_GB2312" w:cs="DengXian-Regular"/>
          <w:b w:val="0"/>
          <w:bCs w:val="0"/>
          <w:sz w:val="32"/>
          <w:szCs w:val="32"/>
          <w:lang w:val="en-US" w:eastAsia="zh-CN" w:bidi="ar-SA"/>
        </w:rPr>
        <w:t>六一儿童节共五部分。</w:t>
      </w:r>
    </w:p>
    <w:p>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区妇联</w:t>
      </w:r>
      <w:r>
        <w:rPr>
          <w:rFonts w:hint="eastAsia" w:ascii="仿宋_GB2312" w:eastAsia="仿宋_GB2312" w:cs="DengXian-Regular"/>
          <w:sz w:val="32"/>
          <w:szCs w:val="32"/>
        </w:rPr>
        <w:t>设置的年度发展规划总体目标为：</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负责贯彻执行党和国家关于制定区妇联工作要点，并监督实施。代表和维护妇女儿童合法权益，促进男女平等；负责党的路线、方针、政策的宣传，向社会宣传妇女，向妇女宣传社会，充分利用三八妇女节，宣传各种先进典型；指导各级妇联组织的培训工作，配合组织部门做好妇女干部的培养选拔；动员组织城乡妇女参与经济建设，组织农村妇女开展双学双比活动，组织城镇妇女开展巾帼建功活动；接待来信来访，为受害妇女提供法律帮助，极大程度的维护妇女合法权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hint="eastAsia" w:ascii="仿宋_GB2312" w:eastAsia="仿宋_GB2312" w:cs="DengXian-Regular"/>
          <w:sz w:val="32"/>
          <w:szCs w:val="32"/>
        </w:rPr>
      </w:pPr>
      <w:bookmarkStart w:id="9" w:name="_Toc1678"/>
      <w:bookmarkStart w:id="10" w:name="_Toc492652766"/>
      <w:bookmarkStart w:id="11" w:name="_Toc465149500"/>
      <w:r>
        <w:rPr>
          <w:rFonts w:hint="default" w:ascii="仿宋_GB2312" w:eastAsia="仿宋_GB2312" w:cs="DengXian-Regular"/>
          <w:sz w:val="32"/>
          <w:szCs w:val="32"/>
          <w:lang w:val="en-US"/>
        </w:rPr>
        <w:t>1</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美丽庭院示范创建</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default" w:ascii="仿宋_GB2312" w:eastAsia="仿宋_GB2312" w:cs="DengXian-Regular"/>
          <w:sz w:val="32"/>
          <w:szCs w:val="32"/>
          <w:lang w:val="en-US"/>
        </w:rPr>
        <w:t>2</w:t>
      </w:r>
      <w:r>
        <w:rPr>
          <w:rFonts w:hint="eastAsia" w:ascii="仿宋_GB2312" w:eastAsia="仿宋_GB2312" w:cs="DengXian-Regular"/>
          <w:sz w:val="32"/>
          <w:szCs w:val="32"/>
        </w:rPr>
        <w:t>、基层组织建设</w:t>
      </w:r>
    </w:p>
    <w:p>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default" w:ascii="仿宋_GB2312" w:eastAsia="仿宋_GB2312" w:cs="DengXian-Regular"/>
          <w:sz w:val="32"/>
          <w:szCs w:val="32"/>
          <w:lang w:val="en-US"/>
        </w:rPr>
        <w:t>3</w:t>
      </w:r>
      <w:r>
        <w:rPr>
          <w:rFonts w:hint="eastAsia" w:ascii="仿宋_GB2312" w:eastAsia="仿宋_GB2312" w:cs="DengXian-Regular"/>
          <w:sz w:val="32"/>
          <w:szCs w:val="32"/>
        </w:rPr>
        <w:t>、妇女儿童工作委员会办公室日常</w:t>
      </w:r>
      <w:r>
        <w:rPr>
          <w:rFonts w:hint="eastAsia" w:ascii="仿宋_GB2312" w:eastAsia="仿宋_GB2312" w:cs="DengXian-Regular"/>
          <w:sz w:val="32"/>
          <w:szCs w:val="32"/>
          <w:lang w:eastAsia="zh-CN"/>
        </w:rPr>
        <w:t>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default" w:ascii="仿宋_GB2312" w:eastAsia="仿宋_GB2312" w:cs="DengXian-Regular"/>
          <w:sz w:val="32"/>
          <w:szCs w:val="32"/>
          <w:lang w:val="en-US"/>
        </w:rPr>
        <w:t>4</w:t>
      </w:r>
      <w:r>
        <w:rPr>
          <w:rFonts w:hint="eastAsia" w:ascii="仿宋_GB2312" w:eastAsia="仿宋_GB2312" w:cs="DengXian-Regular"/>
          <w:sz w:val="32"/>
          <w:szCs w:val="32"/>
        </w:rPr>
        <w:t>、庆祝三八妇女节</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default" w:ascii="仿宋_GB2312" w:eastAsia="仿宋_GB2312" w:cs="DengXian-Regular"/>
          <w:sz w:val="32"/>
          <w:szCs w:val="32"/>
          <w:lang w:val="en-US"/>
        </w:rPr>
        <w:t>5</w:t>
      </w:r>
      <w:r>
        <w:rPr>
          <w:rFonts w:hint="eastAsia" w:ascii="仿宋_GB2312" w:eastAsia="仿宋_GB2312" w:cs="DengXian-Regular"/>
          <w:sz w:val="32"/>
          <w:szCs w:val="32"/>
        </w:rPr>
        <w:t>、庆祝六一儿童节</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预算收入</w:t>
      </w:r>
      <w:r>
        <w:rPr>
          <w:rFonts w:hint="default" w:ascii="仿宋_GB2312" w:eastAsia="仿宋_GB2312" w:cs="DengXian-Regular"/>
          <w:sz w:val="32"/>
          <w:szCs w:val="32"/>
          <w:lang w:val="en-US"/>
        </w:rPr>
        <w:t>96.22</w:t>
      </w:r>
      <w:r>
        <w:rPr>
          <w:rFonts w:hint="eastAsia" w:ascii="仿宋_GB2312" w:eastAsia="仿宋_GB2312" w:cs="DengXian-Regular"/>
          <w:sz w:val="32"/>
          <w:szCs w:val="32"/>
        </w:rPr>
        <w:t>万元，均为一般公共预算拨款，其中：财政拨款</w:t>
      </w:r>
      <w:r>
        <w:rPr>
          <w:rFonts w:hint="default" w:ascii="仿宋_GB2312" w:eastAsia="仿宋_GB2312" w:cs="DengXian-Regular"/>
          <w:sz w:val="32"/>
          <w:szCs w:val="32"/>
          <w:lang w:val="en-US"/>
        </w:rPr>
        <w:t>92.74</w:t>
      </w:r>
      <w:r>
        <w:rPr>
          <w:rFonts w:hint="eastAsia" w:ascii="仿宋_GB2312" w:eastAsia="仿宋_GB2312" w:cs="DengXian-Regular"/>
          <w:sz w:val="32"/>
          <w:szCs w:val="32"/>
        </w:rPr>
        <w:t>万元，中央财政提前通知转移支付</w:t>
      </w:r>
      <w:r>
        <w:rPr>
          <w:rFonts w:hint="default" w:ascii="仿宋_GB2312" w:eastAsia="仿宋_GB2312" w:cs="DengXian-Regular"/>
          <w:sz w:val="32"/>
          <w:szCs w:val="32"/>
          <w:lang w:val="en-US"/>
        </w:rPr>
        <w:t>0</w:t>
      </w:r>
      <w:r>
        <w:rPr>
          <w:rFonts w:hint="eastAsia" w:ascii="仿宋_GB2312" w:eastAsia="仿宋_GB2312" w:cs="DengXian-Regular"/>
          <w:sz w:val="32"/>
          <w:szCs w:val="32"/>
        </w:rPr>
        <w:t>万元。预算收入按功能分类包含：公共安全支出</w:t>
      </w:r>
      <w:r>
        <w:rPr>
          <w:rFonts w:hint="default" w:ascii="仿宋_GB2312" w:eastAsia="仿宋_GB2312" w:cs="DengXian-Regular"/>
          <w:sz w:val="32"/>
          <w:szCs w:val="32"/>
          <w:lang w:val="en-US"/>
        </w:rPr>
        <w:t>0</w:t>
      </w:r>
      <w:r>
        <w:rPr>
          <w:rFonts w:hint="eastAsia" w:ascii="仿宋_GB2312" w:eastAsia="仿宋_GB2312" w:cs="DengXian-Regular"/>
          <w:sz w:val="32"/>
          <w:szCs w:val="32"/>
        </w:rPr>
        <w:t>万元，社会保障和就业支出</w:t>
      </w:r>
      <w:r>
        <w:rPr>
          <w:rFonts w:hint="default" w:ascii="仿宋_GB2312" w:eastAsia="仿宋_GB2312" w:cs="DengXian-Regular"/>
          <w:sz w:val="32"/>
          <w:szCs w:val="32"/>
          <w:lang w:val="en-US"/>
        </w:rPr>
        <w:t>22.7</w:t>
      </w:r>
      <w:r>
        <w:rPr>
          <w:rFonts w:hint="eastAsia" w:ascii="仿宋_GB2312" w:eastAsia="仿宋_GB2312" w:cs="DengXian-Regular"/>
          <w:sz w:val="32"/>
          <w:szCs w:val="32"/>
        </w:rPr>
        <w:t>万元，医疗卫生与计划生育支出</w:t>
      </w:r>
      <w:r>
        <w:rPr>
          <w:rFonts w:hint="default" w:ascii="仿宋_GB2312" w:eastAsia="仿宋_GB2312" w:cs="DengXian-Regular"/>
          <w:sz w:val="32"/>
          <w:szCs w:val="32"/>
          <w:lang w:val="en-US"/>
        </w:rPr>
        <w:t>4.05</w:t>
      </w:r>
      <w:r>
        <w:rPr>
          <w:rFonts w:hint="eastAsia" w:ascii="仿宋_GB2312" w:eastAsia="仿宋_GB2312" w:cs="DengXian-Regular"/>
          <w:sz w:val="32"/>
          <w:szCs w:val="32"/>
        </w:rPr>
        <w:t>万元，住房保障支出</w:t>
      </w:r>
      <w:r>
        <w:rPr>
          <w:rFonts w:hint="default" w:ascii="仿宋_GB2312" w:eastAsia="仿宋_GB2312" w:cs="DengXian-Regular"/>
          <w:sz w:val="32"/>
          <w:szCs w:val="32"/>
          <w:lang w:val="en-US"/>
        </w:rPr>
        <w:t>2.87</w:t>
      </w:r>
      <w:r>
        <w:rPr>
          <w:rFonts w:hint="eastAsia" w:ascii="仿宋_GB2312" w:eastAsia="仿宋_GB2312" w:cs="DengXian-Regular"/>
          <w:sz w:val="32"/>
          <w:szCs w:val="32"/>
        </w:rPr>
        <w:t>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决算收入</w:t>
      </w:r>
      <w:r>
        <w:rPr>
          <w:rFonts w:hint="default" w:ascii="仿宋_GB2312" w:eastAsia="仿宋_GB2312" w:cs="DengXian-Regular"/>
          <w:sz w:val="32"/>
          <w:szCs w:val="32"/>
          <w:lang w:val="en-US"/>
        </w:rPr>
        <w:t>92.75</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92.74</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0.01</w:t>
      </w:r>
      <w:r>
        <w:rPr>
          <w:rFonts w:hint="eastAsia" w:ascii="仿宋_GB2312" w:eastAsia="仿宋_GB2312" w:cs="DengXian-Regular"/>
          <w:sz w:val="32"/>
          <w:szCs w:val="32"/>
        </w:rPr>
        <w:t>万元（全部为利息收入）。决算收入按功能分类包含：</w:t>
      </w:r>
      <w:r>
        <w:rPr>
          <w:rFonts w:hint="eastAsia" w:ascii="仿宋_GB2312" w:eastAsia="仿宋_GB2312" w:cs="DengXian-Regular"/>
          <w:sz w:val="32"/>
          <w:szCs w:val="32"/>
          <w:lang w:eastAsia="zh-CN"/>
        </w:rPr>
        <w:t>一般公共服务支出</w:t>
      </w:r>
      <w:r>
        <w:rPr>
          <w:rFonts w:hint="default" w:ascii="仿宋_GB2312" w:eastAsia="仿宋_GB2312" w:cs="DengXian-Regular"/>
          <w:sz w:val="32"/>
          <w:szCs w:val="32"/>
          <w:lang w:val="en-US" w:eastAsia="zh-CN"/>
        </w:rPr>
        <w:t>59.53</w:t>
      </w:r>
      <w:r>
        <w:rPr>
          <w:rFonts w:hint="eastAsia" w:ascii="仿宋_GB2312" w:eastAsia="仿宋_GB2312" w:cs="DengXian-Regular"/>
          <w:sz w:val="32"/>
          <w:szCs w:val="32"/>
          <w:lang w:eastAsia="zh-CN"/>
        </w:rPr>
        <w:t>万元，占</w:t>
      </w:r>
      <w:r>
        <w:rPr>
          <w:rFonts w:hint="default" w:ascii="仿宋_GB2312" w:eastAsia="仿宋_GB2312" w:cs="DengXian-Regular"/>
          <w:sz w:val="32"/>
          <w:szCs w:val="32"/>
          <w:lang w:val="en-US" w:eastAsia="zh-CN"/>
        </w:rPr>
        <w:t>64%</w:t>
      </w:r>
      <w:r>
        <w:rPr>
          <w:rFonts w:hint="eastAsia" w:ascii="仿宋_GB2312" w:eastAsia="仿宋_GB2312" w:cs="DengXian-Regular"/>
          <w:sz w:val="32"/>
          <w:szCs w:val="32"/>
          <w:lang w:eastAsia="zh-CN"/>
        </w:rPr>
        <w:t>；卫生健康支出4.52万元，占</w:t>
      </w:r>
      <w:r>
        <w:rPr>
          <w:rFonts w:hint="default" w:ascii="仿宋_GB2312" w:eastAsia="仿宋_GB2312" w:cs="DengXian-Regular"/>
          <w:sz w:val="32"/>
          <w:szCs w:val="32"/>
          <w:lang w:val="en-US" w:eastAsia="zh-CN"/>
        </w:rPr>
        <w:t>5</w:t>
      </w:r>
      <w:r>
        <w:rPr>
          <w:rFonts w:hint="eastAsia" w:ascii="仿宋_GB2312" w:eastAsia="仿宋_GB2312" w:cs="DengXian-Regular"/>
          <w:sz w:val="32"/>
          <w:szCs w:val="32"/>
          <w:lang w:eastAsia="zh-CN"/>
        </w:rPr>
        <w:t>%，；社会保障和就业支出</w:t>
      </w:r>
      <w:r>
        <w:rPr>
          <w:rFonts w:hint="default" w:ascii="仿宋_GB2312" w:eastAsia="仿宋_GB2312" w:cs="DengXian-Regular"/>
          <w:sz w:val="32"/>
          <w:szCs w:val="32"/>
          <w:lang w:val="en-US" w:eastAsia="zh-CN"/>
        </w:rPr>
        <w:t>24.3</w:t>
      </w:r>
      <w:r>
        <w:rPr>
          <w:rFonts w:hint="eastAsia" w:ascii="仿宋_GB2312" w:eastAsia="仿宋_GB2312" w:cs="DengXian-Regular"/>
          <w:sz w:val="32"/>
          <w:szCs w:val="32"/>
          <w:lang w:eastAsia="zh-CN"/>
        </w:rPr>
        <w:t>万元，占</w:t>
      </w:r>
      <w:r>
        <w:rPr>
          <w:rFonts w:hint="default" w:ascii="仿宋_GB2312" w:eastAsia="仿宋_GB2312" w:cs="DengXian-Regular"/>
          <w:sz w:val="32"/>
          <w:szCs w:val="32"/>
          <w:lang w:val="en-US" w:eastAsia="zh-CN"/>
        </w:rPr>
        <w:t>26</w:t>
      </w:r>
      <w:r>
        <w:rPr>
          <w:rFonts w:hint="eastAsia" w:ascii="仿宋_GB2312" w:eastAsia="仿宋_GB2312" w:cs="DengXian-Regular"/>
          <w:sz w:val="32"/>
          <w:szCs w:val="32"/>
          <w:lang w:eastAsia="zh-CN"/>
        </w:rPr>
        <w:t>%；住房保障支出4.4万元，占</w:t>
      </w:r>
      <w:r>
        <w:rPr>
          <w:rFonts w:hint="default" w:ascii="仿宋_GB2312" w:eastAsia="仿宋_GB2312" w:cs="DengXian-Regular"/>
          <w:sz w:val="32"/>
          <w:szCs w:val="32"/>
          <w:lang w:val="en-US" w:eastAsia="zh-CN"/>
        </w:rPr>
        <w:t>5</w:t>
      </w:r>
      <w:r>
        <w:rPr>
          <w:rFonts w:hint="eastAsia" w:ascii="仿宋_GB2312" w:eastAsia="仿宋_GB2312" w:cs="DengXian-Regular"/>
          <w:sz w:val="32"/>
          <w:szCs w:val="32"/>
          <w:lang w:eastAsia="zh-CN"/>
        </w:rPr>
        <w:t>%</w:t>
      </w:r>
      <w:r>
        <w:rPr>
          <w:rFonts w:hint="eastAsia" w:ascii="仿宋_GB2312" w:eastAsia="仿宋_GB2312" w:cs="DengXian-Regular"/>
          <w:sz w:val="32"/>
          <w:szCs w:val="32"/>
        </w:rPr>
        <w:t>。具体决算收入详见附件2。决算收入结构如图1。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eastAsia="zh-CN"/>
        </w:rPr>
        <w:t>妇联</w:t>
      </w:r>
      <w:r>
        <w:rPr>
          <w:rFonts w:hint="eastAsia" w:asciiTheme="minorEastAsia" w:hAnsiTheme="minorEastAsia" w:eastAsiaTheme="minorEastAsia" w:cstheme="minorEastAsia"/>
          <w:b/>
          <w:bCs/>
          <w:sz w:val="32"/>
          <w:szCs w:val="32"/>
        </w:rPr>
        <w:t>决算收入结构图</w:t>
      </w: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417195</wp:posOffset>
            </wp:positionH>
            <wp:positionV relativeFrom="paragraph">
              <wp:posOffset>21590</wp:posOffset>
            </wp:positionV>
            <wp:extent cx="4572000" cy="2837815"/>
            <wp:effectExtent l="4445" t="4445" r="14605" b="1524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区妇联</w:t>
      </w:r>
      <w:r>
        <w:rPr>
          <w:rFonts w:hint="eastAsia" w:ascii="仿宋_GB2312" w:eastAsia="仿宋_GB2312" w:cs="DengXian-Regular"/>
          <w:sz w:val="32"/>
          <w:szCs w:val="32"/>
        </w:rPr>
        <w:t>一般公共预算财政拨款决算收入比年初预算增减少</w:t>
      </w:r>
      <w:r>
        <w:rPr>
          <w:rFonts w:hint="default" w:ascii="仿宋_GB2312" w:eastAsia="仿宋_GB2312" w:cs="DengXian-Regular"/>
          <w:sz w:val="32"/>
          <w:szCs w:val="32"/>
          <w:lang w:val="en-US"/>
        </w:rPr>
        <w:t>3.47</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96.39</w:t>
      </w:r>
      <w:r>
        <w:rPr>
          <w:rFonts w:hint="eastAsia" w:ascii="仿宋_GB2312" w:eastAsia="仿宋_GB2312" w:cs="DengXian-Regular"/>
          <w:sz w:val="32"/>
          <w:szCs w:val="32"/>
        </w:rPr>
        <w:t>%。决算收入小于预算收入的主要原因为202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妇联按要求缩减开支</w:t>
      </w:r>
      <w:r>
        <w:rPr>
          <w:rFonts w:hint="eastAsia" w:ascii="仿宋_GB2312" w:eastAsia="仿宋_GB2312" w:cs="DengXian-Regular"/>
          <w:sz w:val="32"/>
          <w:szCs w:val="32"/>
        </w:rPr>
        <w:t>。预算收入与决算收入对比情况见图2。</w:t>
      </w:r>
    </w:p>
    <w:p>
      <w:pPr>
        <w:spacing w:after="0" w:line="360" w:lineRule="auto"/>
        <w:jc w:val="center"/>
        <w:rPr>
          <w:rFonts w:hint="eastAsia"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hint="default" w:asciiTheme="minorEastAsia" w:hAnsiTheme="minorEastAsia" w:eastAsiaTheme="minorEastAsia" w:cstheme="minorEastAsia"/>
          <w:b/>
          <w:sz w:val="32"/>
          <w:szCs w:val="32"/>
          <w:u w:color="000000"/>
          <w:lang w:val="en-US"/>
        </w:rPr>
        <w:t>1</w:t>
      </w:r>
      <w:r>
        <w:rPr>
          <w:rFonts w:hint="eastAsia" w:asciiTheme="minorEastAsia" w:hAnsiTheme="minorEastAsia" w:eastAsiaTheme="minorEastAsia" w:cstheme="minorEastAsia"/>
          <w:b/>
          <w:sz w:val="32"/>
          <w:szCs w:val="32"/>
          <w:u w:color="000000"/>
        </w:rPr>
        <w:t>年度区</w:t>
      </w:r>
      <w:r>
        <w:rPr>
          <w:rFonts w:hint="eastAsia" w:asciiTheme="minorEastAsia" w:hAnsiTheme="minorEastAsia" w:eastAsiaTheme="minorEastAsia" w:cstheme="minorEastAsia"/>
          <w:b/>
          <w:sz w:val="32"/>
          <w:szCs w:val="32"/>
          <w:u w:color="000000"/>
          <w:lang w:eastAsia="zh-CN"/>
        </w:rPr>
        <w:t>妇联</w:t>
      </w:r>
      <w:r>
        <w:rPr>
          <w:rFonts w:hint="eastAsia" w:asciiTheme="minorEastAsia" w:hAnsiTheme="minorEastAsia" w:eastAsiaTheme="minorEastAsia" w:cstheme="minorEastAsia"/>
          <w:b/>
          <w:sz w:val="32"/>
          <w:szCs w:val="32"/>
          <w:u w:color="000000"/>
        </w:rPr>
        <w:t>预算收入与决算收入对比图</w:t>
      </w:r>
    </w:p>
    <w:p>
      <w:pPr>
        <w:spacing w:after="0" w:line="360" w:lineRule="auto"/>
        <w:jc w:val="center"/>
        <w:rPr>
          <w:rFonts w:hint="eastAsia" w:asciiTheme="minorEastAsia" w:hAnsiTheme="minorEastAsia" w:eastAsiaTheme="minorEastAsia" w:cstheme="minorEastAsia"/>
          <w:b/>
          <w:sz w:val="32"/>
          <w:szCs w:val="32"/>
          <w:u w:color="000000"/>
        </w:rPr>
      </w:pPr>
      <w:r>
        <w:drawing>
          <wp:anchor distT="0" distB="0" distL="114300" distR="114300" simplePos="0" relativeHeight="251660288" behindDoc="0" locked="0" layoutInCell="1" allowOverlap="1">
            <wp:simplePos x="0" y="0"/>
            <wp:positionH relativeFrom="column">
              <wp:posOffset>328930</wp:posOffset>
            </wp:positionH>
            <wp:positionV relativeFrom="paragraph">
              <wp:posOffset>194945</wp:posOffset>
            </wp:positionV>
            <wp:extent cx="4724400" cy="2263140"/>
            <wp:effectExtent l="4445" t="4445" r="14605" b="1841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after="0" w:line="360" w:lineRule="auto"/>
        <w:jc w:val="center"/>
        <w:rPr>
          <w:rFonts w:hint="eastAsia" w:asciiTheme="minorEastAsia" w:hAnsiTheme="minorEastAsia" w:eastAsiaTheme="minorEastAsia" w:cstheme="minorEastAsia"/>
          <w:b/>
          <w:sz w:val="32"/>
          <w:szCs w:val="32"/>
          <w:u w:color="000000"/>
        </w:rPr>
      </w:pPr>
    </w:p>
    <w:p>
      <w:pPr>
        <w:spacing w:after="0" w:line="360" w:lineRule="auto"/>
        <w:jc w:val="center"/>
        <w:rPr>
          <w:rFonts w:hint="eastAsia" w:asciiTheme="minorEastAsia" w:hAnsiTheme="minorEastAsia" w:eastAsiaTheme="minorEastAsia" w:cstheme="minorEastAsia"/>
          <w:b/>
          <w:sz w:val="32"/>
          <w:szCs w:val="32"/>
          <w:u w:color="000000"/>
        </w:rPr>
      </w:pPr>
    </w:p>
    <w:p>
      <w:pPr>
        <w:spacing w:after="0" w:line="360" w:lineRule="auto"/>
        <w:jc w:val="center"/>
        <w:rPr>
          <w:rFonts w:hint="eastAsia" w:asciiTheme="minorEastAsia" w:hAnsiTheme="minorEastAsia" w:eastAsiaTheme="minorEastAsia" w:cstheme="minorEastAsia"/>
          <w:b/>
          <w:sz w:val="32"/>
          <w:szCs w:val="32"/>
          <w:u w:color="000000"/>
        </w:rPr>
      </w:pPr>
    </w:p>
    <w:p>
      <w:pPr>
        <w:spacing w:after="0" w:line="360" w:lineRule="auto"/>
        <w:jc w:val="center"/>
        <w:rPr>
          <w:rFonts w:hint="eastAsia" w:asciiTheme="minorEastAsia" w:hAnsiTheme="minorEastAsia" w:eastAsiaTheme="minorEastAsia" w:cstheme="minorEastAsia"/>
          <w:b/>
          <w:sz w:val="32"/>
          <w:szCs w:val="32"/>
          <w:u w:color="000000"/>
        </w:rPr>
      </w:pPr>
    </w:p>
    <w:p>
      <w:pPr>
        <w:spacing w:after="0" w:line="360" w:lineRule="auto"/>
        <w:jc w:val="center"/>
        <w:rPr>
          <w:rFonts w:hint="eastAsia" w:asciiTheme="minorEastAsia" w:hAnsiTheme="minorEastAsia" w:eastAsiaTheme="minorEastAsia" w:cstheme="minorEastAsia"/>
          <w:b/>
          <w:sz w:val="32"/>
          <w:szCs w:val="32"/>
          <w:u w:color="000000"/>
        </w:rPr>
      </w:pP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妇联</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96.22</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90.56</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5.66</w:t>
      </w:r>
      <w:r>
        <w:rPr>
          <w:rFonts w:hint="eastAsia" w:ascii="仿宋_GB2312" w:eastAsia="仿宋_GB2312" w:cs="Times New Roman" w:hAnsiTheme="minorEastAsia"/>
          <w:sz w:val="32"/>
          <w:szCs w:val="32"/>
          <w:u w:color="000000"/>
        </w:rPr>
        <w:t>万元。预算支出按功能分类包含：公共安全支出</w:t>
      </w:r>
      <w:r>
        <w:rPr>
          <w:rFonts w:hint="default" w:ascii="仿宋_GB2312" w:eastAsia="仿宋_GB2312" w:cs="Times New Roman" w:hAnsiTheme="minorEastAsia"/>
          <w:sz w:val="32"/>
          <w:szCs w:val="32"/>
          <w:u w:color="000000"/>
          <w:lang w:val="en-US"/>
        </w:rPr>
        <w:t>0</w:t>
      </w:r>
      <w:r>
        <w:rPr>
          <w:rFonts w:hint="eastAsia" w:ascii="仿宋_GB2312" w:eastAsia="仿宋_GB2312" w:cs="Times New Roman" w:hAnsiTheme="minorEastAsia"/>
          <w:sz w:val="32"/>
          <w:szCs w:val="32"/>
          <w:u w:color="000000"/>
        </w:rPr>
        <w:t>万元，社会保障和就业支出</w:t>
      </w:r>
      <w:r>
        <w:rPr>
          <w:rFonts w:hint="default" w:ascii="仿宋_GB2312" w:eastAsia="仿宋_GB2312" w:cs="Times New Roman" w:hAnsiTheme="minorEastAsia"/>
          <w:sz w:val="32"/>
          <w:szCs w:val="32"/>
          <w:u w:color="000000"/>
          <w:lang w:val="en-US"/>
        </w:rPr>
        <w:t>22.7</w:t>
      </w:r>
      <w:r>
        <w:rPr>
          <w:rFonts w:hint="eastAsia" w:ascii="仿宋_GB2312" w:eastAsia="仿宋_GB2312" w:cs="Times New Roman" w:hAnsiTheme="minorEastAsia"/>
          <w:sz w:val="32"/>
          <w:szCs w:val="32"/>
          <w:u w:color="000000"/>
        </w:rPr>
        <w:t>万元，医疗卫生与计划教育支出</w:t>
      </w:r>
      <w:r>
        <w:rPr>
          <w:rFonts w:hint="default" w:ascii="仿宋_GB2312" w:eastAsia="仿宋_GB2312" w:cs="Times New Roman" w:hAnsiTheme="minorEastAsia"/>
          <w:sz w:val="32"/>
          <w:szCs w:val="32"/>
          <w:u w:color="000000"/>
          <w:lang w:val="en-US"/>
        </w:rPr>
        <w:t>4.05</w:t>
      </w:r>
      <w:r>
        <w:rPr>
          <w:rFonts w:hint="eastAsia" w:ascii="仿宋_GB2312" w:eastAsia="仿宋_GB2312" w:cs="Times New Roman" w:hAnsiTheme="minorEastAsia"/>
          <w:sz w:val="32"/>
          <w:szCs w:val="32"/>
          <w:u w:color="000000"/>
        </w:rPr>
        <w:t>万元，住房保障支出</w:t>
      </w:r>
      <w:r>
        <w:rPr>
          <w:rFonts w:hint="default" w:ascii="仿宋_GB2312" w:eastAsia="仿宋_GB2312" w:cs="Times New Roman" w:hAnsiTheme="minorEastAsia"/>
          <w:sz w:val="32"/>
          <w:szCs w:val="32"/>
          <w:u w:color="000000"/>
          <w:lang w:val="en-US"/>
        </w:rPr>
        <w:t>2.87</w:t>
      </w:r>
      <w:r>
        <w:rPr>
          <w:rFonts w:hint="eastAsia" w:ascii="仿宋_GB2312" w:eastAsia="仿宋_GB2312" w:cs="Times New Roman" w:hAnsiTheme="minorEastAsia"/>
          <w:sz w:val="32"/>
          <w:szCs w:val="32"/>
          <w:u w:color="000000"/>
        </w:rPr>
        <w:t>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妇联</w:t>
      </w:r>
      <w:r>
        <w:rPr>
          <w:rFonts w:hint="eastAsia" w:ascii="仿宋_GB2312" w:eastAsia="仿宋_GB2312" w:cs="Times New Roman" w:hAnsiTheme="minorEastAsia"/>
          <w:sz w:val="32"/>
          <w:szCs w:val="32"/>
          <w:u w:color="000000"/>
        </w:rPr>
        <w:t>决算支出为</w:t>
      </w:r>
      <w:r>
        <w:rPr>
          <w:rFonts w:hint="default" w:ascii="仿宋_GB2312" w:eastAsia="仿宋_GB2312" w:cs="Times New Roman" w:hAnsiTheme="minorEastAsia"/>
          <w:sz w:val="32"/>
          <w:szCs w:val="32"/>
          <w:u w:color="000000"/>
          <w:lang w:val="en-US"/>
        </w:rPr>
        <w:t>104.63</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95.78</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8.86</w:t>
      </w:r>
      <w:r>
        <w:rPr>
          <w:rFonts w:hint="eastAsia" w:ascii="仿宋_GB2312" w:eastAsia="仿宋_GB2312" w:cs="Times New Roman" w:hAnsiTheme="minorEastAsia"/>
          <w:sz w:val="32"/>
          <w:szCs w:val="32"/>
          <w:u w:color="000000"/>
        </w:rPr>
        <w:t>万元。决算支出按功能分类包含：公共安全支出</w:t>
      </w:r>
      <w:r>
        <w:rPr>
          <w:rFonts w:hint="default" w:ascii="仿宋_GB2312" w:eastAsia="仿宋_GB2312" w:cs="Times New Roman" w:hAnsiTheme="minorEastAsia"/>
          <w:sz w:val="32"/>
          <w:szCs w:val="32"/>
          <w:u w:color="000000"/>
          <w:lang w:val="en-US"/>
        </w:rPr>
        <w:t>0</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0</w:t>
      </w:r>
      <w:r>
        <w:rPr>
          <w:rFonts w:hint="eastAsia" w:ascii="仿宋_GB2312" w:eastAsia="仿宋_GB2312" w:cs="Times New Roman" w:hAnsiTheme="minorEastAsia"/>
          <w:sz w:val="32"/>
          <w:szCs w:val="32"/>
          <w:u w:color="000000"/>
        </w:rPr>
        <w:t>%；社会保障和就业支出</w:t>
      </w:r>
      <w:r>
        <w:rPr>
          <w:rFonts w:hint="default" w:ascii="仿宋_GB2312" w:eastAsia="仿宋_GB2312" w:cs="Times New Roman" w:hAnsiTheme="minorEastAsia"/>
          <w:sz w:val="32"/>
          <w:szCs w:val="32"/>
          <w:u w:color="000000"/>
          <w:lang w:val="en-US"/>
        </w:rPr>
        <w:t>31.98</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30.57</w:t>
      </w:r>
      <w:r>
        <w:rPr>
          <w:rFonts w:hint="eastAsia" w:ascii="仿宋_GB2312" w:eastAsia="仿宋_GB2312" w:cs="Times New Roman" w:hAnsiTheme="minorEastAsia"/>
          <w:sz w:val="32"/>
          <w:szCs w:val="32"/>
          <w:u w:color="000000"/>
        </w:rPr>
        <w:t>%；医疗卫生与计划教育支出</w:t>
      </w:r>
      <w:r>
        <w:rPr>
          <w:rFonts w:hint="default" w:ascii="仿宋_GB2312" w:eastAsia="仿宋_GB2312" w:cs="Times New Roman" w:hAnsiTheme="minorEastAsia"/>
          <w:sz w:val="32"/>
          <w:szCs w:val="32"/>
          <w:u w:color="000000"/>
          <w:lang w:val="en-US"/>
        </w:rPr>
        <w:t>4.52</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4.32</w:t>
      </w:r>
      <w:r>
        <w:rPr>
          <w:rFonts w:hint="eastAsia" w:ascii="仿宋_GB2312" w:eastAsia="仿宋_GB2312" w:cs="Times New Roman" w:hAnsiTheme="minorEastAsia"/>
          <w:sz w:val="32"/>
          <w:szCs w:val="32"/>
          <w:u w:color="000000"/>
        </w:rPr>
        <w:t>%；住房保障支出</w:t>
      </w:r>
      <w:r>
        <w:rPr>
          <w:rFonts w:hint="default" w:ascii="仿宋_GB2312" w:eastAsia="仿宋_GB2312" w:cs="Times New Roman" w:hAnsiTheme="minorEastAsia"/>
          <w:sz w:val="32"/>
          <w:szCs w:val="32"/>
          <w:u w:color="000000"/>
          <w:lang w:val="en-US"/>
        </w:rPr>
        <w:t>4.4</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4.21</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hint="eastAsia"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图3  202</w:t>
      </w:r>
      <w:r>
        <w:rPr>
          <w:rFonts w:hint="default" w:asciiTheme="minorEastAsia" w:hAnsiTheme="minorEastAsia" w:eastAsiaTheme="minorEastAsia" w:cstheme="minorEastAsia"/>
          <w:b/>
          <w:bCs/>
          <w:sz w:val="32"/>
          <w:szCs w:val="32"/>
          <w:u w:color="000000"/>
          <w:lang w:val="en-US"/>
        </w:rPr>
        <w:t>1</w:t>
      </w:r>
      <w:r>
        <w:rPr>
          <w:rFonts w:hint="eastAsia" w:asciiTheme="minorEastAsia" w:hAnsiTheme="minorEastAsia" w:eastAsiaTheme="minorEastAsia" w:cstheme="minorEastAsia"/>
          <w:b/>
          <w:bCs/>
          <w:sz w:val="32"/>
          <w:szCs w:val="32"/>
          <w:u w:color="000000"/>
        </w:rPr>
        <w:t>年度区</w:t>
      </w:r>
      <w:r>
        <w:rPr>
          <w:rFonts w:hint="eastAsia" w:asciiTheme="minorEastAsia" w:hAnsiTheme="minorEastAsia" w:eastAsiaTheme="minorEastAsia" w:cstheme="minorEastAsia"/>
          <w:b/>
          <w:bCs/>
          <w:sz w:val="32"/>
          <w:szCs w:val="32"/>
          <w:u w:color="000000"/>
          <w:lang w:eastAsia="zh-CN"/>
        </w:rPr>
        <w:t>妇联</w:t>
      </w:r>
      <w:r>
        <w:rPr>
          <w:rFonts w:hint="eastAsia" w:asciiTheme="minorEastAsia" w:hAnsiTheme="minorEastAsia" w:eastAsiaTheme="minorEastAsia" w:cstheme="minorEastAsia"/>
          <w:b/>
          <w:bCs/>
          <w:sz w:val="32"/>
          <w:szCs w:val="32"/>
          <w:u w:color="000000"/>
        </w:rPr>
        <w:t>决算支出结构图</w:t>
      </w:r>
    </w:p>
    <w:p>
      <w:pPr>
        <w:spacing w:after="0" w:line="360" w:lineRule="auto"/>
        <w:jc w:val="center"/>
        <w:rPr>
          <w:rFonts w:hint="eastAsia" w:asciiTheme="minorEastAsia" w:hAnsiTheme="minorEastAsia" w:eastAsiaTheme="minorEastAsia" w:cstheme="minorEastAsia"/>
          <w:b/>
          <w:bCs/>
          <w:sz w:val="32"/>
          <w:szCs w:val="32"/>
          <w:u w:color="000000"/>
        </w:rPr>
      </w:pPr>
      <w:r>
        <w:drawing>
          <wp:inline distT="0" distB="0" distL="114300" distR="114300">
            <wp:extent cx="4973955" cy="2540000"/>
            <wp:effectExtent l="4445" t="4445" r="12700" b="82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jc w:val="center"/>
        <w:rPr>
          <w:rFonts w:hint="eastAsia" w:asciiTheme="minorEastAsia" w:hAnsiTheme="minorEastAsia" w:eastAsiaTheme="minorEastAsia" w:cstheme="minorEastAsia"/>
          <w:b/>
          <w:bCs/>
          <w:sz w:val="32"/>
          <w:szCs w:val="32"/>
          <w:u w:color="000000"/>
        </w:rPr>
      </w:pP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3.47</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96.39</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eastAsia="zh-CN"/>
        </w:rPr>
        <w:t>缩减开支</w:t>
      </w:r>
      <w:r>
        <w:rPr>
          <w:rFonts w:hint="eastAsia" w:ascii="仿宋" w:hAnsi="仿宋" w:eastAsia="仿宋"/>
          <w:snapToGrid w:val="0"/>
          <w:sz w:val="32"/>
          <w:szCs w:val="32"/>
        </w:rPr>
        <w:t>。预算支出与决算支出对比情况如图4。</w:t>
      </w:r>
    </w:p>
    <w:p>
      <w:pPr>
        <w:spacing w:after="0" w:line="360" w:lineRule="auto"/>
        <w:jc w:val="center"/>
        <w:rPr>
          <w:rFonts w:hint="eastAsia" w:ascii="仿宋_GB2312" w:eastAsia="仿宋_GB2312" w:cs="DengXian-Regular"/>
          <w:sz w:val="32"/>
          <w:szCs w:val="32"/>
        </w:rPr>
      </w:pPr>
      <w:r>
        <w:rPr>
          <w:rFonts w:hint="eastAsia" w:asciiTheme="minorEastAsia" w:hAnsiTheme="minorEastAsia" w:eastAsiaTheme="minorEastAsia" w:cstheme="minorEastAsia"/>
          <w:b/>
          <w:bCs/>
          <w:sz w:val="32"/>
          <w:szCs w:val="32"/>
        </w:rPr>
        <w:t>图4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eastAsia="zh-CN"/>
        </w:rPr>
        <w:t>妇联</w:t>
      </w:r>
      <w:r>
        <w:rPr>
          <w:rFonts w:hint="eastAsia" w:asciiTheme="minorEastAsia" w:hAnsiTheme="minorEastAsia" w:eastAsiaTheme="minorEastAsia" w:cstheme="minorEastAsia"/>
          <w:b/>
          <w:bCs/>
          <w:sz w:val="32"/>
          <w:szCs w:val="32"/>
        </w:rPr>
        <w:t>预算支出与决算支出对比图</w:t>
      </w:r>
    </w:p>
    <w:p>
      <w:pPr>
        <w:spacing w:after="0" w:line="360" w:lineRule="auto"/>
        <w:ind w:firstLine="440" w:firstLineChars="200"/>
        <w:jc w:val="both"/>
        <w:rPr>
          <w:rFonts w:hint="eastAsia" w:ascii="仿宋_GB2312" w:eastAsia="仿宋_GB2312" w:cs="DengXian-Regular"/>
          <w:sz w:val="32"/>
          <w:szCs w:val="32"/>
        </w:rPr>
      </w:pPr>
      <w:r>
        <w:drawing>
          <wp:anchor distT="0" distB="0" distL="114300" distR="114300" simplePos="0" relativeHeight="251661312" behindDoc="0" locked="0" layoutInCell="1" allowOverlap="1">
            <wp:simplePos x="0" y="0"/>
            <wp:positionH relativeFrom="column">
              <wp:posOffset>283845</wp:posOffset>
            </wp:positionH>
            <wp:positionV relativeFrom="paragraph">
              <wp:posOffset>4445</wp:posOffset>
            </wp:positionV>
            <wp:extent cx="4953000" cy="2609850"/>
            <wp:effectExtent l="4445" t="4445" r="14605" b="14605"/>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年实际项目支出</w:t>
      </w:r>
      <w:r>
        <w:rPr>
          <w:rFonts w:hint="default" w:ascii="仿宋_GB2312" w:eastAsia="仿宋_GB2312" w:cs="DengXian-Regular"/>
          <w:sz w:val="32"/>
          <w:szCs w:val="32"/>
          <w:lang w:val="en-US"/>
        </w:rPr>
        <w:t>8.86</w:t>
      </w:r>
      <w:r>
        <w:rPr>
          <w:rFonts w:hint="eastAsia" w:ascii="仿宋_GB2312" w:eastAsia="仿宋_GB2312" w:cs="DengXian-Regular"/>
          <w:sz w:val="32"/>
          <w:szCs w:val="32"/>
        </w:rPr>
        <w:t>万元，决算报表中项目支出</w:t>
      </w:r>
      <w:r>
        <w:rPr>
          <w:rFonts w:hint="default" w:ascii="仿宋_GB2312" w:eastAsia="仿宋_GB2312" w:cs="DengXian-Regular"/>
          <w:sz w:val="32"/>
          <w:szCs w:val="32"/>
          <w:lang w:val="en-US"/>
        </w:rPr>
        <w:t>8.86</w:t>
      </w:r>
      <w:r>
        <w:rPr>
          <w:rFonts w:hint="eastAsia" w:ascii="仿宋_GB2312" w:eastAsia="仿宋_GB2312" w:cs="DengXian-Regular"/>
          <w:sz w:val="32"/>
          <w:szCs w:val="32"/>
        </w:rPr>
        <w:t>万元，实际支出与决算报表差</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pPr>
        <w:pStyle w:val="4"/>
        <w:spacing w:before="0" w:after="0"/>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hint="eastAsia"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“三公”经费预算</w:t>
      </w:r>
      <w:r>
        <w:rPr>
          <w:rFonts w:hint="default" w:ascii="仿宋_GB2312" w:eastAsia="仿宋_GB2312" w:cs="DengXian-Regular"/>
          <w:sz w:val="32"/>
          <w:szCs w:val="32"/>
          <w:lang w:val="en-US"/>
        </w:rPr>
        <w:t>3.6</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公务接待费0.6万元），实际支出</w:t>
      </w:r>
      <w:r>
        <w:rPr>
          <w:rFonts w:hint="default" w:ascii="仿宋_GB2312" w:eastAsia="仿宋_GB2312" w:cs="DengXian-Regular"/>
          <w:sz w:val="32"/>
          <w:szCs w:val="32"/>
          <w:lang w:val="en-US"/>
        </w:rPr>
        <w:t>1.18</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1.18</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1.82</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60.67</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default" w:ascii="仿宋_GB2312" w:eastAsia="仿宋_GB2312" w:cs="DengXian-Regular"/>
          <w:sz w:val="32"/>
          <w:szCs w:val="32"/>
          <w:lang w:val="en-US" w:eastAsia="zh-CN"/>
        </w:rPr>
        <w:t>0.42</w:t>
      </w:r>
      <w:r>
        <w:rPr>
          <w:rFonts w:hint="eastAsia" w:ascii="仿宋_GB2312" w:eastAsia="仿宋_GB2312" w:cs="DengXian-Regular"/>
          <w:sz w:val="32"/>
          <w:szCs w:val="32"/>
        </w:rPr>
        <w:t>万元。具体详见表1。</w:t>
      </w: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Theme="minorEastAsia" w:hAnsiTheme="minorEastAsia" w:eastAsiaTheme="minorEastAsia" w:cstheme="minorEastAsia"/>
          <w:b/>
          <w:bCs/>
          <w:sz w:val="32"/>
          <w:szCs w:val="32"/>
          <w:lang w:eastAsia="zh-CN"/>
        </w:rPr>
        <w:t>区妇联</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0.76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1.18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0.42</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0.76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1.18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0.42</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车辆合计</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辆，其中</w:t>
      </w:r>
      <w:r>
        <w:rPr>
          <w:rFonts w:hint="eastAsia" w:ascii="仿宋_GB2312" w:eastAsia="仿宋_GB2312" w:cs="DengXian-Regular"/>
          <w:sz w:val="32"/>
          <w:szCs w:val="32"/>
          <w:lang w:eastAsia="zh-CN"/>
        </w:rPr>
        <w:t>应急保障</w:t>
      </w:r>
      <w:r>
        <w:rPr>
          <w:rFonts w:hint="eastAsia" w:ascii="仿宋_GB2312" w:eastAsia="仿宋_GB2312" w:cs="DengXian-Regular"/>
          <w:sz w:val="32"/>
          <w:szCs w:val="32"/>
        </w:rPr>
        <w:t>用车</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辆，其他用车</w:t>
      </w:r>
      <w:r>
        <w:rPr>
          <w:rFonts w:hint="default" w:ascii="仿宋_GB2312" w:eastAsia="仿宋_GB2312" w:cs="DengXian-Regular"/>
          <w:sz w:val="32"/>
          <w:szCs w:val="32"/>
          <w:lang w:val="en-US"/>
        </w:rPr>
        <w:t>0</w:t>
      </w:r>
      <w:r>
        <w:rPr>
          <w:rFonts w:hint="eastAsia" w:ascii="仿宋_GB2312" w:eastAsia="仿宋_GB2312" w:cs="DengXian-Regular"/>
          <w:sz w:val="32"/>
          <w:szCs w:val="32"/>
        </w:rPr>
        <w:t>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3</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1.18</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1.82</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60.67</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default" w:ascii="仿宋_GB2312" w:eastAsia="仿宋_GB2312" w:cs="DengXian-Regular"/>
          <w:sz w:val="32"/>
          <w:szCs w:val="32"/>
          <w:lang w:val="en-US" w:eastAsia="zh-CN"/>
        </w:rPr>
        <w:t>0.42</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公务接待费年初预算</w:t>
      </w:r>
      <w:r>
        <w:rPr>
          <w:rFonts w:hint="default" w:ascii="仿宋_GB2312" w:eastAsia="仿宋_GB2312" w:cs="DengXian-Regular"/>
          <w:sz w:val="32"/>
          <w:szCs w:val="32"/>
          <w:lang w:val="en-US"/>
        </w:rPr>
        <w:t>0.6</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0.6</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100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年实际支出相比，增加</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w:t>
      </w:r>
      <w:bookmarkStart w:id="80" w:name="_GoBack"/>
      <w:bookmarkEnd w:id="80"/>
      <w:r>
        <w:rPr>
          <w:rFonts w:hint="eastAsia" w:ascii="仿宋_GB2312" w:eastAsia="仿宋_GB2312" w:cs="DengXian-Regular"/>
          <w:sz w:val="32"/>
          <w:szCs w:val="32"/>
        </w:rPr>
        <w:t>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部门整体支出绩效评价总得分为</w:t>
      </w:r>
      <w:r>
        <w:rPr>
          <w:rFonts w:hint="default" w:ascii="仿宋_GB2312" w:eastAsia="仿宋_GB2312" w:cs="DengXian-Regular"/>
          <w:sz w:val="32"/>
          <w:szCs w:val="32"/>
          <w:lang w:val="en-US"/>
        </w:rPr>
        <w:t>95.99</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pPr>
        <w:spacing w:after="0" w:line="360" w:lineRule="auto"/>
        <w:jc w:val="both"/>
        <w:textAlignment w:val="baseline"/>
        <w:rPr>
          <w:rFonts w:hint="eastAsia" w:ascii="仿宋_GB2312" w:eastAsia="仿宋_GB2312" w:cs="Times New Roman" w:hAnsiTheme="minorEastAsia"/>
          <w:sz w:val="32"/>
          <w:szCs w:val="32"/>
          <w:u w:color="000000"/>
        </w:rPr>
      </w:pPr>
    </w:p>
    <w:p>
      <w:pPr>
        <w:spacing w:after="0" w:line="360" w:lineRule="auto"/>
        <w:jc w:val="center"/>
        <w:textAlignment w:val="baseline"/>
        <w:rPr>
          <w:rFonts w:hint="eastAsia" w:asciiTheme="minorEastAsia" w:hAnsiTheme="minorEastAsia" w:eastAsiaTheme="minorEastAsia" w:cstheme="minorEastAsia"/>
          <w:b/>
          <w:bCs/>
          <w:sz w:val="32"/>
          <w:szCs w:val="32"/>
          <w:u w:color="000000"/>
        </w:rPr>
      </w:pP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年预算文本及相关会计资料，区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妇联部门</w:t>
      </w:r>
      <w:r>
        <w:rPr>
          <w:rFonts w:hint="eastAsia" w:ascii="仿宋_GB2312" w:eastAsia="仿宋_GB2312" w:cs="DengXian-Regular"/>
          <w:sz w:val="32"/>
          <w:szCs w:val="32"/>
        </w:rPr>
        <w:t>2020年预算项目共</w:t>
      </w:r>
      <w:r>
        <w:rPr>
          <w:rFonts w:hint="default" w:ascii="仿宋_GB2312" w:eastAsia="仿宋_GB2312" w:cs="DengXian-Regular"/>
          <w:sz w:val="32"/>
          <w:szCs w:val="32"/>
          <w:lang w:val="en-US"/>
        </w:rPr>
        <w:t>7</w:t>
      </w:r>
      <w:r>
        <w:rPr>
          <w:rFonts w:hint="eastAsia" w:ascii="仿宋_GB2312" w:eastAsia="仿宋_GB2312" w:cs="DengXian-Regular"/>
          <w:sz w:val="32"/>
          <w:szCs w:val="32"/>
        </w:rPr>
        <w:t>个（详见附件2-2-2），涉及资金</w:t>
      </w:r>
      <w:r>
        <w:rPr>
          <w:rFonts w:hint="default" w:ascii="仿宋_GB2312" w:eastAsia="仿宋_GB2312" w:cs="DengXian-Regular"/>
          <w:sz w:val="32"/>
          <w:szCs w:val="32"/>
          <w:lang w:val="en-US"/>
        </w:rPr>
        <w:t>8.86</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8.86</w:t>
      </w:r>
      <w:r>
        <w:rPr>
          <w:rFonts w:hint="eastAsia" w:ascii="仿宋_GB2312" w:eastAsia="仿宋_GB2312" w:cs="DengXian-Regular"/>
          <w:sz w:val="32"/>
          <w:szCs w:val="32"/>
        </w:rPr>
        <w:t>/</w:t>
      </w:r>
      <w:r>
        <w:rPr>
          <w:rFonts w:hint="default" w:ascii="仿宋_GB2312" w:eastAsia="仿宋_GB2312" w:cs="DengXian-Regular"/>
          <w:sz w:val="32"/>
          <w:szCs w:val="32"/>
          <w:lang w:val="en-US"/>
        </w:rPr>
        <w:t>8.86</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区妇联</w:t>
      </w:r>
      <w:r>
        <w:rPr>
          <w:rFonts w:hint="eastAsia" w:ascii="仿宋_GB2312" w:eastAsia="仿宋_GB2312" w:cs="DengXian-Regular"/>
          <w:sz w:val="32"/>
          <w:szCs w:val="32"/>
        </w:rPr>
        <w:t>人员编制为</w:t>
      </w:r>
      <w:r>
        <w:rPr>
          <w:rFonts w:hint="default" w:ascii="仿宋_GB2312" w:eastAsia="仿宋_GB2312" w:cs="DengXian-Regular"/>
          <w:sz w:val="32"/>
          <w:szCs w:val="32"/>
          <w:lang w:val="en-US"/>
        </w:rPr>
        <w:t>5</w:t>
      </w:r>
      <w:r>
        <w:rPr>
          <w:rFonts w:hint="eastAsia" w:ascii="仿宋_GB2312" w:eastAsia="仿宋_GB2312" w:cs="DengXian-Regular"/>
          <w:sz w:val="32"/>
          <w:szCs w:val="32"/>
        </w:rPr>
        <w:t>人，根据区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5</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5</w:t>
      </w:r>
      <w:r>
        <w:rPr>
          <w:rFonts w:hint="eastAsia" w:ascii="仿宋_GB2312" w:eastAsia="仿宋_GB2312" w:cs="DengXian-Regular"/>
          <w:sz w:val="32"/>
          <w:szCs w:val="32"/>
        </w:rPr>
        <w:t>/</w:t>
      </w:r>
      <w:r>
        <w:rPr>
          <w:rFonts w:hint="default" w:ascii="仿宋_GB2312" w:eastAsia="仿宋_GB2312" w:cs="DengXian-Regular"/>
          <w:sz w:val="32"/>
          <w:szCs w:val="32"/>
          <w:lang w:val="en-US"/>
        </w:rPr>
        <w:t>5</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47.99</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1-1307</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项目经费</w:t>
      </w:r>
      <w:r>
        <w:rPr>
          <w:rFonts w:hint="default" w:ascii="仿宋_GB2312" w:eastAsia="仿宋_GB2312" w:cs="DengXian-Regular"/>
          <w:sz w:val="32"/>
          <w:szCs w:val="32"/>
          <w:lang w:val="en-US" w:eastAsia="zh-CN"/>
        </w:rPr>
        <w:t>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1-0999</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追减基本支出经费</w:t>
      </w:r>
      <w:r>
        <w:rPr>
          <w:rFonts w:hint="default" w:ascii="仿宋_GB2312" w:eastAsia="仿宋_GB2312" w:cs="DengXian-Regular"/>
          <w:sz w:val="32"/>
          <w:szCs w:val="32"/>
          <w:lang w:val="en-US" w:eastAsia="zh-CN"/>
        </w:rPr>
        <w:t>5.51</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1-1999</w:t>
      </w:r>
      <w:r>
        <w:rPr>
          <w:rFonts w:hint="eastAsia" w:ascii="仿宋_GB2312" w:eastAsia="仿宋_GB2312" w:cs="DengXian-Regular"/>
          <w:sz w:val="32"/>
          <w:szCs w:val="32"/>
        </w:rPr>
        <w:t>号追减</w:t>
      </w:r>
      <w:r>
        <w:rPr>
          <w:rFonts w:hint="eastAsia" w:ascii="仿宋_GB2312" w:eastAsia="仿宋_GB2312" w:cs="DengXian-Regular"/>
          <w:sz w:val="32"/>
          <w:szCs w:val="32"/>
          <w:lang w:eastAsia="zh-CN"/>
        </w:rPr>
        <w:t>项目</w:t>
      </w:r>
      <w:r>
        <w:rPr>
          <w:rFonts w:hint="eastAsia" w:ascii="仿宋_GB2312" w:eastAsia="仿宋_GB2312" w:cs="DengXian-Regular"/>
          <w:sz w:val="32"/>
          <w:szCs w:val="32"/>
        </w:rPr>
        <w:t>支出经费</w:t>
      </w:r>
      <w:r>
        <w:rPr>
          <w:rFonts w:hint="default" w:ascii="仿宋_GB2312" w:eastAsia="仿宋_GB2312" w:cs="DengXian-Regular"/>
          <w:sz w:val="32"/>
          <w:szCs w:val="32"/>
          <w:lang w:val="en-US"/>
        </w:rPr>
        <w:t>0.0048</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年度预算收入的追加数为</w:t>
      </w:r>
      <w:r>
        <w:rPr>
          <w:rFonts w:hint="default" w:ascii="仿宋_GB2312" w:eastAsia="仿宋_GB2312" w:cs="DengXian-Regular"/>
          <w:sz w:val="32"/>
          <w:szCs w:val="32"/>
          <w:lang w:val="en-US"/>
        </w:rPr>
        <w:t>-3.47</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96.22</w:t>
      </w:r>
      <w:r>
        <w:rPr>
          <w:rFonts w:hint="eastAsia" w:ascii="仿宋_GB2312" w:eastAsia="仿宋_GB2312" w:cs="DengXian-Regular"/>
          <w:sz w:val="32"/>
          <w:szCs w:val="32"/>
        </w:rPr>
        <w:t>万元，预算收入调整率为</w:t>
      </w:r>
      <w:r>
        <w:rPr>
          <w:rFonts w:hint="default" w:ascii="仿宋_GB2312" w:eastAsia="仿宋_GB2312" w:cs="DengXian-Regular"/>
          <w:sz w:val="32"/>
          <w:szCs w:val="32"/>
          <w:lang w:val="en-US"/>
        </w:rPr>
        <w:t>3.61</w:t>
      </w:r>
      <w:r>
        <w:rPr>
          <w:rFonts w:hint="eastAsia" w:ascii="仿宋_GB2312" w:eastAsia="仿宋_GB2312" w:cs="DengXian-Regular"/>
          <w:sz w:val="32"/>
          <w:szCs w:val="32"/>
        </w:rPr>
        <w:t>%，预算调整</w:t>
      </w:r>
      <w:r>
        <w:rPr>
          <w:rFonts w:hint="eastAsia" w:ascii="仿宋_GB2312" w:eastAsia="仿宋_GB2312" w:cs="DengXian-Regular"/>
          <w:sz w:val="32"/>
          <w:szCs w:val="32"/>
          <w:lang w:eastAsia="zh-CN"/>
        </w:rPr>
        <w:t>减少</w:t>
      </w:r>
      <w:r>
        <w:rPr>
          <w:rFonts w:hint="eastAsia" w:ascii="仿宋_GB2312" w:eastAsia="仿宋_GB2312" w:cs="DengXian-Regular"/>
          <w:sz w:val="32"/>
          <w:szCs w:val="32"/>
        </w:rPr>
        <w:t>了</w:t>
      </w:r>
      <w:r>
        <w:rPr>
          <w:rFonts w:hint="default" w:ascii="仿宋_GB2312" w:eastAsia="仿宋_GB2312" w:cs="DengXian-Regular"/>
          <w:sz w:val="32"/>
          <w:szCs w:val="32"/>
          <w:lang w:val="en-US"/>
        </w:rPr>
        <w:t>0.03</w:t>
      </w:r>
      <w:r>
        <w:rPr>
          <w:rFonts w:hint="eastAsia" w:ascii="仿宋_GB2312" w:eastAsia="仿宋_GB2312" w:cs="DengXian-Regular"/>
          <w:sz w:val="32"/>
          <w:szCs w:val="32"/>
        </w:rPr>
        <w:t>个百分点，扣</w:t>
      </w:r>
      <w:r>
        <w:rPr>
          <w:rFonts w:hint="default" w:ascii="仿宋_GB2312" w:eastAsia="仿宋_GB2312" w:cs="DengXian-Regular"/>
          <w:sz w:val="32"/>
          <w:szCs w:val="32"/>
          <w:lang w:val="en-US"/>
        </w:rPr>
        <w:t>0.03</w:t>
      </w:r>
      <w:r>
        <w:rPr>
          <w:rFonts w:hint="eastAsia" w:ascii="仿宋_GB2312" w:eastAsia="仿宋_GB2312" w:cs="DengXian-Regular"/>
          <w:sz w:val="32"/>
          <w:szCs w:val="32"/>
        </w:rPr>
        <w:t>*0.1*2=</w:t>
      </w:r>
      <w:r>
        <w:rPr>
          <w:rFonts w:hint="default" w:ascii="仿宋_GB2312" w:eastAsia="仿宋_GB2312" w:cs="DengXian-Regular"/>
          <w:sz w:val="32"/>
          <w:szCs w:val="32"/>
          <w:lang w:val="en-US"/>
        </w:rPr>
        <w:t>0.006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1.99</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96.22</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92.75</w:t>
      </w:r>
      <w:r>
        <w:rPr>
          <w:rFonts w:hint="eastAsia" w:ascii="仿宋_GB2312" w:eastAsia="仿宋_GB2312" w:cs="DengXian-Regular"/>
          <w:sz w:val="32"/>
          <w:szCs w:val="32"/>
        </w:rPr>
        <w:t>万元，收入完成率=（</w:t>
      </w:r>
      <w:r>
        <w:rPr>
          <w:rFonts w:hint="default" w:ascii="仿宋_GB2312" w:eastAsia="仿宋_GB2312" w:cs="DengXian-Regular"/>
          <w:sz w:val="32"/>
          <w:szCs w:val="32"/>
          <w:lang w:val="en-US"/>
        </w:rPr>
        <w:t>92.75</w:t>
      </w:r>
      <w:r>
        <w:rPr>
          <w:rFonts w:hint="eastAsia" w:ascii="仿宋_GB2312" w:eastAsia="仿宋_GB2312" w:cs="DengXian-Regular"/>
          <w:sz w:val="32"/>
          <w:szCs w:val="32"/>
        </w:rPr>
        <w:t>/</w:t>
      </w:r>
      <w:r>
        <w:rPr>
          <w:rFonts w:hint="default" w:ascii="仿宋_GB2312" w:eastAsia="仿宋_GB2312" w:cs="DengXian-Regular"/>
          <w:sz w:val="32"/>
          <w:szCs w:val="32"/>
          <w:lang w:val="en-US"/>
        </w:rPr>
        <w:t>96.22</w:t>
      </w:r>
      <w:r>
        <w:rPr>
          <w:rFonts w:hint="eastAsia" w:ascii="仿宋_GB2312" w:eastAsia="仿宋_GB2312" w:cs="DengXian-Regular"/>
          <w:sz w:val="32"/>
          <w:szCs w:val="32"/>
        </w:rPr>
        <w:t>）*100%=</w:t>
      </w:r>
      <w:r>
        <w:rPr>
          <w:rFonts w:hint="default" w:ascii="仿宋_GB2312" w:eastAsia="仿宋_GB2312" w:cs="DengXian-Regular"/>
          <w:sz w:val="32"/>
          <w:szCs w:val="32"/>
          <w:lang w:val="en-US"/>
        </w:rPr>
        <w:t>96.39</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1-1307</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项目经费</w:t>
      </w:r>
      <w:r>
        <w:rPr>
          <w:rFonts w:hint="default" w:ascii="仿宋_GB2312" w:eastAsia="仿宋_GB2312" w:cs="DengXian-Regular"/>
          <w:sz w:val="32"/>
          <w:szCs w:val="32"/>
          <w:lang w:val="en-US" w:eastAsia="zh-CN"/>
        </w:rPr>
        <w:t>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1-0999</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追减基本支出经费</w:t>
      </w:r>
      <w:r>
        <w:rPr>
          <w:rFonts w:hint="default" w:ascii="仿宋_GB2312" w:eastAsia="仿宋_GB2312" w:cs="DengXian-Regular"/>
          <w:sz w:val="32"/>
          <w:szCs w:val="32"/>
          <w:lang w:val="en-US" w:eastAsia="zh-CN"/>
        </w:rPr>
        <w:t>5.51</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1-1999</w:t>
      </w:r>
      <w:r>
        <w:rPr>
          <w:rFonts w:hint="eastAsia" w:ascii="仿宋_GB2312" w:eastAsia="仿宋_GB2312" w:cs="DengXian-Regular"/>
          <w:sz w:val="32"/>
          <w:szCs w:val="32"/>
        </w:rPr>
        <w:t>号追减</w:t>
      </w:r>
      <w:r>
        <w:rPr>
          <w:rFonts w:hint="eastAsia" w:ascii="仿宋_GB2312" w:eastAsia="仿宋_GB2312" w:cs="DengXian-Regular"/>
          <w:sz w:val="32"/>
          <w:szCs w:val="32"/>
          <w:lang w:eastAsia="zh-CN"/>
        </w:rPr>
        <w:t>项目</w:t>
      </w:r>
      <w:r>
        <w:rPr>
          <w:rFonts w:hint="eastAsia" w:ascii="仿宋_GB2312" w:eastAsia="仿宋_GB2312" w:cs="DengXian-Regular"/>
          <w:sz w:val="32"/>
          <w:szCs w:val="32"/>
        </w:rPr>
        <w:t>支出经费</w:t>
      </w:r>
      <w:r>
        <w:rPr>
          <w:rFonts w:hint="default" w:ascii="仿宋_GB2312" w:eastAsia="仿宋_GB2312" w:cs="DengXian-Regular"/>
          <w:sz w:val="32"/>
          <w:szCs w:val="32"/>
          <w:lang w:val="en-US"/>
        </w:rPr>
        <w:t>0.0048</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年度预算支出的追加数合计</w:t>
      </w:r>
      <w:r>
        <w:rPr>
          <w:rFonts w:hint="default" w:ascii="仿宋_GB2312" w:eastAsia="仿宋_GB2312" w:cs="DengXian-Regular"/>
          <w:sz w:val="32"/>
          <w:szCs w:val="32"/>
          <w:lang w:val="en-US"/>
        </w:rPr>
        <w:t>-3.47</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96.22</w:t>
      </w:r>
      <w:r>
        <w:rPr>
          <w:rFonts w:hint="eastAsia" w:ascii="仿宋_GB2312" w:eastAsia="仿宋_GB2312" w:cs="DengXian-Regular"/>
          <w:sz w:val="32"/>
          <w:szCs w:val="32"/>
        </w:rPr>
        <w:t>万元，预算支出调整率为</w:t>
      </w:r>
      <w:r>
        <w:rPr>
          <w:rFonts w:hint="default" w:ascii="仿宋_GB2312" w:eastAsia="仿宋_GB2312" w:cs="DengXian-Regular"/>
          <w:sz w:val="32"/>
          <w:szCs w:val="32"/>
          <w:lang w:val="en-US"/>
        </w:rPr>
        <w:t>3.61</w:t>
      </w:r>
      <w:r>
        <w:rPr>
          <w:rFonts w:hint="eastAsia" w:ascii="仿宋_GB2312" w:eastAsia="仿宋_GB2312" w:cs="DengXian-Regular"/>
          <w:sz w:val="32"/>
          <w:szCs w:val="32"/>
        </w:rPr>
        <w:t>%，预算调整减少了</w:t>
      </w:r>
      <w:r>
        <w:rPr>
          <w:rFonts w:hint="default" w:ascii="仿宋_GB2312" w:eastAsia="仿宋_GB2312" w:cs="DengXian-Regular"/>
          <w:sz w:val="32"/>
          <w:szCs w:val="32"/>
          <w:lang w:val="en-US"/>
        </w:rPr>
        <w:t>0.03</w:t>
      </w:r>
      <w:r>
        <w:rPr>
          <w:rFonts w:hint="eastAsia" w:ascii="仿宋_GB2312" w:eastAsia="仿宋_GB2312" w:cs="DengXian-Regular"/>
          <w:sz w:val="32"/>
          <w:szCs w:val="32"/>
        </w:rPr>
        <w:t>个百分点，扣加</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年决算文本，部门决算财政拨款支出数</w:t>
      </w:r>
      <w:r>
        <w:rPr>
          <w:rFonts w:hint="default" w:ascii="仿宋_GB2312" w:eastAsia="仿宋_GB2312" w:cs="DengXian-Regular"/>
          <w:sz w:val="32"/>
          <w:szCs w:val="32"/>
          <w:lang w:val="en-US"/>
        </w:rPr>
        <w:t>104.62</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104.62</w:t>
      </w:r>
      <w:r>
        <w:rPr>
          <w:rFonts w:hint="eastAsia" w:ascii="仿宋_GB2312" w:eastAsia="仿宋_GB2312" w:cs="DengXian-Regular"/>
          <w:sz w:val="32"/>
          <w:szCs w:val="32"/>
        </w:rPr>
        <w:t>万元，财政拨款支出率=（</w:t>
      </w:r>
      <w:r>
        <w:rPr>
          <w:rFonts w:hint="default" w:ascii="仿宋_GB2312" w:eastAsia="仿宋_GB2312" w:cs="DengXian-Regular"/>
          <w:sz w:val="32"/>
          <w:szCs w:val="32"/>
          <w:lang w:val="en-US"/>
        </w:rPr>
        <w:t>104.62</w:t>
      </w:r>
      <w:r>
        <w:rPr>
          <w:rFonts w:hint="eastAsia" w:ascii="仿宋_GB2312" w:eastAsia="仿宋_GB2312" w:cs="DengXian-Regular"/>
          <w:sz w:val="32"/>
          <w:szCs w:val="32"/>
        </w:rPr>
        <w:t>/</w:t>
      </w:r>
      <w:r>
        <w:rPr>
          <w:rFonts w:hint="default" w:ascii="仿宋_GB2312" w:eastAsia="仿宋_GB2312" w:cs="DengXian-Regular"/>
          <w:sz w:val="32"/>
          <w:szCs w:val="32"/>
          <w:lang w:val="en-US"/>
        </w:rPr>
        <w:t>104.62</w:t>
      </w:r>
      <w:r>
        <w:rPr>
          <w:rFonts w:hint="eastAsia" w:ascii="仿宋_GB2312" w:eastAsia="仿宋_GB2312" w:cs="DengXian-Regular"/>
          <w:sz w:val="32"/>
          <w:szCs w:val="32"/>
        </w:rPr>
        <w:t>）*100%=</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年年初结转和结余</w:t>
      </w:r>
      <w:r>
        <w:rPr>
          <w:rFonts w:hint="default" w:ascii="仿宋_GB2312" w:eastAsia="仿宋_GB2312" w:cs="DengXian-Regular"/>
          <w:sz w:val="32"/>
          <w:szCs w:val="32"/>
          <w:lang w:val="en-US"/>
        </w:rPr>
        <w:t>11.88</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3.6</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3.6</w:t>
      </w:r>
      <w:r>
        <w:rPr>
          <w:rFonts w:hint="eastAsia" w:ascii="仿宋_GB2312" w:eastAsia="仿宋_GB2312" w:cs="DengXian-Regular"/>
          <w:sz w:val="32"/>
          <w:szCs w:val="32"/>
        </w:rPr>
        <w:t>万元，“三公”经费控制率=（</w:t>
      </w:r>
      <w:r>
        <w:rPr>
          <w:rFonts w:hint="default" w:ascii="仿宋_GB2312" w:eastAsia="仿宋_GB2312" w:cs="DengXian-Regular"/>
          <w:sz w:val="32"/>
          <w:szCs w:val="32"/>
          <w:lang w:val="en-US"/>
        </w:rPr>
        <w:t>3.6</w:t>
      </w:r>
      <w:r>
        <w:rPr>
          <w:rFonts w:hint="eastAsia" w:ascii="仿宋_GB2312" w:eastAsia="仿宋_GB2312" w:cs="DengXian-Regular"/>
          <w:sz w:val="32"/>
          <w:szCs w:val="32"/>
        </w:rPr>
        <w:t>/</w:t>
      </w:r>
      <w:r>
        <w:rPr>
          <w:rFonts w:hint="default" w:ascii="仿宋_GB2312" w:eastAsia="仿宋_GB2312" w:cs="DengXian-Regular"/>
          <w:sz w:val="32"/>
          <w:szCs w:val="32"/>
          <w:lang w:val="en-US"/>
        </w:rPr>
        <w:t>3.6</w:t>
      </w:r>
      <w:r>
        <w:rPr>
          <w:rFonts w:hint="eastAsia" w:ascii="仿宋_GB2312" w:eastAsia="仿宋_GB2312" w:cs="DengXian-Regular"/>
          <w:sz w:val="32"/>
          <w:szCs w:val="32"/>
        </w:rPr>
        <w:t>）*100%=</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0.81</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0.81</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年决算文本、明细账及总账，区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工作制度涵盖了财务制度、网络安全制度、公务用车制度等相关制度，经检查区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付款流程审批单、资产盘点表等资料，区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提供的会计账簿、凭证及其他相关资料，区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建立了固定资产台账、无形资产台账，资产保存完整，202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1.7</w:t>
      </w:r>
      <w:r>
        <w:rPr>
          <w:rFonts w:hint="eastAsia" w:ascii="仿宋_GB2312" w:eastAsia="仿宋_GB2312" w:cs="DengXian-Regular"/>
          <w:sz w:val="32"/>
          <w:szCs w:val="32"/>
        </w:rPr>
        <w:t>万元，包含：电脑及计算机设备（</w:t>
      </w:r>
      <w:r>
        <w:rPr>
          <w:rFonts w:hint="default" w:ascii="仿宋_GB2312" w:eastAsia="仿宋_GB2312" w:cs="DengXian-Regular"/>
          <w:sz w:val="32"/>
          <w:szCs w:val="32"/>
          <w:lang w:val="en-US"/>
        </w:rPr>
        <w:t>0.9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打印设备</w:t>
      </w:r>
      <w:r>
        <w:rPr>
          <w:rFonts w:hint="eastAsia" w:ascii="仿宋_GB2312" w:eastAsia="仿宋_GB2312" w:cs="DengXian-Regular"/>
          <w:sz w:val="32"/>
          <w:szCs w:val="32"/>
        </w:rPr>
        <w:t>（</w:t>
      </w:r>
      <w:r>
        <w:rPr>
          <w:rFonts w:hint="default" w:ascii="仿宋_GB2312" w:eastAsia="仿宋_GB2312" w:cs="DengXian-Regular"/>
          <w:sz w:val="32"/>
          <w:szCs w:val="32"/>
          <w:lang w:val="en-US"/>
        </w:rPr>
        <w:t>0.4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视频监控设备</w:t>
      </w:r>
      <w:r>
        <w:rPr>
          <w:rFonts w:hint="eastAsia" w:ascii="仿宋_GB2312" w:eastAsia="仿宋_GB2312" w:cs="DengXian-Regular"/>
          <w:sz w:val="32"/>
          <w:szCs w:val="32"/>
        </w:rPr>
        <w:t>（</w:t>
      </w:r>
      <w:r>
        <w:rPr>
          <w:rFonts w:hint="default" w:ascii="仿宋_GB2312" w:eastAsia="仿宋_GB2312" w:cs="DengXian-Regular"/>
          <w:sz w:val="32"/>
          <w:szCs w:val="32"/>
          <w:lang w:val="en-US"/>
        </w:rPr>
        <w:t>0.2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、美的空调</w:t>
      </w:r>
      <w:r>
        <w:rPr>
          <w:rFonts w:hint="eastAsia" w:ascii="仿宋_GB2312" w:eastAsia="仿宋_GB2312" w:cs="DengXian-Regular"/>
          <w:sz w:val="32"/>
          <w:szCs w:val="32"/>
        </w:rPr>
        <w:t>（</w:t>
      </w:r>
      <w:r>
        <w:rPr>
          <w:rFonts w:hint="default" w:ascii="仿宋_GB2312" w:eastAsia="仿宋_GB2312" w:cs="DengXian-Regular"/>
          <w:sz w:val="32"/>
          <w:szCs w:val="32"/>
          <w:lang w:val="en-US"/>
        </w:rPr>
        <w:t>0.2</w:t>
      </w:r>
      <w:r>
        <w:rPr>
          <w:rFonts w:hint="eastAsia" w:ascii="仿宋_GB2312" w:eastAsia="仿宋_GB2312" w:cs="DengXian-Regular"/>
          <w:sz w:val="32"/>
          <w:szCs w:val="32"/>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5</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5</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5</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5</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5</w:t>
      </w:r>
      <w:r>
        <w:rPr>
          <w:rFonts w:hint="eastAsia" w:ascii="仿宋_GB2312" w:eastAsia="仿宋_GB2312" w:cs="DengXian-Regular"/>
          <w:sz w:val="32"/>
          <w:szCs w:val="32"/>
        </w:rPr>
        <w:t>个，绩效评价优等率为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92.75</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0</w:t>
      </w:r>
      <w:r>
        <w:rPr>
          <w:rFonts w:hint="eastAsia" w:ascii="仿宋_GB2312" w:eastAsia="仿宋_GB2312" w:cs="DengXian-Regular"/>
          <w:sz w:val="32"/>
          <w:szCs w:val="32"/>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8.86</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5</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5.66</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3.2</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提供的相关资料，区</w:t>
      </w:r>
      <w:r>
        <w:rPr>
          <w:rFonts w:hint="eastAsia" w:ascii="仿宋_GB2312" w:eastAsia="仿宋_GB2312" w:cs="DengXian-Regular"/>
          <w:sz w:val="32"/>
          <w:szCs w:val="32"/>
          <w:lang w:eastAsia="zh-CN"/>
        </w:rPr>
        <w:t>妇联</w:t>
      </w:r>
      <w:r>
        <w:rPr>
          <w:rFonts w:hint="eastAsia" w:ascii="仿宋_GB2312" w:eastAsia="仿宋_GB2312" w:cs="DengXian-Regular"/>
          <w:sz w:val="32"/>
          <w:szCs w:val="32"/>
        </w:rPr>
        <w:t>履行职责对社会发展所带来的社会效益较显著，有效的提高了社会公众</w:t>
      </w:r>
      <w:r>
        <w:rPr>
          <w:rFonts w:hint="eastAsia" w:ascii="仿宋_GB2312" w:eastAsia="仿宋_GB2312" w:cs="DengXian-Regular"/>
          <w:sz w:val="32"/>
          <w:szCs w:val="32"/>
          <w:lang w:eastAsia="zh-CN"/>
        </w:rPr>
        <w:t>妇女儿童合法权益保护</w:t>
      </w:r>
      <w:r>
        <w:rPr>
          <w:rFonts w:hint="eastAsia" w:ascii="仿宋_GB2312" w:eastAsia="仿宋_GB2312" w:cs="DengXian-Regular"/>
          <w:sz w:val="32"/>
          <w:szCs w:val="32"/>
        </w:rPr>
        <w:t>意识，减少了社会</w:t>
      </w:r>
      <w:r>
        <w:rPr>
          <w:rFonts w:hint="eastAsia" w:ascii="仿宋_GB2312" w:eastAsia="仿宋_GB2312" w:cs="DengXian-Regular"/>
          <w:sz w:val="32"/>
          <w:szCs w:val="32"/>
          <w:lang w:eastAsia="zh-CN"/>
        </w:rPr>
        <w:t>性别歧视</w:t>
      </w:r>
      <w:r>
        <w:rPr>
          <w:rFonts w:hint="eastAsia" w:ascii="仿宋_GB2312" w:eastAsia="仿宋_GB2312" w:cs="DengXian-Regular"/>
          <w:sz w:val="32"/>
          <w:szCs w:val="32"/>
        </w:rPr>
        <w:t>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庆祝三八妇女节活动</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lang w:eastAsia="zh-CN"/>
              </w:rPr>
              <w:t>对妇联庆祝六一儿童节活动</w:t>
            </w:r>
            <w:r>
              <w:rPr>
                <w:rFonts w:hint="eastAsia"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w:t>
            </w:r>
            <w:r>
              <w:rPr>
                <w:rFonts w:hint="eastAsia" w:cs="Times New Roman" w:asciiTheme="minorEastAsia" w:hAnsiTheme="minorEastAsia" w:eastAsiaTheme="minorEastAsia"/>
                <w:sz w:val="21"/>
                <w:szCs w:val="21"/>
                <w:u w:color="000000"/>
                <w:lang w:eastAsia="zh-CN"/>
              </w:rPr>
              <w:t>妇联维权工作</w:t>
            </w:r>
            <w:r>
              <w:rPr>
                <w:rFonts w:hint="eastAsia" w:cs="Times New Roman" w:asciiTheme="minorEastAsia" w:hAnsiTheme="minorEastAsia" w:eastAsiaTheme="minorEastAsia"/>
                <w:sz w:val="21"/>
                <w:szCs w:val="21"/>
                <w:u w:color="000000"/>
              </w:rPr>
              <w:t>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46</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4</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96</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98.67</w:t>
      </w:r>
      <w:r>
        <w:rPr>
          <w:rFonts w:hint="eastAsia" w:ascii="仿宋_GB2312" w:eastAsia="仿宋_GB2312" w:cs="Times New Roman" w:hAnsiTheme="minorEastAsia"/>
          <w:sz w:val="32"/>
          <w:szCs w:val="32"/>
          <w:u w:color="000000"/>
        </w:rPr>
        <w:t>分，大于90分，评价等级为“</w:t>
      </w:r>
      <w:r>
        <w:rPr>
          <w:rFonts w:hint="eastAsia" w:ascii="仿宋_GB2312" w:eastAsia="仿宋_GB2312" w:cs="Times New Roman" w:hAnsiTheme="minorEastAsia"/>
          <w:sz w:val="32"/>
          <w:szCs w:val="32"/>
          <w:u w:color="000000"/>
          <w:lang w:eastAsia="zh-CN"/>
        </w:rPr>
        <w:t>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妇联</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bookmarkEnd w:id="75"/>
    <w:bookmarkEnd w:id="76"/>
    <w:p>
      <w:pPr>
        <w:spacing w:after="0" w:line="360" w:lineRule="auto"/>
        <w:ind w:firstLine="640" w:firstLineChars="200"/>
        <w:jc w:val="both"/>
        <w:textAlignment w:val="baseline"/>
        <w:rPr>
          <w:rFonts w:hint="eastAsia" w:ascii="仿宋_GB2312" w:eastAsia="仿宋_GB2312" w:cs="DengXian-Regular"/>
          <w:sz w:val="32"/>
          <w:szCs w:val="32"/>
          <w:lang w:eastAsia="zh-CN"/>
        </w:rPr>
      </w:pPr>
      <w:bookmarkStart w:id="77" w:name="_Toc465149521"/>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，采购预算编制不够科学合理，建议加强预算编制的准确性，缩小预算数与决算数的差距。</w:t>
      </w:r>
    </w:p>
    <w:p>
      <w:pPr>
        <w:spacing w:after="0" w:line="360" w:lineRule="auto"/>
        <w:ind w:firstLine="643" w:firstLineChars="200"/>
        <w:jc w:val="both"/>
        <w:textAlignment w:val="baseline"/>
        <w:rPr>
          <w:rFonts w:hint="eastAsia" w:ascii="黑体" w:hAnsi="Arial" w:eastAsia="黑体" w:cs="Times New Roman"/>
          <w:b/>
          <w:bCs/>
          <w:kern w:val="2"/>
          <w:sz w:val="32"/>
          <w:szCs w:val="32"/>
          <w:lang w:val="en-US" w:eastAsia="zh-CN" w:bidi="ar-SA"/>
        </w:rPr>
      </w:pPr>
      <w:r>
        <w:rPr>
          <w:rFonts w:hint="eastAsia" w:ascii="黑体" w:hAnsi="Arial" w:eastAsia="黑体" w:cs="Times New Roman"/>
          <w:b/>
          <w:bCs/>
          <w:kern w:val="2"/>
          <w:sz w:val="32"/>
          <w:szCs w:val="32"/>
          <w:lang w:val="en-US" w:eastAsia="zh-CN" w:bidi="ar-SA"/>
        </w:rPr>
        <w:t>六、绩效评价意见及建议</w:t>
      </w:r>
    </w:p>
    <w:p>
      <w:pPr>
        <w:spacing w:after="0" w:line="360" w:lineRule="auto"/>
        <w:jc w:val="both"/>
        <w:textAlignment w:val="baseline"/>
        <w:rPr>
          <w:rFonts w:hint="eastAsia" w:ascii="仿宋_GB2312" w:eastAsia="仿宋_GB2312" w:cs="Times New Roman" w:hAnsiTheme="minorEastAsia"/>
          <w:sz w:val="32"/>
          <w:szCs w:val="32"/>
          <w:u w:color="000000"/>
          <w:lang w:val="en-US" w:eastAsia="zh-CN"/>
        </w:rPr>
      </w:pPr>
      <w:r>
        <w:rPr>
          <w:rFonts w:hint="default" w:ascii="仿宋_GB2312" w:eastAsia="仿宋_GB2312" w:cs="Times New Roman" w:hAnsiTheme="minorEastAsia"/>
          <w:sz w:val="32"/>
          <w:szCs w:val="32"/>
          <w:u w:color="000000"/>
          <w:lang w:val="en-US"/>
        </w:rPr>
        <w:t xml:space="preserve">    </w:t>
      </w:r>
      <w:r>
        <w:rPr>
          <w:rFonts w:hint="eastAsia" w:ascii="仿宋_GB2312" w:eastAsia="仿宋_GB2312" w:cs="Times New Roman" w:hAnsiTheme="minorEastAsia"/>
          <w:sz w:val="32"/>
          <w:szCs w:val="32"/>
          <w:u w:color="000000"/>
          <w:lang w:val="en-US" w:eastAsia="zh-CN"/>
        </w:rPr>
        <w:t>无</w:t>
      </w:r>
    </w:p>
    <w:p>
      <w:pPr>
        <w:spacing w:after="0" w:line="360" w:lineRule="auto"/>
        <w:jc w:val="both"/>
        <w:textAlignment w:val="baseline"/>
        <w:rPr>
          <w:rFonts w:hint="eastAsia" w:ascii="仿宋_GB2312" w:eastAsia="仿宋_GB2312" w:cs="Times New Roman" w:hAnsiTheme="minorEastAsia"/>
          <w:sz w:val="32"/>
          <w:szCs w:val="32"/>
          <w:u w:color="000000"/>
        </w:rPr>
      </w:pPr>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妇女联合会</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妇女联合会</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妇女联合会</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7D6482D"/>
    <w:rsid w:val="0840050B"/>
    <w:rsid w:val="086D38AF"/>
    <w:rsid w:val="08C44882"/>
    <w:rsid w:val="08C94E4D"/>
    <w:rsid w:val="0915227D"/>
    <w:rsid w:val="09164C3B"/>
    <w:rsid w:val="094B3393"/>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C81F3C"/>
    <w:rsid w:val="0EF1422C"/>
    <w:rsid w:val="0F3B23D4"/>
    <w:rsid w:val="0F3B3DD7"/>
    <w:rsid w:val="107B6AE8"/>
    <w:rsid w:val="11195DC6"/>
    <w:rsid w:val="115A70AD"/>
    <w:rsid w:val="116421D6"/>
    <w:rsid w:val="11EA1B00"/>
    <w:rsid w:val="121F5AC5"/>
    <w:rsid w:val="125037BB"/>
    <w:rsid w:val="12521250"/>
    <w:rsid w:val="12524B60"/>
    <w:rsid w:val="125B2E30"/>
    <w:rsid w:val="12A71BA2"/>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A8638D"/>
    <w:rsid w:val="1CCC12C5"/>
    <w:rsid w:val="1D1B1BAD"/>
    <w:rsid w:val="1D401A6B"/>
    <w:rsid w:val="1DCC5DA5"/>
    <w:rsid w:val="1E8A015B"/>
    <w:rsid w:val="1EA00E4A"/>
    <w:rsid w:val="1F4444F1"/>
    <w:rsid w:val="1F4F1109"/>
    <w:rsid w:val="1F6A0646"/>
    <w:rsid w:val="206A0332"/>
    <w:rsid w:val="2091595B"/>
    <w:rsid w:val="20F51AC3"/>
    <w:rsid w:val="2109112A"/>
    <w:rsid w:val="215C07B4"/>
    <w:rsid w:val="21AE6D2F"/>
    <w:rsid w:val="21C21552"/>
    <w:rsid w:val="21C3713A"/>
    <w:rsid w:val="24DA6297"/>
    <w:rsid w:val="252F3CBE"/>
    <w:rsid w:val="25586EBA"/>
    <w:rsid w:val="26694CDB"/>
    <w:rsid w:val="27821B3C"/>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B5782C"/>
    <w:rsid w:val="35F436C6"/>
    <w:rsid w:val="36037C49"/>
    <w:rsid w:val="36493186"/>
    <w:rsid w:val="36B804EA"/>
    <w:rsid w:val="371766EB"/>
    <w:rsid w:val="3728049C"/>
    <w:rsid w:val="37CD3E9A"/>
    <w:rsid w:val="37D03480"/>
    <w:rsid w:val="37D87189"/>
    <w:rsid w:val="37E87EA7"/>
    <w:rsid w:val="37F761BE"/>
    <w:rsid w:val="380B1A51"/>
    <w:rsid w:val="382056BC"/>
    <w:rsid w:val="38AB6B19"/>
    <w:rsid w:val="39035D73"/>
    <w:rsid w:val="39144BF9"/>
    <w:rsid w:val="391E6440"/>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392E99"/>
    <w:rsid w:val="418368ED"/>
    <w:rsid w:val="41B42BBE"/>
    <w:rsid w:val="425C64FC"/>
    <w:rsid w:val="4278675D"/>
    <w:rsid w:val="431F105C"/>
    <w:rsid w:val="43F003B4"/>
    <w:rsid w:val="446458DA"/>
    <w:rsid w:val="446645C4"/>
    <w:rsid w:val="44E00C2F"/>
    <w:rsid w:val="44F12828"/>
    <w:rsid w:val="453F4EE8"/>
    <w:rsid w:val="457E0C0E"/>
    <w:rsid w:val="4597523B"/>
    <w:rsid w:val="45A27895"/>
    <w:rsid w:val="4654463C"/>
    <w:rsid w:val="469D1E1F"/>
    <w:rsid w:val="4703453A"/>
    <w:rsid w:val="47401AE3"/>
    <w:rsid w:val="47847F9B"/>
    <w:rsid w:val="47B6276E"/>
    <w:rsid w:val="47D7714D"/>
    <w:rsid w:val="48CA305E"/>
    <w:rsid w:val="491D1161"/>
    <w:rsid w:val="4945471C"/>
    <w:rsid w:val="49C23604"/>
    <w:rsid w:val="4A6500D9"/>
    <w:rsid w:val="4B4D56DB"/>
    <w:rsid w:val="4B6C44FE"/>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6FF1046"/>
    <w:rsid w:val="57466A30"/>
    <w:rsid w:val="57E7750E"/>
    <w:rsid w:val="582C3304"/>
    <w:rsid w:val="583E683E"/>
    <w:rsid w:val="584263FC"/>
    <w:rsid w:val="58AA248A"/>
    <w:rsid w:val="592757C1"/>
    <w:rsid w:val="593D7078"/>
    <w:rsid w:val="5A097D45"/>
    <w:rsid w:val="5A232744"/>
    <w:rsid w:val="5A8E433F"/>
    <w:rsid w:val="5AC65DCB"/>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5F7ED2"/>
    <w:rsid w:val="609E7926"/>
    <w:rsid w:val="60CC769A"/>
    <w:rsid w:val="60F3280A"/>
    <w:rsid w:val="612B3A61"/>
    <w:rsid w:val="615A0826"/>
    <w:rsid w:val="616E5025"/>
    <w:rsid w:val="62117B48"/>
    <w:rsid w:val="6233066F"/>
    <w:rsid w:val="625714F8"/>
    <w:rsid w:val="62AF2B34"/>
    <w:rsid w:val="62D7081D"/>
    <w:rsid w:val="63687194"/>
    <w:rsid w:val="638E50BC"/>
    <w:rsid w:val="64D27A6F"/>
    <w:rsid w:val="65267F93"/>
    <w:rsid w:val="65765688"/>
    <w:rsid w:val="65A40D91"/>
    <w:rsid w:val="66F55A6B"/>
    <w:rsid w:val="67327F2E"/>
    <w:rsid w:val="674609A7"/>
    <w:rsid w:val="67465B30"/>
    <w:rsid w:val="6749705F"/>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6FC52A12"/>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 w:val="7FC74D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111111(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111111(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111111(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1111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b="1">
                <a:latin typeface="仿宋_GB2312" panose="02010609030101010101" pitchFamily="3" charset="-122"/>
                <a:ea typeface="仿宋_GB2312" panose="02010609030101010101" pitchFamily="3" charset="-122"/>
                <a:cs typeface="仿宋_GB2312" panose="02010609030101010101" pitchFamily="3" charset="-122"/>
              </a:rPr>
              <a:t>2021年度区妇联决算收入结构图</a:t>
            </a:r>
            <a:r>
              <a:rPr lang="en-US" altLang="zh-CN"/>
              <a:t>           </a:t>
            </a:r>
            <a:r>
              <a:rPr altLang="en-US" sz="800"/>
              <a:t>单位：万元</a:t>
            </a:r>
            <a:endParaRPr altLang="en-US" sz="800"/>
          </a:p>
        </c:rich>
      </c:tx>
      <c:layout/>
      <c:overlay val="0"/>
      <c:spPr>
        <a:noFill/>
        <a:ln>
          <a:noFill/>
        </a:ln>
        <a:effectLst/>
      </c:spPr>
    </c:title>
    <c:autoTitleDeleted val="0"/>
    <c:plotArea>
      <c:layout/>
      <c:pieChart>
        <c:varyColors val="1"/>
        <c:ser>
          <c:idx val="0"/>
          <c:order val="0"/>
          <c:tx>
            <c:strRef>
              <c:f>'[111111(1).xlsx]Sheet1'!$B$1</c:f>
              <c:strCache>
                <c:ptCount val="1"/>
                <c:pt idx="0">
                  <c:v>2021年决算收入结构图</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Lbls>
            <c:dLbl>
              <c:idx val="0"/>
              <c:layout>
                <c:manualLayout>
                  <c:x val="0.145955281407977"/>
                  <c:y val="0.035204060105560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79167299926334"/>
                  <c:y val="-0.01991367024112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26583424155823"/>
                  <c:y val="-0.035732962277735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815624765501916"/>
                  <c:y val="-0.018740230662767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'[111111(1).xlsx]Sheet1'!$A$2:$A$5</c:f>
              <c:strCache>
                <c:ptCount val="4"/>
                <c:pt idx="0">
                  <c:v>一般公共服务支出</c:v>
                </c:pt>
                <c:pt idx="1">
                  <c:v>社会保障和就业支出</c:v>
                </c:pt>
                <c:pt idx="2">
                  <c:v>卫生健康支出</c:v>
                </c:pt>
                <c:pt idx="3">
                  <c:v>住房保障支出</c:v>
                </c:pt>
              </c:strCache>
            </c:strRef>
          </c:cat>
          <c:val>
            <c:numRef>
              <c:f>'[111111(1).xlsx]Sheet1'!$B$2:$B$5</c:f>
              <c:numCache>
                <c:formatCode>#,##0.00</c:formatCode>
                <c:ptCount val="4"/>
                <c:pt idx="0">
                  <c:v>59.53</c:v>
                </c:pt>
                <c:pt idx="1">
                  <c:v>24.3</c:v>
                </c:pt>
                <c:pt idx="2">
                  <c:v>4.52</c:v>
                </c:pt>
                <c:pt idx="3">
                  <c:v>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2021年度区妇联预算收入与决算收入对比图</a:t>
            </a:r>
            <a:endParaRPr sz="1200"/>
          </a:p>
        </c:rich>
      </c:tx>
      <c:layout>
        <c:manualLayout>
          <c:xMode val="edge"/>
          <c:yMode val="edge"/>
          <c:x val="0.199380341880342"/>
          <c:y val="0.0140840904788946"/>
        </c:manualLayout>
      </c:layout>
      <c:overlay val="0"/>
      <c:spPr>
        <a:noFill/>
        <a:ln>
          <a:noFill/>
        </a:ln>
        <a:effectLst/>
      </c:spPr>
    </c:title>
    <c:autoTitleDeleted val="0"/>
    <c:plotArea>
      <c:layout/>
      <c:barChart>
        <c:barDir val="col"/>
        <c:grouping val="clustered"/>
        <c:varyColors val="0"/>
        <c:ser>
          <c:idx val="0"/>
          <c:order val="0"/>
          <c:tx>
            <c:strRef>
              <c:f>'[111111(1).xlsx]Sheet2'!$B$1</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'[111111(1).xlsx]Sheet2'!$A$2:$A$5</c:f>
              <c:strCache>
                <c:ptCount val="4"/>
                <c:pt idx="0">
                  <c:v>一般公共服务支出</c:v>
                </c:pt>
                <c:pt idx="1">
                  <c:v>社会保障和就业支出</c:v>
                </c:pt>
                <c:pt idx="2">
                  <c:v>卫生健康支出</c:v>
                </c:pt>
                <c:pt idx="3">
                  <c:v>住房保障支出</c:v>
                </c:pt>
              </c:strCache>
            </c:strRef>
          </c:cat>
          <c:val>
            <c:numRef>
              <c:f>'[111111(1).xlsx]Sheet2'!$B$2:$B$5</c:f>
              <c:numCache>
                <c:formatCode>General</c:formatCode>
                <c:ptCount val="4"/>
                <c:pt idx="0">
                  <c:v>66.6</c:v>
                </c:pt>
                <c:pt idx="1">
                  <c:v>22.7</c:v>
                </c:pt>
                <c:pt idx="2">
                  <c:v>4.05</c:v>
                </c:pt>
                <c:pt idx="3">
                  <c:v>2.87</c:v>
                </c:pt>
              </c:numCache>
            </c:numRef>
          </c:val>
        </c:ser>
        <c:ser>
          <c:idx val="1"/>
          <c:order val="1"/>
          <c:tx>
            <c:strRef>
              <c:f>'[111111(1).xlsx]Sheet2'!$C$1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'[111111(1).xlsx]Sheet2'!$A$2:$A$5</c:f>
              <c:strCache>
                <c:ptCount val="4"/>
                <c:pt idx="0">
                  <c:v>一般公共服务支出</c:v>
                </c:pt>
                <c:pt idx="1">
                  <c:v>社会保障和就业支出</c:v>
                </c:pt>
                <c:pt idx="2">
                  <c:v>卫生健康支出</c:v>
                </c:pt>
                <c:pt idx="3">
                  <c:v>住房保障支出</c:v>
                </c:pt>
              </c:strCache>
            </c:strRef>
          </c:cat>
          <c:val>
            <c:numRef>
              <c:f>'[111111(1).xlsx]Sheet2'!$C$2:$C$5</c:f>
              <c:numCache>
                <c:formatCode>General</c:formatCode>
                <c:ptCount val="4"/>
                <c:pt idx="0">
                  <c:v>59.53</c:v>
                </c:pt>
                <c:pt idx="1">
                  <c:v>24.3</c:v>
                </c:pt>
                <c:pt idx="2">
                  <c:v>4.52</c:v>
                </c:pt>
                <c:pt idx="3">
                  <c:v>4.4</c:v>
                </c:pt>
              </c:numCache>
            </c:numRef>
          </c:val>
        </c:ser>
        <c:dLbls>
          <c:showLegendKey val="0"/>
          <c:showVal val="1"/>
          <c:showCatName val="0"/>
          <c:showSerName val="0"/>
          <c:showPercent val="0"/>
          <c:showBubbleSize val="0"/>
        </c:dLbls>
        <c:gapWidth val="219"/>
        <c:overlap val="-27"/>
        <c:axId val="898096591"/>
        <c:axId val="503433264"/>
      </c:barChart>
      <c:catAx>
        <c:axId val="8980965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433264"/>
        <c:crosses val="autoZero"/>
        <c:auto val="1"/>
        <c:lblAlgn val="ctr"/>
        <c:lblOffset val="100"/>
        <c:noMultiLvlLbl val="0"/>
      </c:catAx>
      <c:valAx>
        <c:axId val="50343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09659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2021年度妇联决算支出结构图</a:t>
            </a:r>
          </a:p>
        </c:rich>
      </c:tx>
      <c:layout/>
      <c:overlay val="0"/>
      <c:spPr>
        <a:noFill/>
        <a:ln>
          <a:noFill/>
        </a:ln>
        <a:effectLst/>
      </c:spPr>
    </c:title>
    <c:autoTitleDeleted val="0"/>
    <c:plotArea>
      <c:layout/>
      <c:pieChart>
        <c:varyColors val="1"/>
        <c:ser>
          <c:idx val="0"/>
          <c:order val="0"/>
          <c:tx>
            <c:strRef>
              <c:f>'[111111(1).xlsx]Sheet3'!$B$1</c:f>
              <c:strCache>
                <c:ptCount val="1"/>
                <c:pt idx="0">
                  <c:v>2021年决算支出结构图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63551377492696"/>
                  <c:y val="-0.034791068156856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18340582781525"/>
                  <c:y val="-0.00483058598007944"/>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569138601229342"/>
                  <c:y val="-0.0084735866966974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723785930255868"/>
                  <c:y val="0.00088041693965919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'[111111(1).xlsx]Sheet3'!$A$2:$A$5</c:f>
              <c:strCache>
                <c:ptCount val="4"/>
                <c:pt idx="0">
                  <c:v>一般公共服务支出</c:v>
                </c:pt>
                <c:pt idx="1">
                  <c:v>社会保障和就业支出</c:v>
                </c:pt>
                <c:pt idx="2">
                  <c:v>卫生健康支出</c:v>
                </c:pt>
                <c:pt idx="3">
                  <c:v>住房保障支出</c:v>
                </c:pt>
              </c:strCache>
            </c:strRef>
          </c:cat>
          <c:val>
            <c:numRef>
              <c:f>'[111111(1).xlsx]Sheet3'!$B$2:$B$5</c:f>
              <c:numCache>
                <c:formatCode>#,##0.00</c:formatCode>
                <c:ptCount val="4"/>
                <c:pt idx="0">
                  <c:v>63.73</c:v>
                </c:pt>
                <c:pt idx="1">
                  <c:v>31.98</c:v>
                </c:pt>
                <c:pt idx="2">
                  <c:v>4.52</c:v>
                </c:pt>
                <c:pt idx="3">
                  <c:v>4.4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2021年度区妇联预算支出与决算对比图</a:t>
            </a:r>
            <a:endParaRPr sz="1200"/>
          </a:p>
        </c:rich>
      </c:tx>
      <c:layout>
        <c:manualLayout>
          <c:xMode val="edge"/>
          <c:yMode val="edge"/>
          <c:x val="0.143611111111111"/>
          <c:y val="0.0243055555555556"/>
        </c:manualLayout>
      </c:layout>
      <c:overlay val="0"/>
      <c:spPr>
        <a:noFill/>
        <a:ln>
          <a:noFill/>
        </a:ln>
        <a:effectLst/>
      </c:spPr>
    </c:title>
    <c:autoTitleDeleted val="0"/>
    <c:plotArea>
      <c:layout/>
      <c:barChart>
        <c:barDir val="col"/>
        <c:grouping val="clustered"/>
        <c:varyColors val="0"/>
        <c:ser>
          <c:idx val="0"/>
          <c:order val="0"/>
          <c:tx>
            <c:strRef>
              <c:f>'[111111(1).xlsx]Sheet4'!$B$1</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'[111111(1).xlsx]Sheet4'!$A$2:$A$5</c:f>
              <c:strCache>
                <c:ptCount val="4"/>
                <c:pt idx="0">
                  <c:v>一般公共服务支出</c:v>
                </c:pt>
                <c:pt idx="1">
                  <c:v>社会保障和就业支出</c:v>
                </c:pt>
                <c:pt idx="2">
                  <c:v>卫生健康支出</c:v>
                </c:pt>
                <c:pt idx="3">
                  <c:v>住房保障支出</c:v>
                </c:pt>
              </c:strCache>
            </c:strRef>
          </c:cat>
          <c:val>
            <c:numRef>
              <c:f>'[111111(1).xlsx]Sheet4'!$B$2:$B$5</c:f>
              <c:numCache>
                <c:formatCode>General</c:formatCode>
                <c:ptCount val="4"/>
                <c:pt idx="0">
                  <c:v>66.6</c:v>
                </c:pt>
                <c:pt idx="1">
                  <c:v>22.7</c:v>
                </c:pt>
                <c:pt idx="2">
                  <c:v>4.05</c:v>
                </c:pt>
                <c:pt idx="3">
                  <c:v>2.87</c:v>
                </c:pt>
              </c:numCache>
            </c:numRef>
          </c:val>
        </c:ser>
        <c:ser>
          <c:idx val="1"/>
          <c:order val="1"/>
          <c:tx>
            <c:strRef>
              <c:f>'[111111(1).xlsx]Sheet4'!$C$1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'[111111(1).xlsx]Sheet4'!$A$2:$A$5</c:f>
              <c:strCache>
                <c:ptCount val="4"/>
                <c:pt idx="0">
                  <c:v>一般公共服务支出</c:v>
                </c:pt>
                <c:pt idx="1">
                  <c:v>社会保障和就业支出</c:v>
                </c:pt>
                <c:pt idx="2">
                  <c:v>卫生健康支出</c:v>
                </c:pt>
                <c:pt idx="3">
                  <c:v>住房保障支出</c:v>
                </c:pt>
              </c:strCache>
            </c:strRef>
          </c:cat>
          <c:val>
            <c:numRef>
              <c:f>'[111111(1).xlsx]Sheet4'!$C$2:$C$5</c:f>
              <c:numCache>
                <c:formatCode>General</c:formatCode>
                <c:ptCount val="4"/>
                <c:pt idx="0">
                  <c:v>63.73</c:v>
                </c:pt>
                <c:pt idx="1">
                  <c:v>31.98</c:v>
                </c:pt>
                <c:pt idx="2">
                  <c:v>4.52</c:v>
                </c:pt>
                <c:pt idx="3">
                  <c:v>4.4</c:v>
                </c:pt>
              </c:numCache>
            </c:numRef>
          </c:val>
        </c:ser>
        <c:dLbls>
          <c:showLegendKey val="0"/>
          <c:showVal val="1"/>
          <c:showCatName val="0"/>
          <c:showSerName val="0"/>
          <c:showPercent val="0"/>
          <c:showBubbleSize val="0"/>
        </c:dLbls>
        <c:gapWidth val="219"/>
        <c:overlap val="-27"/>
        <c:axId val="898096591"/>
        <c:axId val="503433264"/>
      </c:barChart>
      <c:catAx>
        <c:axId val="8980965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433264"/>
        <c:crosses val="autoZero"/>
        <c:auto val="1"/>
        <c:lblAlgn val="ctr"/>
        <c:lblOffset val="100"/>
        <c:noMultiLvlLbl val="0"/>
      </c:catAx>
      <c:valAx>
        <c:axId val="50343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09659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2156</Words>
  <Characters>12293</Characters>
  <Lines>102</Lines>
  <Paragraphs>28</Paragraphs>
  <TotalTime>3</TotalTime>
  <ScaleCrop>false</ScaleCrop>
  <LinksUpToDate>false</LinksUpToDate>
  <CharactersWithSpaces>14421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2022-11-21T02:19:00Z</cp:lastPrinted>
  <dcterms:modified xsi:type="dcterms:W3CDTF">2025-05-12T08:19:15Z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7E7588654FC244E380CF99C244D2BB12</vt:lpwstr>
  </property>
</Properties>
</file>