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保定市徐水区委党校</w:t>
      </w:r>
    </w:p>
    <w:p>
      <w:pPr>
        <w:spacing w:line="360" w:lineRule="auto"/>
        <w:jc w:val="center"/>
        <w:rPr>
          <w:rFonts w:ascii="宋体" w:hAnsi="宋体" w:eastAsia="宋体"/>
          <w:b/>
          <w:sz w:val="44"/>
          <w:szCs w:val="44"/>
        </w:rPr>
      </w:pPr>
      <w:r>
        <w:rPr>
          <w:rFonts w:ascii="宋体" w:hAnsi="宋体" w:eastAsia="宋体"/>
          <w:b/>
          <w:sz w:val="44"/>
          <w:szCs w:val="44"/>
        </w:rPr>
        <w:t>2022年部门预算公开说明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widowControl/>
        <w:ind w:firstLine="560" w:firstLineChars="200"/>
        <w:rPr>
          <w:rFonts w:ascii="仿宋" w:hAnsi="仿宋" w:eastAsia="仿宋"/>
          <w:sz w:val="28"/>
        </w:rPr>
      </w:pPr>
      <w:r>
        <w:rPr>
          <w:rFonts w:hint="eastAsia" w:ascii="仿宋" w:hAnsi="仿宋" w:eastAsia="仿宋" w:cs="微软雅黑"/>
          <w:sz w:val="28"/>
        </w:rPr>
        <w:t>根据《中共保定市徐水区委党校职能配置、内设机构和人员编制规定》，</w:t>
      </w:r>
      <w:r>
        <w:rPr>
          <w:rFonts w:ascii="仿宋" w:hAnsi="仿宋" w:eastAsia="仿宋" w:cs="微软雅黑"/>
          <w:sz w:val="28"/>
        </w:rPr>
        <w:t xml:space="preserve"> 中共保定市徐水区委党校的主要职责是：</w:t>
      </w:r>
      <w:r>
        <w:rPr>
          <w:rFonts w:hint="eastAsia" w:ascii="仿宋" w:hAnsi="仿宋" w:eastAsia="仿宋" w:cs="微软雅黑"/>
          <w:sz w:val="28"/>
        </w:rPr>
        <w:t>根据党中央、省市和区委关于建设高素质干部队伍的要求，有计划地培训、轮训党员领导干部和宣传骨干；结合全区经济社会发展实际，以研讨中央重大理论和方针、政策问题为目的，举办各种专题研讨班</w:t>
      </w:r>
      <w:r>
        <w:rPr>
          <w:rFonts w:ascii="仿宋" w:hAnsi="仿宋" w:eastAsia="仿宋"/>
          <w:sz w:val="28"/>
        </w:rPr>
        <w:t>;</w:t>
      </w:r>
      <w:r>
        <w:rPr>
          <w:rFonts w:hint="eastAsia" w:ascii="仿宋" w:hAnsi="仿宋" w:eastAsia="仿宋" w:cs="微软雅黑"/>
          <w:sz w:val="28"/>
        </w:rPr>
        <w:t>利用教学资源进行干部短期培训。开展对马克思主义中国化最新成果、全区重大现实问题及战略问题的研究，为推进党的理论创新服务，为区委、区政府及有关部门决策咨询服务。</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中共保定市徐水区委党校</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2022年预算收入为</w:t>
      </w:r>
      <w:r>
        <w:rPr>
          <w:rFonts w:hint="eastAsia" w:ascii="仿宋" w:hAnsi="仿宋" w:eastAsia="仿宋"/>
          <w:sz w:val="32"/>
          <w:szCs w:val="32"/>
        </w:rPr>
        <w:t>465.88</w:t>
      </w:r>
      <w:r>
        <w:rPr>
          <w:rFonts w:ascii="仿宋" w:hAnsi="仿宋" w:eastAsia="仿宋"/>
          <w:sz w:val="32"/>
          <w:szCs w:val="32"/>
        </w:rPr>
        <w:t>万元,其中：一般公共预算收入</w:t>
      </w:r>
      <w:r>
        <w:rPr>
          <w:rFonts w:hint="eastAsia" w:ascii="仿宋" w:hAnsi="仿宋" w:eastAsia="仿宋"/>
          <w:sz w:val="32"/>
          <w:szCs w:val="32"/>
        </w:rPr>
        <w:t>465.88</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2022年部门支出预算：</w:t>
      </w:r>
      <w:r>
        <w:rPr>
          <w:rFonts w:hint="eastAsia" w:ascii="仿宋" w:hAnsi="仿宋" w:eastAsia="仿宋"/>
          <w:sz w:val="32"/>
          <w:szCs w:val="32"/>
        </w:rPr>
        <w:t>465.88</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基本支出465.88万元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432.56</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33.31</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0</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本年度预算收支安排465.88万元，较上年</w:t>
      </w:r>
      <w:r>
        <w:rPr>
          <w:rFonts w:ascii="仿宋" w:hAnsi="仿宋" w:eastAsia="仿宋"/>
          <w:sz w:val="32"/>
          <w:szCs w:val="32"/>
        </w:rPr>
        <w:t>减少</w:t>
      </w:r>
      <w:r>
        <w:rPr>
          <w:rFonts w:hint="eastAsia" w:ascii="仿宋" w:hAnsi="仿宋" w:eastAsia="仿宋"/>
          <w:sz w:val="32"/>
          <w:szCs w:val="32"/>
        </w:rPr>
        <w:t>1507.25</w:t>
      </w:r>
      <w:r>
        <w:rPr>
          <w:rFonts w:ascii="仿宋" w:hAnsi="仿宋" w:eastAsia="仿宋"/>
          <w:sz w:val="32"/>
          <w:szCs w:val="32"/>
        </w:rPr>
        <w:t>万元。其中:基本支出增加</w:t>
      </w:r>
      <w:r>
        <w:rPr>
          <w:rFonts w:hint="eastAsia" w:ascii="仿宋" w:hAnsi="仿宋" w:eastAsia="仿宋"/>
          <w:sz w:val="32"/>
          <w:szCs w:val="32"/>
        </w:rPr>
        <w:t>172.21</w:t>
      </w:r>
      <w:r>
        <w:rPr>
          <w:rFonts w:ascii="仿宋" w:hAnsi="仿宋" w:eastAsia="仿宋"/>
          <w:sz w:val="32"/>
          <w:szCs w:val="32"/>
        </w:rPr>
        <w:t>万元，主要原因是</w:t>
      </w:r>
      <w:r>
        <w:rPr>
          <w:rFonts w:hint="eastAsia" w:ascii="仿宋" w:hAnsi="仿宋" w:eastAsia="仿宋"/>
          <w:sz w:val="32"/>
          <w:szCs w:val="32"/>
        </w:rPr>
        <w:t>2021年增加5人，人员经费预算增加</w:t>
      </w:r>
      <w:r>
        <w:rPr>
          <w:rFonts w:ascii="仿宋" w:hAnsi="仿宋" w:eastAsia="仿宋"/>
          <w:sz w:val="32"/>
          <w:szCs w:val="32"/>
        </w:rPr>
        <w:t>；项目支出减少</w:t>
      </w:r>
      <w:r>
        <w:rPr>
          <w:rFonts w:hint="eastAsia" w:ascii="仿宋" w:hAnsi="仿宋" w:eastAsia="仿宋"/>
          <w:sz w:val="32"/>
          <w:szCs w:val="32"/>
        </w:rPr>
        <w:t>1674.66</w:t>
      </w:r>
      <w:r>
        <w:rPr>
          <w:rFonts w:ascii="仿宋" w:hAnsi="仿宋" w:eastAsia="仿宋"/>
          <w:sz w:val="32"/>
          <w:szCs w:val="32"/>
        </w:rPr>
        <w:t>万元，主要原因是</w:t>
      </w:r>
      <w:r>
        <w:rPr>
          <w:rFonts w:hint="eastAsia" w:ascii="仿宋" w:hAnsi="仿宋" w:eastAsia="仿宋"/>
          <w:sz w:val="32"/>
          <w:szCs w:val="32"/>
        </w:rPr>
        <w:t>党校培训中心项目未列入年初预算</w:t>
      </w:r>
      <w:r>
        <w:rPr>
          <w:rFonts w:ascii="仿宋" w:hAnsi="仿宋" w:eastAsia="仿宋"/>
          <w:sz w:val="32"/>
          <w:szCs w:val="32"/>
        </w:rPr>
        <w:t>。</w:t>
      </w: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sz w:val="32"/>
          <w:szCs w:val="32"/>
        </w:rPr>
      </w:pPr>
      <w:r>
        <w:rPr>
          <w:rFonts w:ascii="仿宋" w:hAnsi="仿宋" w:eastAsia="仿宋"/>
          <w:sz w:val="32"/>
          <w:szCs w:val="32"/>
        </w:rPr>
        <w:t>2022年我部门机关运行经费安排</w:t>
      </w:r>
      <w:r>
        <w:rPr>
          <w:rFonts w:hint="eastAsia" w:ascii="仿宋" w:hAnsi="仿宋" w:eastAsia="仿宋"/>
          <w:sz w:val="32"/>
          <w:szCs w:val="32"/>
        </w:rPr>
        <w:t>33.31</w:t>
      </w:r>
      <w:r>
        <w:rPr>
          <w:rFonts w:ascii="仿宋" w:hAnsi="仿宋" w:eastAsia="仿宋"/>
          <w:sz w:val="32"/>
          <w:szCs w:val="32"/>
        </w:rPr>
        <w:t>万元，其中办公费</w:t>
      </w:r>
      <w:r>
        <w:rPr>
          <w:rFonts w:hint="eastAsia" w:ascii="仿宋" w:hAnsi="仿宋" w:eastAsia="仿宋"/>
          <w:sz w:val="32"/>
          <w:szCs w:val="32"/>
          <w:lang w:val="en-US" w:eastAsia="zh-CN"/>
        </w:rPr>
        <w:t>9.82</w:t>
      </w:r>
      <w:r>
        <w:rPr>
          <w:rFonts w:ascii="仿宋" w:hAnsi="仿宋" w:eastAsia="仿宋"/>
          <w:sz w:val="32"/>
          <w:szCs w:val="32"/>
        </w:rPr>
        <w:t>万元，邮电费</w:t>
      </w:r>
      <w:r>
        <w:rPr>
          <w:rFonts w:hint="eastAsia" w:ascii="仿宋" w:hAnsi="仿宋" w:eastAsia="仿宋"/>
          <w:sz w:val="32"/>
          <w:szCs w:val="32"/>
        </w:rPr>
        <w:t>4.02</w:t>
      </w:r>
      <w:r>
        <w:rPr>
          <w:rFonts w:ascii="仿宋" w:hAnsi="仿宋" w:eastAsia="仿宋"/>
          <w:sz w:val="32"/>
          <w:szCs w:val="32"/>
        </w:rPr>
        <w:t>万元，工会经费、福利费</w:t>
      </w:r>
      <w:r>
        <w:rPr>
          <w:rFonts w:hint="eastAsia" w:ascii="仿宋" w:hAnsi="仿宋" w:eastAsia="仿宋"/>
          <w:sz w:val="32"/>
          <w:szCs w:val="32"/>
          <w:lang w:val="en-US" w:eastAsia="zh-CN"/>
        </w:rPr>
        <w:t>4.74</w:t>
      </w:r>
      <w:r>
        <w:rPr>
          <w:rFonts w:ascii="仿宋" w:hAnsi="仿宋" w:eastAsia="仿宋"/>
          <w:sz w:val="32"/>
          <w:szCs w:val="32"/>
        </w:rPr>
        <w:t>万元，公务用车运行维护费</w:t>
      </w:r>
      <w:r>
        <w:rPr>
          <w:rFonts w:hint="eastAsia" w:ascii="仿宋" w:hAnsi="仿宋" w:eastAsia="仿宋"/>
          <w:sz w:val="32"/>
          <w:szCs w:val="32"/>
        </w:rPr>
        <w:t>2.43</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lang w:val="en-US" w:eastAsia="zh-CN"/>
        </w:rPr>
        <w:t>12.31</w:t>
      </w:r>
      <w:r>
        <w:rPr>
          <w:rFonts w:ascii="仿宋" w:hAnsi="仿宋" w:eastAsia="仿宋"/>
          <w:sz w:val="32"/>
          <w:szCs w:val="32"/>
        </w:rPr>
        <w:t>万元。</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hint="eastAsia" w:ascii="方正小标宋_GBK" w:eastAsia="方正小标宋_GBK"/>
          <w:sz w:val="44"/>
          <w:lang w:eastAsia="zh-CN"/>
        </w:rPr>
      </w:pPr>
      <w:r>
        <w:rPr>
          <w:rFonts w:hint="eastAsia" w:ascii="方正小标宋_GBK" w:eastAsia="方正小标宋_GBK"/>
          <w:sz w:val="44"/>
        </w:rPr>
        <w:t>第四部分：财政拨款“三公”经费预算情况及增减变化原</w:t>
      </w:r>
      <w:r>
        <w:rPr>
          <w:rFonts w:hint="eastAsia" w:ascii="方正小标宋_GBK" w:eastAsia="方正小标宋_GBK"/>
          <w:sz w:val="44"/>
          <w:lang w:val="en-US" w:eastAsia="zh-CN"/>
        </w:rPr>
        <w:t>由</w:t>
      </w:r>
    </w:p>
    <w:tbl>
      <w:tblPr>
        <w:tblStyle w:val="5"/>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24"/>
                      <w:szCs w:val="24"/>
                      <w:lang w:eastAsia="zh-CN"/>
                    </w:rPr>
                  </w:pPr>
                  <w:r>
                    <w:rPr>
                      <w:rFonts w:hint="eastAsia" w:ascii="仿宋_GB2312" w:hAnsi="宋体" w:eastAsia="仿宋_GB2312" w:cs="宋体"/>
                      <w:b/>
                      <w:kern w:val="0"/>
                      <w:sz w:val="24"/>
                      <w:szCs w:val="24"/>
                    </w:rPr>
                    <w:t>变化原</w:t>
                  </w:r>
                  <w:r>
                    <w:rPr>
                      <w:rFonts w:hint="eastAsia" w:ascii="仿宋_GB2312" w:hAnsi="宋体" w:eastAsia="仿宋_GB2312" w:cs="宋体"/>
                      <w:b/>
                      <w:kern w:val="0"/>
                      <w:sz w:val="24"/>
                      <w:szCs w:val="24"/>
                      <w:lang w:val="en-US" w:eastAsia="zh-CN"/>
                    </w:rPr>
                    <w:t>由</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lang w:val="en-US" w:eastAsia="zh-CN"/>
                    </w:rPr>
                    <w:t>-</w:t>
                  </w:r>
                  <w:r>
                    <w:rPr>
                      <w:rFonts w:hint="eastAsia" w:ascii="仿宋_GB2312" w:hAnsi="宋体" w:eastAsia="仿宋_GB2312" w:cs="宋体"/>
                      <w:color w:val="FF0000"/>
                      <w:kern w:val="0"/>
                      <w:sz w:val="24"/>
                      <w:szCs w:val="24"/>
                    </w:rPr>
                    <w:t>0.57</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厉行节约，压减经费预算</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bookmarkStart w:id="4" w:name="_GoBack"/>
                  <w:bookmarkEnd w:id="4"/>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lang w:val="en-US" w:eastAsia="zh-CN"/>
                    </w:rPr>
                    <w:t>-</w:t>
                  </w:r>
                  <w:r>
                    <w:rPr>
                      <w:rFonts w:hint="eastAsia" w:ascii="仿宋_GB2312" w:hAnsi="宋体" w:eastAsia="仿宋_GB2312" w:cs="宋体"/>
                      <w:color w:val="FF0000"/>
                      <w:kern w:val="0"/>
                      <w:sz w:val="24"/>
                      <w:szCs w:val="24"/>
                    </w:rPr>
                    <w:t>0.57</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厉行节约，压减经费预算</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10"/>
      </w:pPr>
      <w:r>
        <w:t xml:space="preserve">2022年，区委党校将根据区委关于建设高素质干部队伍的要求，有计划地培训、轮训党员领导干部和宣传骨干；结合全区经济社会发展实际，以研讨中央重大理论和方针、政策问题为目的，举办各种专题研讨班;利用教学资源进行干部短期培训。加强阵地建设，做好校园安保工作，建设党校培训中心项目。 </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11"/>
      </w:pPr>
      <w:r>
        <w:t>（一）培训教育。利用教学资源进行干部短期培训，轮训党员领导干部和宣传骨干；结合全区经济社会发展实际，以研讨中央重大理论和方针、政策问题为目的，举办专题研讨班。</w:t>
      </w:r>
    </w:p>
    <w:p>
      <w:pPr>
        <w:pStyle w:val="11"/>
      </w:pPr>
      <w:r>
        <w:t>（二）校园安全保卫。通过指导、协调和督导保定建安保安公司，预防减少不稳定因素的发生，有效化解不稳定隐患、群体性事件和突发事件，保障公有财产安全，维护正常教学秩序。</w:t>
      </w:r>
    </w:p>
    <w:p>
      <w:pPr>
        <w:pStyle w:val="11"/>
      </w:pPr>
      <w:r>
        <w:t>（三）推进党校培训中心项目建设。主体建设按进度要求施工。</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2"/>
      </w:pPr>
      <w:r>
        <w:t>为充</w:t>
      </w:r>
      <w:r>
        <w:rPr>
          <w:rFonts w:hint="eastAsia"/>
          <w:lang w:val="en-US" w:eastAsia="zh-CN"/>
        </w:rPr>
        <w:t>分</w:t>
      </w:r>
      <w:r>
        <w:t>履行我单位部门职责，年初绩效目标要求，采取下列几项措施.</w:t>
      </w:r>
    </w:p>
    <w:p>
      <w:pPr>
        <w:pStyle w:val="12"/>
      </w:pPr>
      <w:r>
        <w:t>一、加强教育培训力度。通过外请专家学者授课，开拓学员思路；通过现场教学、情景教学、案例教学，有效提高培训质量，提高学员解决实际问题的能力。结合全区经济社会发展实际，举办各种专题培训、研讨班。</w:t>
      </w:r>
    </w:p>
    <w:p>
      <w:pPr>
        <w:pStyle w:val="12"/>
      </w:pPr>
      <w:r>
        <w:t>二、完善制度建设，成立一把手任组长的项目领导小组，对项目进行全面管理，按季度对项目进度情况进行调度。</w:t>
      </w:r>
    </w:p>
    <w:p>
      <w:pPr>
        <w:pStyle w:val="12"/>
      </w:pPr>
      <w:r>
        <w:t>三、加强绩效运行监控。按绩效运行要求，对工程项目进行全程监管。</w:t>
      </w:r>
    </w:p>
    <w:p>
      <w:pPr>
        <w:pStyle w:val="12"/>
      </w:pPr>
      <w:r>
        <w:t>四、做好绩效自评工作。年末组织干部职工，部分群众进行满意度测评，确保项目运行效果。</w:t>
      </w:r>
    </w:p>
    <w:p>
      <w:pPr>
        <w:pStyle w:val="12"/>
      </w:pPr>
      <w:r>
        <w:t>五、规范财务资产管理。规范财务支出管理，确保资产管理规范。</w:t>
      </w:r>
    </w:p>
    <w:p>
      <w:pPr>
        <w:pStyle w:val="12"/>
      </w:pPr>
      <w:r>
        <w:t>六、加强内部监控。加强内部监督制度建设，对绩效运行情况、重大支出决策进行监督，对会计资料进行内部审计，并配合做好审计、财政监督等外部监督工作，确保财政资金安全有效。</w:t>
      </w: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2</w:t>
      </w:r>
      <w:r>
        <w:rPr>
          <w:rFonts w:ascii="仿宋" w:hAnsi="仿宋" w:eastAsia="仿宋"/>
          <w:sz w:val="32"/>
          <w:szCs w:val="32"/>
        </w:rPr>
        <w:t>年，我部门无政府采购预算，空表列示。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附部门政府采购预算表空表。</w:t>
      </w:r>
    </w:p>
    <w:p>
      <w:pPr>
        <w:jc w:val="center"/>
        <w:outlineLvl w:val="1"/>
        <w:rPr>
          <w:rFonts w:ascii="Times New Roman" w:hAnsi="宋体" w:eastAsia="宋体"/>
          <w:sz w:val="32"/>
        </w:rPr>
      </w:pPr>
      <w:bookmarkStart w:id="3" w:name="_Toc69809617"/>
      <w:r>
        <w:rPr>
          <w:rFonts w:ascii="方正小标宋_GBK" w:eastAsia="方正小标宋_GBK"/>
          <w:sz w:val="32"/>
        </w:rPr>
        <w:t>部门政府采购预算</w:t>
      </w:r>
      <w:bookmarkEnd w:id="3"/>
    </w:p>
    <w:tbl>
      <w:tblPr>
        <w:tblStyle w:val="5"/>
        <w:tblW w:w="102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6"/>
        <w:gridCol w:w="567"/>
        <w:gridCol w:w="15"/>
        <w:gridCol w:w="694"/>
        <w:gridCol w:w="992"/>
        <w:gridCol w:w="709"/>
        <w:gridCol w:w="851"/>
        <w:gridCol w:w="850"/>
        <w:gridCol w:w="851"/>
        <w:gridCol w:w="850"/>
        <w:gridCol w:w="709"/>
        <w:gridCol w:w="1134"/>
        <w:gridCol w:w="709"/>
        <w:gridCol w:w="5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67" w:type="dxa"/>
          <w:cantSplit/>
          <w:tblHeader/>
          <w:jc w:val="center"/>
        </w:trPr>
        <w:tc>
          <w:tcPr>
            <w:tcW w:w="5384" w:type="dxa"/>
            <w:gridSpan w:val="8"/>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p>
        </w:tc>
        <w:tc>
          <w:tcPr>
            <w:tcW w:w="4253" w:type="dxa"/>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67" w:type="dxa"/>
          <w:cantSplit/>
          <w:trHeight w:val="631" w:hRule="atLeast"/>
          <w:tblHeader/>
          <w:jc w:val="center"/>
        </w:trPr>
        <w:tc>
          <w:tcPr>
            <w:tcW w:w="1273"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709"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992"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85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850"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4253" w:type="dxa"/>
            <w:gridSpan w:val="5"/>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06"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582"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694" w:type="dxa"/>
            <w:shd w:val="clear" w:color="auto" w:fill="auto"/>
            <w:vAlign w:val="center"/>
          </w:tcPr>
          <w:p>
            <w:pPr>
              <w:spacing w:line="300" w:lineRule="exact"/>
              <w:jc w:val="left"/>
              <w:outlineLvl w:val="1"/>
              <w:rPr>
                <w:rFonts w:ascii="Times New Roman" w:eastAsia="方正仿宋_GBK"/>
                <w:sz w:val="28"/>
              </w:rPr>
            </w:pPr>
          </w:p>
        </w:tc>
        <w:tc>
          <w:tcPr>
            <w:tcW w:w="992" w:type="dxa"/>
            <w:vMerge w:val="continue"/>
            <w:shd w:val="clear" w:color="auto" w:fill="auto"/>
            <w:vAlign w:val="center"/>
          </w:tcPr>
          <w:p>
            <w:pPr>
              <w:spacing w:line="300" w:lineRule="exact"/>
              <w:jc w:val="left"/>
              <w:outlineLvl w:val="1"/>
              <w:rPr>
                <w:rFonts w:ascii="Times New Roman" w:eastAsia="方正仿宋_GBK"/>
                <w:sz w:val="28"/>
              </w:rPr>
            </w:pPr>
          </w:p>
        </w:tc>
        <w:tc>
          <w:tcPr>
            <w:tcW w:w="709" w:type="dxa"/>
            <w:vMerge w:val="continue"/>
            <w:shd w:val="clear" w:color="auto" w:fill="auto"/>
            <w:vAlign w:val="center"/>
          </w:tcPr>
          <w:p>
            <w:pPr>
              <w:spacing w:line="300" w:lineRule="exact"/>
              <w:jc w:val="left"/>
              <w:outlineLvl w:val="1"/>
              <w:rPr>
                <w:rFonts w:ascii="Times New Roman" w:eastAsia="方正仿宋_GBK"/>
                <w:sz w:val="28"/>
              </w:rPr>
            </w:pPr>
          </w:p>
        </w:tc>
        <w:tc>
          <w:tcPr>
            <w:tcW w:w="851" w:type="dxa"/>
            <w:vMerge w:val="continue"/>
            <w:shd w:val="clear" w:color="auto" w:fill="auto"/>
            <w:vAlign w:val="center"/>
          </w:tcPr>
          <w:p>
            <w:pPr>
              <w:spacing w:line="300" w:lineRule="exact"/>
              <w:jc w:val="left"/>
              <w:outlineLvl w:val="1"/>
              <w:rPr>
                <w:rFonts w:ascii="Times New Roman" w:eastAsia="方正仿宋_GBK"/>
                <w:sz w:val="28"/>
              </w:rPr>
            </w:pPr>
          </w:p>
        </w:tc>
        <w:tc>
          <w:tcPr>
            <w:tcW w:w="850" w:type="dxa"/>
            <w:vMerge w:val="continue"/>
            <w:shd w:val="clear" w:color="auto" w:fill="auto"/>
            <w:vAlign w:val="center"/>
          </w:tcPr>
          <w:p>
            <w:pPr>
              <w:spacing w:line="300" w:lineRule="exact"/>
              <w:jc w:val="left"/>
              <w:outlineLvl w:val="1"/>
              <w:rPr>
                <w:rFonts w:ascii="Times New Roman" w:eastAsia="方正仿宋_GBK"/>
                <w:sz w:val="28"/>
              </w:rPr>
            </w:pPr>
          </w:p>
        </w:tc>
        <w:tc>
          <w:tcPr>
            <w:tcW w:w="851"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850"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709"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709"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567" w:type="dxa"/>
            <w:shd w:val="clear" w:color="auto" w:fill="auto"/>
            <w:vAlign w:val="center"/>
          </w:tcPr>
          <w:p>
            <w:pPr>
              <w:spacing w:line="300" w:lineRule="exact"/>
              <w:jc w:val="center"/>
              <w:rPr>
                <w:rFonts w:ascii="方正书宋_GBK" w:eastAsia="方正书宋_GBK"/>
                <w:b/>
              </w:rPr>
            </w:pPr>
            <w:r>
              <w:rPr>
                <w:rFonts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06"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582" w:type="dxa"/>
            <w:gridSpan w:val="2"/>
            <w:shd w:val="clear" w:color="auto" w:fill="auto"/>
            <w:vAlign w:val="center"/>
          </w:tcPr>
          <w:p>
            <w:pPr>
              <w:spacing w:line="300" w:lineRule="exact"/>
              <w:jc w:val="right"/>
              <w:rPr>
                <w:rFonts w:ascii="方正书宋_GBK" w:eastAsia="方正书宋_GBK"/>
                <w:b/>
              </w:rPr>
            </w:pPr>
          </w:p>
        </w:tc>
        <w:tc>
          <w:tcPr>
            <w:tcW w:w="694" w:type="dxa"/>
            <w:shd w:val="clear" w:color="auto" w:fill="auto"/>
            <w:vAlign w:val="center"/>
          </w:tcPr>
          <w:p>
            <w:pPr>
              <w:spacing w:line="300" w:lineRule="exact"/>
              <w:jc w:val="left"/>
              <w:rPr>
                <w:rFonts w:ascii="方正书宋_GBK" w:eastAsia="方正书宋_GBK"/>
                <w:b/>
              </w:rPr>
            </w:pPr>
          </w:p>
        </w:tc>
        <w:tc>
          <w:tcPr>
            <w:tcW w:w="992"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567"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06" w:type="dxa"/>
            <w:shd w:val="clear" w:color="auto" w:fill="auto"/>
            <w:vAlign w:val="center"/>
          </w:tcPr>
          <w:p>
            <w:pPr>
              <w:spacing w:line="300" w:lineRule="exact"/>
              <w:jc w:val="left"/>
              <w:rPr>
                <w:rFonts w:ascii="方正书宋_GBK" w:eastAsia="方正书宋_GBK"/>
                <w:b/>
              </w:rPr>
            </w:pPr>
          </w:p>
        </w:tc>
        <w:tc>
          <w:tcPr>
            <w:tcW w:w="582" w:type="dxa"/>
            <w:gridSpan w:val="2"/>
            <w:shd w:val="clear" w:color="auto" w:fill="auto"/>
            <w:vAlign w:val="center"/>
          </w:tcPr>
          <w:p>
            <w:pPr>
              <w:spacing w:line="300" w:lineRule="exact"/>
              <w:jc w:val="right"/>
              <w:rPr>
                <w:rFonts w:ascii="方正书宋_GBK" w:eastAsia="方正书宋_GBK"/>
                <w:b/>
              </w:rPr>
            </w:pPr>
          </w:p>
        </w:tc>
        <w:tc>
          <w:tcPr>
            <w:tcW w:w="694" w:type="dxa"/>
            <w:shd w:val="clear" w:color="auto" w:fill="auto"/>
            <w:vAlign w:val="center"/>
          </w:tcPr>
          <w:p>
            <w:pPr>
              <w:spacing w:line="300" w:lineRule="exact"/>
              <w:jc w:val="left"/>
              <w:rPr>
                <w:rFonts w:ascii="方正书宋_GBK" w:eastAsia="方正书宋_GBK"/>
                <w:b/>
              </w:rPr>
            </w:pPr>
          </w:p>
        </w:tc>
        <w:tc>
          <w:tcPr>
            <w:tcW w:w="992"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567"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06" w:type="dxa"/>
            <w:shd w:val="clear" w:color="auto" w:fill="auto"/>
            <w:vAlign w:val="center"/>
          </w:tcPr>
          <w:p>
            <w:pPr>
              <w:spacing w:line="300" w:lineRule="exact"/>
              <w:jc w:val="left"/>
              <w:rPr>
                <w:rFonts w:ascii="方正书宋_GBK" w:eastAsia="方正书宋_GBK"/>
              </w:rPr>
            </w:pPr>
          </w:p>
        </w:tc>
        <w:tc>
          <w:tcPr>
            <w:tcW w:w="582" w:type="dxa"/>
            <w:gridSpan w:val="2"/>
            <w:shd w:val="clear" w:color="auto" w:fill="auto"/>
            <w:vAlign w:val="center"/>
          </w:tcPr>
          <w:p>
            <w:pPr>
              <w:spacing w:line="300" w:lineRule="exact"/>
              <w:jc w:val="right"/>
              <w:rPr>
                <w:rFonts w:ascii="方正书宋_GBK" w:eastAsia="方正书宋_GBK"/>
              </w:rPr>
            </w:pPr>
          </w:p>
        </w:tc>
        <w:tc>
          <w:tcPr>
            <w:tcW w:w="694" w:type="dxa"/>
            <w:shd w:val="clear" w:color="auto" w:fill="auto"/>
            <w:vAlign w:val="center"/>
          </w:tcPr>
          <w:p>
            <w:pPr>
              <w:spacing w:line="300" w:lineRule="exact"/>
              <w:jc w:val="left"/>
              <w:rPr>
                <w:rFonts w:ascii="方正书宋_GBK" w:eastAsia="方正书宋_GBK"/>
              </w:rPr>
            </w:pPr>
          </w:p>
        </w:tc>
        <w:tc>
          <w:tcPr>
            <w:tcW w:w="992"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567"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06" w:type="dxa"/>
            <w:shd w:val="clear" w:color="auto" w:fill="auto"/>
            <w:vAlign w:val="center"/>
          </w:tcPr>
          <w:p>
            <w:pPr>
              <w:spacing w:line="300" w:lineRule="exact"/>
              <w:jc w:val="left"/>
              <w:rPr>
                <w:rFonts w:ascii="方正书宋_GBK" w:eastAsia="方正书宋_GBK"/>
              </w:rPr>
            </w:pPr>
          </w:p>
        </w:tc>
        <w:tc>
          <w:tcPr>
            <w:tcW w:w="582" w:type="dxa"/>
            <w:gridSpan w:val="2"/>
            <w:shd w:val="clear" w:color="auto" w:fill="auto"/>
            <w:vAlign w:val="center"/>
          </w:tcPr>
          <w:p>
            <w:pPr>
              <w:spacing w:line="300" w:lineRule="exact"/>
              <w:jc w:val="right"/>
              <w:rPr>
                <w:rFonts w:ascii="方正书宋_GBK" w:eastAsia="方正书宋_GBK"/>
              </w:rPr>
            </w:pPr>
          </w:p>
        </w:tc>
        <w:tc>
          <w:tcPr>
            <w:tcW w:w="694" w:type="dxa"/>
            <w:shd w:val="clear" w:color="auto" w:fill="auto"/>
            <w:vAlign w:val="center"/>
          </w:tcPr>
          <w:p>
            <w:pPr>
              <w:spacing w:line="300" w:lineRule="exact"/>
              <w:jc w:val="left"/>
              <w:rPr>
                <w:rFonts w:ascii="方正书宋_GBK"/>
              </w:rPr>
            </w:pPr>
          </w:p>
        </w:tc>
        <w:tc>
          <w:tcPr>
            <w:tcW w:w="992"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rPr>
            </w:pPr>
          </w:p>
        </w:tc>
        <w:tc>
          <w:tcPr>
            <w:tcW w:w="851"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567" w:type="dxa"/>
            <w:shd w:val="clear" w:color="auto" w:fill="auto"/>
            <w:vAlign w:val="center"/>
          </w:tcPr>
          <w:p>
            <w:pPr>
              <w:spacing w:line="300" w:lineRule="exact"/>
              <w:jc w:val="right"/>
              <w:rPr>
                <w:rFonts w:ascii="方正书宋_GBK" w:eastAsia="方正书宋_GBK"/>
              </w:rPr>
            </w:pPr>
          </w:p>
        </w:tc>
      </w:tr>
    </w:tbl>
    <w:p/>
    <w:p>
      <w:pPr>
        <w:spacing w:line="360" w:lineRule="auto"/>
        <w:ind w:firstLine="643" w:firstLineChars="200"/>
        <w:rPr>
          <w:rFonts w:ascii="仿宋" w:hAnsi="仿宋" w:eastAsia="仿宋"/>
          <w:b/>
          <w:sz w:val="32"/>
          <w:szCs w:val="32"/>
        </w:r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上年末我部门固定资产总金额为13</w:t>
      </w:r>
      <w:r>
        <w:rPr>
          <w:rFonts w:hint="eastAsia" w:ascii="仿宋" w:hAnsi="仿宋" w:eastAsia="仿宋"/>
          <w:sz w:val="32"/>
          <w:szCs w:val="32"/>
          <w:lang w:val="en-US" w:eastAsia="zh-CN"/>
        </w:rPr>
        <w:t>4</w:t>
      </w:r>
      <w:r>
        <w:rPr>
          <w:rFonts w:hint="eastAsia" w:ascii="仿宋" w:hAnsi="仿宋" w:eastAsia="仿宋"/>
          <w:sz w:val="32"/>
          <w:szCs w:val="32"/>
        </w:rPr>
        <w:t>万元（详见下表）。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w:t>
            </w:r>
            <w:r>
              <w:rPr>
                <w:rFonts w:hint="eastAsia" w:ascii="仿宋_GB2312" w:hAnsi="仿宋" w:eastAsia="仿宋_GB2312" w:cs="宋体"/>
                <w:bCs/>
                <w:color w:val="FF0000"/>
                <w:kern w:val="0"/>
                <w:sz w:val="28"/>
                <w:szCs w:val="28"/>
              </w:rPr>
              <w:t>1年12月31日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134</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2109</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108</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1908</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98</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40470"/>
    <w:rsid w:val="002637AB"/>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3E7CAA"/>
    <w:rsid w:val="0040243C"/>
    <w:rsid w:val="00406BD1"/>
    <w:rsid w:val="00426C19"/>
    <w:rsid w:val="00450FD9"/>
    <w:rsid w:val="00453CE0"/>
    <w:rsid w:val="00470736"/>
    <w:rsid w:val="00470BBB"/>
    <w:rsid w:val="0048611E"/>
    <w:rsid w:val="004B6929"/>
    <w:rsid w:val="004E2F43"/>
    <w:rsid w:val="004E3572"/>
    <w:rsid w:val="004F3C52"/>
    <w:rsid w:val="00510A1E"/>
    <w:rsid w:val="005136CF"/>
    <w:rsid w:val="005158E2"/>
    <w:rsid w:val="00524204"/>
    <w:rsid w:val="00550049"/>
    <w:rsid w:val="00553F7E"/>
    <w:rsid w:val="00570142"/>
    <w:rsid w:val="00586C35"/>
    <w:rsid w:val="005B1B6F"/>
    <w:rsid w:val="005B6CCB"/>
    <w:rsid w:val="005C54AA"/>
    <w:rsid w:val="005C7B89"/>
    <w:rsid w:val="005F1620"/>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93617"/>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87A5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2789C"/>
    <w:rsid w:val="00F35D4B"/>
    <w:rsid w:val="00F3746B"/>
    <w:rsid w:val="00F572CB"/>
    <w:rsid w:val="00F621AF"/>
    <w:rsid w:val="00F8024E"/>
    <w:rsid w:val="00F82447"/>
    <w:rsid w:val="00F868E5"/>
    <w:rsid w:val="00FB2F32"/>
    <w:rsid w:val="00FC3191"/>
    <w:rsid w:val="00FE0F1F"/>
    <w:rsid w:val="00FF61F3"/>
    <w:rsid w:val="00FF7622"/>
    <w:rsid w:val="05341789"/>
    <w:rsid w:val="0A214432"/>
    <w:rsid w:val="100D5D4B"/>
    <w:rsid w:val="142054C1"/>
    <w:rsid w:val="27733670"/>
    <w:rsid w:val="3D7E37C2"/>
    <w:rsid w:val="757E2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1">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2">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C05A37-7434-4EB2-8617-D7F8155060B9}">
  <ds:schemaRefs/>
</ds:datastoreItem>
</file>

<file path=docProps/app.xml><?xml version="1.0" encoding="utf-8"?>
<Properties xmlns="http://schemas.openxmlformats.org/officeDocument/2006/extended-properties" xmlns:vt="http://schemas.openxmlformats.org/officeDocument/2006/docPropsVTypes">
  <Template>Normal</Template>
  <Pages>7</Pages>
  <Words>434</Words>
  <Characters>2477</Characters>
  <Lines>20</Lines>
  <Paragraphs>5</Paragraphs>
  <TotalTime>714</TotalTime>
  <ScaleCrop>false</ScaleCrop>
  <LinksUpToDate>false</LinksUpToDate>
  <CharactersWithSpaces>2906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2025-05-12T07:29:06Z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76EAFEA3433E47EF9BBEB116C4FC5C2C</vt:lpwstr>
  </property>
</Properties>
</file>