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59CDD">
      <w:pPr>
        <w:jc w:val="center"/>
        <w:rPr>
          <w:b/>
          <w:sz w:val="44"/>
          <w:szCs w:val="44"/>
        </w:rPr>
      </w:pPr>
      <w:r>
        <w:rPr>
          <w:rFonts w:hint="eastAsia"/>
          <w:b/>
          <w:sz w:val="44"/>
          <w:szCs w:val="44"/>
        </w:rPr>
        <w:t>第一部分  保定市徐水区东史端镇</w:t>
      </w:r>
      <w:r>
        <w:rPr>
          <w:b/>
          <w:sz w:val="44"/>
          <w:szCs w:val="44"/>
        </w:rPr>
        <w:t>概况</w:t>
      </w:r>
    </w:p>
    <w:p w14:paraId="07A46EE4">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14:paraId="65C42AB5">
      <w:pPr>
        <w:adjustRightInd w:val="0"/>
        <w:snapToGrid w:val="0"/>
        <w:spacing w:line="600" w:lineRule="exact"/>
        <w:ind w:firstLine="560" w:firstLineChars="200"/>
        <w:rPr>
          <w:snapToGrid w:val="0"/>
          <w:kern w:val="0"/>
          <w:sz w:val="28"/>
          <w:szCs w:val="28"/>
        </w:rPr>
      </w:pPr>
      <w:r>
        <w:rPr>
          <w:rFonts w:hint="eastAsia"/>
          <w:snapToGrid w:val="0"/>
          <w:kern w:val="0"/>
          <w:sz w:val="28"/>
          <w:szCs w:val="28"/>
        </w:rPr>
        <w:t>1、执行本级代表大会的决议和上级国家行政机关的决定和命令，发布决定和命令；</w:t>
      </w:r>
    </w:p>
    <w:p w14:paraId="62780D03">
      <w:pPr>
        <w:adjustRightInd w:val="0"/>
        <w:snapToGrid w:val="0"/>
        <w:spacing w:line="600" w:lineRule="exact"/>
        <w:ind w:firstLine="560" w:firstLineChars="200"/>
        <w:rPr>
          <w:snapToGrid w:val="0"/>
          <w:kern w:val="0"/>
          <w:sz w:val="28"/>
          <w:szCs w:val="28"/>
        </w:rPr>
      </w:pPr>
      <w:r>
        <w:rPr>
          <w:rFonts w:hint="eastAsia"/>
          <w:snapToGrid w:val="0"/>
          <w:kern w:val="0"/>
          <w:sz w:val="28"/>
          <w:szCs w:val="28"/>
        </w:rPr>
        <w:t>2、制定并落实本行政区域内的经济发展计划，加强公共设施的建设和管理，发展各项服务事业；</w:t>
      </w:r>
    </w:p>
    <w:p w14:paraId="79F342A0">
      <w:pPr>
        <w:adjustRightInd w:val="0"/>
        <w:snapToGrid w:val="0"/>
        <w:spacing w:line="600" w:lineRule="exact"/>
        <w:ind w:firstLine="560" w:firstLineChars="200"/>
        <w:rPr>
          <w:snapToGrid w:val="0"/>
          <w:kern w:val="0"/>
          <w:sz w:val="28"/>
          <w:szCs w:val="28"/>
        </w:rPr>
      </w:pPr>
      <w:r>
        <w:rPr>
          <w:rFonts w:hint="eastAsia"/>
          <w:snapToGrid w:val="0"/>
          <w:kern w:val="0"/>
          <w:sz w:val="28"/>
          <w:szCs w:val="28"/>
        </w:rPr>
        <w:t>3、加强水利建设、土地使用管理和环境综合整治，合理利用自然资源，保护、改善生态和生活环境；</w:t>
      </w:r>
    </w:p>
    <w:p w14:paraId="50C6C821">
      <w:pPr>
        <w:adjustRightInd w:val="0"/>
        <w:snapToGrid w:val="0"/>
        <w:spacing w:line="600" w:lineRule="exact"/>
        <w:ind w:firstLine="560" w:firstLineChars="200"/>
        <w:rPr>
          <w:snapToGrid w:val="0"/>
          <w:kern w:val="0"/>
          <w:sz w:val="28"/>
          <w:szCs w:val="28"/>
        </w:rPr>
      </w:pPr>
      <w:r>
        <w:rPr>
          <w:rFonts w:hint="eastAsia"/>
          <w:snapToGrid w:val="0"/>
          <w:kern w:val="0"/>
          <w:sz w:val="28"/>
          <w:szCs w:val="28"/>
        </w:rPr>
        <w:t>4、依法管理镇财政，执行本级预算；</w:t>
      </w:r>
    </w:p>
    <w:p w14:paraId="0A7F2BA5">
      <w:pPr>
        <w:adjustRightInd w:val="0"/>
        <w:snapToGrid w:val="0"/>
        <w:spacing w:line="600" w:lineRule="exact"/>
        <w:ind w:firstLine="560" w:firstLineChars="200"/>
        <w:rPr>
          <w:snapToGrid w:val="0"/>
          <w:kern w:val="0"/>
          <w:sz w:val="28"/>
          <w:szCs w:val="28"/>
        </w:rPr>
      </w:pPr>
      <w:r>
        <w:rPr>
          <w:rFonts w:hint="eastAsia"/>
          <w:snapToGrid w:val="0"/>
          <w:kern w:val="0"/>
          <w:sz w:val="28"/>
          <w:szCs w:val="28"/>
        </w:rPr>
        <w:t>5、管理和发展文化、教育、科学、广播、体育、卫生等事业；</w:t>
      </w:r>
    </w:p>
    <w:p w14:paraId="4E83151C">
      <w:pPr>
        <w:adjustRightInd w:val="0"/>
        <w:snapToGrid w:val="0"/>
        <w:spacing w:line="600" w:lineRule="exact"/>
        <w:ind w:firstLine="560" w:firstLineChars="200"/>
        <w:rPr>
          <w:snapToGrid w:val="0"/>
          <w:kern w:val="0"/>
          <w:sz w:val="28"/>
          <w:szCs w:val="28"/>
        </w:rPr>
      </w:pPr>
      <w:r>
        <w:rPr>
          <w:rFonts w:hint="eastAsia"/>
          <w:snapToGrid w:val="0"/>
          <w:kern w:val="0"/>
          <w:sz w:val="28"/>
          <w:szCs w:val="28"/>
        </w:rPr>
        <w:t>6、保护社会主义的全民所有财产和劳动群众的集体所有财产，保护公民个人所有的合法财产，保护公民的人身权利、民主权</w:t>
      </w:r>
      <w:r>
        <w:rPr>
          <w:rFonts w:hint="eastAsia"/>
          <w:snapToGrid w:val="0"/>
          <w:kern w:val="0"/>
          <w:sz w:val="28"/>
          <w:szCs w:val="28"/>
          <w:lang w:val="en-US" w:eastAsia="zh-CN"/>
        </w:rPr>
        <w:t>利</w:t>
      </w:r>
      <w:bookmarkStart w:id="0" w:name="_GoBack"/>
      <w:bookmarkEnd w:id="0"/>
      <w:r>
        <w:rPr>
          <w:rFonts w:hint="eastAsia"/>
          <w:snapToGrid w:val="0"/>
          <w:kern w:val="0"/>
          <w:sz w:val="28"/>
          <w:szCs w:val="28"/>
        </w:rPr>
        <w:t>和其他权利，保护各种经济的合法权益；</w:t>
      </w:r>
    </w:p>
    <w:p w14:paraId="01F67905">
      <w:pPr>
        <w:adjustRightInd w:val="0"/>
        <w:snapToGrid w:val="0"/>
        <w:spacing w:line="600" w:lineRule="exact"/>
        <w:ind w:firstLine="560" w:firstLineChars="200"/>
        <w:rPr>
          <w:snapToGrid w:val="0"/>
          <w:kern w:val="0"/>
          <w:sz w:val="28"/>
          <w:szCs w:val="28"/>
        </w:rPr>
      </w:pPr>
      <w:r>
        <w:rPr>
          <w:rFonts w:hint="eastAsia"/>
          <w:snapToGrid w:val="0"/>
          <w:kern w:val="0"/>
          <w:sz w:val="28"/>
          <w:szCs w:val="28"/>
        </w:rPr>
        <w:t>7、组织实施社会主义与民主法制教育，协调公安、司法行政工作，调解民事纠纷，维护社会秩序；</w:t>
      </w:r>
    </w:p>
    <w:p w14:paraId="1EB1A10E">
      <w:pPr>
        <w:adjustRightInd w:val="0"/>
        <w:snapToGrid w:val="0"/>
        <w:spacing w:line="600" w:lineRule="exact"/>
        <w:ind w:firstLine="560" w:firstLineChars="200"/>
        <w:rPr>
          <w:snapToGrid w:val="0"/>
          <w:kern w:val="0"/>
          <w:sz w:val="28"/>
          <w:szCs w:val="28"/>
        </w:rPr>
      </w:pPr>
      <w:r>
        <w:rPr>
          <w:rFonts w:hint="eastAsia"/>
          <w:snapToGrid w:val="0"/>
          <w:kern w:val="0"/>
          <w:sz w:val="28"/>
          <w:szCs w:val="28"/>
        </w:rPr>
        <w:t>8、推行计划生育政策，控制人口增长，保护妇女、儿童和老人的合法权益；</w:t>
      </w:r>
    </w:p>
    <w:p w14:paraId="052154D2">
      <w:pPr>
        <w:adjustRightInd w:val="0"/>
        <w:snapToGrid w:val="0"/>
        <w:spacing w:line="600" w:lineRule="exact"/>
        <w:ind w:firstLine="560" w:firstLineChars="200"/>
        <w:rPr>
          <w:snapToGrid w:val="0"/>
          <w:kern w:val="0"/>
          <w:sz w:val="28"/>
          <w:szCs w:val="28"/>
        </w:rPr>
      </w:pPr>
      <w:r>
        <w:rPr>
          <w:rFonts w:hint="eastAsia"/>
          <w:snapToGrid w:val="0"/>
          <w:kern w:val="0"/>
          <w:sz w:val="28"/>
          <w:szCs w:val="28"/>
        </w:rPr>
        <w:t>9、管理民政事务工作，发展社会福利事业，做好社会保障工作，办理兵役事项；</w:t>
      </w:r>
    </w:p>
    <w:p w14:paraId="2A93181A">
      <w:pPr>
        <w:ind w:firstLine="560" w:firstLineChars="200"/>
        <w:jc w:val="left"/>
        <w:rPr>
          <w:rFonts w:ascii="黑体" w:hAnsi="黑体" w:eastAsia="黑体"/>
          <w:snapToGrid w:val="0"/>
          <w:kern w:val="0"/>
          <w:sz w:val="28"/>
          <w:szCs w:val="28"/>
        </w:rPr>
      </w:pPr>
      <w:r>
        <w:rPr>
          <w:rFonts w:hint="eastAsia"/>
          <w:snapToGrid w:val="0"/>
          <w:kern w:val="0"/>
          <w:sz w:val="28"/>
          <w:szCs w:val="28"/>
        </w:rPr>
        <w:t>10、办理上级人民政府交办的其他事项。</w:t>
      </w:r>
    </w:p>
    <w:p w14:paraId="1A1D6855">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14:paraId="614097A6">
      <w:pPr>
        <w:adjustRightInd w:val="0"/>
        <w:snapToGrid w:val="0"/>
        <w:spacing w:line="600" w:lineRule="exact"/>
        <w:ind w:firstLine="560" w:firstLineChars="200"/>
        <w:rPr>
          <w:snapToGrid w:val="0"/>
          <w:kern w:val="0"/>
          <w:sz w:val="28"/>
          <w:szCs w:val="28"/>
        </w:rPr>
      </w:pPr>
      <w:r>
        <w:rPr>
          <w:rFonts w:hint="eastAsia"/>
          <w:snapToGrid w:val="0"/>
          <w:kern w:val="0"/>
          <w:sz w:val="28"/>
          <w:szCs w:val="28"/>
        </w:rPr>
        <w:t>根据</w:t>
      </w:r>
      <w:r>
        <w:rPr>
          <w:snapToGrid w:val="0"/>
          <w:kern w:val="0"/>
          <w:sz w:val="28"/>
          <w:szCs w:val="28"/>
        </w:rPr>
        <w:t>上述职责</w:t>
      </w:r>
      <w:r>
        <w:rPr>
          <w:rFonts w:hint="eastAsia"/>
          <w:snapToGrid w:val="0"/>
          <w:kern w:val="0"/>
          <w:sz w:val="28"/>
          <w:szCs w:val="28"/>
        </w:rPr>
        <w:t>，</w:t>
      </w:r>
      <w:r>
        <w:rPr>
          <w:snapToGrid w:val="0"/>
          <w:kern w:val="0"/>
          <w:sz w:val="28"/>
          <w:szCs w:val="28"/>
        </w:rPr>
        <w:t>我单位独立核算机构</w:t>
      </w:r>
      <w:r>
        <w:rPr>
          <w:rFonts w:hint="eastAsia"/>
          <w:snapToGrid w:val="0"/>
          <w:kern w:val="0"/>
          <w:sz w:val="28"/>
          <w:szCs w:val="28"/>
        </w:rPr>
        <w:t>1个，本单位设6个</w:t>
      </w:r>
      <w:r>
        <w:rPr>
          <w:snapToGrid w:val="0"/>
          <w:kern w:val="0"/>
          <w:sz w:val="28"/>
          <w:szCs w:val="28"/>
        </w:rPr>
        <w:t>内设机构：</w:t>
      </w:r>
      <w:r>
        <w:rPr>
          <w:rFonts w:hint="eastAsia" w:ascii="宋体" w:hAnsi="宋体" w:cs="宋体"/>
          <w:color w:val="000000"/>
          <w:kern w:val="0"/>
          <w:sz w:val="30"/>
          <w:szCs w:val="30"/>
        </w:rPr>
        <w:t>党政办公室、经济发展办公室、社会事务管理办公室、社会治安综合治理办公室、计划生育服务中心、综合文化服务中</w:t>
      </w:r>
      <w:r>
        <w:rPr>
          <w:rFonts w:hint="eastAsia"/>
          <w:snapToGrid w:val="0"/>
          <w:kern w:val="0"/>
          <w:sz w:val="28"/>
          <w:szCs w:val="28"/>
        </w:rPr>
        <w:t>。无下属</w:t>
      </w:r>
      <w:r>
        <w:rPr>
          <w:snapToGrid w:val="0"/>
          <w:kern w:val="0"/>
          <w:sz w:val="28"/>
          <w:szCs w:val="28"/>
        </w:rPr>
        <w:t>事业单位。</w:t>
      </w:r>
    </w:p>
    <w:p w14:paraId="2203F6C8">
      <w:pPr>
        <w:adjustRightInd w:val="0"/>
        <w:snapToGrid w:val="0"/>
        <w:spacing w:line="600" w:lineRule="exact"/>
        <w:ind w:firstLine="560" w:firstLineChars="200"/>
        <w:rPr>
          <w:snapToGrid w:val="0"/>
          <w:kern w:val="0"/>
          <w:sz w:val="28"/>
          <w:szCs w:val="28"/>
        </w:rPr>
      </w:pP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93人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86人</w:t>
      </w:r>
      <w:r>
        <w:rPr>
          <w:snapToGrid w:val="0"/>
          <w:kern w:val="0"/>
          <w:sz w:val="28"/>
          <w:szCs w:val="28"/>
        </w:rPr>
        <w:t>，离休人员</w:t>
      </w:r>
      <w:r>
        <w:rPr>
          <w:rFonts w:hint="eastAsia"/>
          <w:snapToGrid w:val="0"/>
          <w:kern w:val="0"/>
          <w:sz w:val="28"/>
          <w:szCs w:val="28"/>
        </w:rPr>
        <w:t>0人</w:t>
      </w:r>
      <w:r>
        <w:rPr>
          <w:snapToGrid w:val="0"/>
          <w:kern w:val="0"/>
          <w:sz w:val="28"/>
          <w:szCs w:val="28"/>
        </w:rPr>
        <w:t>，退休人员</w:t>
      </w:r>
      <w:r>
        <w:rPr>
          <w:rFonts w:hint="eastAsia"/>
          <w:snapToGrid w:val="0"/>
          <w:kern w:val="0"/>
          <w:sz w:val="28"/>
          <w:szCs w:val="28"/>
        </w:rPr>
        <w:t>7人</w:t>
      </w:r>
      <w:r>
        <w:rPr>
          <w:snapToGrid w:val="0"/>
          <w:kern w:val="0"/>
          <w:sz w:val="28"/>
          <w:szCs w:val="28"/>
        </w:rPr>
        <w:t>。</w:t>
      </w:r>
    </w:p>
    <w:p w14:paraId="347A183E">
      <w:pPr>
        <w:jc w:val="center"/>
        <w:rPr>
          <w:b/>
          <w:sz w:val="44"/>
          <w:szCs w:val="44"/>
        </w:rPr>
      </w:pPr>
      <w:r>
        <w:rPr>
          <w:rFonts w:hint="eastAsia"/>
          <w:b/>
          <w:sz w:val="44"/>
          <w:szCs w:val="44"/>
        </w:rPr>
        <w:t>第二部分  保定市徐水区东史端镇2017年</w:t>
      </w:r>
      <w:r>
        <w:rPr>
          <w:b/>
          <w:sz w:val="44"/>
          <w:szCs w:val="44"/>
        </w:rPr>
        <w:t>部门决算情况说明</w:t>
      </w:r>
    </w:p>
    <w:p w14:paraId="786D6F72">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14:paraId="1F5E6F7C">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本部门2017年本</w:t>
      </w:r>
      <w:r>
        <w:rPr>
          <w:snapToGrid w:val="0"/>
          <w:kern w:val="0"/>
          <w:sz w:val="28"/>
          <w:szCs w:val="28"/>
        </w:rPr>
        <w:t>年收入总计</w:t>
      </w:r>
      <w:r>
        <w:rPr>
          <w:rFonts w:hint="eastAsia"/>
          <w:snapToGrid w:val="0"/>
          <w:kern w:val="0"/>
          <w:sz w:val="28"/>
          <w:szCs w:val="28"/>
        </w:rPr>
        <w:t>2730.28万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97.67</w:t>
      </w:r>
      <w:r>
        <w:rPr>
          <w:snapToGrid w:val="0"/>
          <w:kern w:val="0"/>
          <w:sz w:val="28"/>
          <w:szCs w:val="28"/>
        </w:rPr>
        <w:t>%，增</w:t>
      </w:r>
      <w:r>
        <w:rPr>
          <w:rFonts w:hint="eastAsia"/>
          <w:snapToGrid w:val="0"/>
          <w:kern w:val="0"/>
          <w:sz w:val="28"/>
          <w:szCs w:val="28"/>
        </w:rPr>
        <w:t>收1349.05万</w:t>
      </w:r>
      <w:r>
        <w:rPr>
          <w:snapToGrid w:val="0"/>
          <w:kern w:val="0"/>
          <w:sz w:val="28"/>
          <w:szCs w:val="28"/>
        </w:rPr>
        <w:t>元</w:t>
      </w:r>
      <w:r>
        <w:rPr>
          <w:rFonts w:hint="eastAsia"/>
          <w:snapToGrid w:val="0"/>
          <w:kern w:val="0"/>
          <w:sz w:val="28"/>
          <w:szCs w:val="28"/>
        </w:rPr>
        <w:t>，</w:t>
      </w:r>
      <w:r>
        <w:rPr>
          <w:snapToGrid w:val="0"/>
          <w:kern w:val="0"/>
          <w:sz w:val="28"/>
          <w:szCs w:val="28"/>
        </w:rPr>
        <w:t>原因：</w:t>
      </w:r>
      <w:r>
        <w:rPr>
          <w:rFonts w:hint="eastAsia"/>
          <w:snapToGrid w:val="0"/>
          <w:kern w:val="0"/>
          <w:sz w:val="28"/>
          <w:szCs w:val="28"/>
        </w:rPr>
        <w:t>2017年度追加项目增加；本</w:t>
      </w:r>
      <w:r>
        <w:rPr>
          <w:snapToGrid w:val="0"/>
          <w:kern w:val="0"/>
          <w:sz w:val="28"/>
          <w:szCs w:val="28"/>
        </w:rPr>
        <w:t>年支出总计</w:t>
      </w:r>
      <w:r>
        <w:rPr>
          <w:rFonts w:hint="eastAsia"/>
          <w:snapToGrid w:val="0"/>
          <w:kern w:val="0"/>
          <w:sz w:val="28"/>
          <w:szCs w:val="28"/>
        </w:rPr>
        <w:t>2193.64万</w:t>
      </w:r>
      <w:r>
        <w:rPr>
          <w:snapToGrid w:val="0"/>
          <w:kern w:val="0"/>
          <w:sz w:val="28"/>
          <w:szCs w:val="28"/>
        </w:rPr>
        <w:t>元，较上年增长</w:t>
      </w:r>
      <w:r>
        <w:rPr>
          <w:rFonts w:hint="eastAsia"/>
          <w:snapToGrid w:val="0"/>
          <w:kern w:val="0"/>
          <w:sz w:val="28"/>
          <w:szCs w:val="28"/>
        </w:rPr>
        <w:t>31.95</w:t>
      </w:r>
      <w:r>
        <w:rPr>
          <w:snapToGrid w:val="0"/>
          <w:kern w:val="0"/>
          <w:sz w:val="28"/>
          <w:szCs w:val="28"/>
        </w:rPr>
        <w:t>%，增支</w:t>
      </w:r>
      <w:r>
        <w:rPr>
          <w:rFonts w:hint="eastAsia"/>
          <w:snapToGrid w:val="0"/>
          <w:kern w:val="0"/>
          <w:sz w:val="28"/>
          <w:szCs w:val="28"/>
        </w:rPr>
        <w:t>531.16万</w:t>
      </w:r>
      <w:r>
        <w:rPr>
          <w:snapToGrid w:val="0"/>
          <w:kern w:val="0"/>
          <w:sz w:val="28"/>
          <w:szCs w:val="28"/>
        </w:rPr>
        <w:t>元</w:t>
      </w:r>
      <w:r>
        <w:rPr>
          <w:rFonts w:hint="eastAsia"/>
          <w:snapToGrid w:val="0"/>
          <w:kern w:val="0"/>
          <w:sz w:val="28"/>
          <w:szCs w:val="28"/>
        </w:rPr>
        <w:t>，原因</w:t>
      </w:r>
      <w:r>
        <w:rPr>
          <w:snapToGrid w:val="0"/>
          <w:kern w:val="0"/>
          <w:sz w:val="28"/>
          <w:szCs w:val="28"/>
        </w:rPr>
        <w:t>：</w:t>
      </w:r>
      <w:r>
        <w:rPr>
          <w:rFonts w:hint="eastAsia"/>
          <w:snapToGrid w:val="0"/>
          <w:kern w:val="0"/>
          <w:sz w:val="28"/>
          <w:szCs w:val="28"/>
        </w:rPr>
        <w:t>2017年度追加项目增加，支出增加 ；</w:t>
      </w:r>
      <w:r>
        <w:rPr>
          <w:snapToGrid w:val="0"/>
          <w:kern w:val="0"/>
          <w:sz w:val="28"/>
          <w:szCs w:val="28"/>
        </w:rPr>
        <w:t>年末结转结余</w:t>
      </w:r>
      <w:r>
        <w:rPr>
          <w:rFonts w:hint="eastAsia"/>
          <w:snapToGrid w:val="0"/>
          <w:kern w:val="0"/>
          <w:sz w:val="28"/>
          <w:szCs w:val="28"/>
        </w:rPr>
        <w:t>536.64万</w:t>
      </w:r>
      <w:r>
        <w:rPr>
          <w:snapToGrid w:val="0"/>
          <w:kern w:val="0"/>
          <w:sz w:val="28"/>
          <w:szCs w:val="28"/>
        </w:rPr>
        <w:t>元。</w:t>
      </w:r>
    </w:p>
    <w:p w14:paraId="3B761ED4">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14:paraId="66778602">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2730.28万元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2730.11万元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97.7</w:t>
      </w:r>
      <w:r>
        <w:rPr>
          <w:snapToGrid w:val="0"/>
          <w:kern w:val="0"/>
          <w:sz w:val="28"/>
          <w:szCs w:val="28"/>
        </w:rPr>
        <w:t>%，增收</w:t>
      </w:r>
      <w:r>
        <w:rPr>
          <w:rFonts w:hint="eastAsia"/>
          <w:snapToGrid w:val="0"/>
          <w:kern w:val="0"/>
          <w:sz w:val="28"/>
          <w:szCs w:val="28"/>
        </w:rPr>
        <w:t>1349.2万元，</w:t>
      </w:r>
      <w:r>
        <w:rPr>
          <w:snapToGrid w:val="0"/>
          <w:kern w:val="0"/>
          <w:sz w:val="28"/>
          <w:szCs w:val="28"/>
        </w:rPr>
        <w:t>主要原因</w:t>
      </w:r>
      <w:r>
        <w:rPr>
          <w:rFonts w:hint="eastAsia"/>
          <w:snapToGrid w:val="0"/>
          <w:kern w:val="0"/>
          <w:sz w:val="28"/>
          <w:szCs w:val="28"/>
        </w:rPr>
        <w:t>：2017年度追加项目增加；上</w:t>
      </w:r>
      <w:r>
        <w:rPr>
          <w:snapToGrid w:val="0"/>
          <w:kern w:val="0"/>
          <w:sz w:val="28"/>
          <w:szCs w:val="28"/>
        </w:rPr>
        <w:t>级补助收入</w:t>
      </w:r>
      <w:r>
        <w:rPr>
          <w:rFonts w:hint="eastAsia"/>
          <w:snapToGrid w:val="0"/>
          <w:kern w:val="0"/>
          <w:sz w:val="28"/>
          <w:szCs w:val="28"/>
        </w:rPr>
        <w:t>0万</w:t>
      </w:r>
      <w:r>
        <w:rPr>
          <w:snapToGrid w:val="0"/>
          <w:kern w:val="0"/>
          <w:sz w:val="28"/>
          <w:szCs w:val="28"/>
        </w:rPr>
        <w:t>元</w:t>
      </w:r>
      <w:r>
        <w:rPr>
          <w:rFonts w:hint="eastAsia"/>
          <w:snapToGrid w:val="0"/>
          <w:kern w:val="0"/>
          <w:sz w:val="28"/>
          <w:szCs w:val="28"/>
        </w:rPr>
        <w:t>；事业</w:t>
      </w:r>
      <w:r>
        <w:rPr>
          <w:snapToGrid w:val="0"/>
          <w:kern w:val="0"/>
          <w:sz w:val="28"/>
          <w:szCs w:val="28"/>
        </w:rPr>
        <w:t>收入</w:t>
      </w:r>
      <w:r>
        <w:rPr>
          <w:rFonts w:hint="eastAsia"/>
          <w:snapToGrid w:val="0"/>
          <w:kern w:val="0"/>
          <w:sz w:val="28"/>
          <w:szCs w:val="28"/>
        </w:rPr>
        <w:t>0万</w:t>
      </w:r>
      <w:r>
        <w:rPr>
          <w:snapToGrid w:val="0"/>
          <w:kern w:val="0"/>
          <w:sz w:val="28"/>
          <w:szCs w:val="28"/>
        </w:rPr>
        <w:t>元</w:t>
      </w:r>
      <w:r>
        <w:rPr>
          <w:rFonts w:hint="eastAsia"/>
          <w:snapToGrid w:val="0"/>
          <w:kern w:val="0"/>
          <w:sz w:val="28"/>
          <w:szCs w:val="28"/>
        </w:rPr>
        <w:t>；</w:t>
      </w:r>
      <w:r>
        <w:rPr>
          <w:snapToGrid w:val="0"/>
          <w:kern w:val="0"/>
          <w:sz w:val="28"/>
          <w:szCs w:val="28"/>
        </w:rPr>
        <w:t>其他收入</w:t>
      </w:r>
      <w:r>
        <w:rPr>
          <w:rFonts w:hint="eastAsia"/>
          <w:snapToGrid w:val="0"/>
          <w:kern w:val="0"/>
          <w:sz w:val="28"/>
          <w:szCs w:val="28"/>
        </w:rPr>
        <w:t>0.17万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减少46.88</w:t>
      </w:r>
      <w:r>
        <w:rPr>
          <w:snapToGrid w:val="0"/>
          <w:kern w:val="0"/>
          <w:sz w:val="28"/>
          <w:szCs w:val="28"/>
        </w:rPr>
        <w:t>%，</w:t>
      </w:r>
      <w:r>
        <w:rPr>
          <w:rFonts w:hint="eastAsia"/>
          <w:snapToGrid w:val="0"/>
          <w:kern w:val="0"/>
          <w:sz w:val="28"/>
          <w:szCs w:val="28"/>
        </w:rPr>
        <w:t>减少0.15万元，</w:t>
      </w:r>
      <w:r>
        <w:rPr>
          <w:snapToGrid w:val="0"/>
          <w:kern w:val="0"/>
          <w:sz w:val="28"/>
          <w:szCs w:val="28"/>
        </w:rPr>
        <w:t>主要原因</w:t>
      </w:r>
      <w:r>
        <w:rPr>
          <w:rFonts w:hint="eastAsia"/>
          <w:snapToGrid w:val="0"/>
          <w:kern w:val="0"/>
          <w:sz w:val="28"/>
          <w:szCs w:val="28"/>
        </w:rPr>
        <w:t>：本年度银行存款减少，利息收入减少。</w:t>
      </w:r>
    </w:p>
    <w:p w14:paraId="508CA61D">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14:paraId="55166BEE">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度支出总计</w:t>
      </w:r>
      <w:r>
        <w:rPr>
          <w:rFonts w:hint="eastAsia"/>
          <w:snapToGrid w:val="0"/>
          <w:kern w:val="0"/>
          <w:sz w:val="28"/>
          <w:szCs w:val="28"/>
        </w:rPr>
        <w:t>2193.64万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893.75万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40.74</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1299.89万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59.26</w:t>
      </w:r>
      <w:r>
        <w:rPr>
          <w:snapToGrid w:val="0"/>
          <w:kern w:val="0"/>
          <w:sz w:val="28"/>
          <w:szCs w:val="28"/>
        </w:rPr>
        <w:t>%</w:t>
      </w:r>
      <w:r>
        <w:rPr>
          <w:rFonts w:hint="eastAsia"/>
          <w:snapToGrid w:val="0"/>
          <w:kern w:val="0"/>
          <w:sz w:val="28"/>
          <w:szCs w:val="28"/>
        </w:rPr>
        <w:t>。</w:t>
      </w:r>
    </w:p>
    <w:p w14:paraId="0C713608">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14:paraId="22CC370B">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2730.11万</w:t>
      </w:r>
      <w:r>
        <w:rPr>
          <w:snapToGrid w:val="0"/>
          <w:kern w:val="0"/>
          <w:sz w:val="28"/>
          <w:szCs w:val="28"/>
        </w:rPr>
        <w:t>元，较上年增长</w:t>
      </w:r>
      <w:r>
        <w:rPr>
          <w:rFonts w:hint="eastAsia"/>
          <w:snapToGrid w:val="0"/>
          <w:kern w:val="0"/>
          <w:sz w:val="28"/>
          <w:szCs w:val="28"/>
        </w:rPr>
        <w:t>97.7</w:t>
      </w:r>
      <w:r>
        <w:rPr>
          <w:snapToGrid w:val="0"/>
          <w:kern w:val="0"/>
          <w:sz w:val="28"/>
          <w:szCs w:val="28"/>
        </w:rPr>
        <w:t>%，增收</w:t>
      </w:r>
      <w:r>
        <w:rPr>
          <w:rFonts w:hint="eastAsia"/>
          <w:snapToGrid w:val="0"/>
          <w:kern w:val="0"/>
          <w:sz w:val="28"/>
          <w:szCs w:val="28"/>
        </w:rPr>
        <w:t>1349.2万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2193.64万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31.95</w:t>
      </w:r>
      <w:r>
        <w:rPr>
          <w:snapToGrid w:val="0"/>
          <w:kern w:val="0"/>
          <w:sz w:val="28"/>
          <w:szCs w:val="28"/>
        </w:rPr>
        <w:t>%，增支</w:t>
      </w:r>
      <w:r>
        <w:rPr>
          <w:rFonts w:hint="eastAsia"/>
          <w:snapToGrid w:val="0"/>
          <w:kern w:val="0"/>
          <w:sz w:val="28"/>
          <w:szCs w:val="28"/>
        </w:rPr>
        <w:t>531.16万</w:t>
      </w:r>
      <w:r>
        <w:rPr>
          <w:snapToGrid w:val="0"/>
          <w:kern w:val="0"/>
          <w:sz w:val="28"/>
          <w:szCs w:val="28"/>
        </w:rPr>
        <w:t>元，</w:t>
      </w:r>
      <w:r>
        <w:rPr>
          <w:rFonts w:hint="eastAsia"/>
          <w:snapToGrid w:val="0"/>
          <w:kern w:val="0"/>
          <w:sz w:val="28"/>
          <w:szCs w:val="28"/>
        </w:rPr>
        <w:t>主要</w:t>
      </w:r>
      <w:r>
        <w:rPr>
          <w:snapToGrid w:val="0"/>
          <w:kern w:val="0"/>
          <w:sz w:val="28"/>
          <w:szCs w:val="28"/>
        </w:rPr>
        <w:t>原因是：</w:t>
      </w:r>
      <w:r>
        <w:rPr>
          <w:rFonts w:hint="eastAsia"/>
          <w:snapToGrid w:val="0"/>
          <w:kern w:val="0"/>
          <w:sz w:val="28"/>
          <w:szCs w:val="28"/>
        </w:rPr>
        <w:t>2017年度追加项目增加，支出增加；年</w:t>
      </w:r>
      <w:r>
        <w:rPr>
          <w:snapToGrid w:val="0"/>
          <w:kern w:val="0"/>
          <w:sz w:val="28"/>
          <w:szCs w:val="28"/>
        </w:rPr>
        <w:t>末财政拨款结转结余</w:t>
      </w:r>
      <w:r>
        <w:rPr>
          <w:rFonts w:hint="eastAsia"/>
          <w:snapToGrid w:val="0"/>
          <w:kern w:val="0"/>
          <w:sz w:val="28"/>
          <w:szCs w:val="28"/>
        </w:rPr>
        <w:t>536.64万</w:t>
      </w:r>
      <w:r>
        <w:rPr>
          <w:snapToGrid w:val="0"/>
          <w:kern w:val="0"/>
          <w:sz w:val="28"/>
          <w:szCs w:val="28"/>
        </w:rPr>
        <w:t>元。</w:t>
      </w:r>
    </w:p>
    <w:p w14:paraId="7F183B47">
      <w:pPr>
        <w:adjustRightInd w:val="0"/>
        <w:snapToGrid w:val="0"/>
        <w:spacing w:line="600" w:lineRule="exact"/>
        <w:ind w:firstLine="560" w:firstLineChars="200"/>
        <w:rPr>
          <w:snapToGrid w:val="0"/>
          <w:kern w:val="0"/>
          <w:sz w:val="28"/>
          <w:szCs w:val="28"/>
        </w:rPr>
      </w:pPr>
      <w:r>
        <w:rPr>
          <w:rFonts w:hint="eastAsia"/>
          <w:snapToGrid w:val="0"/>
          <w:kern w:val="0"/>
          <w:sz w:val="28"/>
          <w:szCs w:val="28"/>
        </w:rPr>
        <w:t xml:space="preserve"> </w:t>
      </w:r>
      <w:r>
        <w:rPr>
          <w:snapToGrid w:val="0"/>
          <w:kern w:val="0"/>
          <w:sz w:val="28"/>
          <w:szCs w:val="28"/>
        </w:rPr>
        <w:t>2017</w:t>
      </w:r>
      <w:r>
        <w:rPr>
          <w:rFonts w:hint="eastAsia"/>
          <w:snapToGrid w:val="0"/>
          <w:kern w:val="0"/>
          <w:sz w:val="28"/>
          <w:szCs w:val="28"/>
        </w:rPr>
        <w:t>年财政</w:t>
      </w:r>
      <w:r>
        <w:rPr>
          <w:snapToGrid w:val="0"/>
          <w:kern w:val="0"/>
          <w:sz w:val="28"/>
          <w:szCs w:val="28"/>
        </w:rPr>
        <w:t>拨款支出年初预算数为</w:t>
      </w:r>
      <w:r>
        <w:rPr>
          <w:rFonts w:hint="eastAsia"/>
          <w:snapToGrid w:val="0"/>
          <w:kern w:val="0"/>
          <w:sz w:val="28"/>
          <w:szCs w:val="28"/>
        </w:rPr>
        <w:t>943.82万元</w:t>
      </w:r>
      <w:r>
        <w:rPr>
          <w:snapToGrid w:val="0"/>
          <w:kern w:val="0"/>
          <w:sz w:val="28"/>
          <w:szCs w:val="28"/>
        </w:rPr>
        <w:t>，本年支出决算数</w:t>
      </w:r>
      <w:r>
        <w:rPr>
          <w:rFonts w:hint="eastAsia"/>
          <w:snapToGrid w:val="0"/>
          <w:kern w:val="0"/>
          <w:sz w:val="28"/>
          <w:szCs w:val="28"/>
        </w:rPr>
        <w:t>为2193.64万元</w:t>
      </w:r>
      <w:r>
        <w:rPr>
          <w:snapToGrid w:val="0"/>
          <w:kern w:val="0"/>
          <w:sz w:val="28"/>
          <w:szCs w:val="28"/>
        </w:rPr>
        <w:t>，占年初预算数的</w:t>
      </w:r>
      <w:r>
        <w:rPr>
          <w:rFonts w:hint="eastAsia"/>
          <w:snapToGrid w:val="0"/>
          <w:kern w:val="0"/>
          <w:sz w:val="28"/>
          <w:szCs w:val="28"/>
        </w:rPr>
        <w:t>232.42%，</w:t>
      </w:r>
      <w:r>
        <w:rPr>
          <w:snapToGrid w:val="0"/>
          <w:kern w:val="0"/>
          <w:sz w:val="28"/>
          <w:szCs w:val="28"/>
        </w:rPr>
        <w:t>主要原因：</w:t>
      </w:r>
      <w:r>
        <w:rPr>
          <w:rFonts w:hint="eastAsia"/>
          <w:snapToGrid w:val="0"/>
          <w:kern w:val="0"/>
          <w:sz w:val="28"/>
          <w:szCs w:val="28"/>
        </w:rPr>
        <w:t>2017年度追加项目增加，支出增加。</w:t>
      </w:r>
    </w:p>
    <w:p w14:paraId="78B7EBB0">
      <w:pPr>
        <w:adjustRightInd w:val="0"/>
        <w:snapToGrid w:val="0"/>
        <w:spacing w:line="600" w:lineRule="exact"/>
        <w:ind w:firstLine="560" w:firstLineChars="200"/>
        <w:rPr>
          <w:rFonts w:hint="eastAsia"/>
          <w:snapToGrid w:val="0"/>
          <w:kern w:val="0"/>
          <w:sz w:val="28"/>
          <w:szCs w:val="28"/>
        </w:rPr>
      </w:pPr>
      <w:r>
        <w:rPr>
          <w:rFonts w:hint="eastAsia"/>
          <w:snapToGrid w:val="0"/>
          <w:kern w:val="0"/>
          <w:sz w:val="28"/>
          <w:szCs w:val="28"/>
        </w:rPr>
        <w:t>我单位无国有资本经营预算收支。</w:t>
      </w:r>
    </w:p>
    <w:p w14:paraId="5C07928A">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14:paraId="77AA46CA">
      <w:pPr>
        <w:adjustRightInd w:val="0"/>
        <w:snapToGrid w:val="0"/>
        <w:spacing w:line="560" w:lineRule="exact"/>
        <w:ind w:firstLine="560" w:firstLineChars="200"/>
        <w:rPr>
          <w:snapToGrid w:val="0"/>
          <w:kern w:val="0"/>
          <w:sz w:val="28"/>
          <w:szCs w:val="28"/>
        </w:rPr>
      </w:pPr>
      <w:r>
        <w:rPr>
          <w:rFonts w:hint="eastAsia"/>
          <w:snapToGrid w:val="0"/>
          <w:kern w:val="0"/>
          <w:sz w:val="28"/>
          <w:szCs w:val="28"/>
        </w:rPr>
        <w:t>2017年</w:t>
      </w:r>
      <w:r>
        <w:rPr>
          <w:snapToGrid w:val="0"/>
          <w:kern w:val="0"/>
          <w:sz w:val="28"/>
          <w:szCs w:val="28"/>
        </w:rPr>
        <w:t>，在做好各项工作的前提下，节省各项开支，尤其严格控制</w:t>
      </w:r>
      <w:r>
        <w:rPr>
          <w:rFonts w:hint="eastAsia"/>
          <w:snapToGrid w:val="0"/>
          <w:kern w:val="0"/>
          <w:sz w:val="28"/>
          <w:szCs w:val="28"/>
        </w:rPr>
        <w:t>“三公”经费</w:t>
      </w:r>
      <w:r>
        <w:rPr>
          <w:snapToGrid w:val="0"/>
          <w:kern w:val="0"/>
          <w:sz w:val="28"/>
          <w:szCs w:val="28"/>
        </w:rPr>
        <w:t>的支出，全年一般公共预算财政拨款</w:t>
      </w:r>
      <w:r>
        <w:rPr>
          <w:rFonts w:hint="eastAsia"/>
          <w:snapToGrid w:val="0"/>
          <w:kern w:val="0"/>
          <w:sz w:val="28"/>
          <w:szCs w:val="28"/>
        </w:rPr>
        <w:t>“三公”经费</w:t>
      </w:r>
      <w:r>
        <w:rPr>
          <w:snapToGrid w:val="0"/>
          <w:kern w:val="0"/>
          <w:sz w:val="28"/>
          <w:szCs w:val="28"/>
        </w:rPr>
        <w:t>支出合计</w:t>
      </w:r>
      <w:r>
        <w:rPr>
          <w:rFonts w:hint="eastAsia"/>
          <w:snapToGrid w:val="0"/>
          <w:kern w:val="0"/>
          <w:sz w:val="28"/>
          <w:szCs w:val="28"/>
        </w:rPr>
        <w:t>21.18万元</w:t>
      </w:r>
      <w:r>
        <w:rPr>
          <w:snapToGrid w:val="0"/>
          <w:kern w:val="0"/>
          <w:sz w:val="28"/>
          <w:szCs w:val="28"/>
        </w:rPr>
        <w:t>，较</w:t>
      </w:r>
      <w:r>
        <w:rPr>
          <w:rFonts w:hint="eastAsia"/>
          <w:snapToGrid w:val="0"/>
          <w:kern w:val="0"/>
          <w:sz w:val="28"/>
          <w:szCs w:val="28"/>
        </w:rPr>
        <w:t>2016年减少5.6万元，减少20.91</w:t>
      </w:r>
      <w:r>
        <w:rPr>
          <w:snapToGrid w:val="0"/>
          <w:kern w:val="0"/>
          <w:sz w:val="28"/>
          <w:szCs w:val="28"/>
        </w:rPr>
        <w:t>%</w:t>
      </w:r>
      <w:r>
        <w:rPr>
          <w:rFonts w:hint="eastAsia"/>
          <w:snapToGrid w:val="0"/>
          <w:kern w:val="0"/>
          <w:sz w:val="28"/>
          <w:szCs w:val="28"/>
        </w:rPr>
        <w:t>。</w:t>
      </w:r>
    </w:p>
    <w:p w14:paraId="2AE1B700">
      <w:pPr>
        <w:adjustRightInd w:val="0"/>
        <w:snapToGrid w:val="0"/>
        <w:spacing w:line="560" w:lineRule="exact"/>
        <w:ind w:firstLine="560" w:firstLineChars="200"/>
        <w:rPr>
          <w:snapToGrid w:val="0"/>
          <w:kern w:val="0"/>
          <w:sz w:val="28"/>
          <w:szCs w:val="28"/>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2017年因公出国（境）费本年支出0万元。</w:t>
      </w:r>
      <w:r>
        <w:rPr>
          <w:snapToGrid w:val="0"/>
          <w:kern w:val="0"/>
          <w:sz w:val="28"/>
          <w:szCs w:val="28"/>
        </w:rPr>
        <w:t>因公出国（</w:t>
      </w:r>
      <w:r>
        <w:rPr>
          <w:rFonts w:hint="eastAsia"/>
          <w:snapToGrid w:val="0"/>
          <w:kern w:val="0"/>
          <w:sz w:val="28"/>
          <w:szCs w:val="28"/>
        </w:rPr>
        <w:t>境</w:t>
      </w:r>
      <w:r>
        <w:rPr>
          <w:snapToGrid w:val="0"/>
          <w:kern w:val="0"/>
          <w:sz w:val="28"/>
          <w:szCs w:val="28"/>
        </w:rPr>
        <w:t>）</w:t>
      </w:r>
      <w:r>
        <w:rPr>
          <w:rFonts w:hint="eastAsia"/>
          <w:snapToGrid w:val="0"/>
          <w:kern w:val="0"/>
          <w:sz w:val="28"/>
          <w:szCs w:val="28"/>
        </w:rPr>
        <w:t>团</w:t>
      </w:r>
      <w:r>
        <w:rPr>
          <w:snapToGrid w:val="0"/>
          <w:kern w:val="0"/>
          <w:sz w:val="28"/>
          <w:szCs w:val="28"/>
        </w:rPr>
        <w:t>组</w:t>
      </w:r>
      <w:r>
        <w:rPr>
          <w:rFonts w:hint="eastAsia"/>
          <w:snapToGrid w:val="0"/>
          <w:kern w:val="0"/>
          <w:sz w:val="28"/>
          <w:szCs w:val="28"/>
        </w:rPr>
        <w:t>0个</w:t>
      </w:r>
      <w:r>
        <w:rPr>
          <w:snapToGrid w:val="0"/>
          <w:kern w:val="0"/>
          <w:sz w:val="28"/>
          <w:szCs w:val="28"/>
        </w:rPr>
        <w:t>，因公出国（</w:t>
      </w:r>
      <w:r>
        <w:rPr>
          <w:rFonts w:hint="eastAsia"/>
          <w:snapToGrid w:val="0"/>
          <w:kern w:val="0"/>
          <w:sz w:val="28"/>
          <w:szCs w:val="28"/>
        </w:rPr>
        <w:t>境</w:t>
      </w:r>
      <w:r>
        <w:rPr>
          <w:snapToGrid w:val="0"/>
          <w:kern w:val="0"/>
          <w:sz w:val="28"/>
          <w:szCs w:val="28"/>
        </w:rPr>
        <w:t>）</w:t>
      </w:r>
      <w:r>
        <w:rPr>
          <w:rFonts w:hint="eastAsia"/>
          <w:snapToGrid w:val="0"/>
          <w:kern w:val="0"/>
          <w:sz w:val="28"/>
          <w:szCs w:val="28"/>
        </w:rPr>
        <w:t>人次</w:t>
      </w:r>
      <w:r>
        <w:rPr>
          <w:snapToGrid w:val="0"/>
          <w:kern w:val="0"/>
          <w:sz w:val="28"/>
          <w:szCs w:val="28"/>
        </w:rPr>
        <w:t>数</w:t>
      </w:r>
      <w:r>
        <w:rPr>
          <w:rFonts w:hint="eastAsia"/>
          <w:snapToGrid w:val="0"/>
          <w:kern w:val="0"/>
          <w:sz w:val="28"/>
          <w:szCs w:val="28"/>
        </w:rPr>
        <w:t>0人</w:t>
      </w:r>
      <w:r>
        <w:rPr>
          <w:snapToGrid w:val="0"/>
          <w:kern w:val="0"/>
          <w:sz w:val="28"/>
          <w:szCs w:val="28"/>
        </w:rPr>
        <w:t>。</w:t>
      </w:r>
    </w:p>
    <w:p w14:paraId="58A1DA54">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13.21万元。（2017年</w:t>
      </w:r>
      <w:r>
        <w:rPr>
          <w:snapToGrid w:val="0"/>
          <w:kern w:val="0"/>
          <w:sz w:val="28"/>
          <w:szCs w:val="28"/>
        </w:rPr>
        <w:t>度</w:t>
      </w:r>
      <w:r>
        <w:rPr>
          <w:rFonts w:hint="eastAsia"/>
          <w:snapToGrid w:val="0"/>
          <w:kern w:val="0"/>
          <w:sz w:val="28"/>
          <w:szCs w:val="28"/>
        </w:rPr>
        <w:t>末</w:t>
      </w:r>
      <w:r>
        <w:rPr>
          <w:snapToGrid w:val="0"/>
          <w:kern w:val="0"/>
          <w:sz w:val="28"/>
          <w:szCs w:val="28"/>
        </w:rPr>
        <w:t>购置公务用车</w:t>
      </w:r>
      <w:r>
        <w:rPr>
          <w:rFonts w:hint="eastAsia"/>
          <w:snapToGrid w:val="0"/>
          <w:kern w:val="0"/>
          <w:sz w:val="28"/>
          <w:szCs w:val="28"/>
        </w:rPr>
        <w:t>0辆</w:t>
      </w:r>
      <w:r>
        <w:rPr>
          <w:snapToGrid w:val="0"/>
          <w:kern w:val="0"/>
          <w:sz w:val="28"/>
          <w:szCs w:val="28"/>
        </w:rPr>
        <w:t>，年末公务用车保有量</w:t>
      </w:r>
      <w:r>
        <w:rPr>
          <w:rFonts w:hint="eastAsia"/>
          <w:snapToGrid w:val="0"/>
          <w:kern w:val="0"/>
          <w:sz w:val="28"/>
          <w:szCs w:val="28"/>
        </w:rPr>
        <w:t>3辆</w:t>
      </w:r>
      <w:r>
        <w:rPr>
          <w:snapToGrid w:val="0"/>
          <w:kern w:val="0"/>
          <w:sz w:val="28"/>
          <w:szCs w:val="28"/>
        </w:rPr>
        <w:t>。</w:t>
      </w:r>
      <w:r>
        <w:rPr>
          <w:rFonts w:hint="eastAsia"/>
          <w:snapToGrid w:val="0"/>
          <w:kern w:val="0"/>
          <w:sz w:val="28"/>
          <w:szCs w:val="28"/>
        </w:rPr>
        <w:t>）</w:t>
      </w:r>
    </w:p>
    <w:p w14:paraId="7D6A943A">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公务用车购置费本年支出0万</w:t>
      </w:r>
      <w:r>
        <w:rPr>
          <w:snapToGrid w:val="0"/>
          <w:kern w:val="0"/>
          <w:sz w:val="28"/>
          <w:szCs w:val="28"/>
        </w:rPr>
        <w:t>元</w:t>
      </w:r>
      <w:r>
        <w:rPr>
          <w:rFonts w:hint="eastAsia"/>
          <w:snapToGrid w:val="0"/>
          <w:kern w:val="0"/>
          <w:sz w:val="28"/>
          <w:szCs w:val="28"/>
        </w:rPr>
        <w:t>。</w:t>
      </w:r>
    </w:p>
    <w:p w14:paraId="750FC9DD">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公务用车运行维护费本年支出13.21万</w:t>
      </w:r>
      <w:r>
        <w:rPr>
          <w:snapToGrid w:val="0"/>
          <w:kern w:val="0"/>
          <w:sz w:val="28"/>
          <w:szCs w:val="28"/>
        </w:rPr>
        <w:t>元</w:t>
      </w:r>
      <w:r>
        <w:rPr>
          <w:rFonts w:hint="eastAsia"/>
          <w:snapToGrid w:val="0"/>
          <w:kern w:val="0"/>
          <w:sz w:val="28"/>
          <w:szCs w:val="28"/>
        </w:rPr>
        <w:t>；较预算</w:t>
      </w:r>
      <w:r>
        <w:rPr>
          <w:snapToGrid w:val="0"/>
          <w:kern w:val="0"/>
          <w:sz w:val="28"/>
          <w:szCs w:val="28"/>
        </w:rPr>
        <w:t>压减</w:t>
      </w:r>
      <w:r>
        <w:rPr>
          <w:rFonts w:hint="eastAsia"/>
          <w:snapToGrid w:val="0"/>
          <w:kern w:val="0"/>
          <w:sz w:val="28"/>
          <w:szCs w:val="28"/>
        </w:rPr>
        <w:t>1.79万元</w:t>
      </w:r>
      <w:r>
        <w:rPr>
          <w:snapToGrid w:val="0"/>
          <w:kern w:val="0"/>
          <w:sz w:val="28"/>
          <w:szCs w:val="28"/>
        </w:rPr>
        <w:t>，减少</w:t>
      </w:r>
      <w:r>
        <w:rPr>
          <w:rFonts w:hint="eastAsia"/>
          <w:snapToGrid w:val="0"/>
          <w:kern w:val="0"/>
          <w:sz w:val="28"/>
          <w:szCs w:val="28"/>
        </w:rPr>
        <w:t>11.93</w:t>
      </w:r>
      <w:r>
        <w:rPr>
          <w:snapToGrid w:val="0"/>
          <w:kern w:val="0"/>
          <w:sz w:val="28"/>
          <w:szCs w:val="28"/>
        </w:rPr>
        <w:t>%；</w:t>
      </w:r>
      <w:r>
        <w:rPr>
          <w:rFonts w:hint="eastAsia"/>
          <w:snapToGrid w:val="0"/>
          <w:kern w:val="0"/>
          <w:sz w:val="28"/>
          <w:szCs w:val="28"/>
        </w:rPr>
        <w:t>较201</w:t>
      </w:r>
      <w:r>
        <w:rPr>
          <w:snapToGrid w:val="0"/>
          <w:kern w:val="0"/>
          <w:sz w:val="28"/>
          <w:szCs w:val="28"/>
        </w:rPr>
        <w:t>6</w:t>
      </w:r>
      <w:r>
        <w:rPr>
          <w:rFonts w:hint="eastAsia"/>
          <w:snapToGrid w:val="0"/>
          <w:kern w:val="0"/>
          <w:sz w:val="28"/>
          <w:szCs w:val="28"/>
        </w:rPr>
        <w:t>年减少4.61万元，减少25.87</w:t>
      </w:r>
      <w:r>
        <w:rPr>
          <w:snapToGrid w:val="0"/>
          <w:kern w:val="0"/>
          <w:sz w:val="28"/>
          <w:szCs w:val="28"/>
        </w:rPr>
        <w:t>%</w:t>
      </w:r>
      <w:r>
        <w:rPr>
          <w:rFonts w:hint="eastAsia"/>
          <w:snapToGrid w:val="0"/>
          <w:kern w:val="0"/>
          <w:sz w:val="28"/>
          <w:szCs w:val="28"/>
        </w:rPr>
        <w:t>。主要原因：按规定节约开支、压减支出，公务用车运行维护费减少。</w:t>
      </w:r>
    </w:p>
    <w:p w14:paraId="7892A988">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2017年公务接待费全年支出7.98万元，较</w:t>
      </w:r>
      <w:r>
        <w:rPr>
          <w:snapToGrid w:val="0"/>
          <w:kern w:val="0"/>
          <w:sz w:val="28"/>
          <w:szCs w:val="28"/>
        </w:rPr>
        <w:t>预算</w:t>
      </w:r>
      <w:r>
        <w:rPr>
          <w:rFonts w:hint="eastAsia"/>
          <w:snapToGrid w:val="0"/>
          <w:kern w:val="0"/>
          <w:sz w:val="28"/>
          <w:szCs w:val="28"/>
        </w:rPr>
        <w:t>减少0.92万元</w:t>
      </w:r>
      <w:r>
        <w:rPr>
          <w:snapToGrid w:val="0"/>
          <w:kern w:val="0"/>
          <w:sz w:val="28"/>
          <w:szCs w:val="28"/>
        </w:rPr>
        <w:t>，</w:t>
      </w:r>
      <w:r>
        <w:rPr>
          <w:rFonts w:hint="eastAsia"/>
          <w:snapToGrid w:val="0"/>
          <w:kern w:val="0"/>
          <w:sz w:val="28"/>
          <w:szCs w:val="28"/>
        </w:rPr>
        <w:t>减少10.34</w:t>
      </w:r>
      <w:r>
        <w:rPr>
          <w:snapToGrid w:val="0"/>
          <w:kern w:val="0"/>
          <w:sz w:val="28"/>
          <w:szCs w:val="28"/>
        </w:rPr>
        <w:t>%；</w:t>
      </w:r>
      <w:r>
        <w:rPr>
          <w:rFonts w:hint="eastAsia"/>
          <w:snapToGrid w:val="0"/>
          <w:kern w:val="0"/>
          <w:sz w:val="28"/>
          <w:szCs w:val="28"/>
        </w:rPr>
        <w:t>较201</w:t>
      </w:r>
      <w:r>
        <w:rPr>
          <w:snapToGrid w:val="0"/>
          <w:kern w:val="0"/>
          <w:sz w:val="28"/>
          <w:szCs w:val="28"/>
        </w:rPr>
        <w:t>6</w:t>
      </w:r>
      <w:r>
        <w:rPr>
          <w:rFonts w:hint="eastAsia"/>
          <w:snapToGrid w:val="0"/>
          <w:kern w:val="0"/>
          <w:sz w:val="28"/>
          <w:szCs w:val="28"/>
        </w:rPr>
        <w:t>年减少0.98万元，减少10.94</w:t>
      </w:r>
      <w:r>
        <w:rPr>
          <w:snapToGrid w:val="0"/>
          <w:kern w:val="0"/>
          <w:sz w:val="28"/>
          <w:szCs w:val="28"/>
        </w:rPr>
        <w:t>%。</w:t>
      </w:r>
      <w:r>
        <w:rPr>
          <w:rFonts w:hint="eastAsia"/>
          <w:snapToGrid w:val="0"/>
          <w:kern w:val="0"/>
          <w:sz w:val="28"/>
          <w:szCs w:val="28"/>
        </w:rPr>
        <w:t>主要原因：按规定节约开支、压减支出。</w:t>
      </w:r>
    </w:p>
    <w:p w14:paraId="05082AF5">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国内公务接待批次96个，国内公务接待人次1503人；国外公务接待批次0个，国外公务接待人次0人。</w:t>
      </w:r>
    </w:p>
    <w:p w14:paraId="4254F998">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14:paraId="1871E8D0">
      <w:pPr>
        <w:adjustRightInd w:val="0"/>
        <w:snapToGrid w:val="0"/>
        <w:spacing w:line="600" w:lineRule="exact"/>
        <w:ind w:firstLine="560" w:firstLineChars="200"/>
        <w:rPr>
          <w:snapToGrid w:val="0"/>
          <w:kern w:val="0"/>
          <w:sz w:val="28"/>
          <w:szCs w:val="28"/>
        </w:rPr>
      </w:pPr>
      <w:r>
        <w:rPr>
          <w:rFonts w:hint="eastAsia"/>
          <w:snapToGrid w:val="0"/>
          <w:kern w:val="0"/>
          <w:sz w:val="28"/>
          <w:szCs w:val="28"/>
        </w:rPr>
        <w:t>1、预算绩效管理工作开展情况</w:t>
      </w:r>
    </w:p>
    <w:p w14:paraId="68A5E553">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、绩效指标和评价标准，为预算绩效控制、绩效分析、绩效评价打下好的基础</w:t>
      </w:r>
    </w:p>
    <w:p w14:paraId="2A06C469">
      <w:pPr>
        <w:adjustRightInd w:val="0"/>
        <w:snapToGrid w:val="0"/>
        <w:spacing w:line="600" w:lineRule="exact"/>
        <w:ind w:firstLine="560" w:firstLineChars="200"/>
        <w:rPr>
          <w:snapToGrid w:val="0"/>
          <w:kern w:val="0"/>
          <w:sz w:val="28"/>
          <w:szCs w:val="28"/>
        </w:rPr>
      </w:pPr>
      <w:r>
        <w:rPr>
          <w:rFonts w:hint="eastAsia"/>
          <w:snapToGrid w:val="0"/>
          <w:kern w:val="0"/>
          <w:sz w:val="28"/>
          <w:szCs w:val="28"/>
        </w:rPr>
        <w:t>2、预算项目绩效评价开展情况</w:t>
      </w:r>
    </w:p>
    <w:p w14:paraId="15494FD1">
      <w:pPr>
        <w:adjustRightInd w:val="0"/>
        <w:snapToGrid w:val="0"/>
        <w:spacing w:line="600" w:lineRule="exact"/>
        <w:ind w:firstLine="560" w:firstLineChars="200"/>
        <w:rPr>
          <w:snapToGrid w:val="0"/>
          <w:kern w:val="0"/>
          <w:sz w:val="28"/>
          <w:szCs w:val="28"/>
        </w:rPr>
      </w:pPr>
      <w:r>
        <w:rPr>
          <w:rFonts w:hint="eastAsia"/>
          <w:snapToGrid w:val="0"/>
          <w:kern w:val="0"/>
          <w:sz w:val="28"/>
          <w:szCs w:val="28"/>
        </w:rPr>
        <w:t>按照财政预算绩效管理要求，我单位对2017年初确定的部门一般公共预算支出专项项目全面开展了绩效自评。我部门决算专项项目6项，共涉及预算资金108.43万元，绩效自评覆盖率达到100%。较好的完成了各项绩效指标，年底通过绩效评价。</w:t>
      </w:r>
    </w:p>
    <w:p w14:paraId="1F8A8ED8">
      <w:pPr>
        <w:adjustRightInd w:val="0"/>
        <w:snapToGrid w:val="0"/>
        <w:spacing w:line="600" w:lineRule="exact"/>
        <w:ind w:firstLine="560" w:firstLineChars="200"/>
        <w:rPr>
          <w:snapToGrid w:val="0"/>
          <w:kern w:val="0"/>
          <w:sz w:val="28"/>
          <w:szCs w:val="28"/>
        </w:rPr>
      </w:pPr>
      <w:r>
        <w:rPr>
          <w:rFonts w:hint="eastAsia"/>
          <w:snapToGrid w:val="0"/>
          <w:kern w:val="0"/>
          <w:sz w:val="28"/>
          <w:szCs w:val="28"/>
        </w:rPr>
        <w:t>3、预算项目绩效自评选例</w:t>
      </w:r>
    </w:p>
    <w:p w14:paraId="53D5416A">
      <w:pPr>
        <w:adjustRightInd w:val="0"/>
        <w:snapToGrid w:val="0"/>
        <w:spacing w:line="600" w:lineRule="exact"/>
        <w:ind w:firstLine="560" w:firstLineChars="200"/>
        <w:rPr>
          <w:sz w:val="30"/>
          <w:szCs w:val="30"/>
        </w:rPr>
      </w:pPr>
      <w:r>
        <w:rPr>
          <w:rFonts w:hint="eastAsia"/>
          <w:snapToGrid w:val="0"/>
          <w:kern w:val="0"/>
          <w:sz w:val="28"/>
          <w:szCs w:val="28"/>
        </w:rPr>
        <w:t>“维稳经费”项目。为维护社会稳定，全镇境内高铁、高速主要交通干道安全畅通，制止非法宗教活动，我镇</w:t>
      </w:r>
      <w:r>
        <w:rPr>
          <w:rFonts w:hint="eastAsia"/>
          <w:sz w:val="30"/>
          <w:szCs w:val="30"/>
        </w:rPr>
        <w:t>项目</w:t>
      </w:r>
      <w:r>
        <w:rPr>
          <w:sz w:val="30"/>
          <w:szCs w:val="30"/>
        </w:rPr>
        <w:t>年初预算安排</w:t>
      </w:r>
      <w:r>
        <w:rPr>
          <w:rFonts w:hint="eastAsia"/>
          <w:sz w:val="30"/>
          <w:szCs w:val="30"/>
        </w:rPr>
        <w:t>10万元。我单位建立以村居、调解组织为依托的群防群治防线，把矛盾纠纷化解在源头，化解在基层、化解在萌芽状态，做到小事不出村，大事不出乡。采取行之有效的措施，切实加强护路联防工作，把护路工作当做一件大事来抓，确保全镇境内铁路的安全畅通，从源头预防和遏制非法宗教活动及影响社会稳定的苗头。按照实施目的，设定该项目产出指标为矛盾排查化解率较上年是否有所提高，制止非法宗教活动是否及时；设定效果指标为受益群众满意度是否超过95%。绩效自评等级为“优”。</w:t>
      </w:r>
    </w:p>
    <w:p w14:paraId="3530A62B">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14:paraId="42A95224">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14:paraId="46D27A67">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度公用经费总支出118.98万元，其中办公费32.94万元、印刷费0万元、水费0万元、电费5.34万元、邮电费15.1万元、取暖费11.9万元、差旅费4.78万元、维修（护）费0.18万元、会议费0万元、培训费0.24万元、公务接待费7.98万元、工会经费5.99万元、福利费4.79万元、公务用车运行维护费13.21万元、其他交通费用16.53万元等。</w:t>
      </w:r>
    </w:p>
    <w:p w14:paraId="20A2EBF1">
      <w:pPr>
        <w:pStyle w:val="8"/>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2017年本部门机关运行经费支出93.15万元，比201</w:t>
      </w:r>
      <w:r>
        <w:rPr>
          <w:snapToGrid w:val="0"/>
          <w:kern w:val="0"/>
          <w:sz w:val="28"/>
          <w:szCs w:val="28"/>
        </w:rPr>
        <w:t>6</w:t>
      </w:r>
      <w:r>
        <w:rPr>
          <w:rFonts w:hint="eastAsia"/>
          <w:snapToGrid w:val="0"/>
          <w:kern w:val="0"/>
          <w:sz w:val="28"/>
          <w:szCs w:val="28"/>
        </w:rPr>
        <w:t>年减少93.62万元，下降50.13%。主要原因是：按规定节约开支、压减支出。            。</w:t>
      </w:r>
    </w:p>
    <w:p w14:paraId="4AC99BF3">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14:paraId="42935E92">
      <w:pPr>
        <w:adjustRightInd w:val="0"/>
        <w:snapToGrid w:val="0"/>
        <w:spacing w:line="600" w:lineRule="exact"/>
        <w:ind w:left="210" w:leftChars="100" w:firstLine="280" w:firstLineChars="1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年政府采购预算总额为145万元，主要包括政府采购货物    0万元，工程145万元及服务0万元。</w:t>
      </w:r>
    </w:p>
    <w:p w14:paraId="1A5D3002">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2017年本部门政府采购支出总额144.48万元，其中：政府采购货物支出0万元、政府采购工程支出144.48万元、政府采购服务支出0元。</w:t>
      </w:r>
    </w:p>
    <w:p w14:paraId="7BDA956E">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14:paraId="305500DF">
      <w:pPr>
        <w:pStyle w:val="8"/>
        <w:adjustRightInd w:val="0"/>
        <w:snapToGrid w:val="0"/>
        <w:spacing w:line="600" w:lineRule="exact"/>
        <w:ind w:firstLine="560"/>
        <w:rPr>
          <w:snapToGrid w:val="0"/>
          <w:kern w:val="0"/>
          <w:sz w:val="28"/>
          <w:szCs w:val="28"/>
        </w:rPr>
      </w:pPr>
      <w:r>
        <w:rPr>
          <w:rFonts w:hint="eastAsia"/>
          <w:snapToGrid w:val="0"/>
          <w:kern w:val="0"/>
          <w:sz w:val="28"/>
          <w:szCs w:val="28"/>
        </w:rPr>
        <w:t>我单位201</w:t>
      </w:r>
      <w:r>
        <w:rPr>
          <w:snapToGrid w:val="0"/>
          <w:kern w:val="0"/>
          <w:sz w:val="28"/>
          <w:szCs w:val="28"/>
        </w:rPr>
        <w:t>7</w:t>
      </w:r>
      <w:r>
        <w:rPr>
          <w:rFonts w:hint="eastAsia"/>
          <w:snapToGrid w:val="0"/>
          <w:kern w:val="0"/>
          <w:sz w:val="28"/>
          <w:szCs w:val="28"/>
        </w:rPr>
        <w:t>年末固定资产总额为288.51万元，主要包括房屋2320平方米价值93.75万元，车辆3辆价值46.84万元，单价在</w:t>
      </w:r>
      <w:r>
        <w:rPr>
          <w:snapToGrid w:val="0"/>
          <w:kern w:val="0"/>
          <w:sz w:val="28"/>
          <w:szCs w:val="28"/>
        </w:rPr>
        <w:t>50</w:t>
      </w:r>
      <w:r>
        <w:rPr>
          <w:rFonts w:hint="eastAsia"/>
          <w:snapToGrid w:val="0"/>
          <w:kern w:val="0"/>
          <w:sz w:val="28"/>
          <w:szCs w:val="28"/>
        </w:rPr>
        <w:t xml:space="preserve">万元以上的设备0台，及其他固定资产147.92万元。 </w:t>
      </w:r>
    </w:p>
    <w:p w14:paraId="1431C974">
      <w:pPr>
        <w:pStyle w:val="8"/>
        <w:adjustRightInd w:val="0"/>
        <w:snapToGrid w:val="0"/>
        <w:spacing w:line="600" w:lineRule="exact"/>
        <w:ind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年资产变动情况：固定资产增加53.35万元，包括房屋增加11.27万元,车辆增加15万元，单价在50万元以上的设备变化0万元，其他固定资产增加27.07万元。</w:t>
      </w:r>
    </w:p>
    <w:p w14:paraId="728D566B">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p>
    <w:p w14:paraId="15AD603E">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无</w:t>
      </w:r>
    </w:p>
    <w:p w14:paraId="1F8D57F1">
      <w:pPr>
        <w:jc w:val="center"/>
        <w:rPr>
          <w:b/>
          <w:sz w:val="44"/>
          <w:szCs w:val="44"/>
        </w:rPr>
      </w:pPr>
    </w:p>
    <w:p w14:paraId="0F3CD5EA">
      <w:pPr>
        <w:jc w:val="center"/>
        <w:rPr>
          <w:b/>
          <w:sz w:val="44"/>
          <w:szCs w:val="44"/>
        </w:rPr>
      </w:pPr>
      <w:r>
        <w:rPr>
          <w:rFonts w:hint="eastAsia"/>
          <w:b/>
          <w:sz w:val="44"/>
          <w:szCs w:val="44"/>
        </w:rPr>
        <w:t>第三部分      名词</w:t>
      </w:r>
      <w:r>
        <w:rPr>
          <w:b/>
          <w:sz w:val="44"/>
          <w:szCs w:val="44"/>
        </w:rPr>
        <w:t>解释</w:t>
      </w:r>
    </w:p>
    <w:p w14:paraId="6F3984B0">
      <w:pPr>
        <w:pStyle w:val="5"/>
        <w:spacing w:before="0" w:beforeAutospacing="0" w:after="0" w:afterAutospacing="0" w:line="384" w:lineRule="atLeast"/>
        <w:ind w:left="645" w:firstLine="540"/>
        <w:rPr>
          <w:rFonts w:ascii="Helvetica" w:hAnsi="Helvetica" w:cs="Helvetica"/>
          <w:color w:val="3E3E3E"/>
        </w:rPr>
      </w:pPr>
      <w:r>
        <w:rPr>
          <w:rFonts w:hint="eastAsia" w:ascii="仿宋_GB2312" w:hAnsi="Helvetica" w:eastAsia="仿宋_GB2312" w:cs="Helvetica"/>
          <w:color w:val="3E3E3E"/>
          <w:sz w:val="27"/>
          <w:szCs w:val="27"/>
        </w:rPr>
        <w:t>对专业性较强的名词进行解释（比如：一般公共预算财政拨款收入、事业收入、基本支出、项目支出等）</w:t>
      </w:r>
    </w:p>
    <w:p w14:paraId="0F6354F8">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（一）财政拨款收入：本年度从本级财政部门取得的财政拨款，包括一般公共预算财政拨款和政府性基金预算财政拨款。</w:t>
      </w:r>
    </w:p>
    <w:p w14:paraId="5BFAFDE8">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（二）事业收入：指事业单位开展专业业务活动及辅助活动所取得的收入。</w:t>
      </w:r>
    </w:p>
    <w:p w14:paraId="7D635DC4">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（三）其他收入：指除上述“财政拨款收入”、“事业收入”、“经营收入”等以外的收入。</w:t>
      </w:r>
    </w:p>
    <w:p w14:paraId="65663221">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5A4396D9">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（五）年初结转和结余：指以前年度尚未完成、结转到本年仍按原规定用途继续使用的资金，或项目已完成等产生的结余资金。</w:t>
      </w:r>
    </w:p>
    <w:p w14:paraId="7AB5FC98">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（六）结余分配：指事业单位按照事业单位会计制度的规定从非财政补助结余中分配的事业基金和职工福利基金等。</w:t>
      </w:r>
    </w:p>
    <w:p w14:paraId="1CE2D05E">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（七）年末结转和结余：指单位按有关规定结转到下年或以后年度继续使用的资金，或项目已完成等产生的结余资金。</w:t>
      </w:r>
    </w:p>
    <w:p w14:paraId="198719BD">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（八）基本支出：填列单位为保障机构正常运转、完成日常工作任务而发生的各项支出。</w:t>
      </w:r>
    </w:p>
    <w:p w14:paraId="7822A620">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（九）项目支出：填列单位为完成特定的行政工作任务或事业发展目标，在基本支出之外发生的各项支出</w:t>
      </w:r>
    </w:p>
    <w:p w14:paraId="074F7451">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9E34A92">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14:paraId="784D58FC">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363C9364">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  （十三）其他交通费用：填列单位除公务用车运行维护费以外的其他交通费用。如飞机、船舶等的燃料费、维修费、过桥过路费、保险费、出租车费用、公务交通补贴等。</w:t>
      </w:r>
    </w:p>
    <w:p w14:paraId="640876FB">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（十四）公务用车购置：填列单位公务用车车辆购置支出（含车辆购置税）。</w:t>
      </w:r>
    </w:p>
    <w:p w14:paraId="51677DEC">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（十五）其他交通工具购置：填列单位除公务用车外的其他各类交通工具（如船舶、飞机）购置支出（含车辆购置税）。</w:t>
      </w:r>
    </w:p>
    <w:p w14:paraId="3D2159C5">
      <w:pPr>
        <w:pStyle w:val="5"/>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4AC13B47">
      <w:pPr>
        <w:pStyle w:val="8"/>
        <w:adjustRightInd w:val="0"/>
        <w:snapToGrid w:val="0"/>
        <w:spacing w:line="600" w:lineRule="exact"/>
        <w:ind w:left="105" w:leftChars="50" w:firstLine="560"/>
        <w:rPr>
          <w:snapToGrid w:val="0"/>
          <w:kern w:val="0"/>
          <w:sz w:val="28"/>
          <w:szCs w:val="28"/>
        </w:rPr>
      </w:pPr>
    </w:p>
    <w:p w14:paraId="6E53DE14">
      <w:pPr>
        <w:pStyle w:val="8"/>
        <w:adjustRightInd w:val="0"/>
        <w:snapToGrid w:val="0"/>
        <w:spacing w:line="600" w:lineRule="exact"/>
        <w:ind w:left="105" w:leftChars="50" w:firstLine="560"/>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23F5"/>
    <w:rsid w:val="000138B8"/>
    <w:rsid w:val="00040C00"/>
    <w:rsid w:val="000936FF"/>
    <w:rsid w:val="001020FC"/>
    <w:rsid w:val="001041EE"/>
    <w:rsid w:val="00126FC2"/>
    <w:rsid w:val="001470C3"/>
    <w:rsid w:val="0015089B"/>
    <w:rsid w:val="00152908"/>
    <w:rsid w:val="00181BE0"/>
    <w:rsid w:val="001B5E6A"/>
    <w:rsid w:val="001B6488"/>
    <w:rsid w:val="001C673D"/>
    <w:rsid w:val="001E68F2"/>
    <w:rsid w:val="00317175"/>
    <w:rsid w:val="003277A3"/>
    <w:rsid w:val="00372DF7"/>
    <w:rsid w:val="00390D5C"/>
    <w:rsid w:val="003F0B48"/>
    <w:rsid w:val="003F3B34"/>
    <w:rsid w:val="00444FE1"/>
    <w:rsid w:val="00471A6A"/>
    <w:rsid w:val="004B7F95"/>
    <w:rsid w:val="004F00C9"/>
    <w:rsid w:val="0058572E"/>
    <w:rsid w:val="005B3169"/>
    <w:rsid w:val="0060361A"/>
    <w:rsid w:val="00672A2F"/>
    <w:rsid w:val="00674EC2"/>
    <w:rsid w:val="006B564B"/>
    <w:rsid w:val="006E71D0"/>
    <w:rsid w:val="0078569C"/>
    <w:rsid w:val="00791B38"/>
    <w:rsid w:val="008026BF"/>
    <w:rsid w:val="0082704B"/>
    <w:rsid w:val="008423F5"/>
    <w:rsid w:val="00842CBB"/>
    <w:rsid w:val="008711E4"/>
    <w:rsid w:val="008A70FA"/>
    <w:rsid w:val="009127F0"/>
    <w:rsid w:val="00923A35"/>
    <w:rsid w:val="00933524"/>
    <w:rsid w:val="00945D0B"/>
    <w:rsid w:val="00985214"/>
    <w:rsid w:val="00987BA4"/>
    <w:rsid w:val="009B74FB"/>
    <w:rsid w:val="00A0127F"/>
    <w:rsid w:val="00A372C2"/>
    <w:rsid w:val="00A54D2C"/>
    <w:rsid w:val="00A609A3"/>
    <w:rsid w:val="00AA21A2"/>
    <w:rsid w:val="00AD2713"/>
    <w:rsid w:val="00B005DA"/>
    <w:rsid w:val="00B17297"/>
    <w:rsid w:val="00B408DE"/>
    <w:rsid w:val="00B40ED6"/>
    <w:rsid w:val="00C222CB"/>
    <w:rsid w:val="00C82568"/>
    <w:rsid w:val="00CA2480"/>
    <w:rsid w:val="00CB45AA"/>
    <w:rsid w:val="00D06FD1"/>
    <w:rsid w:val="00D6325B"/>
    <w:rsid w:val="00D9008B"/>
    <w:rsid w:val="00D96FB4"/>
    <w:rsid w:val="00D970C6"/>
    <w:rsid w:val="00DB3197"/>
    <w:rsid w:val="00DB7E7C"/>
    <w:rsid w:val="00DC5EA2"/>
    <w:rsid w:val="00E374BD"/>
    <w:rsid w:val="00E4249A"/>
    <w:rsid w:val="00E71A30"/>
    <w:rsid w:val="00EC5CF7"/>
    <w:rsid w:val="00F00F83"/>
    <w:rsid w:val="00F46674"/>
    <w:rsid w:val="00F7078F"/>
    <w:rsid w:val="00FE056C"/>
    <w:rsid w:val="064A3FAD"/>
    <w:rsid w:val="0B6A15E4"/>
    <w:rsid w:val="0D6054DA"/>
    <w:rsid w:val="16046493"/>
    <w:rsid w:val="1AF90D88"/>
    <w:rsid w:val="1F545778"/>
    <w:rsid w:val="3A2E4916"/>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 w:type="character" w:customStyle="1" w:styleId="12">
    <w:name w:val="批注框文本 Char"/>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3695</Words>
  <Characters>4105</Characters>
  <Lines>29</Lines>
  <Paragraphs>8</Paragraphs>
  <TotalTime>2</TotalTime>
  <ScaleCrop>false</ScaleCrop>
  <LinksUpToDate>false</LinksUpToDate>
  <CharactersWithSpaces>4137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2019-03-09T02:06:00Z</dcterms:created>
  <dc:creator>yuanxiaowei</dc:creator>
  <cp:lastModifiedBy>咖啡伴侣</cp:lastModifiedBy>
  <cp:lastPrinted>2018-10-31T03:28:00Z</cp:lastPrinted>
  <dcterms:modified xsi:type="dcterms:W3CDTF">2025-05-12T02:40:19Z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eyJoZGlkIjoiMzFjY2Q5MmI3N2EwM2FkNGZiYTJjMjUxMmU2NmE3NmMiLCJ1c2VySWQiOiI0MjU5OTcwNDYifQ==</vt:lpwstr>
  </property>
  <property fmtid="{D5CDD505-2E9C-101B-9397-08002B2CF9AE}" pid="4" name="ICV">
    <vt:lpwstr>5AB5BDAB1AF940FEBFE9A1955E10AA22_12</vt:lpwstr>
  </property>
</Properties>
</file>