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hint="eastAsia" w:asciiTheme="majorEastAsia" w:hAnsiTheme="majorEastAsia" w:eastAsiaTheme="majorEastAsia" w:cstheme="majorEastAsia"/>
          <w:b/>
          <w:bCs w:val="0"/>
          <w:kern w:val="2"/>
          <w:sz w:val="44"/>
          <w:szCs w:val="44"/>
        </w:rPr>
      </w:pPr>
      <w:r>
        <w:rPr>
          <w:rFonts w:hint="eastAsia" w:asciiTheme="majorEastAsia" w:hAnsiTheme="majorEastAsia" w:eastAsiaTheme="majorEastAsia" w:cstheme="majorEastAsia"/>
          <w:b/>
          <w:bCs w:val="0"/>
          <w:kern w:val="2"/>
          <w:sz w:val="44"/>
          <w:szCs w:val="44"/>
        </w:rPr>
        <w:t>保定市徐水区</w:t>
      </w:r>
      <w:r>
        <w:rPr>
          <w:rFonts w:hint="eastAsia" w:asciiTheme="majorEastAsia" w:hAnsiTheme="majorEastAsia" w:eastAsiaTheme="majorEastAsia" w:cstheme="majorEastAsia"/>
          <w:b/>
          <w:bCs w:val="0"/>
          <w:kern w:val="2"/>
          <w:sz w:val="44"/>
          <w:szCs w:val="44"/>
          <w:lang w:val="en-US" w:eastAsia="zh-CN"/>
        </w:rPr>
        <w:t>财政局</w:t>
      </w:r>
      <w:r>
        <w:rPr>
          <w:rFonts w:hint="eastAsia" w:asciiTheme="majorEastAsia" w:hAnsiTheme="majorEastAsia" w:eastAsiaTheme="majorEastAsia" w:cstheme="majorEastAsia"/>
          <w:b/>
          <w:bCs w:val="0"/>
          <w:kern w:val="2"/>
          <w:sz w:val="44"/>
          <w:szCs w:val="44"/>
        </w:rPr>
        <w:t>202</w:t>
      </w:r>
      <w:r>
        <w:rPr>
          <w:rFonts w:hint="default" w:asciiTheme="majorEastAsia" w:hAnsiTheme="majorEastAsia" w:eastAsiaTheme="majorEastAsia" w:cstheme="majorEastAsia"/>
          <w:b/>
          <w:bCs w:val="0"/>
          <w:kern w:val="2"/>
          <w:sz w:val="44"/>
          <w:szCs w:val="44"/>
          <w:lang w:val="en-US"/>
        </w:rPr>
        <w:t>2</w:t>
      </w:r>
      <w:r>
        <w:rPr>
          <w:rFonts w:hint="eastAsia" w:asciiTheme="majorEastAsia" w:hAnsiTheme="majorEastAsia" w:eastAsiaTheme="majorEastAsia" w:cstheme="majorEastAsia"/>
          <w:b/>
          <w:bCs w:val="0"/>
          <w:kern w:val="2"/>
          <w:sz w:val="44"/>
          <w:szCs w:val="44"/>
        </w:rPr>
        <w:t>年部门</w:t>
      </w:r>
    </w:p>
    <w:p>
      <w:pPr>
        <w:keepNext w:val="0"/>
        <w:keepLines w:val="0"/>
        <w:pageBreakBefore w:val="0"/>
        <w:widowControl w:val="0"/>
        <w:kinsoku/>
        <w:wordWrap/>
        <w:overflowPunct/>
        <w:topLinePunct w:val="0"/>
        <w:autoSpaceDE/>
        <w:autoSpaceDN/>
        <w:bidi w:val="0"/>
        <w:adjustRightInd/>
        <w:snapToGrid/>
        <w:spacing w:after="0" w:line="580" w:lineRule="exact"/>
        <w:jc w:val="center"/>
        <w:textAlignment w:val="auto"/>
        <w:rPr>
          <w:rFonts w:ascii="黑体" w:hAnsi="黑体" w:eastAsia="黑体" w:cs="Times New Roman"/>
          <w:bCs/>
          <w:kern w:val="2"/>
          <w:sz w:val="48"/>
          <w:szCs w:val="48"/>
        </w:rPr>
      </w:pPr>
      <w:r>
        <w:rPr>
          <w:rFonts w:hint="eastAsia" w:asciiTheme="majorEastAsia" w:hAnsiTheme="majorEastAsia" w:eastAsiaTheme="majorEastAsia" w:cstheme="majorEastAsia"/>
          <w:b/>
          <w:bCs w:val="0"/>
          <w:kern w:val="2"/>
          <w:sz w:val="44"/>
          <w:szCs w:val="44"/>
        </w:rPr>
        <w:t>整体支出绩效评价自评报告</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720" w:firstLineChars="200"/>
        <w:jc w:val="center"/>
        <w:rPr>
          <w:rFonts w:cs="Times New Roman" w:asciiTheme="minorEastAsia" w:hAnsiTheme="minorEastAsia" w:eastAsiaTheme="minorEastAsia"/>
          <w:bCs/>
          <w:kern w:val="2"/>
          <w:sz w:val="36"/>
          <w:szCs w:val="36"/>
        </w:rPr>
      </w:pPr>
      <w:r>
        <w:rPr>
          <w:rFonts w:hint="eastAsia" w:cs="Times New Roman" w:asciiTheme="minorEastAsia" w:hAnsiTheme="minorEastAsia" w:eastAsiaTheme="minorEastAsia"/>
          <w:bCs/>
          <w:kern w:val="2"/>
          <w:sz w:val="36"/>
          <w:szCs w:val="36"/>
        </w:rPr>
        <w:t>20</w:t>
      </w:r>
      <w:r>
        <w:rPr>
          <w:rFonts w:cs="Times New Roman" w:asciiTheme="minorEastAsia" w:hAnsiTheme="minorEastAsia" w:eastAsiaTheme="minorEastAsia"/>
          <w:bCs/>
          <w:kern w:val="2"/>
          <w:sz w:val="36"/>
          <w:szCs w:val="36"/>
        </w:rPr>
        <w:t>2</w:t>
      </w:r>
      <w:r>
        <w:rPr>
          <w:rFonts w:hint="default" w:cs="Times New Roman" w:asciiTheme="minorEastAsia" w:hAnsiTheme="minorEastAsia" w:eastAsiaTheme="minorEastAsia"/>
          <w:bCs/>
          <w:kern w:val="2"/>
          <w:sz w:val="36"/>
          <w:szCs w:val="36"/>
          <w:lang w:val="en-US"/>
        </w:rPr>
        <w:t>3</w:t>
      </w:r>
      <w:r>
        <w:rPr>
          <w:rFonts w:hint="eastAsia" w:cs="Times New Roman" w:asciiTheme="minorEastAsia" w:hAnsiTheme="minorEastAsia" w:eastAsiaTheme="minorEastAsia"/>
          <w:bCs/>
          <w:kern w:val="2"/>
          <w:sz w:val="36"/>
          <w:szCs w:val="36"/>
        </w:rPr>
        <w:t>年</w:t>
      </w:r>
      <w:r>
        <w:rPr>
          <w:rFonts w:hint="default" w:cs="Times New Roman" w:asciiTheme="minorEastAsia" w:hAnsiTheme="minorEastAsia" w:eastAsiaTheme="minorEastAsia"/>
          <w:bCs/>
          <w:kern w:val="2"/>
          <w:sz w:val="36"/>
          <w:szCs w:val="36"/>
          <w:lang w:val="en-US"/>
        </w:rPr>
        <w:t>8</w:t>
      </w:r>
      <w:r>
        <w:rPr>
          <w:rFonts w:hint="eastAsia" w:cs="Times New Roman" w:asciiTheme="minorEastAsia" w:hAnsiTheme="minorEastAsia" w:eastAsiaTheme="minorEastAsia"/>
          <w:bCs/>
          <w:kern w:val="2"/>
          <w:sz w:val="36"/>
          <w:szCs w:val="36"/>
        </w:rPr>
        <w:t>月</w:t>
      </w: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p>
      <w:pPr>
        <w:widowControl w:val="0"/>
        <w:adjustRightInd/>
        <w:snapToGrid/>
        <w:spacing w:after="0" w:line="540" w:lineRule="exact"/>
        <w:ind w:firstLine="1440" w:firstLineChars="200"/>
        <w:jc w:val="both"/>
        <w:rPr>
          <w:rFonts w:ascii="Times New Roman" w:hAnsi="Times New Roman" w:eastAsia="宋体" w:cs="Times New Roman"/>
          <w:bCs/>
          <w:kern w:val="2"/>
          <w:sz w:val="72"/>
          <w:szCs w:val="24"/>
        </w:rPr>
      </w:pPr>
    </w:p>
    <w:sdt>
      <w:sdtPr>
        <w:rPr>
          <w:rFonts w:ascii="Tahoma" w:hAnsi="Tahoma" w:eastAsia="微软雅黑" w:cstheme="minorBidi"/>
          <w:b w:val="0"/>
          <w:bCs w:val="0"/>
          <w:color w:val="auto"/>
          <w:sz w:val="22"/>
          <w:szCs w:val="22"/>
          <w:lang w:val="zh-CN"/>
        </w:rPr>
        <w:id w:val="8905895"/>
        <w:docPartObj>
          <w:docPartGallery w:val="Table of Contents"/>
          <w:docPartUnique/>
        </w:docPartObj>
      </w:sdtPr>
      <w:sdtEndPr>
        <w:rPr>
          <w:rFonts w:ascii="Tahoma" w:hAnsi="Tahoma" w:eastAsia="微软雅黑" w:cstheme="minorBidi"/>
          <w:b w:val="0"/>
          <w:bCs w:val="0"/>
          <w:color w:val="auto"/>
          <w:sz w:val="22"/>
          <w:szCs w:val="22"/>
          <w:lang w:val="en-US"/>
        </w:rPr>
      </w:sdtEndPr>
      <w:sdtContent>
        <w:p>
          <w:pPr>
            <w:pStyle w:val="71"/>
            <w:ind w:firstLine="440" w:firstLineChars="200"/>
            <w:jc w:val="center"/>
            <w:rPr>
              <w:color w:val="auto"/>
              <w:sz w:val="44"/>
              <w:szCs w:val="44"/>
              <w:lang w:val="zh-CN"/>
            </w:rPr>
          </w:pPr>
          <w:r>
            <w:rPr>
              <w:color w:val="auto"/>
              <w:sz w:val="44"/>
              <w:szCs w:val="44"/>
              <w:lang w:val="zh-CN"/>
            </w:rPr>
            <w:t>目</w:t>
          </w:r>
          <w:r>
            <w:rPr>
              <w:rFonts w:hint="eastAsia"/>
              <w:color w:val="auto"/>
              <w:sz w:val="44"/>
              <w:szCs w:val="44"/>
              <w:lang w:val="zh-CN"/>
            </w:rPr>
            <w:t xml:space="preserve">    </w:t>
          </w:r>
          <w:r>
            <w:rPr>
              <w:color w:val="auto"/>
              <w:sz w:val="44"/>
              <w:szCs w:val="44"/>
              <w:lang w:val="zh-CN"/>
            </w:rPr>
            <w:t>录</w:t>
          </w:r>
        </w:p>
        <w:p>
          <w:pPr>
            <w:pStyle w:val="18"/>
            <w:tabs>
              <w:tab w:val="right" w:leader="dot" w:pos="8312"/>
            </w:tabs>
            <w:spacing w:line="312" w:lineRule="auto"/>
            <w:ind w:left="0" w:leftChars="0"/>
            <w:rPr>
              <w:rFonts w:asciiTheme="majorEastAsia" w:hAnsiTheme="majorEastAsia" w:eastAsiaTheme="majorEastAsia" w:cstheme="majorEastAsia"/>
              <w:b/>
              <w:bCs/>
              <w:sz w:val="24"/>
            </w:rPr>
          </w:pPr>
          <w:r>
            <w:rPr>
              <w:rFonts w:asciiTheme="minorEastAsia" w:hAnsiTheme="minorEastAsia" w:eastAsiaTheme="minorEastAsia"/>
              <w:sz w:val="24"/>
            </w:rPr>
            <w:fldChar w:fldCharType="begin"/>
          </w:r>
          <w:r>
            <w:rPr>
              <w:rFonts w:asciiTheme="minorEastAsia" w:hAnsiTheme="minorEastAsia" w:eastAsiaTheme="minorEastAsia"/>
              <w:sz w:val="24"/>
            </w:rPr>
            <w:instrText xml:space="preserve"> TOC \o "1-3" \h \z \u </w:instrText>
          </w:r>
          <w:r>
            <w:rPr>
              <w:rFonts w:asciiTheme="minorEastAsia" w:hAnsiTheme="minorEastAsia" w:eastAsiaTheme="minorEastAsia"/>
              <w:sz w:val="24"/>
            </w:rPr>
            <w:fldChar w:fldCharType="separate"/>
          </w:r>
          <w:r>
            <w:fldChar w:fldCharType="begin"/>
          </w:r>
          <w:r>
            <w:instrText xml:space="preserve"> HYPERLINK \l "_Toc25184" </w:instrText>
          </w:r>
          <w:r>
            <w:fldChar w:fldCharType="separate"/>
          </w:r>
          <w:r>
            <w:rPr>
              <w:rFonts w:hint="eastAsia" w:asciiTheme="majorEastAsia" w:hAnsiTheme="majorEastAsia" w:eastAsiaTheme="majorEastAsia" w:cstheme="majorEastAsia"/>
              <w:b/>
              <w:bCs/>
              <w:sz w:val="24"/>
            </w:rPr>
            <w:t>第一部分   摘  要</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_Toc25184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"_Toc4346" </w:instrText>
          </w:r>
          <w:r>
            <w:fldChar w:fldCharType="separate"/>
          </w:r>
          <w:r>
            <w:rPr>
              <w:rFonts w:hint="eastAsia" w:asciiTheme="majorEastAsia" w:hAnsiTheme="majorEastAsia" w:eastAsiaTheme="majorEastAsia" w:cstheme="majorEastAsia"/>
              <w:b/>
              <w:bCs/>
              <w:sz w:val="24"/>
            </w:rPr>
            <w:t>第二部分   绩效评价报告</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_Toc4346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"_Toc427" </w:instrText>
          </w:r>
          <w:r>
            <w:fldChar w:fldCharType="separate"/>
          </w:r>
          <w:r>
            <w:rPr>
              <w:rFonts w:hint="eastAsia" w:asciiTheme="majorEastAsia" w:hAnsiTheme="majorEastAsia" w:eastAsiaTheme="majorEastAsia" w:cstheme="majorEastAsia"/>
              <w:b/>
              <w:bCs/>
              <w:sz w:val="24"/>
            </w:rPr>
            <w:t>一、保定市徐水</w:t>
          </w:r>
          <w:r>
            <w:rPr>
              <w:rFonts w:hint="eastAsia" w:asciiTheme="majorEastAsia" w:hAnsiTheme="majorEastAsia" w:eastAsiaTheme="majorEastAsia" w:cstheme="majorEastAsia"/>
              <w:b/>
              <w:bCs/>
              <w:sz w:val="24"/>
              <w:lang w:val="en-US" w:eastAsia="zh-CN"/>
            </w:rPr>
            <w:t>财政局</w:t>
          </w:r>
          <w:r>
            <w:rPr>
              <w:rFonts w:hint="eastAsia" w:asciiTheme="majorEastAsia" w:hAnsiTheme="majorEastAsia" w:eastAsiaTheme="majorEastAsia" w:cstheme="majorEastAsia"/>
              <w:b/>
              <w:bCs/>
              <w:sz w:val="24"/>
            </w:rPr>
            <w:t>基本情况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_Toc427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"_Toc11473" </w:instrText>
          </w:r>
          <w:r>
            <w:fldChar w:fldCharType="separate"/>
          </w:r>
          <w:r>
            <w:rPr>
              <w:rFonts w:hint="eastAsia" w:asciiTheme="majorEastAsia" w:hAnsiTheme="majorEastAsia" w:eastAsiaTheme="majorEastAsia" w:cstheme="majorEastAsia"/>
              <w:sz w:val="24"/>
            </w:rPr>
            <w:t>（一）部门职责和工作活动</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_Toc11473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"_Toc7075" </w:instrText>
          </w:r>
          <w:r>
            <w:fldChar w:fldCharType="separate"/>
          </w:r>
          <w:r>
            <w:rPr>
              <w:rFonts w:hint="eastAsia" w:asciiTheme="majorEastAsia" w:hAnsiTheme="majorEastAsia" w:eastAsiaTheme="majorEastAsia" w:cstheme="majorEastAsia"/>
              <w:sz w:val="24"/>
            </w:rPr>
            <w:t>（二）部门年度发展规划总体目标和职责分类绩效目标</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_Toc7075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"_Toc1678" </w:instrText>
          </w:r>
          <w:r>
            <w:fldChar w:fldCharType="separate"/>
          </w:r>
          <w:r>
            <w:rPr>
              <w:rFonts w:hint="eastAsia" w:asciiTheme="majorEastAsia" w:hAnsiTheme="majorEastAsia" w:eastAsiaTheme="majorEastAsia" w:cstheme="majorEastAsia"/>
              <w:sz w:val="24"/>
            </w:rPr>
            <w:t>（三）部门预算收入及决算收入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_Toc1678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"_Toc18197" </w:instrText>
          </w:r>
          <w:r>
            <w:fldChar w:fldCharType="separate"/>
          </w:r>
          <w:r>
            <w:rPr>
              <w:rFonts w:hint="eastAsia" w:asciiTheme="majorEastAsia" w:hAnsiTheme="majorEastAsia" w:eastAsiaTheme="majorEastAsia" w:cstheme="majorEastAsia"/>
              <w:sz w:val="24"/>
            </w:rPr>
            <w:t>（四）预算支出及决算支出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_Toc18197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10</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"_Toc19291" </w:instrText>
          </w:r>
          <w:r>
            <w:fldChar w:fldCharType="separate"/>
          </w:r>
          <w:r>
            <w:rPr>
              <w:rFonts w:hint="eastAsia" w:asciiTheme="majorEastAsia" w:hAnsiTheme="majorEastAsia" w:eastAsiaTheme="majorEastAsia" w:cstheme="majorEastAsia"/>
              <w:sz w:val="24"/>
            </w:rPr>
            <w:t>（五）“三公”经费预算安排及支出情况</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_Toc19291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"_Toc20454" </w:instrText>
          </w:r>
          <w:r>
            <w:fldChar w:fldCharType="separate"/>
          </w:r>
          <w:r>
            <w:rPr>
              <w:rFonts w:hint="eastAsia" w:asciiTheme="majorEastAsia" w:hAnsiTheme="majorEastAsia" w:eastAsiaTheme="majorEastAsia" w:cstheme="majorEastAsia"/>
              <w:b/>
              <w:bCs/>
              <w:sz w:val="24"/>
            </w:rPr>
            <w:t>二、部门整体支出绩效评价指标体系设定情况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_Toc20454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12</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firstLine="300" w:firstLineChars="100"/>
            <w:rPr>
              <w:rFonts w:asciiTheme="majorEastAsia" w:hAnsiTheme="majorEastAsia" w:eastAsiaTheme="majorEastAsia" w:cstheme="majorEastAsia"/>
              <w:sz w:val="24"/>
            </w:rPr>
          </w:pPr>
          <w:r>
            <w:fldChar w:fldCharType="begin"/>
          </w:r>
          <w:r>
            <w:instrText xml:space="preserve"> HYPERLINK \l "_Toc9569"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_Toc9569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"_Toc30221"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_Toc30221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13</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"_Toc24932"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_Toc24932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"_Toc21821"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_Toc21821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"_Toc11842" </w:instrText>
          </w:r>
          <w:r>
            <w:fldChar w:fldCharType="separate"/>
          </w:r>
          <w:r>
            <w:rPr>
              <w:rFonts w:hint="eastAsia" w:asciiTheme="majorEastAsia" w:hAnsiTheme="majorEastAsia" w:eastAsiaTheme="majorEastAsia" w:cstheme="majorEastAsia"/>
              <w:b/>
              <w:bCs/>
              <w:sz w:val="24"/>
            </w:rPr>
            <w:t>三、综合绩效评价工作情况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_Toc11842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14</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"_Toc17138" </w:instrText>
          </w:r>
          <w:r>
            <w:fldChar w:fldCharType="separate"/>
          </w:r>
          <w:r>
            <w:rPr>
              <w:rFonts w:hint="eastAsia" w:asciiTheme="majorEastAsia" w:hAnsiTheme="majorEastAsia" w:eastAsiaTheme="majorEastAsia" w:cstheme="majorEastAsia"/>
              <w:sz w:val="24"/>
            </w:rPr>
            <w:t>（一）绩效评价目的</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_Toc17138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14</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"_Toc11607" </w:instrText>
          </w:r>
          <w:r>
            <w:fldChar w:fldCharType="separate"/>
          </w:r>
          <w:r>
            <w:rPr>
              <w:rFonts w:hint="eastAsia" w:asciiTheme="majorEastAsia" w:hAnsiTheme="majorEastAsia" w:eastAsiaTheme="majorEastAsia" w:cstheme="majorEastAsia"/>
              <w:sz w:val="24"/>
            </w:rPr>
            <w:t>（二）绩效评价依据</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_Toc11607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15</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"_Toc7609" </w:instrText>
          </w:r>
          <w:r>
            <w:fldChar w:fldCharType="separate"/>
          </w:r>
          <w:r>
            <w:rPr>
              <w:rFonts w:hint="eastAsia" w:asciiTheme="majorEastAsia" w:hAnsiTheme="majorEastAsia" w:eastAsiaTheme="majorEastAsia" w:cstheme="majorEastAsia"/>
              <w:sz w:val="24"/>
            </w:rPr>
            <w:t>（三）绩效评价内容</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_Toc7609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"_Toc789" </w:instrText>
          </w:r>
          <w:r>
            <w:fldChar w:fldCharType="separate"/>
          </w:r>
          <w:r>
            <w:rPr>
              <w:rFonts w:hint="eastAsia" w:asciiTheme="majorEastAsia" w:hAnsiTheme="majorEastAsia" w:eastAsiaTheme="majorEastAsia" w:cstheme="majorEastAsia"/>
              <w:sz w:val="24"/>
            </w:rPr>
            <w:t>（四）绩效评价原则</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_Toc789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"_Toc8171" </w:instrText>
          </w:r>
          <w:r>
            <w:fldChar w:fldCharType="separate"/>
          </w:r>
          <w:r>
            <w:rPr>
              <w:rFonts w:hint="eastAsia" w:asciiTheme="majorEastAsia" w:hAnsiTheme="majorEastAsia" w:eastAsiaTheme="majorEastAsia" w:cstheme="majorEastAsia"/>
              <w:sz w:val="24"/>
            </w:rPr>
            <w:t>（五）绩效评价方法</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_Toc8171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16</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"_Toc20821" </w:instrText>
          </w:r>
          <w:r>
            <w:fldChar w:fldCharType="separate"/>
          </w:r>
          <w:r>
            <w:rPr>
              <w:rFonts w:hint="eastAsia" w:asciiTheme="majorEastAsia" w:hAnsiTheme="majorEastAsia" w:eastAsiaTheme="majorEastAsia" w:cstheme="majorEastAsia"/>
              <w:sz w:val="24"/>
            </w:rPr>
            <w:t>（六）绩效评价工作过程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_Toc20821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17</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b/>
              <w:bCs/>
              <w:sz w:val="24"/>
            </w:rPr>
          </w:pPr>
          <w:r>
            <w:fldChar w:fldCharType="begin"/>
          </w:r>
          <w:r>
            <w:instrText xml:space="preserve"> HYPERLINK \l "_Toc6467" </w:instrText>
          </w:r>
          <w:r>
            <w:fldChar w:fldCharType="separate"/>
          </w:r>
          <w:r>
            <w:rPr>
              <w:rFonts w:hint="eastAsia" w:asciiTheme="majorEastAsia" w:hAnsiTheme="majorEastAsia" w:eastAsiaTheme="majorEastAsia" w:cstheme="majorEastAsia"/>
              <w:b/>
              <w:bCs/>
              <w:sz w:val="24"/>
            </w:rPr>
            <w:t>四、绩效评价评分情况</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_Toc6467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18</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"_Toc4390" </w:instrText>
          </w:r>
          <w:r>
            <w:fldChar w:fldCharType="separate"/>
          </w:r>
          <w:r>
            <w:rPr>
              <w:rFonts w:hint="eastAsia" w:asciiTheme="majorEastAsia" w:hAnsiTheme="majorEastAsia" w:eastAsiaTheme="majorEastAsia" w:cstheme="majorEastAsia"/>
              <w:sz w:val="24"/>
            </w:rPr>
            <w:t>（一）投入</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_Toc4390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18</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"_Toc19940" </w:instrText>
          </w:r>
          <w:r>
            <w:fldChar w:fldCharType="separate"/>
          </w:r>
          <w:r>
            <w:rPr>
              <w:rFonts w:hint="eastAsia" w:asciiTheme="majorEastAsia" w:hAnsiTheme="majorEastAsia" w:eastAsiaTheme="majorEastAsia" w:cstheme="majorEastAsia"/>
              <w:sz w:val="24"/>
            </w:rPr>
            <w:t>（二）过程</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_Toc19940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22</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"_Toc12330" </w:instrText>
          </w:r>
          <w:r>
            <w:fldChar w:fldCharType="separate"/>
          </w:r>
          <w:r>
            <w:rPr>
              <w:rFonts w:hint="eastAsia" w:asciiTheme="majorEastAsia" w:hAnsiTheme="majorEastAsia" w:eastAsiaTheme="majorEastAsia" w:cstheme="majorEastAsia"/>
              <w:sz w:val="24"/>
            </w:rPr>
            <w:t>（三）产出</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_Toc12330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29</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1"/>
            <w:tabs>
              <w:tab w:val="right" w:leader="dot" w:pos="8312"/>
            </w:tabs>
            <w:spacing w:line="312" w:lineRule="auto"/>
            <w:ind w:left="0" w:leftChars="0" w:firstLine="280" w:firstLineChars="100"/>
            <w:rPr>
              <w:rFonts w:asciiTheme="majorEastAsia" w:hAnsiTheme="majorEastAsia" w:eastAsiaTheme="majorEastAsia" w:cstheme="majorEastAsia"/>
              <w:sz w:val="24"/>
            </w:rPr>
          </w:pPr>
          <w:r>
            <w:fldChar w:fldCharType="begin"/>
          </w:r>
          <w:r>
            <w:instrText xml:space="preserve"> HYPERLINK \l "_Toc28363" </w:instrText>
          </w:r>
          <w:r>
            <w:fldChar w:fldCharType="separate"/>
          </w:r>
          <w:r>
            <w:rPr>
              <w:rFonts w:hint="eastAsia" w:asciiTheme="majorEastAsia" w:hAnsiTheme="majorEastAsia" w:eastAsiaTheme="majorEastAsia" w:cstheme="majorEastAsia"/>
              <w:sz w:val="24"/>
            </w:rPr>
            <w:t>（四）效果</w:t>
          </w:r>
          <w:r>
            <w:rPr>
              <w:rFonts w:hint="eastAsia" w:asciiTheme="majorEastAsia" w:hAnsiTheme="majorEastAsia" w:eastAsiaTheme="majorEastAsia" w:cstheme="majorEastAsia"/>
              <w:sz w:val="24"/>
            </w:rPr>
            <w:tab/>
          </w:r>
          <w:r>
            <w:rPr>
              <w:rFonts w:hint="eastAsia" w:asciiTheme="majorEastAsia" w:hAnsiTheme="majorEastAsia" w:eastAsiaTheme="majorEastAsia" w:cstheme="majorEastAsia"/>
              <w:sz w:val="24"/>
            </w:rPr>
            <w:fldChar w:fldCharType="begin"/>
          </w:r>
          <w:r>
            <w:rPr>
              <w:rFonts w:hint="eastAsia" w:asciiTheme="majorEastAsia" w:hAnsiTheme="majorEastAsia" w:eastAsiaTheme="majorEastAsia" w:cstheme="majorEastAsia"/>
              <w:sz w:val="24"/>
            </w:rPr>
            <w:instrText xml:space="preserve"> PAGEREF _Toc28363 </w:instrText>
          </w:r>
          <w:r>
            <w:rPr>
              <w:rFonts w:hint="eastAsia" w:asciiTheme="majorEastAsia" w:hAnsiTheme="majorEastAsia" w:eastAsiaTheme="majorEastAsia" w:cstheme="majorEastAsia"/>
              <w:sz w:val="24"/>
            </w:rPr>
            <w:fldChar w:fldCharType="separate"/>
          </w:r>
          <w:r>
            <w:rPr>
              <w:rFonts w:hint="eastAsia" w:asciiTheme="majorEastAsia" w:hAnsiTheme="majorEastAsia" w:eastAsiaTheme="majorEastAsia" w:cstheme="majorEastAsia"/>
              <w:sz w:val="24"/>
            </w:rPr>
            <w:t>31</w:t>
          </w:r>
          <w:r>
            <w:rPr>
              <w:rFonts w:hint="eastAsia" w:asciiTheme="majorEastAsia" w:hAnsiTheme="majorEastAsia" w:eastAsiaTheme="majorEastAsia" w:cstheme="majorEastAsia"/>
              <w:sz w:val="24"/>
            </w:rPr>
            <w:fldChar w:fldCharType="end"/>
          </w:r>
          <w:r>
            <w:rPr>
              <w:rFonts w:hint="eastAsia" w:asciiTheme="majorEastAsia" w:hAnsiTheme="majorEastAsia" w:eastAsiaTheme="majorEastAsia" w:cstheme="majorEastAsia"/>
              <w:sz w:val="24"/>
            </w:rPr>
            <w:fldChar w:fldCharType="end"/>
          </w:r>
        </w:p>
        <w:p>
          <w:pPr>
            <w:pStyle w:val="18"/>
            <w:tabs>
              <w:tab w:val="right" w:leader="dot" w:pos="8312"/>
            </w:tabs>
            <w:spacing w:line="312" w:lineRule="auto"/>
            <w:ind w:left="0" w:leftChars="0"/>
            <w:rPr>
              <w:rFonts w:asciiTheme="majorEastAsia" w:hAnsiTheme="majorEastAsia" w:eastAsiaTheme="majorEastAsia" w:cstheme="majorEastAsia"/>
              <w:sz w:val="24"/>
            </w:rPr>
          </w:pPr>
          <w:r>
            <w:fldChar w:fldCharType="begin"/>
          </w:r>
          <w:r>
            <w:instrText xml:space="preserve"> HYPERLINK \l "_Toc13757" </w:instrText>
          </w:r>
          <w:r>
            <w:fldChar w:fldCharType="separate"/>
          </w:r>
          <w:r>
            <w:rPr>
              <w:rFonts w:hint="eastAsia" w:asciiTheme="majorEastAsia" w:hAnsiTheme="majorEastAsia" w:eastAsiaTheme="majorEastAsia" w:cstheme="majorEastAsia"/>
              <w:b/>
              <w:bCs/>
              <w:sz w:val="24"/>
            </w:rPr>
            <w:t>五、绩效评价发现的问题</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_Toc13757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33</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pStyle w:val="18"/>
            <w:tabs>
              <w:tab w:val="right" w:leader="dot" w:pos="8312"/>
            </w:tabs>
            <w:spacing w:line="312" w:lineRule="auto"/>
            <w:ind w:left="0" w:leftChars="0"/>
            <w:rPr>
              <w:b/>
              <w:bCs/>
            </w:rPr>
          </w:pPr>
          <w:r>
            <w:fldChar w:fldCharType="begin"/>
          </w:r>
          <w:r>
            <w:instrText xml:space="preserve"> HYPERLINK \l "_Toc20723" </w:instrText>
          </w:r>
          <w:r>
            <w:fldChar w:fldCharType="separate"/>
          </w:r>
          <w:r>
            <w:rPr>
              <w:rFonts w:hint="eastAsia" w:asciiTheme="majorEastAsia" w:hAnsiTheme="majorEastAsia" w:eastAsiaTheme="majorEastAsia" w:cstheme="majorEastAsia"/>
              <w:b/>
              <w:bCs/>
              <w:sz w:val="24"/>
            </w:rPr>
            <w:t>六、绩效评价意见及建议</w:t>
          </w:r>
          <w:r>
            <w:rPr>
              <w:rFonts w:hint="eastAsia" w:asciiTheme="majorEastAsia" w:hAnsiTheme="majorEastAsia" w:eastAsiaTheme="majorEastAsia" w:cstheme="majorEastAsia"/>
              <w:b/>
              <w:bCs/>
              <w:sz w:val="24"/>
            </w:rPr>
            <w:tab/>
          </w:r>
          <w:r>
            <w:rPr>
              <w:rFonts w:hint="eastAsia" w:asciiTheme="majorEastAsia" w:hAnsiTheme="majorEastAsia" w:eastAsiaTheme="majorEastAsia" w:cstheme="majorEastAsia"/>
              <w:b/>
              <w:bCs/>
              <w:sz w:val="24"/>
            </w:rPr>
            <w:fldChar w:fldCharType="begin"/>
          </w:r>
          <w:r>
            <w:rPr>
              <w:rFonts w:hint="eastAsia" w:asciiTheme="majorEastAsia" w:hAnsiTheme="majorEastAsia" w:eastAsiaTheme="majorEastAsia" w:cstheme="majorEastAsia"/>
              <w:b/>
              <w:bCs/>
              <w:sz w:val="24"/>
            </w:rPr>
            <w:instrText xml:space="preserve"> PAGEREF _Toc20723 </w:instrText>
          </w:r>
          <w:r>
            <w:rPr>
              <w:rFonts w:hint="eastAsia" w:asciiTheme="majorEastAsia" w:hAnsiTheme="majorEastAsia" w:eastAsiaTheme="majorEastAsia" w:cstheme="majorEastAsia"/>
              <w:b/>
              <w:bCs/>
              <w:sz w:val="24"/>
            </w:rPr>
            <w:fldChar w:fldCharType="separate"/>
          </w:r>
          <w:r>
            <w:rPr>
              <w:rFonts w:hint="eastAsia" w:asciiTheme="majorEastAsia" w:hAnsiTheme="majorEastAsia" w:eastAsiaTheme="majorEastAsia" w:cstheme="majorEastAsia"/>
              <w:b/>
              <w:bCs/>
              <w:sz w:val="24"/>
            </w:rPr>
            <w:t>33</w:t>
          </w:r>
          <w:r>
            <w:rPr>
              <w:rFonts w:hint="eastAsia" w:asciiTheme="majorEastAsia" w:hAnsiTheme="majorEastAsia" w:eastAsiaTheme="majorEastAsia" w:cstheme="majorEastAsia"/>
              <w:b/>
              <w:bCs/>
              <w:sz w:val="24"/>
            </w:rPr>
            <w:fldChar w:fldCharType="end"/>
          </w:r>
          <w:r>
            <w:rPr>
              <w:rFonts w:hint="eastAsia" w:asciiTheme="majorEastAsia" w:hAnsiTheme="majorEastAsia" w:eastAsiaTheme="majorEastAsia" w:cstheme="majorEastAsia"/>
              <w:b/>
              <w:bCs/>
              <w:sz w:val="24"/>
            </w:rPr>
            <w:fldChar w:fldCharType="end"/>
          </w:r>
        </w:p>
        <w:p>
          <w:pPr>
            <w:spacing w:line="312" w:lineRule="auto"/>
            <w:ind w:firstLine="440" w:firstLineChars="200"/>
            <w:jc w:val="both"/>
            <w:sectPr>
              <w:footerReference r:id="rId4" w:type="default"/>
              <w:pgSz w:w="11906" w:h="16838"/>
              <w:pgMar w:top="1440" w:right="1797" w:bottom="1191" w:left="1797" w:header="709" w:footer="709" w:gutter="0"/>
              <w:pgNumType w:start="1"/>
              <w:cols w:space="708" w:num="1"/>
              <w:docGrid w:linePitch="360" w:charSpace="0"/>
            </w:sectPr>
          </w:pPr>
          <w:r>
            <w:rPr>
              <w:rFonts w:asciiTheme="minorEastAsia" w:hAnsiTheme="minorEastAsia" w:eastAsiaTheme="minorEastAsia"/>
              <w:szCs w:val="24"/>
            </w:rPr>
            <w:fldChar w:fldCharType="end"/>
          </w:r>
        </w:p>
      </w:sdtContent>
    </w:sdt>
    <w:p>
      <w:pPr>
        <w:pStyle w:val="3"/>
        <w:spacing w:line="540" w:lineRule="exact"/>
        <w:jc w:val="center"/>
        <w:rPr>
          <w:rFonts w:ascii="黑体" w:hAnsi="黑体"/>
          <w:b w:val="0"/>
        </w:rPr>
      </w:pPr>
      <w:bookmarkStart w:id="0" w:name="_Toc25184"/>
      <w:r>
        <w:rPr>
          <w:rFonts w:hint="eastAsia" w:ascii="黑体" w:hAnsi="黑体"/>
          <w:b w:val="0"/>
        </w:rPr>
        <w:t>第一部分   摘  要</w:t>
      </w:r>
      <w:bookmarkEnd w:id="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为深入贯彻落实中共中央国务院《关于全面实施预算绩效管理的意见》、中共河北省委河北省人民政府《关于全面实施预算绩效管理的实施意见》</w:t>
      </w:r>
      <w:r>
        <w:rPr>
          <w:rFonts w:hint="eastAsia" w:ascii="仿宋_GB2312" w:eastAsia="仿宋_GB2312" w:cs="DengXian-Regular"/>
          <w:sz w:val="32"/>
          <w:szCs w:val="32"/>
          <w:lang w:eastAsia="zh-CN"/>
        </w:rPr>
        <w:t>，</w:t>
      </w:r>
      <w:r>
        <w:rPr>
          <w:rFonts w:hint="eastAsia" w:ascii="仿宋_GB2312" w:eastAsia="仿宋_GB2312" w:cs="DengXian-Regular"/>
          <w:sz w:val="32"/>
          <w:szCs w:val="32"/>
        </w:rPr>
        <w:t>我单位对</w:t>
      </w:r>
      <w:r>
        <w:rPr>
          <w:rFonts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年部门整体支出情况开展了绩效自评价工作。</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保定市徐水区</w:t>
      </w:r>
      <w:r>
        <w:rPr>
          <w:rFonts w:hint="eastAsia" w:ascii="仿宋_GB2312" w:eastAsia="仿宋_GB2312" w:cs="DengXian-Regular"/>
          <w:sz w:val="32"/>
          <w:szCs w:val="32"/>
          <w:lang w:val="en-US" w:eastAsia="zh-CN"/>
        </w:rPr>
        <w:t>财政局</w:t>
      </w:r>
      <w:r>
        <w:rPr>
          <w:rFonts w:hint="eastAsia" w:ascii="仿宋_GB2312" w:eastAsia="仿宋_GB2312" w:cs="DengXian-Regular"/>
          <w:sz w:val="32"/>
          <w:szCs w:val="32"/>
        </w:rPr>
        <w:t>为正科级行政单位，经费保障形式为财政拨款，下设</w:t>
      </w:r>
      <w:r>
        <w:rPr>
          <w:rFonts w:ascii="仿宋_GB2312" w:eastAsia="仿宋_GB2312" w:cs="DengXian-Regular"/>
          <w:sz w:val="32"/>
          <w:szCs w:val="32"/>
        </w:rPr>
        <w:t>11</w:t>
      </w:r>
      <w:r>
        <w:rPr>
          <w:rFonts w:hint="eastAsia" w:ascii="仿宋_GB2312" w:eastAsia="仿宋_GB2312" w:cs="DengXian-Regular"/>
          <w:sz w:val="32"/>
          <w:szCs w:val="32"/>
        </w:rPr>
        <w:t>个股室，</w:t>
      </w:r>
      <w:r>
        <w:rPr>
          <w:rFonts w:hint="default" w:ascii="仿宋_GB2312" w:eastAsia="仿宋_GB2312" w:cs="DengXian-Regular"/>
          <w:sz w:val="32"/>
          <w:szCs w:val="32"/>
          <w:lang w:val="en-US"/>
        </w:rPr>
        <w:t>3</w:t>
      </w:r>
      <w:r>
        <w:rPr>
          <w:rFonts w:hint="eastAsia" w:ascii="仿宋_GB2312" w:eastAsia="仿宋_GB2312" w:cs="DengXian-Regular"/>
          <w:sz w:val="32"/>
          <w:szCs w:val="32"/>
        </w:rPr>
        <w:t>个</w:t>
      </w:r>
      <w:r>
        <w:rPr>
          <w:rFonts w:ascii="仿宋_GB2312" w:eastAsia="仿宋_GB2312" w:cs="DengXian-Regular"/>
          <w:sz w:val="32"/>
          <w:szCs w:val="32"/>
        </w:rPr>
        <w:t>事业</w:t>
      </w:r>
      <w:r>
        <w:rPr>
          <w:rFonts w:hint="eastAsia" w:ascii="仿宋_GB2312" w:eastAsia="仿宋_GB2312" w:cs="DengXian-Regular"/>
          <w:sz w:val="32"/>
          <w:szCs w:val="32"/>
        </w:rPr>
        <w:t>中心</w:t>
      </w:r>
      <w:r>
        <w:rPr>
          <w:rFonts w:ascii="仿宋_GB2312" w:eastAsia="仿宋_GB2312" w:cs="DengXian-Regular"/>
          <w:sz w:val="32"/>
          <w:szCs w:val="32"/>
        </w:rPr>
        <w:t>，</w:t>
      </w:r>
      <w:r>
        <w:rPr>
          <w:rFonts w:hint="eastAsia" w:ascii="仿宋_GB2312" w:eastAsia="仿宋_GB2312" w:cs="DengXian-Regular"/>
          <w:sz w:val="32"/>
          <w:szCs w:val="32"/>
        </w:rPr>
        <w:t>分别为办公室、预算股、国</w:t>
      </w:r>
      <w:r>
        <w:rPr>
          <w:rFonts w:ascii="仿宋_GB2312" w:eastAsia="仿宋_GB2312" w:cs="DengXian-Regular"/>
          <w:sz w:val="32"/>
          <w:szCs w:val="32"/>
        </w:rPr>
        <w:t>库股、教科文行股、绩效评价股、</w:t>
      </w:r>
      <w:r>
        <w:rPr>
          <w:rFonts w:hint="eastAsia" w:ascii="仿宋_GB2312" w:eastAsia="仿宋_GB2312" w:cs="DengXian-Regular"/>
          <w:sz w:val="32"/>
          <w:szCs w:val="32"/>
        </w:rPr>
        <w:t>债务</w:t>
      </w:r>
      <w:r>
        <w:rPr>
          <w:rFonts w:ascii="仿宋_GB2312" w:eastAsia="仿宋_GB2312" w:cs="DengXian-Regular"/>
          <w:sz w:val="32"/>
          <w:szCs w:val="32"/>
        </w:rPr>
        <w:t>股、农财股、社保股、会计股、经建股、国资采购股、</w:t>
      </w:r>
      <w:r>
        <w:rPr>
          <w:rFonts w:hint="eastAsia" w:ascii="仿宋_GB2312" w:eastAsia="仿宋_GB2312" w:cs="DengXian-Regular"/>
          <w:sz w:val="32"/>
          <w:szCs w:val="32"/>
        </w:rPr>
        <w:t>保</w:t>
      </w:r>
      <w:r>
        <w:rPr>
          <w:rFonts w:ascii="仿宋_GB2312" w:eastAsia="仿宋_GB2312" w:cs="DengXian-Regular"/>
          <w:sz w:val="32"/>
          <w:szCs w:val="32"/>
        </w:rPr>
        <w:t>定市徐水区财政投资评审中心</w:t>
      </w:r>
      <w:r>
        <w:rPr>
          <w:rFonts w:hint="eastAsia" w:ascii="仿宋_GB2312" w:eastAsia="仿宋_GB2312" w:cs="DengXian-Regular"/>
          <w:sz w:val="32"/>
          <w:szCs w:val="32"/>
          <w:lang w:eastAsia="zh-CN"/>
        </w:rPr>
        <w:t>、</w:t>
      </w:r>
      <w:r>
        <w:rPr>
          <w:rFonts w:hint="eastAsia" w:ascii="仿宋_GB2312" w:eastAsia="仿宋_GB2312" w:cs="DengXian-Regular"/>
          <w:sz w:val="32"/>
          <w:szCs w:val="32"/>
        </w:rPr>
        <w:t>保</w:t>
      </w:r>
      <w:r>
        <w:rPr>
          <w:rFonts w:ascii="仿宋_GB2312" w:eastAsia="仿宋_GB2312" w:cs="DengXian-Regular"/>
          <w:sz w:val="32"/>
          <w:szCs w:val="32"/>
        </w:rPr>
        <w:t>定市徐水区</w:t>
      </w:r>
      <w:r>
        <w:rPr>
          <w:rFonts w:hint="eastAsia" w:ascii="仿宋_GB2312" w:eastAsia="仿宋_GB2312" w:cs="DengXian-Regular"/>
          <w:sz w:val="32"/>
          <w:szCs w:val="32"/>
          <w:lang w:eastAsia="zh-CN"/>
        </w:rPr>
        <w:t>财政预算绩效中心</w:t>
      </w:r>
      <w:r>
        <w:rPr>
          <w:rFonts w:hint="eastAsia" w:ascii="仿宋_GB2312" w:eastAsia="仿宋_GB2312" w:cs="DengXian-Regular"/>
          <w:sz w:val="32"/>
          <w:szCs w:val="32"/>
          <w:lang w:val="en-US" w:eastAsia="zh-CN"/>
        </w:rPr>
        <w:t>和</w:t>
      </w:r>
      <w:r>
        <w:rPr>
          <w:rFonts w:hint="eastAsia" w:ascii="仿宋_GB2312" w:eastAsia="仿宋_GB2312" w:cs="DengXian-Regular"/>
          <w:sz w:val="32"/>
          <w:szCs w:val="32"/>
        </w:rPr>
        <w:t>保定市徐水区财政预算编审中心。主要职责有贯彻落实党中央、省委、市委和区委关于财政工作的方针政策和决策部署，坚持和加强党对财政工作的集中统一领导，负责全区财政工作。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是制定科学合理的评价方法、评价标准和指标体系，对财政资金的使用及产生的效益进行客观、公正的评价。通过部门整体支出绩效评价工作了解部门绩效目标和指标的设置及完成情况；部门整体资金预算情况、实际收支及结转结余情况；部门履职对社会发展所带来的直接或间接影响及服务对象对部门履职效果的满意程度，促使相关部门根据绩效评价过程中发现的问题，及时整改并总结经验，提高部门管理水平，牢固树立预算绩效理念，强化部门支出责任，提高预算执行效率和财政资金使用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中共河北省委河北省人民政府《关于全面实施预算绩效管理的实施意见》的相关规定，以河北省财政厅《全面实施预算绩效管理推进工作方案》、《保定市徐水区部门预算绩效运行监控工作规程》中的相关工作要求作为评价标准，采取定量和定性评价相结合的方法，对资料进行审核、分析，实事求是、客观公正地完成了</w:t>
      </w:r>
      <w:r>
        <w:rPr>
          <w:rFonts w:hint="eastAsia" w:ascii="仿宋_GB2312" w:eastAsia="仿宋_GB2312" w:cs="DengXian-Regular"/>
          <w:sz w:val="32"/>
          <w:szCs w:val="32"/>
          <w:lang w:val="en-US" w:eastAsia="zh-CN"/>
        </w:rPr>
        <w:t>我单位</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年部门整体支出绩效评价工作。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年部门整体支出绩效评价指标体系共设置4个一级指标、7个二级指标、27个三级指标，从投入、过程、产出、效果四个方面对</w:t>
      </w:r>
      <w:r>
        <w:rPr>
          <w:rFonts w:hint="eastAsia" w:ascii="仿宋_GB2312" w:eastAsia="仿宋_GB2312" w:cs="DengXian-Regular"/>
          <w:sz w:val="32"/>
          <w:szCs w:val="32"/>
          <w:lang w:val="en-US" w:eastAsia="zh-CN"/>
        </w:rPr>
        <w:t>我</w:t>
      </w:r>
      <w:r>
        <w:rPr>
          <w:rFonts w:hint="eastAsia" w:ascii="仿宋_GB2312" w:eastAsia="仿宋_GB2312" w:cs="DengXian-Regular"/>
          <w:sz w:val="32"/>
          <w:szCs w:val="32"/>
        </w:rPr>
        <w:t>单位部门整体支出情况评分定级。指标体系设定满分为100分，绩效评价分值≥90为“优”；80≤分值＜90为“良”；60≤分值＜80为“合格”；60分以下为“差”。</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202</w:t>
      </w:r>
      <w:r>
        <w:rPr>
          <w:rFonts w:hint="default" w:ascii="仿宋_GB2312" w:eastAsia="仿宋_GB2312" w:cs="DengXian-Regular"/>
          <w:sz w:val="32"/>
          <w:szCs w:val="32"/>
          <w:highlight w:val="none"/>
          <w:lang w:val="en-US"/>
        </w:rPr>
        <w:t>2</w:t>
      </w:r>
      <w:r>
        <w:rPr>
          <w:rFonts w:hint="eastAsia" w:ascii="仿宋_GB2312" w:eastAsia="仿宋_GB2312" w:cs="DengXian-Regular"/>
          <w:sz w:val="32"/>
          <w:szCs w:val="32"/>
          <w:highlight w:val="none"/>
        </w:rPr>
        <w:t>年部门整体支出综合评价得分为</w:t>
      </w:r>
      <w:r>
        <w:rPr>
          <w:rFonts w:hint="default" w:ascii="仿宋_GB2312" w:eastAsia="仿宋_GB2312" w:cs="DengXian-Regular"/>
          <w:sz w:val="32"/>
          <w:szCs w:val="32"/>
          <w:highlight w:val="none"/>
          <w:lang w:val="en-US"/>
        </w:rPr>
        <w:t>93</w:t>
      </w:r>
      <w:r>
        <w:rPr>
          <w:rFonts w:hint="eastAsia" w:ascii="仿宋_GB2312" w:eastAsia="仿宋_GB2312" w:cs="DengXian-Regular"/>
          <w:sz w:val="32"/>
          <w:szCs w:val="32"/>
          <w:highlight w:val="none"/>
        </w:rPr>
        <w:t>分，评价等级为“</w:t>
      </w:r>
      <w:r>
        <w:rPr>
          <w:rFonts w:hint="eastAsia" w:ascii="仿宋_GB2312" w:eastAsia="仿宋_GB2312" w:cs="DengXian-Regular"/>
          <w:sz w:val="32"/>
          <w:szCs w:val="32"/>
          <w:highlight w:val="none"/>
          <w:lang w:val="en-US" w:eastAsia="zh-CN"/>
        </w:rPr>
        <w:t>优</w:t>
      </w:r>
      <w:r>
        <w:rPr>
          <w:rFonts w:hint="eastAsia" w:ascii="仿宋_GB2312" w:eastAsia="仿宋_GB2312" w:cs="DengXian-Regular"/>
          <w:sz w:val="32"/>
          <w:szCs w:val="32"/>
          <w:highlight w:val="none"/>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经评价，</w:t>
      </w:r>
      <w:r>
        <w:rPr>
          <w:rFonts w:hint="eastAsia" w:ascii="仿宋_GB2312" w:eastAsia="仿宋_GB2312" w:cs="DengXian-Regular"/>
          <w:sz w:val="32"/>
          <w:szCs w:val="32"/>
          <w:lang w:val="en-US" w:eastAsia="zh-CN"/>
        </w:rPr>
        <w:t>我部门</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部门预算编制完整性、项目预算细化率、在职人员控制率、收入完成率、财政拨款支出完成率、“三公经费”控制率、资金使用合规性、决算真实性、管理制度健全性、预决算信息公开、资产管理规范性、绩效自评覆盖率、绩效评价优等率、结转结余率、部门整体效益等指标完成情况较好。</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通过本次绩效评价工作，发现我单位在以下几个方面存在一些不足之处，具体如下：</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1.绩效指标方面：绩效</w:t>
      </w:r>
      <w:r>
        <w:rPr>
          <w:rFonts w:ascii="仿宋_GB2312" w:eastAsia="仿宋_GB2312" w:cs="DengXian-Regular"/>
          <w:sz w:val="32"/>
          <w:szCs w:val="32"/>
          <w:highlight w:val="none"/>
        </w:rPr>
        <w:t>指标</w:t>
      </w:r>
      <w:r>
        <w:rPr>
          <w:rFonts w:hint="eastAsia" w:ascii="仿宋_GB2312" w:eastAsia="仿宋_GB2312" w:cs="DengXian-Regular"/>
          <w:sz w:val="32"/>
          <w:szCs w:val="32"/>
          <w:highlight w:val="none"/>
        </w:rPr>
        <w:t>的</w:t>
      </w:r>
      <w:r>
        <w:rPr>
          <w:rFonts w:ascii="仿宋_GB2312" w:eastAsia="仿宋_GB2312" w:cs="DengXian-Regular"/>
          <w:sz w:val="32"/>
          <w:szCs w:val="32"/>
          <w:highlight w:val="none"/>
        </w:rPr>
        <w:t>设定</w:t>
      </w:r>
      <w:r>
        <w:rPr>
          <w:rFonts w:hint="eastAsia" w:ascii="仿宋_GB2312" w:eastAsia="仿宋_GB2312" w:cs="DengXian-Regular"/>
          <w:sz w:val="32"/>
          <w:szCs w:val="32"/>
          <w:highlight w:val="none"/>
        </w:rPr>
        <w:t>还</w:t>
      </w:r>
      <w:r>
        <w:rPr>
          <w:rFonts w:ascii="仿宋_GB2312" w:eastAsia="仿宋_GB2312" w:cs="DengXian-Regular"/>
          <w:sz w:val="32"/>
          <w:szCs w:val="32"/>
          <w:highlight w:val="none"/>
        </w:rPr>
        <w:t>有待于</w:t>
      </w:r>
      <w:r>
        <w:rPr>
          <w:rFonts w:hint="eastAsia" w:ascii="仿宋_GB2312" w:eastAsia="仿宋_GB2312" w:cs="DengXian-Regular"/>
          <w:sz w:val="32"/>
          <w:szCs w:val="32"/>
          <w:highlight w:val="none"/>
        </w:rPr>
        <w:t>进一步</w:t>
      </w:r>
      <w:r>
        <w:rPr>
          <w:rFonts w:ascii="仿宋_GB2312" w:eastAsia="仿宋_GB2312" w:cs="DengXian-Regular"/>
          <w:sz w:val="32"/>
          <w:szCs w:val="32"/>
          <w:highlight w:val="none"/>
        </w:rPr>
        <w:t>精细</w:t>
      </w:r>
      <w:r>
        <w:rPr>
          <w:rFonts w:hint="eastAsia" w:ascii="仿宋_GB2312" w:eastAsia="仿宋_GB2312" w:cs="DengXian-Regular"/>
          <w:sz w:val="32"/>
          <w:szCs w:val="32"/>
          <w:highlight w:val="none"/>
        </w:rPr>
        <w:t>化</w:t>
      </w:r>
      <w:r>
        <w:rPr>
          <w:rFonts w:ascii="仿宋_GB2312" w:eastAsia="仿宋_GB2312" w:cs="DengXian-Regular"/>
          <w:sz w:val="32"/>
          <w:szCs w:val="32"/>
          <w:highlight w:val="none"/>
        </w:rPr>
        <w:t>、科学</w:t>
      </w:r>
      <w:r>
        <w:rPr>
          <w:rFonts w:hint="eastAsia" w:ascii="仿宋_GB2312" w:eastAsia="仿宋_GB2312" w:cs="DengXian-Regular"/>
          <w:sz w:val="32"/>
          <w:szCs w:val="32"/>
          <w:highlight w:val="none"/>
        </w:rPr>
        <w:t>化</w:t>
      </w:r>
      <w:r>
        <w:rPr>
          <w:rFonts w:ascii="仿宋_GB2312" w:eastAsia="仿宋_GB2312" w:cs="DengXian-Regular"/>
          <w:sz w:val="32"/>
          <w:szCs w:val="32"/>
          <w:highlight w:val="none"/>
        </w:rPr>
        <w:t>，</w:t>
      </w:r>
      <w:r>
        <w:rPr>
          <w:rFonts w:hint="eastAsia" w:ascii="仿宋_GB2312" w:eastAsia="仿宋_GB2312" w:cs="DengXian-Regular"/>
          <w:sz w:val="32"/>
          <w:szCs w:val="32"/>
          <w:highlight w:val="none"/>
        </w:rPr>
        <w:t>以</w:t>
      </w:r>
      <w:r>
        <w:rPr>
          <w:rFonts w:ascii="仿宋_GB2312" w:eastAsia="仿宋_GB2312" w:cs="DengXian-Regular"/>
          <w:sz w:val="32"/>
          <w:szCs w:val="32"/>
          <w:highlight w:val="none"/>
        </w:rPr>
        <w:t>便于绩效评价与考核。</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ascii="仿宋_GB2312" w:eastAsia="仿宋_GB2312" w:cs="DengXian-Regular"/>
          <w:sz w:val="32"/>
          <w:szCs w:val="32"/>
          <w:highlight w:val="none"/>
        </w:rPr>
        <w:t>2</w:t>
      </w:r>
      <w:r>
        <w:rPr>
          <w:rFonts w:hint="eastAsia" w:ascii="仿宋_GB2312" w:eastAsia="仿宋_GB2312" w:cs="DengXian-Regular"/>
          <w:sz w:val="32"/>
          <w:szCs w:val="32"/>
          <w:highlight w:val="none"/>
        </w:rPr>
        <w:t>.项目资金使用率：部分</w:t>
      </w:r>
      <w:r>
        <w:rPr>
          <w:rFonts w:ascii="仿宋_GB2312" w:eastAsia="仿宋_GB2312" w:cs="DengXian-Regular"/>
          <w:sz w:val="32"/>
          <w:szCs w:val="32"/>
          <w:highlight w:val="none"/>
        </w:rPr>
        <w:t>项目需要加强</w:t>
      </w:r>
      <w:r>
        <w:rPr>
          <w:rFonts w:hint="eastAsia" w:ascii="仿宋_GB2312" w:eastAsia="仿宋_GB2312" w:cs="DengXian-Regular"/>
          <w:sz w:val="32"/>
          <w:szCs w:val="32"/>
          <w:highlight w:val="none"/>
        </w:rPr>
        <w:t>监督</w:t>
      </w:r>
      <w:r>
        <w:rPr>
          <w:rFonts w:ascii="仿宋_GB2312" w:eastAsia="仿宋_GB2312" w:cs="DengXian-Regular"/>
          <w:sz w:val="32"/>
          <w:szCs w:val="32"/>
          <w:highlight w:val="none"/>
        </w:rPr>
        <w:t>与</w:t>
      </w:r>
      <w:r>
        <w:rPr>
          <w:rFonts w:hint="eastAsia" w:ascii="仿宋_GB2312" w:eastAsia="仿宋_GB2312" w:cs="DengXian-Regular"/>
          <w:sz w:val="32"/>
          <w:szCs w:val="32"/>
          <w:highlight w:val="none"/>
        </w:rPr>
        <w:t>管理，</w:t>
      </w:r>
      <w:r>
        <w:rPr>
          <w:rFonts w:ascii="仿宋_GB2312" w:eastAsia="仿宋_GB2312" w:cs="DengXian-Regular"/>
          <w:sz w:val="32"/>
          <w:szCs w:val="32"/>
          <w:highlight w:val="none"/>
        </w:rPr>
        <w:t>资金</w:t>
      </w:r>
      <w:r>
        <w:rPr>
          <w:rFonts w:hint="eastAsia" w:ascii="仿宋_GB2312" w:eastAsia="仿宋_GB2312" w:cs="DengXian-Regular"/>
          <w:sz w:val="32"/>
          <w:szCs w:val="32"/>
          <w:highlight w:val="none"/>
        </w:rPr>
        <w:t>支</w:t>
      </w:r>
      <w:r>
        <w:rPr>
          <w:rFonts w:ascii="仿宋_GB2312" w:eastAsia="仿宋_GB2312" w:cs="DengXian-Regular"/>
          <w:sz w:val="32"/>
          <w:szCs w:val="32"/>
          <w:highlight w:val="none"/>
        </w:rPr>
        <w:t>付进度有待</w:t>
      </w:r>
      <w:r>
        <w:rPr>
          <w:rFonts w:hint="eastAsia" w:ascii="仿宋_GB2312" w:eastAsia="仿宋_GB2312" w:cs="DengXian-Regular"/>
          <w:sz w:val="32"/>
          <w:szCs w:val="32"/>
          <w:highlight w:val="none"/>
        </w:rPr>
        <w:t>进一步提高</w:t>
      </w:r>
      <w:r>
        <w:rPr>
          <w:rFonts w:ascii="仿宋_GB2312" w:eastAsia="仿宋_GB2312" w:cs="DengXian-Regular"/>
          <w:sz w:val="32"/>
          <w:szCs w:val="32"/>
          <w:highlight w:val="none"/>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针对此次绩效评价过程中发现的问题，我们提出</w:t>
      </w:r>
      <w:r>
        <w:rPr>
          <w:rFonts w:ascii="仿宋_GB2312" w:eastAsia="仿宋_GB2312" w:cs="DengXian-Regular"/>
          <w:sz w:val="32"/>
          <w:szCs w:val="32"/>
        </w:rPr>
        <w:t>了改进措施</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1.增强绩效指标设置的明确性</w:t>
      </w:r>
    </w:p>
    <w:p>
      <w:pPr>
        <w:spacing w:after="0" w:line="360" w:lineRule="auto"/>
        <w:ind w:firstLine="640" w:firstLineChars="200"/>
        <w:jc w:val="both"/>
        <w:textAlignment w:val="baseline"/>
        <w:rPr>
          <w:rFonts w:hint="eastAsia" w:ascii="仿宋_GB2312" w:eastAsia="仿宋_GB2312" w:cs="DengXian-Regular"/>
          <w:sz w:val="32"/>
          <w:szCs w:val="32"/>
          <w:highlight w:val="none"/>
        </w:rPr>
      </w:pPr>
      <w:r>
        <w:rPr>
          <w:rFonts w:hint="eastAsia" w:ascii="仿宋_GB2312" w:eastAsia="仿宋_GB2312" w:cs="DengXian-Regular"/>
          <w:sz w:val="32"/>
          <w:szCs w:val="32"/>
          <w:highlight w:val="none"/>
        </w:rPr>
        <w:t>工作活动、预算项目绩效指标应当清晰、可评价、可衡量。建议在设置职责活动绩效指标时，将绩效目标细化分解为具体的工作任务数，从而使绩效目标可量化，便于对目标实现情况进行考核。</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2.提高预算编制质量</w:t>
      </w:r>
    </w:p>
    <w:p>
      <w:pPr>
        <w:spacing w:after="0" w:line="360" w:lineRule="auto"/>
        <w:ind w:firstLine="640" w:firstLineChars="200"/>
        <w:jc w:val="both"/>
        <w:textAlignment w:val="baseline"/>
        <w:rPr>
          <w:rFonts w:ascii="仿宋_GB2312" w:eastAsia="仿宋_GB2312" w:cs="DengXian-Regular"/>
          <w:sz w:val="32"/>
          <w:szCs w:val="32"/>
          <w:highlight w:val="none"/>
        </w:rPr>
      </w:pPr>
      <w:r>
        <w:rPr>
          <w:rFonts w:hint="eastAsia" w:ascii="仿宋_GB2312" w:eastAsia="仿宋_GB2312" w:cs="DengXian-Regular"/>
          <w:sz w:val="32"/>
          <w:szCs w:val="32"/>
          <w:highlight w:val="none"/>
        </w:rPr>
        <w:t>部门预算编制工作要全面反映和体现部门职责，根据具体情况及时调整预算的编制，缩小预算与决算差额，减少中期预算追加，提高预算编制质量，发挥预算约束作用。</w:t>
      </w:r>
    </w:p>
    <w:p>
      <w:pPr>
        <w:spacing w:after="0" w:line="360" w:lineRule="auto"/>
        <w:ind w:firstLine="640" w:firstLineChars="200"/>
        <w:jc w:val="both"/>
        <w:textAlignment w:val="baseline"/>
        <w:rPr>
          <w:rFonts w:ascii="仿宋_GB2312" w:eastAsia="仿宋_GB2312" w:cs="DengXian-Regular"/>
          <w:sz w:val="32"/>
          <w:szCs w:val="32"/>
          <w:highlight w:val="none"/>
        </w:rPr>
      </w:pPr>
      <w:bookmarkStart w:id="1" w:name="_Toc4346"/>
      <w:r>
        <w:rPr>
          <w:rFonts w:hint="default" w:ascii="仿宋_GB2312" w:eastAsia="仿宋_GB2312" w:cs="DengXian-Regular"/>
          <w:sz w:val="32"/>
          <w:szCs w:val="32"/>
          <w:highlight w:val="none"/>
          <w:lang w:val="en-US"/>
        </w:rPr>
        <w:t>3</w:t>
      </w:r>
      <w:r>
        <w:rPr>
          <w:rFonts w:hint="eastAsia" w:ascii="仿宋_GB2312" w:eastAsia="仿宋_GB2312" w:cs="DengXian-Regular"/>
          <w:sz w:val="32"/>
          <w:szCs w:val="32"/>
          <w:highlight w:val="none"/>
        </w:rPr>
        <w:t>.提高项目资金使用率</w:t>
      </w:r>
    </w:p>
    <w:p>
      <w:pPr>
        <w:spacing w:after="0" w:line="360" w:lineRule="auto"/>
        <w:ind w:firstLine="640" w:firstLineChars="200"/>
        <w:jc w:val="both"/>
        <w:textAlignment w:val="baseline"/>
        <w:rPr>
          <w:rFonts w:ascii="仿宋_GB2312" w:eastAsia="仿宋_GB2312" w:cs="Times New Roman" w:hAnsiTheme="minorEastAsia"/>
          <w:sz w:val="32"/>
          <w:szCs w:val="32"/>
          <w:highlight w:val="none"/>
          <w:u w:color="000000"/>
        </w:rPr>
      </w:pPr>
      <w:r>
        <w:rPr>
          <w:rFonts w:hint="eastAsia" w:ascii="仿宋_GB2312" w:eastAsia="仿宋_GB2312" w:cs="Times New Roman" w:hAnsiTheme="minorEastAsia"/>
          <w:sz w:val="32"/>
          <w:szCs w:val="32"/>
          <w:highlight w:val="none"/>
          <w:u w:color="000000"/>
        </w:rPr>
        <w:t>建议区</w:t>
      </w:r>
      <w:r>
        <w:rPr>
          <w:rFonts w:hint="eastAsia" w:ascii="仿宋_GB2312" w:eastAsia="仿宋_GB2312" w:cs="Times New Roman" w:hAnsiTheme="minorEastAsia"/>
          <w:sz w:val="32"/>
          <w:szCs w:val="32"/>
          <w:highlight w:val="none"/>
          <w:u w:color="000000"/>
          <w:lang w:val="en-US" w:eastAsia="zh-CN"/>
        </w:rPr>
        <w:t>财政局</w:t>
      </w:r>
      <w:r>
        <w:rPr>
          <w:rFonts w:hint="eastAsia" w:ascii="仿宋_GB2312" w:eastAsia="仿宋_GB2312" w:cs="Times New Roman" w:hAnsiTheme="minorEastAsia"/>
          <w:sz w:val="32"/>
          <w:szCs w:val="32"/>
          <w:highlight w:val="none"/>
          <w:u w:color="000000"/>
        </w:rPr>
        <w:t>对项目资金进行梳理，督促项目进度和资金拨付进度，应拨付的资金及时拨付，不具备条件的资金及时收回，同时，对于按规定可以结转至下年的中央及省级项目资金，在下年的项目安排时优先考虑。</w:t>
      </w:r>
    </w:p>
    <w:p>
      <w:pPr>
        <w:pStyle w:val="3"/>
        <w:spacing w:line="540" w:lineRule="exact"/>
        <w:jc w:val="center"/>
        <w:rPr>
          <w:rFonts w:ascii="黑体" w:hAnsi="黑体"/>
          <w:b w:val="0"/>
        </w:rPr>
      </w:pPr>
      <w:r>
        <w:rPr>
          <w:rFonts w:hint="eastAsia" w:ascii="黑体" w:hAnsi="黑体"/>
          <w:b w:val="0"/>
        </w:rPr>
        <w:t>第二部分   绩效评价报告</w:t>
      </w:r>
      <w:bookmarkEnd w:id="1"/>
    </w:p>
    <w:p>
      <w:pPr>
        <w:pStyle w:val="3"/>
        <w:spacing w:before="0" w:after="0" w:line="360" w:lineRule="auto"/>
        <w:ind w:firstLine="643" w:firstLineChars="200"/>
        <w:rPr>
          <w:rFonts w:ascii="楷体" w:hAnsi="楷体" w:eastAsia="楷体" w:cs="楷体"/>
        </w:rPr>
      </w:pPr>
      <w:bookmarkStart w:id="2" w:name="_Toc492652763"/>
      <w:bookmarkStart w:id="3" w:name="_Toc427"/>
      <w:r>
        <w:rPr>
          <w:rFonts w:hint="eastAsia" w:ascii="楷体" w:hAnsi="楷体" w:eastAsia="楷体" w:cs="楷体"/>
        </w:rPr>
        <w:t>一、保定市徐水区</w:t>
      </w:r>
      <w:r>
        <w:rPr>
          <w:rFonts w:hint="eastAsia" w:ascii="楷体" w:hAnsi="楷体" w:eastAsia="楷体" w:cs="楷体"/>
          <w:lang w:val="en-US" w:eastAsia="zh-CN"/>
        </w:rPr>
        <w:t>财政局</w:t>
      </w:r>
      <w:r>
        <w:rPr>
          <w:rFonts w:hint="eastAsia" w:ascii="楷体" w:hAnsi="楷体" w:eastAsia="楷体" w:cs="楷体"/>
        </w:rPr>
        <w:t>单位基本情况</w:t>
      </w:r>
      <w:bookmarkEnd w:id="2"/>
      <w:bookmarkEnd w:id="3"/>
      <w:bookmarkStart w:id="4" w:name="_Toc492652764"/>
    </w:p>
    <w:p>
      <w:pPr>
        <w:pStyle w:val="4"/>
        <w:spacing w:before="0" w:after="0"/>
        <w:ind w:firstLine="643" w:firstLineChars="200"/>
        <w:jc w:val="both"/>
        <w:rPr>
          <w:rFonts w:ascii="仿宋_GB2312" w:hAnsi="Tahoma" w:cs="DengXian-Regular"/>
          <w:sz w:val="32"/>
        </w:rPr>
      </w:pPr>
      <w:bookmarkStart w:id="5" w:name="_Toc11473"/>
      <w:r>
        <w:rPr>
          <w:rFonts w:hint="eastAsia" w:ascii="仿宋_GB2312" w:hAnsi="Tahoma" w:cs="DengXian-Regular"/>
          <w:sz w:val="32"/>
        </w:rPr>
        <w:t>（一）部门职责和工作活动</w:t>
      </w:r>
      <w:bookmarkEnd w:id="4"/>
      <w:bookmarkEnd w:id="5"/>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根据中共保定市徐水区委办公室、保定市徐水区人民政府办公室关于印发《保定市徐水区</w:t>
      </w:r>
      <w:r>
        <w:rPr>
          <w:rFonts w:hint="eastAsia" w:ascii="仿宋_GB2312" w:eastAsia="仿宋_GB2312" w:cs="DengXian-Regular"/>
          <w:sz w:val="32"/>
          <w:szCs w:val="32"/>
          <w:lang w:val="en-US" w:eastAsia="zh-CN"/>
        </w:rPr>
        <w:t>财政局</w:t>
      </w:r>
      <w:r>
        <w:rPr>
          <w:rFonts w:hint="eastAsia" w:ascii="仿宋_GB2312" w:eastAsia="仿宋_GB2312" w:cs="DengXian-Regular"/>
          <w:sz w:val="32"/>
          <w:szCs w:val="32"/>
        </w:rPr>
        <w:t>单位职能配置内设机构和人员编制规定》的通知，区</w:t>
      </w:r>
      <w:r>
        <w:rPr>
          <w:rFonts w:hint="eastAsia" w:ascii="仿宋_GB2312" w:eastAsia="仿宋_GB2312" w:cs="DengXian-Regular"/>
          <w:sz w:val="32"/>
          <w:szCs w:val="32"/>
          <w:lang w:val="en-US" w:eastAsia="zh-CN"/>
        </w:rPr>
        <w:t>财政局</w:t>
      </w:r>
      <w:r>
        <w:rPr>
          <w:rFonts w:hint="eastAsia" w:ascii="仿宋_GB2312" w:eastAsia="仿宋_GB2312" w:cs="DengXian-Regular"/>
          <w:sz w:val="32"/>
          <w:szCs w:val="32"/>
        </w:rPr>
        <w:t>单位为区政府工作部门，正科级单位，下设</w:t>
      </w:r>
      <w:r>
        <w:rPr>
          <w:rFonts w:hint="default" w:ascii="仿宋_GB2312" w:eastAsia="仿宋_GB2312" w:cs="DengXian-Regular"/>
          <w:sz w:val="32"/>
          <w:szCs w:val="32"/>
          <w:lang w:val="en-US"/>
        </w:rPr>
        <w:t>11</w:t>
      </w:r>
      <w:r>
        <w:rPr>
          <w:rFonts w:hint="eastAsia" w:ascii="仿宋_GB2312" w:eastAsia="仿宋_GB2312" w:cs="DengXian-Regular"/>
          <w:sz w:val="32"/>
          <w:szCs w:val="32"/>
        </w:rPr>
        <w:t>个股室。</w:t>
      </w:r>
      <w:r>
        <w:rPr>
          <w:rFonts w:hint="eastAsia" w:ascii="仿宋_GB2312" w:eastAsia="仿宋_GB2312" w:cs="DengXian-Regular"/>
          <w:sz w:val="32"/>
          <w:szCs w:val="32"/>
          <w:lang w:val="en-US" w:eastAsia="zh-CN"/>
        </w:rPr>
        <w:t>财政局</w:t>
      </w:r>
      <w:r>
        <w:rPr>
          <w:rFonts w:hint="eastAsia" w:ascii="仿宋_GB2312" w:eastAsia="仿宋_GB2312" w:cs="DengXian-Regular"/>
          <w:sz w:val="32"/>
          <w:szCs w:val="32"/>
        </w:rPr>
        <w:t>单位根据绩效预算管理改革的相关要求，</w:t>
      </w:r>
      <w:bookmarkStart w:id="6" w:name="_Toc465149499"/>
      <w:bookmarkStart w:id="7" w:name="_Toc492652765"/>
      <w:r>
        <w:rPr>
          <w:rFonts w:hint="eastAsia" w:ascii="仿宋_GB2312" w:eastAsia="仿宋_GB2312" w:cs="DengXian-Regular"/>
          <w:sz w:val="32"/>
          <w:szCs w:val="32"/>
        </w:rPr>
        <w:t>按照“部门职责—工作活动绩效目标”的层级设立了绩效预算架构，职责活动包括财政收</w:t>
      </w:r>
      <w:r>
        <w:rPr>
          <w:rFonts w:ascii="仿宋_GB2312" w:eastAsia="仿宋_GB2312" w:cs="DengXian-Regular"/>
          <w:sz w:val="32"/>
          <w:szCs w:val="32"/>
        </w:rPr>
        <w:t>入管理</w:t>
      </w:r>
      <w:r>
        <w:rPr>
          <w:rFonts w:hint="eastAsia" w:ascii="仿宋_GB2312" w:eastAsia="仿宋_GB2312" w:cs="DengXian-Regular"/>
          <w:sz w:val="32"/>
          <w:szCs w:val="32"/>
        </w:rPr>
        <w:t>、财政资源配置管理、财政体制管理、预算管理、国库管理、财政监督管理、财务会计管理、国有资产管理、政府专项工作服务与管理、财政政务管理等</w:t>
      </w:r>
      <w:r>
        <w:rPr>
          <w:rFonts w:ascii="仿宋_GB2312" w:eastAsia="仿宋_GB2312" w:cs="DengXian-Regular"/>
          <w:sz w:val="32"/>
          <w:szCs w:val="32"/>
        </w:rPr>
        <w:t>十二个</w:t>
      </w:r>
      <w:r>
        <w:rPr>
          <w:rFonts w:hint="eastAsia" w:ascii="仿宋_GB2312" w:eastAsia="仿宋_GB2312" w:cs="DengXian-Regular"/>
          <w:sz w:val="32"/>
          <w:szCs w:val="32"/>
        </w:rPr>
        <w:t>部分。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工作</w:t>
      </w:r>
      <w:r>
        <w:rPr>
          <w:rFonts w:ascii="仿宋_GB2312" w:eastAsia="仿宋_GB2312" w:cs="DengXian-Regular"/>
          <w:sz w:val="32"/>
          <w:szCs w:val="32"/>
        </w:rPr>
        <w:t>职责是：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1、拟订财税发展战略、规划和改革方案并组织实施；分析预测宏观经济形势，提出运用财税政策实施宏观调控和综合平衡社会财力的建议；拟订区与乡镇、政府与地方企业的分配政策。</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2、贯彻执行国家、省、市财政、税收、财务、会计管理的各项法律法规；制定全区有关规章制度并监督实施。</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承担财政预算管理的责任。负责编制年度区本级预算草案并组织执行，汇编全区年度预决算草案；受区政府委托，向区人民代表大会报告全区预算及其执行情况，向区人大常委会报告预算调整方案和决算；组织制定经费开支标准、定额，负责审核批复部门（单位）的年度预决算管理；负责政府预决算公开，并组织部门预决算公开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4、承担财政体制管理的责任。负责拟订区对乡镇财政管理体制，组织实施财政体制改革；完善地方转移支付制度。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5、承担财政国库管理的责任。组织制定国库管理制度、国库集中收付制度并组织实施，指导和监督全区国库业务，按规定开展国库现金管理。组织编制政府财务报告。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6、按分工负责政府非税收入管理。负责政府性基金管理，按规定管理行政事业性收费；管理财政票据；按规定管理彩票资金；负责政府购买服务相关政策制定和实施。</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落实管理权限内的地方性税收政策调整；提出省市授权税目税率调整、减免和地方税收政策等重大事项的建议，监督检查地方税收政策的执行情况；负责组织协调涉税部门，加强综合治税，促进公平税负，提高收入质量，实现应收尽收。</w:t>
      </w:r>
    </w:p>
    <w:p>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8</w:t>
      </w:r>
      <w:r>
        <w:rPr>
          <w:rFonts w:hint="eastAsia" w:ascii="仿宋_GB2312" w:eastAsia="仿宋_GB2312" w:cs="DengXian-Regular"/>
          <w:sz w:val="32"/>
          <w:szCs w:val="32"/>
        </w:rPr>
        <w:t>、牵头编制国有资产管理情况报告；负责拟订行政事业单位国有资产管理规章制度，并负责组织实施和监督检查；会同有关部门拟定行政事业单位国有资产配置标准，并负责购置经费的预算管理，制定需要全区统一规定的开支标准和支出政策。承担全区机关事业单位公务车辆编制管理职责。</w:t>
      </w:r>
    </w:p>
    <w:p>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9</w:t>
      </w:r>
      <w:r>
        <w:rPr>
          <w:rFonts w:hint="eastAsia" w:ascii="仿宋_GB2312" w:eastAsia="仿宋_GB2312" w:cs="DengXian-Regular"/>
          <w:sz w:val="32"/>
          <w:szCs w:val="32"/>
        </w:rPr>
        <w:t>、负责编制全区国有资本经营预决算草案，制定国有资本经营预算制度和办法，收取区属企业国有资本收益；组织实施企业财务制度；按规定管理地方金融类企业国有资产，拟订企业国有资产管理相关制度。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10、按照区政府授权，代表区政府对财政出资的国有企业行使出资人权利，重大事项报区政府批准。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w:t>
      </w:r>
      <w:r>
        <w:rPr>
          <w:rFonts w:ascii="仿宋_GB2312" w:eastAsia="仿宋_GB2312" w:cs="DengXian-Regular"/>
          <w:sz w:val="32"/>
          <w:szCs w:val="32"/>
        </w:rPr>
        <w:t>1</w:t>
      </w:r>
      <w:r>
        <w:rPr>
          <w:rFonts w:hint="eastAsia" w:ascii="仿宋_GB2312" w:eastAsia="仿宋_GB2312" w:cs="DengXian-Regular"/>
          <w:sz w:val="32"/>
          <w:szCs w:val="32"/>
        </w:rPr>
        <w:t>、 负责办理和监督全区财政的经济社会发展支出、政府性投资项目的财政拨款，组织执行基本建设财务管理制度；负责有关政策性补贴和专项储备资金管理。负责财政预算评审管理。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12、负责审核并编制全区社会保险基金预决算草案，会同有关部门拟订有关资金（基金）财务管理制度并组织实施。承担社会保险基金财政监管工作。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w:t>
      </w:r>
      <w:r>
        <w:rPr>
          <w:rFonts w:ascii="仿宋_GB2312" w:eastAsia="仿宋_GB2312" w:cs="DengXian-Regular"/>
          <w:sz w:val="32"/>
          <w:szCs w:val="32"/>
        </w:rPr>
        <w:t>3</w:t>
      </w:r>
      <w:r>
        <w:rPr>
          <w:rFonts w:hint="eastAsia" w:ascii="仿宋_GB2312" w:eastAsia="仿宋_GB2312" w:cs="DengXian-Regular"/>
          <w:sz w:val="32"/>
          <w:szCs w:val="32"/>
        </w:rPr>
        <w:t>、执行政府债务管理制度和政策，拟定具体办法。负责政府债务限额管理、债券发行和还本付息等工作。执行国家外债管理政策，拟定具体办法，管理区政府国外债权债务。</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14、负责管理全区会计工作，监督和规范会计行为，组织实施国家统一的会计制度。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15、负责对政府、部门和单位、政策和项目全面实施预算绩效管理。监督检查财税法规、政策的执行情况。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w:t>
      </w:r>
      <w:r>
        <w:rPr>
          <w:rFonts w:ascii="仿宋_GB2312" w:eastAsia="仿宋_GB2312" w:cs="DengXian-Regular"/>
          <w:sz w:val="32"/>
          <w:szCs w:val="32"/>
        </w:rPr>
        <w:t>6</w:t>
      </w:r>
      <w:r>
        <w:rPr>
          <w:rFonts w:hint="eastAsia" w:ascii="仿宋_GB2312" w:eastAsia="仿宋_GB2312" w:cs="DengXian-Regular"/>
          <w:sz w:val="32"/>
          <w:szCs w:val="32"/>
        </w:rPr>
        <w:t>、负责全区政府采购的管理，依法制定政府采购管理制度；组织审核、编制政府采购年度预算，监督年度政府采购预算执行；对政府采购活动进行监督。</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17、承担政府和社会资本合作的有关工作。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18、按照区政府有关规定，管理收费管理中心和保定市徐水区财政投资评审中心。</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19、承办区政府交办的其他事项。</w:t>
      </w:r>
    </w:p>
    <w:p>
      <w:pPr>
        <w:pStyle w:val="4"/>
        <w:spacing w:before="0" w:after="0"/>
        <w:ind w:firstLine="643" w:firstLineChars="200"/>
        <w:jc w:val="both"/>
        <w:rPr>
          <w:rFonts w:ascii="仿宋_GB2312" w:hAnsi="Tahoma" w:cs="DengXian-Regular"/>
          <w:sz w:val="32"/>
        </w:rPr>
      </w:pPr>
      <w:bookmarkStart w:id="8" w:name="_Toc7075"/>
      <w:r>
        <w:rPr>
          <w:rFonts w:hint="eastAsia" w:ascii="仿宋_GB2312" w:hAnsi="Tahoma" w:cs="DengXian-Regular"/>
          <w:sz w:val="32"/>
        </w:rPr>
        <w:t>（二）</w:t>
      </w:r>
      <w:bookmarkEnd w:id="6"/>
      <w:r>
        <w:rPr>
          <w:rFonts w:hint="eastAsia" w:ascii="仿宋_GB2312" w:hAnsi="Tahoma" w:cs="DengXian-Regular"/>
          <w:sz w:val="32"/>
        </w:rPr>
        <w:t>部门年度发展规划总体目标和职责分类绩效目标</w:t>
      </w:r>
      <w:bookmarkEnd w:id="7"/>
      <w:bookmarkEnd w:id="8"/>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按照202</w:t>
      </w:r>
      <w:r>
        <w:rPr>
          <w:rFonts w:hint="default" w:ascii="仿宋_GB2312" w:eastAsia="仿宋_GB2312" w:cs="DengXian-Regular"/>
          <w:sz w:val="32"/>
          <w:szCs w:val="32"/>
          <w:lang w:val="en-US"/>
        </w:rPr>
        <w:t>2</w:t>
      </w:r>
      <w:r>
        <w:rPr>
          <w:rFonts w:hint="eastAsia" w:ascii="仿宋_GB2312" w:eastAsia="仿宋_GB2312" w:cs="DengXian-Regular"/>
          <w:sz w:val="32"/>
          <w:szCs w:val="32"/>
        </w:rPr>
        <w:t>年绩效预算编制要求，</w:t>
      </w:r>
      <w:r>
        <w:rPr>
          <w:rFonts w:hint="eastAsia" w:ascii="仿宋_GB2312" w:eastAsia="仿宋_GB2312" w:cs="DengXian-Regular"/>
          <w:sz w:val="32"/>
          <w:szCs w:val="32"/>
          <w:lang w:val="en-US" w:eastAsia="zh-CN"/>
        </w:rPr>
        <w:t>财政局</w:t>
      </w:r>
      <w:r>
        <w:rPr>
          <w:rFonts w:hint="eastAsia" w:ascii="仿宋_GB2312" w:eastAsia="仿宋_GB2312" w:cs="DengXian-Regular"/>
          <w:sz w:val="32"/>
          <w:szCs w:val="32"/>
        </w:rPr>
        <w:t>单位设置的年度发展规划总体目标为：</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负责贯彻执行党和国家关于制定</w:t>
      </w:r>
      <w:r>
        <w:rPr>
          <w:rFonts w:hint="eastAsia" w:ascii="仿宋_GB2312" w:eastAsia="仿宋_GB2312" w:cs="DengXian-Regular"/>
          <w:sz w:val="32"/>
          <w:szCs w:val="32"/>
          <w:lang w:val="en-US" w:eastAsia="zh-CN"/>
        </w:rPr>
        <w:t>财政</w:t>
      </w:r>
      <w:r>
        <w:rPr>
          <w:rFonts w:hint="eastAsia" w:ascii="仿宋_GB2312" w:eastAsia="仿宋_GB2312" w:cs="DengXian-Regular"/>
          <w:sz w:val="32"/>
          <w:szCs w:val="32"/>
        </w:rPr>
        <w:t>工作要点，并监督实施。指导全区</w:t>
      </w:r>
      <w:r>
        <w:rPr>
          <w:rFonts w:hint="eastAsia" w:ascii="仿宋_GB2312" w:eastAsia="仿宋_GB2312" w:cs="DengXian-Regular"/>
          <w:sz w:val="32"/>
          <w:szCs w:val="32"/>
          <w:lang w:val="en-US" w:eastAsia="zh-CN"/>
        </w:rPr>
        <w:t>财政</w:t>
      </w:r>
      <w:r>
        <w:rPr>
          <w:rFonts w:hint="eastAsia" w:ascii="仿宋_GB2312" w:eastAsia="仿宋_GB2312" w:cs="DengXian-Regular"/>
          <w:sz w:val="32"/>
          <w:szCs w:val="32"/>
        </w:rPr>
        <w:t>工作。制定</w:t>
      </w:r>
      <w:r>
        <w:rPr>
          <w:rFonts w:hint="eastAsia" w:ascii="仿宋_GB2312" w:eastAsia="仿宋_GB2312" w:cs="DengXian-Regular"/>
          <w:sz w:val="32"/>
          <w:szCs w:val="32"/>
          <w:lang w:val="en-US" w:eastAsia="zh-CN"/>
        </w:rPr>
        <w:t>财政</w:t>
      </w:r>
      <w:r>
        <w:rPr>
          <w:rFonts w:hint="eastAsia" w:ascii="仿宋_GB2312" w:eastAsia="仿宋_GB2312" w:cs="DengXian-Regular"/>
          <w:sz w:val="32"/>
          <w:szCs w:val="32"/>
        </w:rPr>
        <w:t>规划并组织实施，指导检查全区</w:t>
      </w:r>
      <w:r>
        <w:rPr>
          <w:rFonts w:hint="eastAsia" w:ascii="仿宋_GB2312" w:eastAsia="仿宋_GB2312" w:cs="DengXian-Regular"/>
          <w:sz w:val="32"/>
          <w:szCs w:val="32"/>
          <w:lang w:val="en-US" w:eastAsia="zh-CN"/>
        </w:rPr>
        <w:t>财政</w:t>
      </w:r>
      <w:r>
        <w:rPr>
          <w:rFonts w:hint="eastAsia" w:ascii="仿宋_GB2312" w:eastAsia="仿宋_GB2312" w:cs="DengXian-Regular"/>
          <w:sz w:val="32"/>
          <w:szCs w:val="32"/>
        </w:rPr>
        <w:t>工作。负责全区全面建设高质量财政工作。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职责分类绩效目标为：</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1.开展国库管理工作。</w:t>
      </w:r>
      <w:bookmarkStart w:id="9" w:name="_Toc1678"/>
      <w:bookmarkStart w:id="10" w:name="_Toc492652766"/>
      <w:bookmarkStart w:id="11" w:name="_Toc46514950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银行账户与专户资金管理工作。安排国库集中支付电子化代理业务专项经费，通过与各代理银行协议，实现国库集中支付电子化改革顺利实行，进一步规范国库管理。</w:t>
      </w:r>
    </w:p>
    <w:p>
      <w:pPr>
        <w:spacing w:after="0" w:line="360" w:lineRule="auto"/>
        <w:ind w:firstLine="640" w:firstLineChars="200"/>
        <w:jc w:val="both"/>
        <w:textAlignment w:val="baseline"/>
        <w:rPr>
          <w:rFonts w:hint="default" w:ascii="仿宋_GB2312" w:eastAsia="仿宋_GB2312" w:cs="DengXian-Regular"/>
          <w:sz w:val="32"/>
          <w:szCs w:val="32"/>
          <w:lang w:val="en-US" w:eastAsia="zh-CN"/>
        </w:rPr>
      </w:pPr>
      <w:r>
        <w:rPr>
          <w:rFonts w:hint="eastAsia" w:ascii="仿宋_GB2312" w:eastAsia="仿宋_GB2312" w:cs="DengXian-Regular"/>
          <w:sz w:val="32"/>
          <w:szCs w:val="32"/>
        </w:rPr>
        <w:t>2、</w:t>
      </w:r>
      <w:r>
        <w:rPr>
          <w:rFonts w:hint="eastAsia" w:ascii="仿宋_GB2312" w:eastAsia="仿宋_GB2312" w:cs="DengXian-Regular"/>
          <w:sz w:val="32"/>
          <w:szCs w:val="32"/>
          <w:lang w:val="en-US" w:eastAsia="zh-CN"/>
        </w:rPr>
        <w:t>开展</w:t>
      </w:r>
      <w:r>
        <w:rPr>
          <w:rFonts w:hint="eastAsia" w:ascii="仿宋_GB2312" w:eastAsia="仿宋_GB2312" w:cs="DengXian-Regular"/>
          <w:sz w:val="32"/>
          <w:szCs w:val="32"/>
        </w:rPr>
        <w:t>财政监督管理</w:t>
      </w:r>
      <w:r>
        <w:rPr>
          <w:rFonts w:hint="eastAsia" w:ascii="仿宋_GB2312" w:eastAsia="仿宋_GB2312" w:cs="DengXian-Regular"/>
          <w:sz w:val="32"/>
          <w:szCs w:val="32"/>
          <w:lang w:val="en-US" w:eastAsia="zh-CN"/>
        </w:rPr>
        <w:t>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财政政策资金监督工作。安排财政监督检查专项经费，主要用于完成区政府和局机关业务股室安排的专项核查工作，维护财经秩序，提高会计信息质量。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财政投资评审工作。</w:t>
      </w:r>
      <w:r>
        <w:rPr>
          <w:rFonts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年安排财政项目评审经费，通过委托中介机构评审项目，保障中介机构认真履行各项服务承诺，并在规定的时限内完成各项评审任务，从而使评审结论真实可靠。</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会计人员管理工作。安排财政</w:t>
      </w:r>
      <w:r>
        <w:rPr>
          <w:rFonts w:hint="eastAsia" w:ascii="仿宋_GB2312" w:eastAsia="仿宋_GB2312" w:cs="DengXian-Regular"/>
          <w:sz w:val="32"/>
          <w:szCs w:val="32"/>
          <w:lang w:val="en-US" w:eastAsia="zh-CN"/>
        </w:rPr>
        <w:t>法律法规</w:t>
      </w:r>
      <w:r>
        <w:rPr>
          <w:rFonts w:hint="eastAsia" w:ascii="仿宋_GB2312" w:eastAsia="仿宋_GB2312" w:cs="DengXian-Regular"/>
          <w:sz w:val="32"/>
          <w:szCs w:val="32"/>
        </w:rPr>
        <w:t>政策</w:t>
      </w:r>
      <w:r>
        <w:rPr>
          <w:rFonts w:hint="eastAsia" w:ascii="仿宋_GB2312" w:eastAsia="仿宋_GB2312" w:cs="DengXian-Regular"/>
          <w:sz w:val="32"/>
          <w:szCs w:val="32"/>
          <w:lang w:val="en-US" w:eastAsia="zh-CN"/>
        </w:rPr>
        <w:t>及业务</w:t>
      </w:r>
      <w:r>
        <w:rPr>
          <w:rFonts w:hint="eastAsia" w:ascii="仿宋_GB2312" w:eastAsia="仿宋_GB2312" w:cs="DengXian-Regular"/>
          <w:sz w:val="32"/>
          <w:szCs w:val="32"/>
        </w:rPr>
        <w:t>培训专项经费，用于培训中的各项支出，从而实现贯彻实施国家会计法律、规章、制度和会计准则，并对执行情况进行监督检查。</w:t>
      </w:r>
    </w:p>
    <w:p>
      <w:pPr>
        <w:spacing w:after="0" w:line="360" w:lineRule="auto"/>
        <w:ind w:firstLine="640" w:firstLineChars="200"/>
        <w:jc w:val="both"/>
        <w:textAlignment w:val="baseline"/>
        <w:rPr>
          <w:rFonts w:hint="default" w:ascii="仿宋_GB2312" w:eastAsia="仿宋_GB2312" w:cs="DengXian-Regular"/>
          <w:sz w:val="32"/>
          <w:szCs w:val="32"/>
          <w:lang w:val="en-US" w:eastAsia="zh-CN"/>
        </w:rPr>
      </w:pPr>
      <w:r>
        <w:rPr>
          <w:rFonts w:hint="eastAsia" w:ascii="仿宋_GB2312" w:eastAsia="仿宋_GB2312" w:cs="DengXian-Regular"/>
          <w:sz w:val="32"/>
          <w:szCs w:val="32"/>
        </w:rPr>
        <w:t>3、</w:t>
      </w:r>
      <w:r>
        <w:rPr>
          <w:rFonts w:hint="eastAsia" w:ascii="仿宋_GB2312" w:eastAsia="仿宋_GB2312" w:cs="DengXian-Regular"/>
          <w:sz w:val="32"/>
          <w:szCs w:val="32"/>
          <w:lang w:val="en-US" w:eastAsia="zh-CN"/>
        </w:rPr>
        <w:t>开展</w:t>
      </w:r>
      <w:r>
        <w:rPr>
          <w:rFonts w:hint="eastAsia" w:ascii="仿宋_GB2312" w:eastAsia="仿宋_GB2312" w:cs="DengXian-Regular"/>
          <w:sz w:val="32"/>
          <w:szCs w:val="32"/>
        </w:rPr>
        <w:t>财务会计管理</w:t>
      </w:r>
      <w:r>
        <w:rPr>
          <w:rFonts w:hint="eastAsia" w:ascii="仿宋_GB2312" w:eastAsia="仿宋_GB2312" w:cs="DengXian-Regular"/>
          <w:sz w:val="32"/>
          <w:szCs w:val="32"/>
          <w:lang w:val="en-US" w:eastAsia="zh-CN"/>
        </w:rPr>
        <w:t>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会计人员管理工作。贯彻实施国家会计法律、规章、制度和会计准则，并对执行情况进行监督检查；组织对农村财会人员培训。</w:t>
      </w:r>
    </w:p>
    <w:p>
      <w:pPr>
        <w:spacing w:after="0" w:line="360" w:lineRule="auto"/>
        <w:ind w:firstLine="640" w:firstLineChars="200"/>
        <w:jc w:val="both"/>
        <w:textAlignment w:val="baseline"/>
        <w:rPr>
          <w:rFonts w:hint="default" w:ascii="仿宋_GB2312" w:eastAsia="仿宋_GB2312" w:cs="DengXian-Regular"/>
          <w:sz w:val="32"/>
          <w:szCs w:val="32"/>
          <w:lang w:val="en-US" w:eastAsia="zh-CN"/>
        </w:rPr>
      </w:pPr>
      <w:r>
        <w:rPr>
          <w:rFonts w:hint="eastAsia" w:ascii="仿宋_GB2312" w:eastAsia="仿宋_GB2312" w:cs="DengXian-Regular"/>
          <w:sz w:val="32"/>
          <w:szCs w:val="32"/>
        </w:rPr>
        <w:t>4、</w:t>
      </w:r>
      <w:r>
        <w:rPr>
          <w:rFonts w:hint="eastAsia" w:ascii="仿宋_GB2312" w:eastAsia="仿宋_GB2312" w:cs="DengXian-Regular"/>
          <w:sz w:val="32"/>
          <w:szCs w:val="32"/>
          <w:lang w:val="en-US" w:eastAsia="zh-CN"/>
        </w:rPr>
        <w:t>开展</w:t>
      </w:r>
      <w:r>
        <w:rPr>
          <w:rFonts w:hint="eastAsia" w:ascii="仿宋_GB2312" w:eastAsia="仿宋_GB2312" w:cs="DengXian-Regular"/>
          <w:sz w:val="32"/>
          <w:szCs w:val="32"/>
        </w:rPr>
        <w:t>国有资产管理</w:t>
      </w:r>
      <w:r>
        <w:rPr>
          <w:rFonts w:hint="eastAsia" w:ascii="仿宋_GB2312" w:eastAsia="仿宋_GB2312" w:cs="DengXian-Regular"/>
          <w:sz w:val="32"/>
          <w:szCs w:val="32"/>
          <w:lang w:val="en-US" w:eastAsia="zh-CN"/>
        </w:rPr>
        <w:t>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行政事业单位国有资产管理工作。安排国有资产管理工作，主要用于对行政事业单位资产配置、使用、处置事项管理工作支出，负责市直行政事业单位公务车辆编制管理等。</w:t>
      </w:r>
    </w:p>
    <w:p>
      <w:pPr>
        <w:spacing w:after="0" w:line="360" w:lineRule="auto"/>
        <w:ind w:firstLine="640" w:firstLineChars="200"/>
        <w:jc w:val="both"/>
        <w:textAlignment w:val="baseline"/>
        <w:rPr>
          <w:rFonts w:hint="default" w:ascii="仿宋_GB2312" w:eastAsia="仿宋_GB2312" w:cs="DengXian-Regular"/>
          <w:sz w:val="32"/>
          <w:szCs w:val="32"/>
          <w:lang w:val="en-US" w:eastAsia="zh-CN"/>
        </w:rPr>
      </w:pPr>
      <w:r>
        <w:rPr>
          <w:rFonts w:hint="eastAsia" w:ascii="仿宋_GB2312" w:eastAsia="仿宋_GB2312" w:cs="DengXian-Regular"/>
          <w:sz w:val="32"/>
          <w:szCs w:val="32"/>
        </w:rPr>
        <w:t>5、</w:t>
      </w:r>
      <w:r>
        <w:rPr>
          <w:rFonts w:hint="eastAsia" w:ascii="仿宋_GB2312" w:eastAsia="仿宋_GB2312" w:cs="DengXian-Regular"/>
          <w:sz w:val="32"/>
          <w:szCs w:val="32"/>
          <w:lang w:val="en-US" w:eastAsia="zh-CN"/>
        </w:rPr>
        <w:t>开展</w:t>
      </w:r>
      <w:r>
        <w:rPr>
          <w:rFonts w:hint="eastAsia" w:ascii="仿宋_GB2312" w:eastAsia="仿宋_GB2312" w:cs="DengXian-Regular"/>
          <w:sz w:val="32"/>
          <w:szCs w:val="32"/>
        </w:rPr>
        <w:t>财政政务管理</w:t>
      </w:r>
      <w:r>
        <w:rPr>
          <w:rFonts w:hint="eastAsia" w:ascii="仿宋_GB2312" w:eastAsia="仿宋_GB2312" w:cs="DengXian-Regular"/>
          <w:sz w:val="32"/>
          <w:szCs w:val="32"/>
          <w:lang w:val="en-US" w:eastAsia="zh-CN"/>
        </w:rPr>
        <w:t>工作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综合业务管理工作。安排迎接上级检查专项经费主要用于迎接上级各项财政检查工作，保障财政管理工作顺利完成上级检查与验收；安排财政网络运行维护和建设专项经费，财政内网和财政专网的网络正常运行及维护管理费用，保障财政部门与各乡镇财政所、开发区财政局、各县直单位的财政内网和财政专网正常运行；安排财政票据管理专项经费主要用于本行政区域财政票据的申领、发放等工作。</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综合事务管理工作。安排保安保洁服务费，通过政府购买服务方式，签订保安、保洁合同，用于维护机关的安全与整洁；安排</w:t>
      </w:r>
      <w:r>
        <w:rPr>
          <w:rFonts w:hint="eastAsia" w:ascii="仿宋_GB2312" w:eastAsia="仿宋_GB2312" w:cs="DengXian-Regular"/>
          <w:sz w:val="32"/>
          <w:szCs w:val="32"/>
          <w:lang w:val="en-US" w:eastAsia="zh-CN"/>
        </w:rPr>
        <w:t>机关院内设施设备的维修与更换资金，保证机关正常运转，</w:t>
      </w:r>
      <w:r>
        <w:rPr>
          <w:rFonts w:hint="eastAsia" w:ascii="仿宋_GB2312" w:eastAsia="仿宋_GB2312" w:cs="DengXian-Regular"/>
          <w:sz w:val="32"/>
          <w:szCs w:val="32"/>
        </w:rPr>
        <w:t>办公环境</w:t>
      </w:r>
      <w:r>
        <w:rPr>
          <w:rFonts w:hint="eastAsia" w:ascii="仿宋_GB2312" w:eastAsia="仿宋_GB2312" w:cs="DengXian-Regular"/>
          <w:sz w:val="32"/>
          <w:szCs w:val="32"/>
          <w:lang w:val="en-US" w:eastAsia="zh-CN"/>
        </w:rPr>
        <w:t>良好</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（三）部门预算收入及决算收入</w:t>
      </w:r>
      <w:bookmarkEnd w:id="9"/>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w:t>
      </w:r>
      <w:r>
        <w:rPr>
          <w:rFonts w:hint="eastAsia" w:ascii="仿宋_GB2312" w:eastAsia="仿宋_GB2312" w:cs="DengXian-Regular"/>
          <w:sz w:val="32"/>
          <w:szCs w:val="32"/>
          <w:lang w:val="en-US" w:eastAsia="zh-CN"/>
        </w:rPr>
        <w:t>我部门</w:t>
      </w:r>
      <w:r>
        <w:rPr>
          <w:rFonts w:hint="eastAsia" w:ascii="仿宋_GB2312" w:eastAsia="仿宋_GB2312" w:cs="DengXian-Regular"/>
          <w:sz w:val="32"/>
          <w:szCs w:val="32"/>
        </w:rPr>
        <w:t>预算收入</w:t>
      </w:r>
      <w:r>
        <w:rPr>
          <w:rFonts w:hint="default" w:ascii="仿宋_GB2312" w:eastAsia="仿宋_GB2312" w:cs="DengXian-Regular"/>
          <w:sz w:val="32"/>
          <w:szCs w:val="32"/>
          <w:lang w:val="en-US"/>
        </w:rPr>
        <w:t>1930.03</w:t>
      </w:r>
      <w:r>
        <w:rPr>
          <w:rFonts w:hint="eastAsia" w:ascii="仿宋_GB2312" w:eastAsia="仿宋_GB2312" w:cs="DengXian-Regular"/>
          <w:sz w:val="32"/>
          <w:szCs w:val="32"/>
        </w:rPr>
        <w:t>万元，均为一般公共预算拨款，其中：财政拨款</w:t>
      </w:r>
      <w:r>
        <w:rPr>
          <w:rFonts w:hint="default" w:ascii="仿宋_GB2312" w:eastAsia="仿宋_GB2312" w:cs="DengXian-Regular"/>
          <w:sz w:val="32"/>
          <w:szCs w:val="32"/>
          <w:lang w:val="en-US"/>
        </w:rPr>
        <w:t>1930.03</w:t>
      </w:r>
      <w:r>
        <w:rPr>
          <w:rFonts w:hint="eastAsia" w:ascii="仿宋_GB2312" w:eastAsia="仿宋_GB2312" w:cs="DengXian-Regular"/>
          <w:sz w:val="32"/>
          <w:szCs w:val="32"/>
        </w:rPr>
        <w:t>元。预算收入按功能分类包含：一般公共</w:t>
      </w:r>
      <w:r>
        <w:rPr>
          <w:rFonts w:ascii="仿宋_GB2312" w:eastAsia="仿宋_GB2312" w:cs="DengXian-Regular"/>
          <w:sz w:val="32"/>
          <w:szCs w:val="32"/>
        </w:rPr>
        <w:t>服务</w:t>
      </w:r>
      <w:r>
        <w:rPr>
          <w:rFonts w:hint="eastAsia" w:ascii="仿宋_GB2312" w:eastAsia="仿宋_GB2312" w:cs="DengXian-Regular"/>
          <w:sz w:val="32"/>
          <w:szCs w:val="32"/>
        </w:rPr>
        <w:t>支出</w:t>
      </w:r>
      <w:r>
        <w:rPr>
          <w:rFonts w:hint="default" w:ascii="仿宋_GB2312" w:eastAsia="仿宋_GB2312" w:cs="DengXian-Regular"/>
          <w:sz w:val="32"/>
          <w:szCs w:val="32"/>
          <w:lang w:val="en-US"/>
        </w:rPr>
        <w:t>1742.94</w:t>
      </w:r>
      <w:r>
        <w:rPr>
          <w:rFonts w:hint="eastAsia" w:ascii="仿宋_GB2312" w:eastAsia="仿宋_GB2312" w:cs="DengXian-Regular"/>
          <w:sz w:val="32"/>
          <w:szCs w:val="32"/>
        </w:rPr>
        <w:t>万元，社会保障和就业支出</w:t>
      </w:r>
      <w:r>
        <w:rPr>
          <w:rFonts w:hint="default" w:ascii="仿宋_GB2312" w:eastAsia="仿宋_GB2312" w:cs="DengXian-Regular"/>
          <w:sz w:val="32"/>
          <w:szCs w:val="32"/>
          <w:lang w:val="en-US"/>
        </w:rPr>
        <w:t>95.77</w:t>
      </w:r>
      <w:r>
        <w:rPr>
          <w:rFonts w:hint="eastAsia" w:ascii="仿宋_GB2312" w:eastAsia="仿宋_GB2312" w:cs="DengXian-Regular"/>
          <w:sz w:val="32"/>
          <w:szCs w:val="32"/>
        </w:rPr>
        <w:t>万元，卫生健康</w:t>
      </w:r>
      <w:r>
        <w:rPr>
          <w:rFonts w:ascii="仿宋_GB2312" w:eastAsia="仿宋_GB2312" w:cs="DengXian-Regular"/>
          <w:sz w:val="32"/>
          <w:szCs w:val="32"/>
        </w:rPr>
        <w:t>支出</w:t>
      </w:r>
      <w:r>
        <w:rPr>
          <w:rFonts w:hint="default" w:ascii="仿宋_GB2312" w:eastAsia="仿宋_GB2312" w:cs="DengXian-Regular"/>
          <w:sz w:val="32"/>
          <w:szCs w:val="32"/>
          <w:lang w:val="en-US"/>
        </w:rPr>
        <w:t>37.68</w:t>
      </w:r>
      <w:r>
        <w:rPr>
          <w:rFonts w:hint="eastAsia" w:ascii="仿宋_GB2312" w:eastAsia="仿宋_GB2312" w:cs="DengXian-Regular"/>
          <w:sz w:val="32"/>
          <w:szCs w:val="32"/>
        </w:rPr>
        <w:t>万元，住房保障支出</w:t>
      </w:r>
      <w:r>
        <w:rPr>
          <w:rFonts w:hint="default" w:ascii="仿宋_GB2312" w:eastAsia="仿宋_GB2312" w:cs="DengXian-Regular"/>
          <w:sz w:val="32"/>
          <w:szCs w:val="32"/>
          <w:lang w:val="en-US"/>
        </w:rPr>
        <w:t>53.64</w:t>
      </w:r>
      <w:r>
        <w:rPr>
          <w:rFonts w:hint="eastAsia" w:ascii="仿宋_GB2312" w:eastAsia="仿宋_GB2312" w:cs="DengXian-Regular"/>
          <w:sz w:val="32"/>
          <w:szCs w:val="32"/>
        </w:rPr>
        <w:t>万元。</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2022年</w:t>
      </w:r>
      <w:r>
        <w:rPr>
          <w:rFonts w:hint="eastAsia" w:ascii="仿宋_GB2312" w:eastAsia="仿宋_GB2312" w:cs="DengXian-Regular"/>
          <w:sz w:val="32"/>
          <w:szCs w:val="32"/>
          <w:lang w:val="en-US" w:eastAsia="zh-CN"/>
        </w:rPr>
        <w:t>我部门</w:t>
      </w:r>
      <w:r>
        <w:rPr>
          <w:rFonts w:hint="eastAsia" w:ascii="仿宋_GB2312" w:eastAsia="仿宋_GB2312" w:cs="DengXian-Regular"/>
          <w:sz w:val="32"/>
          <w:szCs w:val="32"/>
        </w:rPr>
        <w:t>决算收入</w:t>
      </w:r>
      <w:r>
        <w:rPr>
          <w:rFonts w:hint="default" w:ascii="仿宋_GB2312" w:hAnsi="Times New Roman" w:eastAsia="仿宋_GB2312" w:cs="DengXian-Regular"/>
          <w:sz w:val="32"/>
          <w:szCs w:val="32"/>
          <w:lang w:val="en-US"/>
        </w:rPr>
        <w:t>2445.93</w:t>
      </w:r>
      <w:r>
        <w:rPr>
          <w:rFonts w:hint="eastAsia" w:ascii="仿宋_GB2312" w:eastAsia="仿宋_GB2312" w:cs="DengXian-Regular"/>
          <w:sz w:val="32"/>
          <w:szCs w:val="32"/>
        </w:rPr>
        <w:t>万元，其中：财政拨款收入</w:t>
      </w:r>
      <w:r>
        <w:rPr>
          <w:rFonts w:hint="default" w:ascii="仿宋_GB2312" w:eastAsia="仿宋_GB2312" w:cs="DengXian-Regular"/>
          <w:sz w:val="32"/>
          <w:szCs w:val="32"/>
          <w:lang w:val="en-US"/>
        </w:rPr>
        <w:t>2445.89</w:t>
      </w:r>
      <w:r>
        <w:rPr>
          <w:rFonts w:hint="eastAsia" w:ascii="仿宋_GB2312" w:eastAsia="仿宋_GB2312" w:cs="DengXian-Regular"/>
          <w:sz w:val="32"/>
          <w:szCs w:val="32"/>
        </w:rPr>
        <w:t>万元，其他收入</w:t>
      </w:r>
      <w:r>
        <w:rPr>
          <w:rFonts w:hint="default" w:ascii="仿宋_GB2312" w:eastAsia="仿宋_GB2312" w:cs="DengXian-Regular"/>
          <w:sz w:val="32"/>
          <w:szCs w:val="32"/>
          <w:lang w:val="en-US"/>
        </w:rPr>
        <w:t>0.04</w:t>
      </w:r>
      <w:r>
        <w:rPr>
          <w:rFonts w:hint="eastAsia" w:ascii="仿宋_GB2312" w:eastAsia="仿宋_GB2312" w:cs="DengXian-Regular"/>
          <w:sz w:val="32"/>
          <w:szCs w:val="32"/>
        </w:rPr>
        <w:t>万元（</w:t>
      </w:r>
      <w:r>
        <w:rPr>
          <w:rFonts w:hint="eastAsia" w:ascii="仿宋_GB2312" w:eastAsia="仿宋_GB2312" w:cs="DengXian-Regular"/>
          <w:sz w:val="32"/>
          <w:szCs w:val="32"/>
          <w:lang w:val="en-US" w:eastAsia="zh-CN"/>
        </w:rPr>
        <w:t>包括</w:t>
      </w:r>
      <w:r>
        <w:rPr>
          <w:rFonts w:hint="eastAsia" w:ascii="仿宋_GB2312" w:eastAsia="仿宋_GB2312" w:cs="DengXian-Regular"/>
          <w:sz w:val="32"/>
          <w:szCs w:val="32"/>
        </w:rPr>
        <w:t>利息收入</w:t>
      </w:r>
      <w:r>
        <w:rPr>
          <w:rFonts w:hint="eastAsia" w:ascii="仿宋_GB2312" w:eastAsia="仿宋_GB2312" w:cs="DengXian-Regular"/>
          <w:sz w:val="32"/>
          <w:szCs w:val="32"/>
          <w:lang w:eastAsia="zh-CN"/>
        </w:rPr>
        <w:t>、</w:t>
      </w:r>
      <w:r>
        <w:rPr>
          <w:rFonts w:hint="eastAsia" w:ascii="仿宋_GB2312" w:eastAsia="仿宋_GB2312" w:cs="DengXian-Regular"/>
          <w:sz w:val="32"/>
          <w:szCs w:val="32"/>
          <w:lang w:val="en-US" w:eastAsia="zh-CN"/>
        </w:rPr>
        <w:t>代扣代缴个人所得税手续费收入等</w:t>
      </w:r>
      <w:r>
        <w:rPr>
          <w:rFonts w:hint="eastAsia" w:ascii="仿宋_GB2312" w:eastAsia="仿宋_GB2312" w:cs="DengXian-Regular"/>
          <w:sz w:val="32"/>
          <w:szCs w:val="32"/>
        </w:rPr>
        <w:t>）。决算收入按功能分类包含：一般公共</w:t>
      </w:r>
      <w:r>
        <w:rPr>
          <w:rFonts w:ascii="仿宋_GB2312" w:eastAsia="仿宋_GB2312" w:cs="DengXian-Regular"/>
          <w:sz w:val="32"/>
          <w:szCs w:val="32"/>
        </w:rPr>
        <w:t>服务</w:t>
      </w:r>
      <w:r>
        <w:rPr>
          <w:rFonts w:hint="eastAsia" w:ascii="仿宋_GB2312" w:eastAsia="仿宋_GB2312" w:cs="DengXian-Regular"/>
          <w:sz w:val="32"/>
          <w:szCs w:val="32"/>
        </w:rPr>
        <w:t>支出</w:t>
      </w:r>
      <w:r>
        <w:rPr>
          <w:rFonts w:hint="default" w:ascii="仿宋_GB2312" w:eastAsia="仿宋_GB2312" w:cs="DengXian-Regular"/>
          <w:sz w:val="32"/>
          <w:szCs w:val="32"/>
          <w:lang w:val="en-US"/>
        </w:rPr>
        <w:t>2265.20</w:t>
      </w:r>
      <w:r>
        <w:rPr>
          <w:rFonts w:hint="eastAsia" w:ascii="仿宋_GB2312" w:eastAsia="仿宋_GB2312" w:cs="DengXian-Regular"/>
          <w:sz w:val="32"/>
          <w:szCs w:val="32"/>
        </w:rPr>
        <w:t>万元</w:t>
      </w:r>
      <w:r>
        <w:rPr>
          <w:rFonts w:hint="eastAsia" w:ascii="仿宋_GB2312" w:eastAsia="仿宋_GB2312" w:cs="DengXian-Regular"/>
          <w:sz w:val="32"/>
          <w:szCs w:val="32"/>
          <w:lang w:eastAsia="zh-CN"/>
        </w:rPr>
        <w:t>，</w:t>
      </w:r>
      <w:r>
        <w:rPr>
          <w:rFonts w:hint="eastAsia" w:ascii="仿宋_GB2312" w:eastAsia="仿宋_GB2312" w:cs="DengXian-Regular"/>
          <w:sz w:val="32"/>
          <w:szCs w:val="32"/>
        </w:rPr>
        <w:t>占比</w:t>
      </w:r>
      <w:r>
        <w:rPr>
          <w:rFonts w:hint="default" w:ascii="仿宋_GB2312" w:eastAsia="仿宋_GB2312" w:cs="DengXian-Regular"/>
          <w:sz w:val="32"/>
          <w:szCs w:val="32"/>
          <w:lang w:val="en-US"/>
        </w:rPr>
        <w:t>92.61</w:t>
      </w:r>
      <w:r>
        <w:rPr>
          <w:rFonts w:hint="eastAsia" w:ascii="仿宋_GB2312" w:eastAsia="仿宋_GB2312" w:cs="DengXian-Regular"/>
          <w:sz w:val="32"/>
          <w:szCs w:val="32"/>
        </w:rPr>
        <w:t>%；社会保障和就业支出</w:t>
      </w:r>
      <w:r>
        <w:rPr>
          <w:rFonts w:hint="default" w:ascii="仿宋_GB2312" w:eastAsia="仿宋_GB2312" w:cs="DengXian-Regular"/>
          <w:sz w:val="32"/>
          <w:szCs w:val="32"/>
          <w:lang w:val="en-US"/>
        </w:rPr>
        <w:t>97.12</w:t>
      </w:r>
      <w:r>
        <w:rPr>
          <w:rFonts w:hint="eastAsia" w:ascii="仿宋_GB2312" w:eastAsia="仿宋_GB2312" w:cs="DengXian-Regular"/>
          <w:sz w:val="32"/>
          <w:szCs w:val="32"/>
        </w:rPr>
        <w:t>万元，占比</w:t>
      </w:r>
      <w:r>
        <w:rPr>
          <w:rFonts w:hint="default" w:ascii="仿宋_GB2312" w:eastAsia="仿宋_GB2312" w:cs="DengXian-Regular"/>
          <w:sz w:val="32"/>
          <w:szCs w:val="32"/>
          <w:lang w:val="en-US"/>
        </w:rPr>
        <w:t>3.97</w:t>
      </w:r>
      <w:r>
        <w:rPr>
          <w:rFonts w:hint="eastAsia" w:ascii="仿宋_GB2312" w:eastAsia="仿宋_GB2312" w:cs="DengXian-Regular"/>
          <w:sz w:val="32"/>
          <w:szCs w:val="32"/>
        </w:rPr>
        <w:t>%；卫生健康</w:t>
      </w:r>
      <w:r>
        <w:rPr>
          <w:rFonts w:ascii="仿宋_GB2312" w:eastAsia="仿宋_GB2312" w:cs="DengXian-Regular"/>
          <w:sz w:val="32"/>
          <w:szCs w:val="32"/>
        </w:rPr>
        <w:t>支出</w:t>
      </w:r>
      <w:r>
        <w:rPr>
          <w:rFonts w:hint="default" w:ascii="仿宋_GB2312" w:eastAsia="仿宋_GB2312" w:cs="DengXian-Regular"/>
          <w:sz w:val="32"/>
          <w:szCs w:val="32"/>
          <w:lang w:val="en-US"/>
        </w:rPr>
        <w:t>29.97</w:t>
      </w:r>
      <w:r>
        <w:rPr>
          <w:rFonts w:hint="eastAsia" w:ascii="仿宋_GB2312" w:eastAsia="仿宋_GB2312" w:cs="DengXian-Regular"/>
          <w:sz w:val="32"/>
          <w:szCs w:val="32"/>
        </w:rPr>
        <w:t>万元，占比</w:t>
      </w:r>
      <w:r>
        <w:rPr>
          <w:rFonts w:hint="default" w:ascii="仿宋_GB2312" w:eastAsia="仿宋_GB2312" w:cs="DengXian-Regular"/>
          <w:sz w:val="32"/>
          <w:szCs w:val="32"/>
          <w:lang w:val="en-US"/>
        </w:rPr>
        <w:t>1.22</w:t>
      </w:r>
      <w:r>
        <w:rPr>
          <w:rFonts w:hint="eastAsia" w:ascii="仿宋_GB2312" w:eastAsia="仿宋_GB2312" w:cs="DengXian-Regular"/>
          <w:sz w:val="32"/>
          <w:szCs w:val="32"/>
        </w:rPr>
        <w:t>%；住房保障支出</w:t>
      </w:r>
      <w:r>
        <w:rPr>
          <w:rFonts w:hint="default" w:ascii="仿宋_GB2312" w:eastAsia="仿宋_GB2312" w:cs="DengXian-Regular"/>
          <w:sz w:val="32"/>
          <w:szCs w:val="32"/>
          <w:lang w:val="en-US"/>
        </w:rPr>
        <w:t>53.7</w:t>
      </w:r>
      <w:r>
        <w:rPr>
          <w:rFonts w:hint="eastAsia" w:ascii="仿宋_GB2312" w:eastAsia="仿宋_GB2312" w:cs="DengXian-Regular"/>
          <w:sz w:val="32"/>
          <w:szCs w:val="32"/>
        </w:rPr>
        <w:t>万元，占比</w:t>
      </w:r>
      <w:r>
        <w:rPr>
          <w:rFonts w:hint="default" w:ascii="仿宋_GB2312" w:eastAsia="仿宋_GB2312" w:cs="DengXian-Regular"/>
          <w:sz w:val="32"/>
          <w:szCs w:val="32"/>
          <w:lang w:val="en-US"/>
        </w:rPr>
        <w:t>2.20</w:t>
      </w:r>
      <w:r>
        <w:rPr>
          <w:rFonts w:hint="eastAsia" w:ascii="仿宋_GB2312" w:eastAsia="仿宋_GB2312" w:cs="DengXian-Regular"/>
          <w:sz w:val="32"/>
          <w:szCs w:val="32"/>
        </w:rPr>
        <w:t>%。</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lang w:val="en-US" w:eastAsia="zh-CN"/>
        </w:rPr>
        <w:t>我部门</w:t>
      </w:r>
      <w:r>
        <w:rPr>
          <w:rFonts w:hint="eastAsia" w:ascii="仿宋_GB2312" w:eastAsia="仿宋_GB2312" w:cs="DengXian-Regular"/>
          <w:sz w:val="32"/>
          <w:szCs w:val="32"/>
        </w:rPr>
        <w:t>一般公共预算财政拨款决算收入比年初预算</w:t>
      </w:r>
      <w:r>
        <w:rPr>
          <w:rFonts w:hint="eastAsia" w:ascii="仿宋_GB2312" w:eastAsia="仿宋_GB2312" w:cs="DengXian-Regular"/>
          <w:sz w:val="32"/>
          <w:szCs w:val="32"/>
          <w:lang w:val="en-US" w:eastAsia="zh-CN"/>
        </w:rPr>
        <w:t>增加</w:t>
      </w:r>
      <w:r>
        <w:rPr>
          <w:rFonts w:hint="default" w:ascii="仿宋_GB2312" w:eastAsia="仿宋_GB2312" w:cs="DengXian-Regular"/>
          <w:sz w:val="32"/>
          <w:szCs w:val="32"/>
          <w:lang w:val="en-US"/>
        </w:rPr>
        <w:t>515.86</w:t>
      </w:r>
      <w:r>
        <w:rPr>
          <w:rFonts w:hint="eastAsia" w:ascii="仿宋_GB2312" w:eastAsia="仿宋_GB2312" w:cs="DengXian-Regular"/>
          <w:sz w:val="32"/>
          <w:szCs w:val="32"/>
        </w:rPr>
        <w:t>万元，完成年初预算的</w:t>
      </w:r>
      <w:r>
        <w:rPr>
          <w:rFonts w:hint="default" w:ascii="仿宋_GB2312" w:eastAsia="仿宋_GB2312" w:cs="DengXian-Regular"/>
          <w:sz w:val="32"/>
          <w:szCs w:val="32"/>
          <w:lang w:val="en-US"/>
        </w:rPr>
        <w:t>126.73</w:t>
      </w:r>
      <w:r>
        <w:rPr>
          <w:rFonts w:hint="eastAsia" w:ascii="仿宋_GB2312" w:eastAsia="仿宋_GB2312" w:cs="DengXian-Regular"/>
          <w:sz w:val="32"/>
          <w:szCs w:val="32"/>
        </w:rPr>
        <w:t>%。决算收入</w:t>
      </w:r>
      <w:r>
        <w:rPr>
          <w:rFonts w:hint="eastAsia" w:ascii="仿宋_GB2312" w:eastAsia="仿宋_GB2312" w:cs="DengXian-Regular"/>
          <w:sz w:val="32"/>
          <w:szCs w:val="32"/>
          <w:lang w:val="en-US" w:eastAsia="zh-CN"/>
        </w:rPr>
        <w:t>在</w:t>
      </w:r>
      <w:r>
        <w:rPr>
          <w:rFonts w:hint="eastAsia" w:ascii="仿宋_GB2312" w:eastAsia="仿宋_GB2312" w:cs="DengXian-Regular"/>
          <w:sz w:val="32"/>
          <w:szCs w:val="32"/>
        </w:rPr>
        <w:t>于预算收入的主要原因为202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年度</w:t>
      </w:r>
      <w:r>
        <w:rPr>
          <w:rFonts w:hint="eastAsia" w:ascii="仿宋_GB2312" w:eastAsia="仿宋_GB2312" w:cs="DengXian-Regular"/>
          <w:sz w:val="32"/>
          <w:szCs w:val="32"/>
          <w:lang w:val="en-US" w:eastAsia="zh-CN"/>
        </w:rPr>
        <w:t>人员经费增加以及项目经费增加</w:t>
      </w:r>
      <w:r>
        <w:rPr>
          <w:rFonts w:hint="eastAsia" w:ascii="仿宋_GB2312" w:eastAsia="仿宋_GB2312" w:cs="DengXian-Regular"/>
          <w:sz w:val="32"/>
          <w:szCs w:val="32"/>
        </w:rPr>
        <w:t>。</w:t>
      </w:r>
      <w:bookmarkStart w:id="12" w:name="_Toc18197"/>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（四）预算支出及决算</w:t>
      </w:r>
      <w:bookmarkEnd w:id="10"/>
      <w:bookmarkEnd w:id="11"/>
      <w:r>
        <w:rPr>
          <w:rFonts w:hint="eastAsia" w:ascii="仿宋_GB2312" w:eastAsia="仿宋_GB2312" w:cs="DengXian-Regular"/>
          <w:sz w:val="32"/>
          <w:szCs w:val="32"/>
        </w:rPr>
        <w:t>支出</w:t>
      </w:r>
      <w:bookmarkEnd w:id="12"/>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年度</w:t>
      </w:r>
      <w:r>
        <w:rPr>
          <w:rFonts w:hint="eastAsia" w:ascii="仿宋_GB2312" w:eastAsia="仿宋_GB2312" w:cs="DengXian-Regular"/>
          <w:sz w:val="32"/>
          <w:szCs w:val="32"/>
          <w:lang w:val="en-US" w:eastAsia="zh-CN"/>
        </w:rPr>
        <w:t>我部门</w:t>
      </w:r>
      <w:r>
        <w:rPr>
          <w:rFonts w:hint="eastAsia" w:ascii="仿宋_GB2312" w:eastAsia="仿宋_GB2312" w:cs="Times New Roman" w:hAnsiTheme="minorEastAsia"/>
          <w:sz w:val="32"/>
          <w:szCs w:val="32"/>
          <w:u w:color="000000"/>
        </w:rPr>
        <w:t>预算支出安排</w:t>
      </w:r>
      <w:r>
        <w:rPr>
          <w:rFonts w:hint="default" w:ascii="仿宋_GB2312" w:eastAsia="仿宋_GB2312" w:cs="Times New Roman" w:hAnsiTheme="minorEastAsia"/>
          <w:sz w:val="32"/>
          <w:szCs w:val="32"/>
          <w:u w:color="000000"/>
          <w:lang w:val="en-US"/>
        </w:rPr>
        <w:t>1930.03</w:t>
      </w:r>
      <w:r>
        <w:rPr>
          <w:rFonts w:hint="eastAsia" w:ascii="仿宋_GB2312" w:eastAsia="仿宋_GB2312" w:cs="Times New Roman" w:hAnsiTheme="minorEastAsia"/>
          <w:sz w:val="32"/>
          <w:szCs w:val="32"/>
          <w:u w:color="000000"/>
        </w:rPr>
        <w:t>万元，其中：基本支出</w:t>
      </w:r>
      <w:r>
        <w:rPr>
          <w:rFonts w:hint="default" w:ascii="仿宋_GB2312" w:eastAsia="仿宋_GB2312" w:cs="Times New Roman" w:hAnsiTheme="minorEastAsia"/>
          <w:sz w:val="32"/>
          <w:szCs w:val="32"/>
          <w:u w:color="000000"/>
          <w:lang w:val="en-US"/>
        </w:rPr>
        <w:t>1345.82</w:t>
      </w:r>
      <w:r>
        <w:rPr>
          <w:rFonts w:hint="eastAsia" w:ascii="仿宋_GB2312" w:eastAsia="仿宋_GB2312" w:cs="Times New Roman" w:hAnsiTheme="minorEastAsia"/>
          <w:sz w:val="32"/>
          <w:szCs w:val="32"/>
          <w:u w:color="000000"/>
        </w:rPr>
        <w:t>万元，项目支出</w:t>
      </w:r>
      <w:r>
        <w:rPr>
          <w:rFonts w:hint="default" w:ascii="仿宋_GB2312" w:eastAsia="仿宋_GB2312" w:cs="Times New Roman" w:hAnsiTheme="minorEastAsia"/>
          <w:sz w:val="32"/>
          <w:szCs w:val="32"/>
          <w:u w:color="000000"/>
          <w:lang w:val="en-US"/>
        </w:rPr>
        <w:t>584.21</w:t>
      </w:r>
      <w:r>
        <w:rPr>
          <w:rFonts w:hint="eastAsia" w:ascii="仿宋_GB2312" w:eastAsia="仿宋_GB2312" w:cs="Times New Roman" w:hAnsiTheme="minorEastAsia"/>
          <w:sz w:val="32"/>
          <w:szCs w:val="32"/>
          <w:u w:color="000000"/>
        </w:rPr>
        <w:t>万元。预算支出按功能分类包含：一般公共服务支出</w:t>
      </w:r>
      <w:r>
        <w:rPr>
          <w:rFonts w:hint="default" w:ascii="仿宋_GB2312" w:eastAsia="仿宋_GB2312" w:cs="Times New Roman" w:hAnsiTheme="minorEastAsia"/>
          <w:sz w:val="32"/>
          <w:szCs w:val="32"/>
          <w:u w:color="000000"/>
          <w:lang w:val="en-US"/>
        </w:rPr>
        <w:t>1742.94</w:t>
      </w:r>
      <w:r>
        <w:rPr>
          <w:rFonts w:hint="eastAsia" w:ascii="仿宋_GB2312" w:eastAsia="仿宋_GB2312" w:cs="Times New Roman" w:hAnsiTheme="minorEastAsia"/>
          <w:sz w:val="32"/>
          <w:szCs w:val="32"/>
          <w:u w:color="000000"/>
        </w:rPr>
        <w:t>万元，</w:t>
      </w:r>
      <w:r>
        <w:rPr>
          <w:rFonts w:hint="eastAsia" w:ascii="仿宋_GB2312" w:eastAsia="仿宋_GB2312" w:cs="DengXian-Regular"/>
          <w:sz w:val="32"/>
          <w:szCs w:val="32"/>
        </w:rPr>
        <w:t>社会保障和就业支出</w:t>
      </w:r>
      <w:r>
        <w:rPr>
          <w:rFonts w:hint="default" w:ascii="仿宋_GB2312" w:eastAsia="仿宋_GB2312" w:cs="DengXian-Regular"/>
          <w:sz w:val="32"/>
          <w:szCs w:val="32"/>
          <w:lang w:val="en-US"/>
        </w:rPr>
        <w:t>95.77</w:t>
      </w:r>
      <w:r>
        <w:rPr>
          <w:rFonts w:hint="eastAsia" w:ascii="仿宋_GB2312" w:eastAsia="仿宋_GB2312" w:cs="DengXian-Regular"/>
          <w:sz w:val="32"/>
          <w:szCs w:val="32"/>
        </w:rPr>
        <w:t>万元，卫生健康</w:t>
      </w:r>
      <w:r>
        <w:rPr>
          <w:rFonts w:ascii="仿宋_GB2312" w:eastAsia="仿宋_GB2312" w:cs="DengXian-Regular"/>
          <w:sz w:val="32"/>
          <w:szCs w:val="32"/>
        </w:rPr>
        <w:t>支出</w:t>
      </w:r>
      <w:r>
        <w:rPr>
          <w:rFonts w:hint="default" w:ascii="仿宋_GB2312" w:eastAsia="仿宋_GB2312" w:cs="DengXian-Regular"/>
          <w:sz w:val="32"/>
          <w:szCs w:val="32"/>
          <w:lang w:val="en-US"/>
        </w:rPr>
        <w:t>37.68</w:t>
      </w:r>
      <w:r>
        <w:rPr>
          <w:rFonts w:hint="eastAsia" w:ascii="仿宋_GB2312" w:eastAsia="仿宋_GB2312" w:cs="DengXian-Regular"/>
          <w:sz w:val="32"/>
          <w:szCs w:val="32"/>
        </w:rPr>
        <w:t>万元，住房保障支出</w:t>
      </w:r>
      <w:r>
        <w:rPr>
          <w:rFonts w:hint="default" w:ascii="仿宋_GB2312" w:eastAsia="仿宋_GB2312" w:cs="DengXian-Regular"/>
          <w:sz w:val="32"/>
          <w:szCs w:val="32"/>
          <w:lang w:val="en-US"/>
        </w:rPr>
        <w:t>53.64</w:t>
      </w:r>
      <w:r>
        <w:rPr>
          <w:rFonts w:hint="eastAsia" w:ascii="仿宋_GB2312" w:eastAsia="仿宋_GB2312" w:cs="DengXian-Regular"/>
          <w:sz w:val="32"/>
          <w:szCs w:val="32"/>
        </w:rPr>
        <w:t>万元。</w:t>
      </w:r>
    </w:p>
    <w:p>
      <w:pPr>
        <w:spacing w:after="0" w:line="360" w:lineRule="auto"/>
        <w:ind w:firstLine="640" w:firstLineChars="200"/>
        <w:jc w:val="both"/>
        <w:rPr>
          <w:rFonts w:hint="eastAsia" w:ascii="仿宋_GB2312" w:eastAsia="仿宋_GB2312" w:cs="Times New Roman" w:hAnsiTheme="minorEastAsia"/>
          <w:sz w:val="32"/>
          <w:szCs w:val="32"/>
          <w:u w:color="000000"/>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年度</w:t>
      </w:r>
      <w:r>
        <w:rPr>
          <w:rFonts w:hint="eastAsia" w:ascii="仿宋_GB2312" w:eastAsia="仿宋_GB2312" w:cs="DengXian-Regular"/>
          <w:sz w:val="32"/>
          <w:szCs w:val="32"/>
          <w:lang w:val="en-US" w:eastAsia="zh-CN"/>
        </w:rPr>
        <w:t>我部门</w:t>
      </w:r>
      <w:r>
        <w:rPr>
          <w:rFonts w:hint="eastAsia" w:ascii="仿宋_GB2312" w:eastAsia="仿宋_GB2312" w:cs="Times New Roman" w:hAnsiTheme="minorEastAsia"/>
          <w:sz w:val="32"/>
          <w:szCs w:val="32"/>
          <w:u w:color="000000"/>
        </w:rPr>
        <w:t>决算支出为</w:t>
      </w:r>
      <w:r>
        <w:rPr>
          <w:rFonts w:hint="default" w:ascii="仿宋_GB2312" w:eastAsia="仿宋_GB2312" w:cs="Times New Roman" w:hAnsiTheme="minorEastAsia"/>
          <w:sz w:val="32"/>
          <w:szCs w:val="32"/>
          <w:u w:color="000000"/>
          <w:lang w:val="en-US"/>
        </w:rPr>
        <w:t>2446.68</w:t>
      </w:r>
      <w:r>
        <w:rPr>
          <w:rFonts w:hint="eastAsia" w:ascii="仿宋_GB2312" w:eastAsia="仿宋_GB2312" w:cs="Times New Roman" w:hAnsiTheme="minorEastAsia"/>
          <w:sz w:val="32"/>
          <w:szCs w:val="32"/>
          <w:u w:color="000000"/>
        </w:rPr>
        <w:t>万元，其中：基本支出</w:t>
      </w:r>
      <w:r>
        <w:rPr>
          <w:rFonts w:hint="default" w:ascii="仿宋_GB2312" w:eastAsia="仿宋_GB2312" w:cs="Times New Roman" w:hAnsiTheme="minorEastAsia"/>
          <w:sz w:val="32"/>
          <w:szCs w:val="32"/>
          <w:u w:color="000000"/>
          <w:lang w:val="en-US"/>
        </w:rPr>
        <w:t>1290.75</w:t>
      </w:r>
      <w:r>
        <w:rPr>
          <w:rFonts w:hint="eastAsia" w:ascii="仿宋_GB2312" w:eastAsia="仿宋_GB2312" w:cs="Times New Roman" w:hAnsiTheme="minorEastAsia"/>
          <w:sz w:val="32"/>
          <w:szCs w:val="32"/>
          <w:u w:color="000000"/>
        </w:rPr>
        <w:t>万元，项目支出</w:t>
      </w:r>
      <w:r>
        <w:rPr>
          <w:rFonts w:hint="default" w:ascii="仿宋_GB2312" w:eastAsia="仿宋_GB2312" w:cs="Times New Roman" w:hAnsiTheme="minorEastAsia"/>
          <w:sz w:val="32"/>
          <w:szCs w:val="32"/>
          <w:u w:color="000000"/>
          <w:lang w:val="en-US"/>
        </w:rPr>
        <w:t>1155.93</w:t>
      </w:r>
      <w:r>
        <w:rPr>
          <w:rFonts w:hint="eastAsia" w:ascii="仿宋_GB2312" w:eastAsia="仿宋_GB2312" w:cs="Times New Roman" w:hAnsiTheme="minorEastAsia"/>
          <w:sz w:val="32"/>
          <w:szCs w:val="32"/>
          <w:u w:color="000000"/>
        </w:rPr>
        <w:t>万元。决算支出按功能分类包含：一般公共服务支出</w:t>
      </w:r>
      <w:r>
        <w:rPr>
          <w:rFonts w:hint="default" w:ascii="仿宋_GB2312" w:eastAsia="仿宋_GB2312" w:cs="Times New Roman" w:hAnsiTheme="minorEastAsia"/>
          <w:sz w:val="32"/>
          <w:szCs w:val="32"/>
          <w:u w:color="000000"/>
          <w:lang w:val="en-US"/>
        </w:rPr>
        <w:t>2265.25</w:t>
      </w:r>
      <w:r>
        <w:rPr>
          <w:rFonts w:hint="eastAsia" w:ascii="仿宋_GB2312" w:eastAsia="仿宋_GB2312" w:cs="Times New Roman" w:hAnsiTheme="minorEastAsia"/>
          <w:sz w:val="32"/>
          <w:szCs w:val="32"/>
          <w:u w:color="000000"/>
        </w:rPr>
        <w:t>万元，</w:t>
      </w:r>
      <w:r>
        <w:rPr>
          <w:rFonts w:hint="eastAsia" w:ascii="仿宋_GB2312" w:eastAsia="仿宋_GB2312" w:cs="Times New Roman" w:hAnsiTheme="minorEastAsia"/>
          <w:sz w:val="32"/>
          <w:szCs w:val="32"/>
          <w:u w:color="000000"/>
          <w:lang w:val="en-US" w:eastAsia="zh-CN"/>
        </w:rPr>
        <w:t>占比</w:t>
      </w:r>
      <w:r>
        <w:rPr>
          <w:rFonts w:hint="default" w:ascii="仿宋_GB2312" w:eastAsia="仿宋_GB2312" w:cs="Times New Roman" w:hAnsiTheme="minorEastAsia"/>
          <w:sz w:val="32"/>
          <w:szCs w:val="32"/>
          <w:u w:color="000000"/>
          <w:lang w:val="en-US" w:eastAsia="zh-CN"/>
        </w:rPr>
        <w:t>92.58%</w:t>
      </w:r>
      <w:r>
        <w:rPr>
          <w:rFonts w:hint="eastAsia" w:ascii="仿宋_GB2312" w:eastAsia="仿宋_GB2312" w:cs="Times New Roman" w:hAnsiTheme="minorEastAsia"/>
          <w:sz w:val="32"/>
          <w:szCs w:val="32"/>
          <w:u w:color="000000"/>
          <w:lang w:val="en-US" w:eastAsia="zh-CN"/>
        </w:rPr>
        <w:t>；</w:t>
      </w:r>
      <w:r>
        <w:rPr>
          <w:rFonts w:hint="eastAsia" w:ascii="仿宋_GB2312" w:eastAsia="仿宋_GB2312" w:cs="Times New Roman" w:hAnsiTheme="minorEastAsia"/>
          <w:sz w:val="32"/>
          <w:szCs w:val="32"/>
          <w:u w:color="000000"/>
        </w:rPr>
        <w:t>社会保障和就业支出</w:t>
      </w:r>
      <w:r>
        <w:rPr>
          <w:rFonts w:hint="default" w:ascii="仿宋_GB2312" w:eastAsia="仿宋_GB2312" w:cs="Times New Roman" w:hAnsiTheme="minorEastAsia"/>
          <w:sz w:val="32"/>
          <w:szCs w:val="32"/>
          <w:u w:color="000000"/>
          <w:lang w:val="en-US"/>
        </w:rPr>
        <w:t>97.82</w:t>
      </w:r>
      <w:r>
        <w:rPr>
          <w:rFonts w:hint="eastAsia" w:ascii="仿宋_GB2312" w:eastAsia="仿宋_GB2312" w:cs="Times New Roman" w:hAnsiTheme="minorEastAsia"/>
          <w:sz w:val="32"/>
          <w:szCs w:val="32"/>
          <w:u w:color="000000"/>
        </w:rPr>
        <w:t>万元，</w:t>
      </w:r>
      <w:r>
        <w:rPr>
          <w:rFonts w:hint="eastAsia" w:ascii="仿宋_GB2312" w:eastAsia="仿宋_GB2312" w:cs="Times New Roman" w:hAnsiTheme="minorEastAsia"/>
          <w:sz w:val="32"/>
          <w:szCs w:val="32"/>
          <w:u w:color="000000"/>
          <w:lang w:val="en-US" w:eastAsia="zh-CN"/>
        </w:rPr>
        <w:t>占比</w:t>
      </w:r>
      <w:r>
        <w:rPr>
          <w:rFonts w:hint="default" w:ascii="仿宋_GB2312" w:eastAsia="仿宋_GB2312" w:cs="Times New Roman" w:hAnsiTheme="minorEastAsia"/>
          <w:sz w:val="32"/>
          <w:szCs w:val="32"/>
          <w:u w:color="000000"/>
          <w:lang w:val="en-US" w:eastAsia="zh-CN"/>
        </w:rPr>
        <w:t>4%;</w:t>
      </w:r>
      <w:r>
        <w:rPr>
          <w:rFonts w:hint="eastAsia" w:ascii="仿宋_GB2312" w:eastAsia="仿宋_GB2312" w:cs="Times New Roman" w:hAnsiTheme="minorEastAsia"/>
          <w:sz w:val="32"/>
          <w:szCs w:val="32"/>
          <w:u w:color="000000"/>
        </w:rPr>
        <w:t>卫生健康支出</w:t>
      </w:r>
      <w:r>
        <w:rPr>
          <w:rFonts w:hint="default" w:ascii="仿宋_GB2312" w:eastAsia="仿宋_GB2312" w:cs="Times New Roman" w:hAnsiTheme="minorEastAsia"/>
          <w:sz w:val="32"/>
          <w:szCs w:val="32"/>
          <w:u w:color="000000"/>
          <w:lang w:val="en-US"/>
        </w:rPr>
        <w:t>29.91</w:t>
      </w:r>
      <w:r>
        <w:rPr>
          <w:rFonts w:hint="eastAsia" w:ascii="仿宋_GB2312" w:eastAsia="仿宋_GB2312" w:cs="Times New Roman" w:hAnsiTheme="minorEastAsia"/>
          <w:sz w:val="32"/>
          <w:szCs w:val="32"/>
          <w:u w:color="000000"/>
        </w:rPr>
        <w:t>万元，</w:t>
      </w:r>
      <w:r>
        <w:rPr>
          <w:rFonts w:hint="eastAsia" w:ascii="仿宋_GB2312" w:eastAsia="仿宋_GB2312" w:cs="Times New Roman" w:hAnsiTheme="minorEastAsia"/>
          <w:sz w:val="32"/>
          <w:szCs w:val="32"/>
          <w:u w:color="000000"/>
          <w:lang w:val="en-US" w:eastAsia="zh-CN"/>
        </w:rPr>
        <w:t>占比</w:t>
      </w:r>
      <w:r>
        <w:rPr>
          <w:rFonts w:hint="default" w:ascii="仿宋_GB2312" w:eastAsia="仿宋_GB2312" w:cs="Times New Roman" w:hAnsiTheme="minorEastAsia"/>
          <w:sz w:val="32"/>
          <w:szCs w:val="32"/>
          <w:u w:color="000000"/>
          <w:lang w:val="en-US" w:eastAsia="zh-CN"/>
        </w:rPr>
        <w:t>1.22%;</w:t>
      </w:r>
      <w:r>
        <w:rPr>
          <w:rFonts w:hint="eastAsia" w:ascii="仿宋_GB2312" w:eastAsia="仿宋_GB2312" w:cs="Times New Roman" w:hAnsiTheme="minorEastAsia"/>
          <w:sz w:val="32"/>
          <w:szCs w:val="32"/>
          <w:u w:color="000000"/>
        </w:rPr>
        <w:t>住房保障支出</w:t>
      </w:r>
      <w:r>
        <w:rPr>
          <w:rFonts w:hint="default" w:ascii="仿宋_GB2312" w:eastAsia="仿宋_GB2312" w:cs="Times New Roman" w:hAnsiTheme="minorEastAsia"/>
          <w:sz w:val="32"/>
          <w:szCs w:val="32"/>
          <w:u w:color="000000"/>
          <w:lang w:val="en-US"/>
        </w:rPr>
        <w:t>53.7</w:t>
      </w:r>
      <w:r>
        <w:rPr>
          <w:rFonts w:hint="eastAsia" w:ascii="仿宋_GB2312" w:eastAsia="仿宋_GB2312" w:cs="Times New Roman" w:hAnsiTheme="minorEastAsia"/>
          <w:sz w:val="32"/>
          <w:szCs w:val="32"/>
          <w:u w:color="000000"/>
        </w:rPr>
        <w:t>万元</w:t>
      </w:r>
      <w:r>
        <w:rPr>
          <w:rFonts w:hint="eastAsia" w:ascii="仿宋_GB2312" w:eastAsia="仿宋_GB2312" w:cs="Times New Roman" w:hAnsiTheme="minorEastAsia"/>
          <w:sz w:val="32"/>
          <w:szCs w:val="32"/>
          <w:u w:color="000000"/>
          <w:lang w:eastAsia="zh-CN"/>
        </w:rPr>
        <w:t>，</w:t>
      </w:r>
      <w:r>
        <w:rPr>
          <w:rFonts w:hint="eastAsia" w:ascii="仿宋_GB2312" w:eastAsia="仿宋_GB2312" w:cs="Times New Roman" w:hAnsiTheme="minorEastAsia"/>
          <w:sz w:val="32"/>
          <w:szCs w:val="32"/>
          <w:u w:color="000000"/>
          <w:lang w:val="en-US" w:eastAsia="zh-CN"/>
        </w:rPr>
        <w:t>占比</w:t>
      </w:r>
      <w:r>
        <w:rPr>
          <w:rFonts w:hint="default" w:ascii="仿宋_GB2312" w:eastAsia="仿宋_GB2312" w:cs="Times New Roman" w:hAnsiTheme="minorEastAsia"/>
          <w:sz w:val="32"/>
          <w:szCs w:val="32"/>
          <w:u w:color="000000"/>
          <w:lang w:val="en-US" w:eastAsia="zh-CN"/>
        </w:rPr>
        <w:t>2.2%</w:t>
      </w:r>
      <w:r>
        <w:rPr>
          <w:rFonts w:hint="eastAsia" w:ascii="仿宋_GB2312" w:eastAsia="仿宋_GB2312" w:cs="Times New Roman" w:hAnsiTheme="minorEastAsia"/>
          <w:sz w:val="32"/>
          <w:szCs w:val="32"/>
          <w:u w:color="000000"/>
        </w:rPr>
        <w:t>。</w:t>
      </w:r>
    </w:p>
    <w:p>
      <w:pPr>
        <w:spacing w:after="0" w:line="360" w:lineRule="auto"/>
        <w:ind w:firstLine="640" w:firstLineChars="200"/>
        <w:jc w:val="both"/>
        <w:textAlignment w:val="baseline"/>
        <w:rPr>
          <w:rFonts w:ascii="仿宋" w:hAnsi="仿宋" w:eastAsia="仿宋"/>
          <w:snapToGrid w:val="0"/>
          <w:sz w:val="32"/>
          <w:szCs w:val="32"/>
        </w:rPr>
      </w:pPr>
      <w:r>
        <w:rPr>
          <w:rFonts w:hint="eastAsia" w:ascii="仿宋_GB2312" w:eastAsia="仿宋_GB2312" w:cs="DengXian-Regular"/>
          <w:sz w:val="32"/>
          <w:szCs w:val="32"/>
        </w:rPr>
        <w:t>财政拨款决算支出比年初预算</w:t>
      </w:r>
      <w:r>
        <w:rPr>
          <w:rFonts w:hint="eastAsia" w:ascii="仿宋_GB2312" w:eastAsia="仿宋_GB2312" w:cs="DengXian-Regular"/>
          <w:sz w:val="32"/>
          <w:szCs w:val="32"/>
          <w:lang w:val="en-US" w:eastAsia="zh-CN"/>
        </w:rPr>
        <w:t>增加</w:t>
      </w:r>
      <w:r>
        <w:rPr>
          <w:rFonts w:hint="default" w:ascii="仿宋_GB2312" w:eastAsia="仿宋_GB2312" w:cs="DengXian-Regular"/>
          <w:sz w:val="32"/>
          <w:szCs w:val="32"/>
          <w:lang w:val="en-US" w:eastAsia="zh-CN"/>
        </w:rPr>
        <w:t>516.61</w:t>
      </w:r>
      <w:r>
        <w:rPr>
          <w:rFonts w:hint="eastAsia" w:ascii="仿宋_GB2312" w:eastAsia="仿宋_GB2312" w:cs="DengXian-Regular"/>
          <w:sz w:val="32"/>
          <w:szCs w:val="32"/>
        </w:rPr>
        <w:t>万元。决算支出完成年初预算的</w:t>
      </w:r>
      <w:r>
        <w:rPr>
          <w:rFonts w:hint="default" w:ascii="仿宋_GB2312" w:eastAsia="仿宋_GB2312" w:cs="DengXian-Regular"/>
          <w:sz w:val="32"/>
          <w:szCs w:val="32"/>
          <w:lang w:val="en-US"/>
        </w:rPr>
        <w:t>126.77</w:t>
      </w:r>
      <w:r>
        <w:rPr>
          <w:rFonts w:hint="eastAsia" w:ascii="仿宋_GB2312" w:eastAsia="仿宋_GB2312" w:cs="DengXian-Regular"/>
          <w:sz w:val="32"/>
          <w:szCs w:val="32"/>
        </w:rPr>
        <w:t>%。</w:t>
      </w:r>
      <w:r>
        <w:rPr>
          <w:rFonts w:hint="eastAsia" w:ascii="仿宋_GB2312" w:eastAsia="仿宋_GB2312" w:cs="Times New Roman" w:hAnsiTheme="minorEastAsia"/>
          <w:sz w:val="32"/>
          <w:szCs w:val="32"/>
          <w:u w:color="000000"/>
        </w:rPr>
        <w:t>决算支出</w:t>
      </w:r>
      <w:r>
        <w:rPr>
          <w:rFonts w:hint="eastAsia" w:ascii="仿宋_GB2312" w:eastAsia="仿宋_GB2312" w:cs="Times New Roman" w:hAnsiTheme="minorEastAsia"/>
          <w:sz w:val="32"/>
          <w:szCs w:val="32"/>
          <w:u w:color="000000"/>
          <w:lang w:val="en-US" w:eastAsia="zh-CN"/>
        </w:rPr>
        <w:t>大</w:t>
      </w:r>
      <w:r>
        <w:rPr>
          <w:rFonts w:hint="eastAsia" w:ascii="仿宋_GB2312" w:eastAsia="仿宋_GB2312" w:cs="Times New Roman" w:hAnsiTheme="minorEastAsia"/>
          <w:sz w:val="32"/>
          <w:szCs w:val="32"/>
          <w:u w:color="000000"/>
        </w:rPr>
        <w:t>于预算支出的</w:t>
      </w:r>
      <w:r>
        <w:rPr>
          <w:rFonts w:hint="eastAsia" w:ascii="仿宋_GB2312" w:eastAsia="仿宋_GB2312" w:cs="DengXian-Regular"/>
          <w:sz w:val="32"/>
          <w:szCs w:val="32"/>
        </w:rPr>
        <w:t>主要原因为202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年度</w:t>
      </w:r>
      <w:r>
        <w:rPr>
          <w:rFonts w:hint="eastAsia" w:ascii="仿宋_GB2312" w:eastAsia="仿宋_GB2312" w:cs="DengXian-Regular"/>
          <w:sz w:val="32"/>
          <w:szCs w:val="32"/>
          <w:lang w:val="en-US" w:eastAsia="zh-CN"/>
        </w:rPr>
        <w:t>人员经费增加以及项目经费增加</w:t>
      </w:r>
      <w:r>
        <w:rPr>
          <w:rFonts w:hint="eastAsia" w:ascii="仿宋_GB2312" w:eastAsia="仿宋_GB2312" w:cs="DengXian-Regular"/>
          <w:sz w:val="32"/>
          <w:szCs w:val="32"/>
        </w:rPr>
        <w:t>。</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lang w:val="en-US" w:eastAsia="zh-CN"/>
        </w:rPr>
        <w:t>我部门</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年实际项目支出</w:t>
      </w:r>
      <w:r>
        <w:rPr>
          <w:rFonts w:hint="default" w:ascii="仿宋_GB2312" w:eastAsia="仿宋_GB2312" w:cs="DengXian-Regular"/>
          <w:sz w:val="32"/>
          <w:szCs w:val="32"/>
          <w:lang w:val="en-US"/>
        </w:rPr>
        <w:t>584.21</w:t>
      </w:r>
      <w:r>
        <w:rPr>
          <w:rFonts w:hint="eastAsia" w:ascii="仿宋_GB2312" w:eastAsia="仿宋_GB2312" w:cs="DengXian-Regular"/>
          <w:sz w:val="32"/>
          <w:szCs w:val="32"/>
        </w:rPr>
        <w:t>万元，决算报表中项目支出</w:t>
      </w:r>
      <w:r>
        <w:rPr>
          <w:rFonts w:hint="default" w:ascii="仿宋_GB2312" w:eastAsia="仿宋_GB2312" w:cs="DengXian-Regular"/>
          <w:sz w:val="32"/>
          <w:szCs w:val="32"/>
          <w:lang w:val="en-US"/>
        </w:rPr>
        <w:t>584.21</w:t>
      </w:r>
      <w:r>
        <w:rPr>
          <w:rFonts w:hint="eastAsia" w:ascii="仿宋_GB2312" w:eastAsia="仿宋_GB2312" w:cs="DengXian-Regular"/>
          <w:sz w:val="32"/>
          <w:szCs w:val="32"/>
        </w:rPr>
        <w:t>万元，实际支出与决算报表</w:t>
      </w:r>
      <w:r>
        <w:rPr>
          <w:rFonts w:hint="eastAsia" w:ascii="仿宋_GB2312" w:eastAsia="仿宋_GB2312" w:cs="DengXian-Regular"/>
          <w:sz w:val="32"/>
          <w:szCs w:val="32"/>
          <w:lang w:val="en-US" w:eastAsia="zh-CN"/>
        </w:rPr>
        <w:t>一致</w:t>
      </w:r>
      <w:r>
        <w:rPr>
          <w:rFonts w:hint="eastAsia" w:ascii="仿宋_GB2312" w:eastAsia="仿宋_GB2312" w:cs="DengXian-Regular"/>
          <w:sz w:val="32"/>
          <w:szCs w:val="32"/>
        </w:rPr>
        <w:t>。</w:t>
      </w:r>
    </w:p>
    <w:p>
      <w:pPr>
        <w:pStyle w:val="4"/>
        <w:spacing w:before="0" w:after="0"/>
        <w:ind w:firstLine="643" w:firstLineChars="200"/>
        <w:jc w:val="both"/>
        <w:rPr>
          <w:rFonts w:ascii="仿宋_GB2312" w:hAnsi="Tahoma" w:cs="DengXian-Regular"/>
          <w:sz w:val="32"/>
        </w:rPr>
      </w:pPr>
      <w:bookmarkStart w:id="13" w:name="_Toc19291"/>
      <w:bookmarkStart w:id="14" w:name="_Toc492652769"/>
      <w:bookmarkStart w:id="15" w:name="_Toc465149503"/>
      <w:r>
        <w:rPr>
          <w:rFonts w:hint="eastAsia" w:ascii="仿宋_GB2312" w:hAnsi="Tahoma" w:cs="DengXian-Regular"/>
          <w:sz w:val="32"/>
        </w:rPr>
        <w:t>（五）“三公”经费预算安排及支出情况</w:t>
      </w:r>
      <w:bookmarkEnd w:id="13"/>
      <w:bookmarkEnd w:id="14"/>
      <w:bookmarkEnd w:id="15"/>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w:t>
      </w:r>
      <w:r>
        <w:rPr>
          <w:rFonts w:hint="eastAsia" w:ascii="仿宋_GB2312" w:eastAsia="仿宋_GB2312" w:cs="DengXian-Regular"/>
          <w:sz w:val="32"/>
          <w:szCs w:val="32"/>
          <w:lang w:val="en-US" w:eastAsia="zh-CN"/>
        </w:rPr>
        <w:t>我部门</w:t>
      </w:r>
      <w:r>
        <w:rPr>
          <w:rFonts w:hint="eastAsia" w:ascii="仿宋_GB2312" w:eastAsia="仿宋_GB2312" w:cs="DengXian-Regular"/>
          <w:sz w:val="32"/>
          <w:szCs w:val="32"/>
        </w:rPr>
        <w:t>“三公”经费预算</w:t>
      </w:r>
      <w:r>
        <w:rPr>
          <w:rFonts w:hint="default" w:ascii="仿宋_GB2312" w:eastAsia="仿宋_GB2312" w:cs="DengXian-Regular"/>
          <w:sz w:val="32"/>
          <w:szCs w:val="32"/>
          <w:lang w:val="en-US"/>
        </w:rPr>
        <w:t>6.44</w:t>
      </w:r>
      <w:r>
        <w:rPr>
          <w:rFonts w:hint="eastAsia" w:ascii="仿宋_GB2312" w:eastAsia="仿宋_GB2312" w:cs="DengXian-Regular"/>
          <w:sz w:val="32"/>
          <w:szCs w:val="32"/>
        </w:rPr>
        <w:t>万元（公务用车运行维护费</w:t>
      </w:r>
      <w:r>
        <w:rPr>
          <w:rFonts w:hint="default" w:ascii="仿宋_GB2312" w:eastAsia="仿宋_GB2312" w:cs="DengXian-Regular"/>
          <w:sz w:val="32"/>
          <w:szCs w:val="32"/>
          <w:lang w:val="en-US"/>
        </w:rPr>
        <w:t>4.86</w:t>
      </w:r>
      <w:r>
        <w:rPr>
          <w:rFonts w:hint="eastAsia" w:ascii="仿宋_GB2312" w:eastAsia="仿宋_GB2312" w:cs="DengXian-Regular"/>
          <w:sz w:val="32"/>
          <w:szCs w:val="32"/>
        </w:rPr>
        <w:t>万元，公务接待费</w:t>
      </w:r>
      <w:r>
        <w:rPr>
          <w:rFonts w:hint="default" w:ascii="仿宋_GB2312" w:eastAsia="仿宋_GB2312" w:cs="DengXian-Regular"/>
          <w:sz w:val="32"/>
          <w:szCs w:val="32"/>
          <w:lang w:val="en-US"/>
        </w:rPr>
        <w:t>1.58</w:t>
      </w:r>
      <w:r>
        <w:rPr>
          <w:rFonts w:hint="eastAsia" w:ascii="仿宋_GB2312" w:eastAsia="仿宋_GB2312" w:cs="DengXian-Regular"/>
          <w:sz w:val="32"/>
          <w:szCs w:val="32"/>
        </w:rPr>
        <w:t>万元），实际支出</w:t>
      </w:r>
      <w:r>
        <w:rPr>
          <w:rFonts w:hint="default" w:ascii="仿宋_GB2312" w:eastAsia="仿宋_GB2312" w:cs="DengXian-Regular"/>
          <w:sz w:val="32"/>
          <w:szCs w:val="32"/>
          <w:lang w:val="en-US"/>
        </w:rPr>
        <w:t>19.94</w:t>
      </w:r>
      <w:r>
        <w:rPr>
          <w:rFonts w:hint="eastAsia" w:ascii="仿宋_GB2312" w:eastAsia="仿宋_GB2312" w:cs="DengXian-Regular"/>
          <w:sz w:val="32"/>
          <w:szCs w:val="32"/>
        </w:rPr>
        <w:t>万元（公务用车运行维护费</w:t>
      </w:r>
      <w:r>
        <w:rPr>
          <w:rFonts w:hint="default" w:ascii="仿宋_GB2312" w:eastAsia="仿宋_GB2312" w:cs="DengXian-Regular"/>
          <w:sz w:val="32"/>
          <w:szCs w:val="32"/>
          <w:lang w:val="en-US"/>
        </w:rPr>
        <w:t>2.12</w:t>
      </w:r>
      <w:r>
        <w:rPr>
          <w:rFonts w:hint="eastAsia" w:ascii="仿宋_GB2312" w:eastAsia="仿宋_GB2312" w:cs="DengXian-Regular"/>
          <w:sz w:val="32"/>
          <w:szCs w:val="32"/>
        </w:rPr>
        <w:t>万元，公务接待费</w:t>
      </w:r>
      <w:r>
        <w:rPr>
          <w:rFonts w:hint="default" w:ascii="仿宋_GB2312" w:eastAsia="仿宋_GB2312" w:cs="DengXian-Regular"/>
          <w:sz w:val="32"/>
          <w:szCs w:val="32"/>
          <w:lang w:val="en-US"/>
        </w:rPr>
        <w:t>0.44</w:t>
      </w:r>
      <w:r>
        <w:rPr>
          <w:rFonts w:hint="eastAsia" w:ascii="仿宋_GB2312" w:eastAsia="仿宋_GB2312" w:cs="DengXian-Regular"/>
          <w:sz w:val="32"/>
          <w:szCs w:val="32"/>
        </w:rPr>
        <w:t>万元），比预算</w:t>
      </w:r>
      <w:r>
        <w:rPr>
          <w:rFonts w:hint="eastAsia" w:ascii="仿宋_GB2312" w:eastAsia="仿宋_GB2312" w:cs="DengXian-Regular"/>
          <w:sz w:val="32"/>
          <w:szCs w:val="32"/>
          <w:lang w:val="en-US" w:eastAsia="zh-CN"/>
        </w:rPr>
        <w:t>增加</w:t>
      </w:r>
      <w:r>
        <w:rPr>
          <w:rFonts w:hint="default" w:ascii="仿宋_GB2312" w:eastAsia="仿宋_GB2312" w:cs="DengXian-Regular"/>
          <w:sz w:val="32"/>
          <w:szCs w:val="32"/>
          <w:lang w:val="en-US"/>
        </w:rPr>
        <w:t>13.5</w:t>
      </w:r>
      <w:r>
        <w:rPr>
          <w:rFonts w:hint="eastAsia" w:ascii="仿宋_GB2312" w:eastAsia="仿宋_GB2312" w:cs="DengXian-Regular"/>
          <w:sz w:val="32"/>
          <w:szCs w:val="32"/>
        </w:rPr>
        <w:t>万元，</w:t>
      </w:r>
      <w:r>
        <w:rPr>
          <w:rFonts w:hint="eastAsia" w:ascii="仿宋_GB2312" w:eastAsia="仿宋_GB2312" w:cs="DengXian-Regular"/>
          <w:sz w:val="32"/>
          <w:szCs w:val="32"/>
          <w:lang w:val="en-US" w:eastAsia="zh-CN"/>
        </w:rPr>
        <w:t>较上年增加</w:t>
      </w:r>
      <w:r>
        <w:rPr>
          <w:rFonts w:hint="default" w:ascii="仿宋_GB2312" w:eastAsia="仿宋_GB2312" w:cs="DengXian-Regular"/>
          <w:sz w:val="32"/>
          <w:szCs w:val="32"/>
          <w:lang w:val="en-US" w:eastAsia="zh-CN"/>
        </w:rPr>
        <w:t>209.63</w:t>
      </w:r>
      <w:r>
        <w:rPr>
          <w:rFonts w:hint="eastAsia" w:ascii="仿宋_GB2312" w:eastAsia="仿宋_GB2312" w:cs="DengXian-Regular"/>
          <w:sz w:val="32"/>
          <w:szCs w:val="32"/>
        </w:rPr>
        <w:t>%。2022年“三公”经费预算数与</w:t>
      </w:r>
      <w:r>
        <w:rPr>
          <w:rFonts w:ascii="仿宋_GB2312" w:eastAsia="仿宋_GB2312" w:cs="DengXian-Regular"/>
          <w:sz w:val="32"/>
          <w:szCs w:val="32"/>
        </w:rPr>
        <w:t>20</w:t>
      </w:r>
      <w:r>
        <w:rPr>
          <w:rFonts w:hint="default" w:ascii="仿宋_GB2312" w:eastAsia="仿宋_GB2312" w:cs="DengXian-Regular"/>
          <w:sz w:val="32"/>
          <w:szCs w:val="32"/>
          <w:lang w:val="en-US"/>
        </w:rPr>
        <w:t>21</w:t>
      </w:r>
      <w:r>
        <w:rPr>
          <w:rFonts w:hint="eastAsia" w:ascii="仿宋_GB2312" w:eastAsia="仿宋_GB2312" w:cs="DengXian-Regular"/>
          <w:sz w:val="32"/>
          <w:szCs w:val="32"/>
        </w:rPr>
        <w:t>年预算数相比</w:t>
      </w:r>
      <w:r>
        <w:rPr>
          <w:rFonts w:hint="eastAsia" w:ascii="仿宋_GB2312" w:eastAsia="仿宋_GB2312" w:cs="DengXian-Regular"/>
          <w:sz w:val="32"/>
          <w:szCs w:val="32"/>
          <w:lang w:val="en-US" w:eastAsia="zh-CN"/>
        </w:rPr>
        <w:t>一致</w:t>
      </w:r>
      <w:r>
        <w:rPr>
          <w:rFonts w:hint="eastAsia" w:ascii="仿宋_GB2312" w:eastAsia="仿宋_GB2312" w:cs="DengXian-Regular"/>
          <w:sz w:val="32"/>
          <w:szCs w:val="32"/>
        </w:rPr>
        <w:t>，决算数与</w:t>
      </w:r>
      <w:r>
        <w:rPr>
          <w:rFonts w:ascii="仿宋_GB2312" w:eastAsia="仿宋_GB2312" w:cs="DengXian-Regular"/>
          <w:sz w:val="32"/>
          <w:szCs w:val="32"/>
        </w:rPr>
        <w:t>20</w:t>
      </w:r>
      <w:r>
        <w:rPr>
          <w:rFonts w:hint="default" w:ascii="仿宋_GB2312" w:eastAsia="仿宋_GB2312" w:cs="DengXian-Regular"/>
          <w:sz w:val="32"/>
          <w:szCs w:val="32"/>
          <w:lang w:val="en-US"/>
        </w:rPr>
        <w:t>21</w:t>
      </w:r>
      <w:r>
        <w:rPr>
          <w:rFonts w:hint="eastAsia" w:ascii="仿宋_GB2312" w:eastAsia="仿宋_GB2312" w:cs="DengXian-Regular"/>
          <w:sz w:val="32"/>
          <w:szCs w:val="32"/>
        </w:rPr>
        <w:t>年实际支出相比，</w:t>
      </w:r>
      <w:r>
        <w:rPr>
          <w:rFonts w:hint="eastAsia" w:ascii="仿宋_GB2312" w:eastAsia="仿宋_GB2312" w:cs="DengXian-Regular"/>
          <w:sz w:val="32"/>
          <w:szCs w:val="32"/>
          <w:lang w:val="en-US" w:eastAsia="zh-CN"/>
        </w:rPr>
        <w:t>增加</w:t>
      </w:r>
      <w:r>
        <w:rPr>
          <w:rFonts w:hint="default" w:ascii="仿宋_GB2312" w:eastAsia="仿宋_GB2312" w:cs="DengXian-Regular"/>
          <w:sz w:val="32"/>
          <w:szCs w:val="32"/>
          <w:lang w:val="en-US" w:eastAsia="zh-CN"/>
        </w:rPr>
        <w:t>17.42</w:t>
      </w:r>
      <w:r>
        <w:rPr>
          <w:rFonts w:hint="eastAsia" w:ascii="仿宋_GB2312" w:eastAsia="仿宋_GB2312" w:cs="DengXian-Regular"/>
          <w:sz w:val="32"/>
          <w:szCs w:val="32"/>
        </w:rPr>
        <w:t>万元。具体详见表1。</w:t>
      </w:r>
    </w:p>
    <w:p>
      <w:pPr>
        <w:spacing w:after="0" w:line="360" w:lineRule="auto"/>
        <w:ind w:firstLine="643" w:firstLineChars="200"/>
        <w:jc w:val="both"/>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 xml:space="preserve">表1  </w:t>
      </w: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财政局</w:t>
      </w:r>
      <w:r>
        <w:rPr>
          <w:rFonts w:hint="eastAsia" w:ascii="仿宋_GB2312" w:eastAsia="仿宋_GB2312" w:cs="DengXian-Regular"/>
          <w:sz w:val="32"/>
          <w:szCs w:val="32"/>
        </w:rPr>
        <w:t>单位</w:t>
      </w:r>
      <w:r>
        <w:rPr>
          <w:rFonts w:hint="eastAsia" w:asciiTheme="minorEastAsia" w:hAnsiTheme="minorEastAsia" w:eastAsiaTheme="minorEastAsia" w:cstheme="minorEastAsia"/>
          <w:b/>
          <w:bCs/>
          <w:sz w:val="32"/>
          <w:szCs w:val="32"/>
        </w:rPr>
        <w:t>“三公”经费预算及决算明细表</w:t>
      </w:r>
    </w:p>
    <w:p>
      <w:pPr>
        <w:spacing w:after="0" w:line="540" w:lineRule="exact"/>
        <w:ind w:firstLine="640" w:firstLineChars="200"/>
        <w:jc w:val="both"/>
        <w:rPr>
          <w:rFonts w:asciiTheme="minorEastAsia" w:hAnsiTheme="minorEastAsia" w:eastAsiaTheme="minorEastAsia" w:cstheme="minorEastAsia"/>
          <w:sz w:val="21"/>
          <w:szCs w:val="21"/>
        </w:rPr>
      </w:pPr>
      <w:r>
        <w:rPr>
          <w:rFonts w:hint="eastAsia" w:ascii="仿宋_GB2312" w:eastAsia="仿宋_GB2312" w:cs="DengXian-Regular"/>
          <w:sz w:val="32"/>
          <w:szCs w:val="32"/>
        </w:rPr>
        <w:t xml:space="preserve">                                         </w:t>
      </w:r>
      <w:r>
        <w:rPr>
          <w:rFonts w:hint="eastAsia" w:asciiTheme="minorEastAsia" w:hAnsiTheme="minorEastAsia" w:eastAsiaTheme="minorEastAsia" w:cstheme="minorEastAsia"/>
          <w:sz w:val="21"/>
          <w:szCs w:val="21"/>
        </w:rPr>
        <w:t>单位：万元</w:t>
      </w:r>
    </w:p>
    <w:tbl>
      <w:tblPr>
        <w:tblStyle w:val="23"/>
        <w:tblW w:w="8565" w:type="dxa"/>
        <w:tblInd w:w="0" w:type="dxa"/>
        <w:tblLayout w:type="fixed"/>
        <w:tblCellMar>
          <w:top w:w="0" w:type="dxa"/>
          <w:left w:w="0" w:type="dxa"/>
          <w:bottom w:w="0" w:type="dxa"/>
          <w:right w:w="0" w:type="dxa"/>
        </w:tblCellMar>
      </w:tblPr>
      <w:tblGrid>
        <w:gridCol w:w="549"/>
        <w:gridCol w:w="1818"/>
        <w:gridCol w:w="993"/>
        <w:gridCol w:w="932"/>
        <w:gridCol w:w="1022"/>
        <w:gridCol w:w="947"/>
        <w:gridCol w:w="1149"/>
        <w:gridCol w:w="1155"/>
      </w:tblGrid>
      <w:tr>
        <w:tblPrEx>
          <w:tblCellMar>
            <w:top w:w="0" w:type="dxa"/>
            <w:left w:w="0" w:type="dxa"/>
            <w:bottom w:w="0" w:type="dxa"/>
            <w:right w:w="0" w:type="dxa"/>
          </w:tblCellMar>
        </w:tblPrEx>
        <w:trPr>
          <w:trHeight w:val="454" w:hRule="atLeast"/>
        </w:trPr>
        <w:tc>
          <w:tcPr>
            <w:tcW w:w="549" w:type="dxa"/>
            <w:vMerge w:val="restart"/>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序号</w:t>
            </w:r>
          </w:p>
        </w:tc>
        <w:tc>
          <w:tcPr>
            <w:tcW w:w="1818" w:type="dxa"/>
            <w:vMerge w:val="restart"/>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支出内容</w:t>
            </w:r>
          </w:p>
        </w:tc>
        <w:tc>
          <w:tcPr>
            <w:tcW w:w="1925" w:type="dxa"/>
            <w:gridSpan w:val="2"/>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default" w:ascii="宋体" w:hAnsi="宋体" w:eastAsia="宋体" w:cs="宋体"/>
                <w:b/>
                <w:bCs/>
                <w:color w:val="000000"/>
                <w:sz w:val="21"/>
                <w:szCs w:val="21"/>
                <w:lang w:val="en-US"/>
              </w:rPr>
              <w:t>2021</w:t>
            </w:r>
            <w:r>
              <w:rPr>
                <w:rFonts w:hint="eastAsia" w:ascii="宋体" w:hAnsi="宋体" w:eastAsia="宋体" w:cs="宋体"/>
                <w:b/>
                <w:bCs/>
                <w:color w:val="000000"/>
                <w:sz w:val="21"/>
                <w:szCs w:val="21"/>
              </w:rPr>
              <w:t>年</w:t>
            </w:r>
          </w:p>
        </w:tc>
        <w:tc>
          <w:tcPr>
            <w:tcW w:w="1969" w:type="dxa"/>
            <w:gridSpan w:val="2"/>
            <w:tcBorders>
              <w:top w:val="single" w:color="000000" w:sz="4" w:space="0"/>
              <w:left w:val="single" w:color="auto" w:sz="4" w:space="0"/>
              <w:bottom w:val="single" w:color="000000" w:sz="4" w:space="0"/>
              <w:right w:val="nil"/>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2022年</w:t>
            </w:r>
          </w:p>
        </w:tc>
        <w:tc>
          <w:tcPr>
            <w:tcW w:w="2304" w:type="dxa"/>
            <w:gridSpan w:val="2"/>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ind w:firstLine="422" w:firstLineChars="20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环比情况</w:t>
            </w:r>
          </w:p>
        </w:tc>
      </w:tr>
      <w:tr>
        <w:tblPrEx>
          <w:tblCellMar>
            <w:top w:w="0" w:type="dxa"/>
            <w:left w:w="0" w:type="dxa"/>
            <w:bottom w:w="0" w:type="dxa"/>
            <w:right w:w="0" w:type="dxa"/>
          </w:tblCellMar>
        </w:tblPrEx>
        <w:trPr>
          <w:trHeight w:val="454" w:hRule="atLeast"/>
        </w:trPr>
        <w:tc>
          <w:tcPr>
            <w:tcW w:w="549" w:type="dxa"/>
            <w:vMerge w:val="continue"/>
            <w:tcBorders>
              <w:top w:val="single" w:color="auto" w:sz="4" w:space="0"/>
              <w:left w:val="single" w:color="auto" w:sz="4" w:space="0"/>
              <w:bottom w:val="single" w:color="auto" w:sz="4" w:space="0"/>
              <w:right w:val="single" w:color="auto" w:sz="4" w:space="0"/>
            </w:tcBorders>
            <w:shd w:val="clear" w:color="auto" w:fill="auto"/>
            <w:noWrap/>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rPr>
            </w:pPr>
          </w:p>
        </w:tc>
        <w:tc>
          <w:tcPr>
            <w:tcW w:w="1818" w:type="dxa"/>
            <w:vMerge w:val="continue"/>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ind w:firstLine="422" w:firstLineChars="200"/>
              <w:jc w:val="center"/>
              <w:rPr>
                <w:rFonts w:ascii="宋体" w:hAnsi="宋体" w:eastAsia="宋体" w:cs="宋体"/>
                <w:b/>
                <w:bCs/>
                <w:color w:val="000000"/>
                <w:sz w:val="21"/>
                <w:szCs w:val="21"/>
              </w:rPr>
            </w:pPr>
          </w:p>
        </w:tc>
        <w:tc>
          <w:tcPr>
            <w:tcW w:w="993" w:type="dxa"/>
            <w:tcBorders>
              <w:top w:val="single" w:color="auto" w:sz="4" w:space="0"/>
              <w:left w:val="single" w:color="auto" w:sz="4" w:space="0"/>
              <w:bottom w:val="single" w:color="auto" w:sz="4" w:space="0"/>
              <w:right w:val="single" w:color="auto"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32" w:type="dxa"/>
            <w:tcBorders>
              <w:top w:val="nil"/>
              <w:left w:val="single" w:color="auto"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022"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预算安排</w:t>
            </w:r>
          </w:p>
        </w:tc>
        <w:tc>
          <w:tcPr>
            <w:tcW w:w="947"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实际支出</w:t>
            </w:r>
          </w:p>
        </w:tc>
        <w:tc>
          <w:tcPr>
            <w:tcW w:w="1149"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较上年预算增减金额</w:t>
            </w:r>
          </w:p>
        </w:tc>
        <w:tc>
          <w:tcPr>
            <w:tcW w:w="1155" w:type="dxa"/>
            <w:tcBorders>
              <w:top w:val="single" w:color="000000" w:sz="4" w:space="0"/>
              <w:left w:val="single" w:color="000000" w:sz="4" w:space="0"/>
              <w:bottom w:val="nil"/>
              <w:right w:val="single" w:color="000000" w:sz="4" w:space="0"/>
            </w:tcBorders>
            <w:shd w:val="clear" w:color="auto" w:fill="auto"/>
            <w:tcMar>
              <w:top w:w="15" w:type="dxa"/>
              <w:left w:w="15" w:type="dxa"/>
              <w:right w:w="15" w:type="dxa"/>
            </w:tcMar>
            <w:vAlign w:val="center"/>
          </w:tcPr>
          <w:p>
            <w:pPr>
              <w:spacing w:after="0"/>
              <w:jc w:val="center"/>
              <w:textAlignment w:val="center"/>
              <w:rPr>
                <w:rFonts w:ascii="宋体" w:hAnsi="宋体" w:eastAsia="宋体" w:cs="宋体"/>
                <w:b/>
                <w:bCs/>
                <w:color w:val="000000"/>
                <w:sz w:val="21"/>
                <w:szCs w:val="21"/>
              </w:rPr>
            </w:pPr>
            <w:r>
              <w:rPr>
                <w:rFonts w:hint="eastAsia" w:ascii="宋体" w:hAnsi="宋体" w:eastAsia="宋体" w:cs="宋体"/>
                <w:b/>
                <w:bCs/>
                <w:color w:val="000000"/>
                <w:sz w:val="21"/>
                <w:szCs w:val="21"/>
              </w:rPr>
              <w:t>较上年支出增减金额</w:t>
            </w:r>
          </w:p>
        </w:tc>
      </w:tr>
      <w:tr>
        <w:tblPrEx>
          <w:tblCellMar>
            <w:top w:w="0" w:type="dxa"/>
            <w:left w:w="0" w:type="dxa"/>
            <w:bottom w:w="0" w:type="dxa"/>
            <w:right w:w="0" w:type="dxa"/>
          </w:tblCellMar>
        </w:tblPrEx>
        <w:trPr>
          <w:trHeight w:val="454" w:hRule="atLeast"/>
        </w:trPr>
        <w:tc>
          <w:tcPr>
            <w:tcW w:w="549"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1</w:t>
            </w:r>
          </w:p>
        </w:tc>
        <w:tc>
          <w:tcPr>
            <w:tcW w:w="1818" w:type="dxa"/>
            <w:tcBorders>
              <w:top w:val="single" w:color="auto"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因公出国（境）费</w:t>
            </w:r>
          </w:p>
        </w:tc>
        <w:tc>
          <w:tcPr>
            <w:tcW w:w="993" w:type="dxa"/>
            <w:tcBorders>
              <w:top w:val="single" w:color="auto"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2</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公务用车购置及运维费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22</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1.8</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4.86</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19.5</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-17.14</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17.7</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3</w:t>
            </w:r>
          </w:p>
        </w:tc>
        <w:tc>
          <w:tcPr>
            <w:tcW w:w="1818" w:type="dxa"/>
            <w:tcBorders>
              <w:top w:val="single" w:color="000000" w:sz="4" w:space="0"/>
              <w:left w:val="single" w:color="000000" w:sz="4" w:space="0"/>
              <w:bottom w:val="single" w:color="000000" w:sz="4" w:space="0"/>
              <w:right w:val="single" w:color="000000" w:sz="4" w:space="0"/>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公务接待费</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7.3</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0.72</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1.58</w:t>
            </w:r>
          </w:p>
        </w:tc>
        <w:tc>
          <w:tcPr>
            <w:tcW w:w="947"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0.44</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-5.72</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-0.28</w:t>
            </w:r>
          </w:p>
        </w:tc>
      </w:tr>
      <w:tr>
        <w:tblPrEx>
          <w:tblCellMar>
            <w:top w:w="0" w:type="dxa"/>
            <w:left w:w="0" w:type="dxa"/>
            <w:bottom w:w="0" w:type="dxa"/>
            <w:right w:w="0" w:type="dxa"/>
          </w:tblCellMar>
        </w:tblPrEx>
        <w:trPr>
          <w:trHeight w:val="454" w:hRule="atLeast"/>
        </w:trPr>
        <w:tc>
          <w:tcPr>
            <w:tcW w:w="549"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4</w:t>
            </w:r>
          </w:p>
        </w:tc>
        <w:tc>
          <w:tcPr>
            <w:tcW w:w="1818" w:type="dxa"/>
            <w:tcBorders>
              <w:top w:val="single" w:color="000000" w:sz="4" w:space="0"/>
              <w:left w:val="single" w:color="000000" w:sz="4" w:space="0"/>
              <w:bottom w:val="single" w:color="000000" w:sz="4" w:space="0"/>
              <w:right w:val="nil"/>
            </w:tcBorders>
            <w:shd w:val="clear" w:color="auto" w:fill="auto"/>
            <w:tcMar>
              <w:top w:w="15" w:type="dxa"/>
              <w:left w:w="15" w:type="dxa"/>
              <w:right w:w="15" w:type="dxa"/>
            </w:tcMar>
            <w:vAlign w:val="center"/>
          </w:tcPr>
          <w:p>
            <w:pPr>
              <w:spacing w:after="0"/>
              <w:jc w:val="center"/>
              <w:textAlignment w:val="center"/>
              <w:rPr>
                <w:rFonts w:asciiTheme="minorEastAsia" w:hAnsiTheme="minorEastAsia" w:eastAsiaTheme="minorEastAsia" w:cstheme="minorEastAsia"/>
                <w:color w:val="000000"/>
                <w:sz w:val="21"/>
                <w:szCs w:val="21"/>
              </w:rPr>
            </w:pPr>
            <w:r>
              <w:rPr>
                <w:rFonts w:hint="eastAsia" w:asciiTheme="minorEastAsia" w:hAnsiTheme="minorEastAsia" w:eastAsiaTheme="minorEastAsia" w:cstheme="minorEastAsia"/>
                <w:color w:val="000000"/>
                <w:sz w:val="21"/>
                <w:szCs w:val="21"/>
              </w:rPr>
              <w:t>合计</w:t>
            </w:r>
          </w:p>
        </w:tc>
        <w:tc>
          <w:tcPr>
            <w:tcW w:w="993"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29.3</w:t>
            </w:r>
          </w:p>
        </w:tc>
        <w:tc>
          <w:tcPr>
            <w:tcW w:w="93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2.52</w:t>
            </w:r>
          </w:p>
        </w:tc>
        <w:tc>
          <w:tcPr>
            <w:tcW w:w="1022" w:type="dxa"/>
            <w:tcBorders>
              <w:top w:val="single" w:color="000000" w:sz="4" w:space="0"/>
              <w:left w:val="single" w:color="000000" w:sz="4" w:space="0"/>
              <w:bottom w:val="single" w:color="000000" w:sz="4" w:space="0"/>
              <w:right w:val="single" w:color="000000" w:sz="4" w:space="0"/>
            </w:tcBorders>
            <w:shd w:val="clear" w:color="auto" w:fill="auto"/>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6.44</w:t>
            </w:r>
          </w:p>
        </w:tc>
        <w:tc>
          <w:tcPr>
            <w:tcW w:w="947"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19.94</w:t>
            </w:r>
          </w:p>
        </w:tc>
        <w:tc>
          <w:tcPr>
            <w:tcW w:w="1149"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ind w:firstLine="420" w:firstLineChars="20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-22.86</w:t>
            </w:r>
          </w:p>
        </w:tc>
        <w:tc>
          <w:tcPr>
            <w:tcW w:w="1155" w:type="dxa"/>
            <w:tcBorders>
              <w:top w:val="single" w:color="000000" w:sz="4" w:space="0"/>
              <w:left w:val="single" w:color="000000" w:sz="4" w:space="0"/>
              <w:bottom w:val="single" w:color="000000" w:sz="4" w:space="0"/>
              <w:right w:val="single" w:color="000000" w:sz="4" w:space="0"/>
            </w:tcBorders>
            <w:shd w:val="clear" w:color="auto" w:fill="FFFFFF"/>
            <w:noWrap/>
            <w:tcMar>
              <w:top w:w="15" w:type="dxa"/>
              <w:left w:w="15" w:type="dxa"/>
              <w:right w:w="15" w:type="dxa"/>
            </w:tcMar>
            <w:vAlign w:val="center"/>
          </w:tcPr>
          <w:p>
            <w:pPr>
              <w:spacing w:after="0"/>
              <w:jc w:val="center"/>
              <w:textAlignment w:val="center"/>
              <w:rPr>
                <w:rFonts w:hint="default" w:asciiTheme="minorEastAsia" w:hAnsiTheme="minorEastAsia" w:eastAsiaTheme="minorEastAsia" w:cstheme="minorEastAsia"/>
                <w:color w:val="000000"/>
                <w:sz w:val="21"/>
                <w:szCs w:val="21"/>
                <w:lang w:val="en-US"/>
              </w:rPr>
            </w:pPr>
            <w:r>
              <w:rPr>
                <w:rFonts w:hint="default" w:asciiTheme="minorEastAsia" w:hAnsiTheme="minorEastAsia" w:eastAsiaTheme="minorEastAsia" w:cstheme="minorEastAsia"/>
                <w:color w:val="000000"/>
                <w:sz w:val="21"/>
                <w:szCs w:val="21"/>
                <w:lang w:val="en-US"/>
              </w:rPr>
              <w:t>17.42</w:t>
            </w:r>
          </w:p>
        </w:tc>
      </w:tr>
    </w:tbl>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1、公务用车：2022年底</w:t>
      </w:r>
      <w:r>
        <w:rPr>
          <w:rFonts w:hint="eastAsia" w:ascii="仿宋_GB2312" w:eastAsia="仿宋_GB2312" w:cs="DengXian-Regular"/>
          <w:sz w:val="32"/>
          <w:szCs w:val="32"/>
          <w:lang w:val="en-US" w:eastAsia="zh-CN"/>
        </w:rPr>
        <w:t>我部门</w:t>
      </w:r>
      <w:r>
        <w:rPr>
          <w:rFonts w:hint="eastAsia" w:ascii="仿宋_GB2312" w:eastAsia="仿宋_GB2312" w:cs="DengXian-Regular"/>
          <w:sz w:val="32"/>
          <w:szCs w:val="32"/>
        </w:rPr>
        <w:t>车辆合计</w:t>
      </w:r>
      <w:r>
        <w:rPr>
          <w:rFonts w:hint="default" w:ascii="仿宋_GB2312" w:eastAsia="仿宋_GB2312" w:cs="DengXian-Regular"/>
          <w:sz w:val="32"/>
          <w:szCs w:val="32"/>
          <w:lang w:val="en-US"/>
        </w:rPr>
        <w:t>2</w:t>
      </w:r>
      <w:r>
        <w:rPr>
          <w:rFonts w:hint="eastAsia" w:ascii="仿宋_GB2312" w:eastAsia="仿宋_GB2312" w:cs="DengXian-Regular"/>
          <w:sz w:val="32"/>
          <w:szCs w:val="32"/>
        </w:rPr>
        <w:t>辆，其中</w:t>
      </w:r>
      <w:r>
        <w:rPr>
          <w:rFonts w:hint="eastAsia" w:ascii="仿宋_GB2312" w:eastAsia="仿宋_GB2312" w:cs="DengXian-Regular"/>
          <w:sz w:val="32"/>
          <w:szCs w:val="32"/>
          <w:lang w:val="en-US" w:eastAsia="zh-CN"/>
        </w:rPr>
        <w:t>公务</w:t>
      </w:r>
      <w:r>
        <w:rPr>
          <w:rFonts w:hint="eastAsia" w:ascii="仿宋_GB2312" w:eastAsia="仿宋_GB2312" w:cs="DengXian-Regular"/>
          <w:sz w:val="32"/>
          <w:szCs w:val="32"/>
        </w:rPr>
        <w:t>用车</w:t>
      </w:r>
      <w:r>
        <w:rPr>
          <w:rFonts w:hint="default" w:ascii="仿宋_GB2312" w:eastAsia="仿宋_GB2312" w:cs="DengXian-Regular"/>
          <w:sz w:val="32"/>
          <w:szCs w:val="32"/>
          <w:lang w:val="en-US"/>
        </w:rPr>
        <w:t>2</w:t>
      </w:r>
      <w:r>
        <w:rPr>
          <w:rFonts w:hint="eastAsia" w:ascii="仿宋_GB2312" w:eastAsia="仿宋_GB2312" w:cs="DengXian-Regular"/>
          <w:sz w:val="32"/>
          <w:szCs w:val="32"/>
        </w:rPr>
        <w:t>辆。2022年公务用车购置及运维费年初预算</w:t>
      </w:r>
      <w:r>
        <w:rPr>
          <w:rFonts w:hint="default" w:ascii="仿宋_GB2312" w:eastAsia="仿宋_GB2312" w:cs="DengXian-Regular"/>
          <w:sz w:val="32"/>
          <w:szCs w:val="32"/>
          <w:lang w:val="en-US"/>
        </w:rPr>
        <w:t>4.86</w:t>
      </w:r>
      <w:r>
        <w:rPr>
          <w:rFonts w:hint="eastAsia" w:ascii="仿宋_GB2312" w:eastAsia="仿宋_GB2312" w:cs="DengXian-Regular"/>
          <w:sz w:val="32"/>
          <w:szCs w:val="32"/>
        </w:rPr>
        <w:t>万元，全部为公务用车运行维护费，实际支出</w:t>
      </w:r>
      <w:r>
        <w:rPr>
          <w:rFonts w:hint="default" w:ascii="仿宋_GB2312" w:eastAsia="仿宋_GB2312" w:cs="DengXian-Regular"/>
          <w:sz w:val="32"/>
          <w:szCs w:val="32"/>
          <w:lang w:val="en-US"/>
        </w:rPr>
        <w:t>19.5</w:t>
      </w:r>
      <w:r>
        <w:rPr>
          <w:rFonts w:hint="eastAsia" w:ascii="仿宋_GB2312" w:eastAsia="仿宋_GB2312" w:cs="DengXian-Regular"/>
          <w:sz w:val="32"/>
          <w:szCs w:val="32"/>
        </w:rPr>
        <w:t>万元，比预算</w:t>
      </w:r>
      <w:r>
        <w:rPr>
          <w:rFonts w:hint="eastAsia" w:ascii="仿宋_GB2312" w:eastAsia="仿宋_GB2312" w:cs="DengXian-Regular"/>
          <w:sz w:val="32"/>
          <w:szCs w:val="32"/>
          <w:lang w:val="en-US" w:eastAsia="zh-CN"/>
        </w:rPr>
        <w:t>增加</w:t>
      </w:r>
      <w:r>
        <w:rPr>
          <w:rFonts w:hint="default" w:ascii="仿宋_GB2312" w:eastAsia="仿宋_GB2312" w:cs="DengXian-Regular"/>
          <w:sz w:val="32"/>
          <w:szCs w:val="32"/>
          <w:lang w:val="en-US" w:eastAsia="zh-CN"/>
        </w:rPr>
        <w:t>14.64</w:t>
      </w:r>
      <w:r>
        <w:rPr>
          <w:rFonts w:hint="eastAsia" w:ascii="仿宋_GB2312" w:eastAsia="仿宋_GB2312" w:cs="DengXian-Regular"/>
          <w:sz w:val="32"/>
          <w:szCs w:val="32"/>
        </w:rPr>
        <w:t>万元，</w:t>
      </w:r>
      <w:r>
        <w:rPr>
          <w:rFonts w:hint="eastAsia" w:ascii="仿宋_GB2312" w:eastAsia="仿宋_GB2312" w:cs="DengXian-Regular"/>
          <w:sz w:val="32"/>
          <w:szCs w:val="32"/>
          <w:lang w:val="en-US" w:eastAsia="zh-CN"/>
        </w:rPr>
        <w:t>增加了</w:t>
      </w:r>
      <w:r>
        <w:rPr>
          <w:rFonts w:hint="default" w:ascii="仿宋_GB2312" w:eastAsia="仿宋_GB2312" w:cs="DengXian-Regular"/>
          <w:sz w:val="32"/>
          <w:szCs w:val="32"/>
          <w:lang w:val="en-US" w:eastAsia="zh-CN"/>
        </w:rPr>
        <w:t>301.23</w:t>
      </w:r>
      <w:r>
        <w:rPr>
          <w:rFonts w:hint="eastAsia" w:ascii="仿宋_GB2312" w:eastAsia="仿宋_GB2312" w:cs="DengXian-Regular"/>
          <w:sz w:val="32"/>
          <w:szCs w:val="32"/>
        </w:rPr>
        <w:t>%。2022年预算数与</w:t>
      </w:r>
      <w:r>
        <w:rPr>
          <w:rFonts w:ascii="仿宋_GB2312" w:eastAsia="仿宋_GB2312" w:cs="DengXian-Regular"/>
          <w:sz w:val="32"/>
          <w:szCs w:val="32"/>
        </w:rPr>
        <w:t>20</w:t>
      </w:r>
      <w:r>
        <w:rPr>
          <w:rFonts w:hint="default" w:ascii="仿宋_GB2312" w:eastAsia="仿宋_GB2312" w:cs="DengXian-Regular"/>
          <w:sz w:val="32"/>
          <w:szCs w:val="32"/>
          <w:lang w:val="en-US"/>
        </w:rPr>
        <w:t>21</w:t>
      </w:r>
      <w:r>
        <w:rPr>
          <w:rFonts w:hint="eastAsia" w:ascii="仿宋_GB2312" w:eastAsia="仿宋_GB2312" w:cs="DengXian-Regular"/>
          <w:sz w:val="32"/>
          <w:szCs w:val="32"/>
        </w:rPr>
        <w:t>年预算相比</w:t>
      </w:r>
      <w:r>
        <w:rPr>
          <w:rFonts w:hint="eastAsia" w:ascii="仿宋_GB2312" w:eastAsia="仿宋_GB2312" w:cs="DengXian-Regular"/>
          <w:sz w:val="32"/>
          <w:szCs w:val="32"/>
          <w:lang w:val="en-US" w:eastAsia="zh-CN"/>
        </w:rPr>
        <w:t>减少了</w:t>
      </w:r>
      <w:r>
        <w:rPr>
          <w:rFonts w:hint="default" w:ascii="仿宋_GB2312" w:eastAsia="仿宋_GB2312" w:cs="DengXian-Regular"/>
          <w:sz w:val="32"/>
          <w:szCs w:val="32"/>
          <w:lang w:val="en-US" w:eastAsia="zh-CN"/>
        </w:rPr>
        <w:t>17.14</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，决算数与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年实际支出相比，</w:t>
      </w:r>
      <w:r>
        <w:rPr>
          <w:rFonts w:hint="eastAsia" w:ascii="仿宋_GB2312" w:eastAsia="仿宋_GB2312" w:cs="DengXian-Regular"/>
          <w:sz w:val="32"/>
          <w:szCs w:val="32"/>
          <w:lang w:val="en-US" w:eastAsia="zh-CN"/>
        </w:rPr>
        <w:t>增加</w:t>
      </w:r>
      <w:r>
        <w:rPr>
          <w:rFonts w:hint="default" w:ascii="仿宋_GB2312" w:eastAsia="仿宋_GB2312" w:cs="DengXian-Regular"/>
          <w:sz w:val="32"/>
          <w:szCs w:val="32"/>
          <w:lang w:val="en-US" w:eastAsia="zh-CN"/>
        </w:rPr>
        <w:t>17.7</w:t>
      </w:r>
      <w:r>
        <w:rPr>
          <w:rFonts w:hint="eastAsia" w:ascii="仿宋_GB2312" w:eastAsia="仿宋_GB2312" w:cs="DengXian-Regular"/>
          <w:sz w:val="32"/>
          <w:szCs w:val="32"/>
        </w:rPr>
        <w:t>万元。</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2、公务接待：2022年</w:t>
      </w:r>
      <w:r>
        <w:rPr>
          <w:rFonts w:hint="eastAsia" w:ascii="仿宋_GB2312" w:eastAsia="仿宋_GB2312" w:cs="DengXian-Regular"/>
          <w:sz w:val="32"/>
          <w:szCs w:val="32"/>
          <w:lang w:val="en-US" w:eastAsia="zh-CN"/>
        </w:rPr>
        <w:t>我部门</w:t>
      </w:r>
      <w:r>
        <w:rPr>
          <w:rFonts w:hint="eastAsia" w:ascii="仿宋_GB2312" w:eastAsia="仿宋_GB2312" w:cs="DengXian-Regular"/>
          <w:sz w:val="32"/>
          <w:szCs w:val="32"/>
        </w:rPr>
        <w:t>公务接待费年初预算</w:t>
      </w:r>
      <w:r>
        <w:rPr>
          <w:rFonts w:hint="default" w:ascii="仿宋_GB2312" w:eastAsia="仿宋_GB2312" w:cs="DengXian-Regular"/>
          <w:sz w:val="32"/>
          <w:szCs w:val="32"/>
          <w:lang w:val="en-US"/>
        </w:rPr>
        <w:t>1.58</w:t>
      </w:r>
      <w:r>
        <w:rPr>
          <w:rFonts w:hint="eastAsia" w:ascii="仿宋_GB2312" w:eastAsia="仿宋_GB2312" w:cs="DengXian-Regular"/>
          <w:sz w:val="32"/>
          <w:szCs w:val="32"/>
        </w:rPr>
        <w:t>万元，实际支出</w:t>
      </w:r>
      <w:r>
        <w:rPr>
          <w:rFonts w:hint="default" w:ascii="仿宋_GB2312" w:eastAsia="仿宋_GB2312" w:cs="DengXian-Regular"/>
          <w:sz w:val="32"/>
          <w:szCs w:val="32"/>
          <w:lang w:val="en-US"/>
        </w:rPr>
        <w:t>0.44</w:t>
      </w:r>
      <w:r>
        <w:rPr>
          <w:rFonts w:hint="eastAsia" w:ascii="仿宋_GB2312" w:eastAsia="仿宋_GB2312" w:cs="DengXian-Regular"/>
          <w:sz w:val="32"/>
          <w:szCs w:val="32"/>
        </w:rPr>
        <w:t>万元，比预算减少了</w:t>
      </w:r>
      <w:r>
        <w:rPr>
          <w:rFonts w:hint="default" w:ascii="仿宋_GB2312" w:eastAsia="仿宋_GB2312" w:cs="DengXian-Regular"/>
          <w:sz w:val="32"/>
          <w:szCs w:val="32"/>
          <w:lang w:val="en-US"/>
        </w:rPr>
        <w:t>1.14</w:t>
      </w:r>
      <w:r>
        <w:rPr>
          <w:rFonts w:hint="eastAsia" w:ascii="仿宋_GB2312" w:eastAsia="仿宋_GB2312" w:cs="DengXian-Regular"/>
          <w:sz w:val="32"/>
          <w:szCs w:val="32"/>
        </w:rPr>
        <w:t>万元，节约率</w:t>
      </w:r>
      <w:r>
        <w:rPr>
          <w:rFonts w:hint="default" w:ascii="仿宋_GB2312" w:eastAsia="仿宋_GB2312" w:cs="DengXian-Regular"/>
          <w:sz w:val="32"/>
          <w:szCs w:val="32"/>
          <w:lang w:val="en-US"/>
        </w:rPr>
        <w:t>72.15</w:t>
      </w:r>
      <w:r>
        <w:rPr>
          <w:rFonts w:hint="eastAsia" w:ascii="仿宋_GB2312" w:eastAsia="仿宋_GB2312" w:cs="DengXian-Regular"/>
          <w:sz w:val="32"/>
          <w:szCs w:val="32"/>
        </w:rPr>
        <w:t>%。2022年预算数与</w:t>
      </w:r>
      <w:r>
        <w:rPr>
          <w:rFonts w:ascii="仿宋_GB2312" w:eastAsia="仿宋_GB2312" w:cs="DengXian-Regular"/>
          <w:sz w:val="32"/>
          <w:szCs w:val="32"/>
        </w:rPr>
        <w:t>20</w:t>
      </w:r>
      <w:r>
        <w:rPr>
          <w:rFonts w:hint="default" w:ascii="仿宋_GB2312" w:eastAsia="仿宋_GB2312" w:cs="DengXian-Regular"/>
          <w:sz w:val="32"/>
          <w:szCs w:val="32"/>
          <w:lang w:val="en-US"/>
        </w:rPr>
        <w:t>20</w:t>
      </w:r>
      <w:r>
        <w:rPr>
          <w:rFonts w:hint="eastAsia" w:ascii="仿宋_GB2312" w:eastAsia="仿宋_GB2312" w:cs="DengXian-Regular"/>
          <w:sz w:val="32"/>
          <w:szCs w:val="32"/>
        </w:rPr>
        <w:t>年预算相比</w:t>
      </w:r>
      <w:r>
        <w:rPr>
          <w:rFonts w:hint="eastAsia" w:ascii="仿宋_GB2312" w:eastAsia="仿宋_GB2312" w:cs="DengXian-Regular"/>
          <w:sz w:val="32"/>
          <w:szCs w:val="32"/>
          <w:lang w:val="en-US" w:eastAsia="zh-CN"/>
        </w:rPr>
        <w:t>减少了</w:t>
      </w:r>
      <w:r>
        <w:rPr>
          <w:rFonts w:hint="default" w:ascii="仿宋_GB2312" w:eastAsia="仿宋_GB2312" w:cs="DengXian-Regular"/>
          <w:sz w:val="32"/>
          <w:szCs w:val="32"/>
          <w:lang w:val="en-US" w:eastAsia="zh-CN"/>
        </w:rPr>
        <w:t>5.72</w:t>
      </w:r>
      <w:r>
        <w:rPr>
          <w:rFonts w:hint="eastAsia" w:ascii="仿宋_GB2312" w:eastAsia="仿宋_GB2312" w:cs="DengXian-Regular"/>
          <w:sz w:val="32"/>
          <w:szCs w:val="32"/>
        </w:rPr>
        <w:t>，决算数与</w:t>
      </w:r>
      <w:r>
        <w:rPr>
          <w:rFonts w:ascii="仿宋_GB2312" w:eastAsia="仿宋_GB2312" w:cs="DengXian-Regular"/>
          <w:sz w:val="32"/>
          <w:szCs w:val="32"/>
        </w:rPr>
        <w:t>20</w:t>
      </w:r>
      <w:r>
        <w:rPr>
          <w:rFonts w:hint="default" w:ascii="仿宋_GB2312" w:eastAsia="仿宋_GB2312" w:cs="DengXian-Regular"/>
          <w:sz w:val="32"/>
          <w:szCs w:val="32"/>
          <w:lang w:val="en-US"/>
        </w:rPr>
        <w:t>21</w:t>
      </w:r>
      <w:r>
        <w:rPr>
          <w:rFonts w:hint="eastAsia" w:ascii="仿宋_GB2312" w:eastAsia="仿宋_GB2312" w:cs="DengXian-Regular"/>
          <w:sz w:val="32"/>
          <w:szCs w:val="32"/>
        </w:rPr>
        <w:t>年实际支出相比，</w:t>
      </w:r>
      <w:r>
        <w:rPr>
          <w:rFonts w:hint="eastAsia" w:ascii="仿宋_GB2312" w:eastAsia="仿宋_GB2312" w:cs="DengXian-Regular"/>
          <w:sz w:val="32"/>
          <w:szCs w:val="32"/>
          <w:lang w:val="en-US" w:eastAsia="zh-CN"/>
        </w:rPr>
        <w:t>减少了</w:t>
      </w:r>
      <w:r>
        <w:rPr>
          <w:rFonts w:hint="default" w:ascii="仿宋_GB2312" w:eastAsia="仿宋_GB2312" w:cs="DengXian-Regular"/>
          <w:sz w:val="32"/>
          <w:szCs w:val="32"/>
          <w:lang w:val="en-US"/>
        </w:rPr>
        <w:t>0.28</w:t>
      </w:r>
      <w:r>
        <w:rPr>
          <w:rFonts w:hint="eastAsia" w:ascii="仿宋_GB2312" w:eastAsia="仿宋_GB2312" w:cs="DengXian-Regular"/>
          <w:sz w:val="32"/>
          <w:szCs w:val="32"/>
        </w:rPr>
        <w:t>万元。</w:t>
      </w:r>
    </w:p>
    <w:p>
      <w:pPr>
        <w:pStyle w:val="3"/>
        <w:spacing w:before="0" w:after="0" w:line="360" w:lineRule="auto"/>
        <w:ind w:firstLine="643" w:firstLineChars="200"/>
        <w:rPr>
          <w:rFonts w:ascii="黑体" w:hAnsiTheme="minorEastAsia"/>
          <w:u w:color="000000"/>
        </w:rPr>
      </w:pPr>
      <w:bookmarkStart w:id="16" w:name="_Toc20454"/>
      <w:bookmarkStart w:id="17" w:name="_Toc492652770"/>
      <w:bookmarkStart w:id="18" w:name="_Toc465149504"/>
      <w:r>
        <w:rPr>
          <w:rFonts w:hint="eastAsia" w:ascii="黑体"/>
        </w:rPr>
        <w:t>二、部门整体支出绩效评价指标体系设定情况</w:t>
      </w:r>
      <w:bookmarkEnd w:id="16"/>
      <w:bookmarkEnd w:id="17"/>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根据绩效预算管理改革的有关政策和文件规定，并与</w:t>
      </w:r>
      <w:r>
        <w:rPr>
          <w:rFonts w:hint="eastAsia" w:ascii="仿宋_GB2312" w:eastAsia="仿宋_GB2312" w:cs="DengXian-Regular"/>
          <w:sz w:val="32"/>
          <w:szCs w:val="32"/>
          <w:lang w:val="en-US" w:eastAsia="zh-CN"/>
        </w:rPr>
        <w:t>我部门内部各股室（中心）</w:t>
      </w:r>
      <w:r>
        <w:rPr>
          <w:rFonts w:hint="eastAsia" w:ascii="仿宋_GB2312" w:eastAsia="仿宋_GB2312" w:cs="DengXian-Regular"/>
          <w:sz w:val="32"/>
          <w:szCs w:val="32"/>
        </w:rPr>
        <w:t>沟通，绩效评价工作组以绩效预算架构为指导，以部门预算文本及相关资料为基础，制定了部门整体支出绩效评价指标体系。</w:t>
      </w:r>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部门整体支出绩效评价指标体系设置一级指标4个，二级指标7个，三级指标27个（详见附件3）。指标体系设定满分100分，绩效评价分值≥90为“优”；80≤分值＜90为“良”；60≤分值＜80为“中”；60分以下为“差”。评价指标体系具体构成如下：</w:t>
      </w:r>
      <w:bookmarkStart w:id="19" w:name="_Toc9569"/>
      <w:bookmarkStart w:id="20" w:name="_Toc492652771"/>
    </w:p>
    <w:p>
      <w:pPr>
        <w:spacing w:after="0" w:line="360" w:lineRule="auto"/>
        <w:ind w:firstLine="643" w:firstLineChars="200"/>
        <w:jc w:val="both"/>
        <w:rPr>
          <w:rFonts w:ascii="楷体_GB2312" w:eastAsia="楷体_GB2312" w:cs="Times New Roman" w:hAnsiTheme="minorEastAsia"/>
          <w:b/>
          <w:bCs/>
          <w:kern w:val="2"/>
          <w:sz w:val="32"/>
          <w:szCs w:val="32"/>
          <w:u w:color="000000"/>
        </w:rPr>
      </w:pPr>
      <w:r>
        <w:rPr>
          <w:rFonts w:hint="eastAsia" w:ascii="楷体_GB2312" w:eastAsia="楷体_GB2312" w:cs="Times New Roman" w:hAnsiTheme="minorEastAsia"/>
          <w:b/>
          <w:bCs/>
          <w:kern w:val="2"/>
          <w:sz w:val="32"/>
          <w:szCs w:val="32"/>
          <w:u w:color="000000"/>
        </w:rPr>
        <w:t>（一）投入（12分）</w:t>
      </w:r>
      <w:bookmarkEnd w:id="19"/>
      <w:bookmarkEnd w:id="20"/>
    </w:p>
    <w:p>
      <w:pPr>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主要反映绩效目标设定是否合理、科学，绩效指标的制定是否清晰、可衡量，预算编制是否完整，项目预算是否细化及在职人员控制情况。</w:t>
      </w:r>
    </w:p>
    <w:p>
      <w:pPr>
        <w:keepNext/>
        <w:widowControl w:val="0"/>
        <w:spacing w:after="0" w:line="360" w:lineRule="auto"/>
        <w:ind w:firstLine="640" w:firstLineChars="200"/>
        <w:jc w:val="both"/>
        <w:rPr>
          <w:rFonts w:ascii="仿宋_GB2312" w:eastAsia="仿宋_GB2312" w:cs="DengXian-Regular"/>
          <w:sz w:val="32"/>
          <w:szCs w:val="32"/>
        </w:rPr>
      </w:pPr>
      <w:r>
        <w:rPr>
          <w:rFonts w:hint="eastAsia" w:ascii="仿宋_GB2312" w:eastAsia="仿宋_GB2312" w:cs="DengXian-Regular"/>
          <w:sz w:val="32"/>
          <w:szCs w:val="32"/>
        </w:rPr>
        <w:t>投入指标指标分值为12分，下设2个二级指标：绩效目标设定和预算配置，6个三级指标：绩效目标合理性、绩效目标科学性、绩效指标明确性、预算编制完整性、项目预算细化率、在职人员控制率。</w:t>
      </w:r>
    </w:p>
    <w:p>
      <w:pPr>
        <w:pStyle w:val="4"/>
        <w:spacing w:before="0" w:after="0"/>
        <w:ind w:firstLine="643" w:firstLineChars="200"/>
        <w:jc w:val="both"/>
        <w:rPr>
          <w:rFonts w:ascii="楷体" w:hAnsi="楷体" w:eastAsia="楷体"/>
          <w:sz w:val="32"/>
        </w:rPr>
      </w:pPr>
      <w:bookmarkStart w:id="21" w:name="_Toc492652772"/>
      <w:bookmarkStart w:id="22" w:name="_Toc30221"/>
      <w:r>
        <w:rPr>
          <w:rFonts w:hint="eastAsia" w:ascii="楷体" w:hAnsi="楷体" w:eastAsia="楷体"/>
          <w:kern w:val="2"/>
          <w:sz w:val="32"/>
        </w:rPr>
        <w:t>（二）过程（48分）</w:t>
      </w:r>
      <w:bookmarkEnd w:id="21"/>
      <w:bookmarkEnd w:id="22"/>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主要反映预算调整、收入及支出完成情况，“三公”经费、政府采购执行情况，财务管理是否规范、资金使用是否合规，决算真实性。</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过程指标指标分值为48分，下设3个二级指标：预算执行、预算管理和绩效评价，14个三级指标：预算收入调整率、收入完成率、预算支出调整率、财政拨款支出完成率、“三公”经费控制率、政府采购执行率、资金使用合规性、决算真实性、管理制度健全性、预决算信息公开性、基础信息完整性、资产管理规范性、绩效自评覆盖率、绩效评价优等率。</w:t>
      </w:r>
    </w:p>
    <w:p>
      <w:pPr>
        <w:pStyle w:val="4"/>
        <w:spacing w:before="0" w:after="0"/>
        <w:ind w:firstLine="643" w:firstLineChars="200"/>
        <w:jc w:val="both"/>
        <w:rPr>
          <w:rFonts w:ascii="楷体" w:hAnsi="楷体" w:eastAsia="楷体"/>
          <w:kern w:val="2"/>
          <w:sz w:val="32"/>
        </w:rPr>
      </w:pPr>
      <w:bookmarkStart w:id="23" w:name="_Toc24932"/>
      <w:bookmarkStart w:id="24" w:name="_Toc492652773"/>
      <w:r>
        <w:rPr>
          <w:rFonts w:hint="eastAsia" w:ascii="楷体" w:hAnsi="楷体" w:eastAsia="楷体"/>
          <w:kern w:val="2"/>
          <w:sz w:val="32"/>
        </w:rPr>
        <w:t>（三）产出（25分）</w:t>
      </w:r>
      <w:bookmarkEnd w:id="23"/>
      <w:bookmarkEnd w:id="24"/>
    </w:p>
    <w:p>
      <w:pPr>
        <w:spacing w:after="0" w:line="360" w:lineRule="auto"/>
        <w:ind w:firstLine="640" w:firstLineChars="200"/>
        <w:jc w:val="both"/>
        <w:textAlignment w:val="baseline"/>
        <w:rPr>
          <w:rFonts w:ascii="仿宋_GB2312" w:eastAsia="仿宋_GB2312" w:cs="DengXian-Regular"/>
          <w:sz w:val="32"/>
          <w:szCs w:val="32"/>
        </w:rPr>
      </w:pPr>
      <w:bookmarkStart w:id="25" w:name="_Toc492652774"/>
      <w:r>
        <w:rPr>
          <w:rFonts w:hint="eastAsia" w:ascii="仿宋_GB2312" w:eastAsia="仿宋_GB2312" w:cs="DengXian-Regular"/>
          <w:sz w:val="32"/>
          <w:szCs w:val="32"/>
        </w:rPr>
        <w:t>主要反映结转结余率，项目资金使用率</w:t>
      </w:r>
      <w:bookmarkStart w:id="80" w:name="_GoBack"/>
      <w:bookmarkEnd w:id="80"/>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产出指标指标分值为25分，下设1个二级指标：责任履行，5个三级指标：结转结余率、项目资金使用率。</w:t>
      </w:r>
    </w:p>
    <w:p>
      <w:pPr>
        <w:pStyle w:val="4"/>
        <w:spacing w:before="0" w:after="0"/>
        <w:ind w:firstLine="643" w:firstLineChars="200"/>
        <w:jc w:val="both"/>
        <w:rPr>
          <w:rFonts w:ascii="楷体_GB2312" w:eastAsia="楷体_GB2312" w:hAnsiTheme="minorEastAsia"/>
          <w:sz w:val="32"/>
        </w:rPr>
      </w:pPr>
      <w:bookmarkStart w:id="26" w:name="_Toc21821"/>
      <w:r>
        <w:rPr>
          <w:rFonts w:hint="eastAsia" w:ascii="楷体_GB2312" w:eastAsia="楷体_GB2312" w:hAnsiTheme="minorEastAsia"/>
          <w:kern w:val="2"/>
          <w:sz w:val="32"/>
        </w:rPr>
        <w:t>（四）效果（15分）</w:t>
      </w:r>
      <w:bookmarkEnd w:id="25"/>
      <w:bookmarkEnd w:id="26"/>
    </w:p>
    <w:p>
      <w:pPr>
        <w:spacing w:after="0" w:line="360" w:lineRule="auto"/>
        <w:ind w:firstLine="640" w:firstLineChars="200"/>
        <w:jc w:val="both"/>
        <w:textAlignment w:val="baseline"/>
        <w:rPr>
          <w:rFonts w:ascii="仿宋_GB2312" w:eastAsia="仿宋_GB2312" w:cs="DengXian-Regular"/>
          <w:sz w:val="32"/>
          <w:szCs w:val="32"/>
        </w:rPr>
      </w:pPr>
      <w:bookmarkStart w:id="27" w:name="_Toc492652775"/>
      <w:r>
        <w:rPr>
          <w:rFonts w:hint="eastAsia" w:ascii="仿宋_GB2312" w:eastAsia="仿宋_GB2312" w:cs="DengXian-Regular"/>
          <w:sz w:val="32"/>
          <w:szCs w:val="32"/>
        </w:rPr>
        <w:t>主要反映部门履行职责对社会发展所带来的直接或间接效益及社会公众或部门的服务对象对部门履职效果的满意程度。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效果指标指标分值15分，下设1个二级指标：履职效率，2个三级指标：部门整体效益和考核满意度。</w:t>
      </w:r>
    </w:p>
    <w:p>
      <w:pPr>
        <w:pStyle w:val="3"/>
        <w:spacing w:before="0" w:after="0" w:line="360" w:lineRule="auto"/>
        <w:ind w:firstLine="643" w:firstLineChars="200"/>
        <w:rPr>
          <w:rFonts w:ascii="黑体"/>
        </w:rPr>
      </w:pPr>
      <w:bookmarkStart w:id="28" w:name="_Toc11842"/>
      <w:r>
        <w:rPr>
          <w:rFonts w:hint="eastAsia" w:ascii="黑体"/>
        </w:rPr>
        <w:t>三、综合绩效评价工作情况</w:t>
      </w:r>
      <w:bookmarkEnd w:id="18"/>
      <w:bookmarkEnd w:id="27"/>
      <w:bookmarkEnd w:id="28"/>
      <w:bookmarkStart w:id="29" w:name="_Toc492652776"/>
      <w:bookmarkStart w:id="30" w:name="_Toc465149505"/>
    </w:p>
    <w:p>
      <w:pPr>
        <w:pStyle w:val="4"/>
        <w:spacing w:before="0" w:after="0"/>
        <w:ind w:firstLine="643" w:firstLineChars="200"/>
        <w:jc w:val="both"/>
        <w:rPr>
          <w:rFonts w:ascii="楷体_GB2312" w:eastAsia="楷体_GB2312" w:hAnsiTheme="minorEastAsia"/>
          <w:sz w:val="32"/>
        </w:rPr>
      </w:pPr>
      <w:bookmarkStart w:id="31" w:name="_Toc17138"/>
      <w:r>
        <w:rPr>
          <w:rFonts w:hint="eastAsia" w:ascii="楷体_GB2312" w:eastAsia="楷体_GB2312" w:hAnsiTheme="minorEastAsia"/>
          <w:kern w:val="2"/>
          <w:sz w:val="32"/>
        </w:rPr>
        <w:t>（一）绩效评价目的</w:t>
      </w:r>
      <w:bookmarkEnd w:id="29"/>
      <w:bookmarkEnd w:id="30"/>
      <w:bookmarkEnd w:id="31"/>
    </w:p>
    <w:p>
      <w:pPr>
        <w:spacing w:after="0" w:line="360" w:lineRule="auto"/>
        <w:ind w:firstLine="640" w:firstLineChars="200"/>
        <w:jc w:val="both"/>
        <w:textAlignment w:val="baseline"/>
        <w:rPr>
          <w:rFonts w:ascii="仿宋_GB2312" w:eastAsia="仿宋_GB2312" w:cs="DengXian-Regular"/>
          <w:sz w:val="32"/>
          <w:szCs w:val="32"/>
        </w:rPr>
      </w:pPr>
      <w:bookmarkStart w:id="32" w:name="_Toc465149506"/>
      <w:bookmarkStart w:id="33" w:name="_Toc492652777"/>
      <w:r>
        <w:rPr>
          <w:rFonts w:hint="eastAsia" w:ascii="仿宋_GB2312" w:eastAsia="仿宋_GB2312" w:cs="DengXian-Regular"/>
          <w:sz w:val="32"/>
          <w:szCs w:val="32"/>
        </w:rPr>
        <w:t>通过对</w:t>
      </w:r>
      <w:r>
        <w:rPr>
          <w:rFonts w:hint="eastAsia" w:ascii="仿宋_GB2312" w:eastAsia="仿宋_GB2312" w:cs="DengXian-Regular"/>
          <w:sz w:val="32"/>
          <w:szCs w:val="32"/>
          <w:lang w:val="en-US" w:eastAsia="zh-CN"/>
        </w:rPr>
        <w:t>我部门</w:t>
      </w:r>
      <w:r>
        <w:rPr>
          <w:rFonts w:hint="eastAsia" w:ascii="仿宋_GB2312" w:eastAsia="仿宋_GB2312" w:cs="DengXian-Regular"/>
          <w:sz w:val="32"/>
          <w:szCs w:val="32"/>
        </w:rPr>
        <w:t>2022年部门整体支出绩效评价，了解部门整体资金预算情况、实际收支情况及结转结余情况；绩效目标和指标的设置及完成情况；部门履职对社会发展所带来的直接或间接影响及服务对象对部门履职效果的满意程度。</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部门整体支出绩效评价工作促使相关部门根据绩效评价过程中发现的问题，及时整改并总结经验，提高部门管理水平，牢固树立预算绩效理念，强化部门支出责任，提高预算执行效率和财政资金使用效益。</w:t>
      </w:r>
    </w:p>
    <w:p>
      <w:pPr>
        <w:pStyle w:val="4"/>
        <w:spacing w:before="0" w:after="0"/>
        <w:ind w:firstLine="643" w:firstLineChars="200"/>
        <w:jc w:val="both"/>
        <w:rPr>
          <w:rFonts w:ascii="楷体_GB2312" w:eastAsia="楷体_GB2312" w:hAnsiTheme="minorEastAsia"/>
          <w:kern w:val="2"/>
          <w:sz w:val="32"/>
        </w:rPr>
      </w:pPr>
      <w:bookmarkStart w:id="34" w:name="_Toc11607"/>
      <w:r>
        <w:rPr>
          <w:rFonts w:hint="eastAsia" w:ascii="楷体_GB2312" w:eastAsia="楷体_GB2312" w:hAnsiTheme="minorEastAsia"/>
          <w:kern w:val="2"/>
          <w:sz w:val="32"/>
        </w:rPr>
        <w:t>（二）绩效评价依据</w:t>
      </w:r>
      <w:bookmarkEnd w:id="32"/>
      <w:bookmarkEnd w:id="33"/>
      <w:bookmarkEnd w:id="34"/>
    </w:p>
    <w:p>
      <w:pPr>
        <w:spacing w:after="0" w:line="360" w:lineRule="auto"/>
        <w:ind w:firstLine="640" w:firstLineChars="200"/>
        <w:jc w:val="both"/>
        <w:textAlignment w:val="baseline"/>
        <w:rPr>
          <w:rFonts w:ascii="仿宋_GB2312" w:eastAsia="仿宋_GB2312" w:cs="DengXian-Regular"/>
          <w:sz w:val="32"/>
          <w:szCs w:val="32"/>
        </w:rPr>
      </w:pPr>
      <w:bookmarkStart w:id="35" w:name="_Toc465149507"/>
      <w:r>
        <w:rPr>
          <w:rFonts w:hint="eastAsia" w:ascii="仿宋_GB2312" w:eastAsia="仿宋_GB2312" w:cs="DengXian-Regular"/>
          <w:sz w:val="32"/>
          <w:szCs w:val="32"/>
        </w:rPr>
        <w:t>1.</w:t>
      </w:r>
      <w:r>
        <w:rPr>
          <w:rFonts w:ascii="仿宋_GB2312" w:eastAsia="仿宋_GB2312" w:cs="DengXian-Regular"/>
          <w:sz w:val="32"/>
          <w:szCs w:val="32"/>
        </w:rPr>
        <w:t>《中华人民共和国</w:t>
      </w:r>
      <w:r>
        <w:rPr>
          <w:rFonts w:hint="eastAsia" w:ascii="仿宋_GB2312" w:eastAsia="仿宋_GB2312" w:cs="DengXian-Regular"/>
          <w:sz w:val="32"/>
          <w:szCs w:val="32"/>
          <w:lang w:eastAsia="zh-CN"/>
        </w:rPr>
        <w:t>《中华人民共和国《中华人民共和国预算法》</w:t>
      </w:r>
      <w:r>
        <w:rPr>
          <w:rFonts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2.中共中央国务院《关于全面实施预算绩效管理的意见》（中发〔2018〕34号）；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ascii="仿宋_GB2312" w:eastAsia="仿宋_GB2312" w:cs="DengXian-Regular"/>
          <w:sz w:val="32"/>
          <w:szCs w:val="32"/>
        </w:rPr>
        <w:t>《河北省财政支出绩效评价管理办法》（冀财预</w:t>
      </w:r>
      <w:r>
        <w:rPr>
          <w:rFonts w:hint="eastAsia" w:ascii="仿宋_GB2312" w:eastAsia="仿宋_GB2312" w:cs="DengXian-Regular"/>
          <w:sz w:val="32"/>
          <w:szCs w:val="32"/>
        </w:rPr>
        <w:t xml:space="preserve">〔2011〕68号）； </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4.中共河北省委河北省人民政府</w:t>
      </w:r>
      <w:r>
        <w:rPr>
          <w:rFonts w:ascii="仿宋_GB2312" w:eastAsia="仿宋_GB2312" w:cs="DengXian-Regular"/>
          <w:sz w:val="32"/>
          <w:szCs w:val="32"/>
        </w:rPr>
        <w:t>《</w:t>
      </w:r>
      <w:r>
        <w:rPr>
          <w:rFonts w:hint="eastAsia" w:ascii="仿宋_GB2312" w:eastAsia="仿宋_GB2312" w:cs="DengXian-Regular"/>
          <w:sz w:val="32"/>
          <w:szCs w:val="32"/>
        </w:rPr>
        <w:t>关于全面实施预算绩效管理的实施意见</w:t>
      </w:r>
      <w:r>
        <w:rPr>
          <w:rFonts w:ascii="仿宋_GB2312" w:eastAsia="仿宋_GB2312" w:cs="DengXian-Regular"/>
          <w:sz w:val="32"/>
          <w:szCs w:val="32"/>
        </w:rPr>
        <w:t>》（冀</w:t>
      </w:r>
      <w:r>
        <w:rPr>
          <w:rFonts w:hint="eastAsia" w:ascii="仿宋_GB2312" w:eastAsia="仿宋_GB2312" w:cs="DengXian-Regular"/>
          <w:sz w:val="32"/>
          <w:szCs w:val="32"/>
        </w:rPr>
        <w:t>发〔2018〕54</w:t>
      </w:r>
      <w:r>
        <w:rPr>
          <w:rFonts w:ascii="仿宋_GB2312" w:eastAsia="仿宋_GB2312" w:cs="DengXian-Regular"/>
          <w:sz w:val="32"/>
          <w:szCs w:val="32"/>
        </w:rPr>
        <w:t>号）</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5.保定市徐水区财政局《关于印发绩效评价工作规划（2016-2020年）的通知》（徐政财字〔2016〕45号）；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6.保定市徐水区财政局《关于印发&lt;全面实施预算绩效管理推进工作方案&gt;的通知》（徐政财字〔2019〕33号）；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w:t>
      </w:r>
      <w:r>
        <w:rPr>
          <w:rFonts w:ascii="仿宋_GB2312" w:eastAsia="仿宋_GB2312" w:cs="DengXian-Regular"/>
          <w:sz w:val="32"/>
          <w:szCs w:val="32"/>
        </w:rPr>
        <w:t>.</w:t>
      </w:r>
      <w:r>
        <w:rPr>
          <w:rFonts w:hint="eastAsia"/>
        </w:rPr>
        <w:t xml:space="preserve"> </w:t>
      </w:r>
      <w:r>
        <w:rPr>
          <w:rFonts w:hint="eastAsia" w:ascii="仿宋_GB2312" w:eastAsia="仿宋_GB2312" w:cs="DengXian-Regular"/>
          <w:sz w:val="32"/>
          <w:szCs w:val="32"/>
        </w:rPr>
        <w:t>保定市徐水区财政局《关于印发保定市徐水区区级部门预算项目绩效自评管理办法的通知》（徐政财字〔2020〕9号）</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8.其他与部门绩效评价工作相关的文件。</w:t>
      </w:r>
      <w:bookmarkStart w:id="36" w:name="_Toc492652778"/>
    </w:p>
    <w:p>
      <w:pPr>
        <w:pStyle w:val="4"/>
        <w:spacing w:before="0" w:after="0"/>
        <w:ind w:firstLine="643" w:firstLineChars="200"/>
        <w:jc w:val="both"/>
        <w:rPr>
          <w:rFonts w:ascii="楷体_GB2312" w:eastAsia="楷体_GB2312" w:hAnsiTheme="minorEastAsia"/>
          <w:kern w:val="2"/>
          <w:sz w:val="32"/>
        </w:rPr>
      </w:pPr>
      <w:bookmarkStart w:id="37" w:name="_Toc7609"/>
      <w:r>
        <w:rPr>
          <w:rFonts w:hint="eastAsia" w:ascii="楷体_GB2312" w:eastAsia="楷体_GB2312" w:hAnsiTheme="minorEastAsia"/>
          <w:kern w:val="2"/>
          <w:sz w:val="32"/>
        </w:rPr>
        <w:t>（三）绩效评价</w:t>
      </w:r>
      <w:bookmarkEnd w:id="36"/>
      <w:r>
        <w:rPr>
          <w:rFonts w:hint="eastAsia" w:ascii="楷体_GB2312" w:eastAsia="楷体_GB2312" w:hAnsiTheme="minorEastAsia"/>
          <w:kern w:val="2"/>
          <w:sz w:val="32"/>
        </w:rPr>
        <w:t>内容</w:t>
      </w:r>
      <w:bookmarkEnd w:id="37"/>
    </w:p>
    <w:bookmarkEnd w:id="35"/>
    <w:p>
      <w:pPr>
        <w:spacing w:after="0" w:line="360" w:lineRule="auto"/>
        <w:ind w:firstLine="640" w:firstLineChars="200"/>
        <w:jc w:val="both"/>
        <w:textAlignment w:val="baseline"/>
        <w:rPr>
          <w:rFonts w:ascii="仿宋_GB2312" w:eastAsia="仿宋_GB2312" w:cs="DengXian-Regular"/>
          <w:sz w:val="32"/>
          <w:szCs w:val="32"/>
        </w:rPr>
      </w:pPr>
      <w:bookmarkStart w:id="38" w:name="_Toc465149508"/>
      <w:bookmarkStart w:id="39" w:name="_Toc492652779"/>
      <w:r>
        <w:rPr>
          <w:rFonts w:hint="eastAsia" w:ascii="仿宋_GB2312" w:eastAsia="仿宋_GB2312" w:cs="DengXian-Regular"/>
          <w:sz w:val="32"/>
          <w:szCs w:val="32"/>
          <w:lang w:val="en-US" w:eastAsia="zh-CN"/>
        </w:rPr>
        <w:t>我部门</w:t>
      </w:r>
      <w:r>
        <w:rPr>
          <w:rFonts w:hint="eastAsia" w:ascii="仿宋_GB2312" w:eastAsia="仿宋_GB2312" w:cs="DengXian-Regular"/>
          <w:sz w:val="32"/>
          <w:szCs w:val="32"/>
        </w:rPr>
        <w:t>2022年部门整体支出绩效目标和指标的设置及完成情况；资金预算情况、实际收支情况及结转结余情况；部门履职对社会发展所带来的直接或间接影响及服务对象对部门履职效果的满意程度。</w:t>
      </w:r>
    </w:p>
    <w:p>
      <w:pPr>
        <w:pStyle w:val="4"/>
        <w:spacing w:before="0" w:after="0"/>
        <w:ind w:firstLine="643" w:firstLineChars="200"/>
        <w:jc w:val="both"/>
        <w:rPr>
          <w:rFonts w:ascii="楷体_GB2312" w:eastAsia="楷体_GB2312" w:hAnsiTheme="minorEastAsia"/>
          <w:kern w:val="2"/>
          <w:sz w:val="32"/>
        </w:rPr>
      </w:pPr>
      <w:bookmarkStart w:id="40" w:name="_Toc789"/>
      <w:r>
        <w:rPr>
          <w:rFonts w:hint="eastAsia" w:ascii="楷体_GB2312" w:eastAsia="楷体_GB2312" w:hAnsiTheme="minorEastAsia"/>
          <w:kern w:val="2"/>
          <w:sz w:val="32"/>
        </w:rPr>
        <w:t>（四）绩效评价原则</w:t>
      </w:r>
      <w:bookmarkEnd w:id="40"/>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1.价值导向原则：财政支出绩效评价体系应能够反映财政支出的经济性、效益性、有效性原则，体现财政部门和项目主管部门的价值导向。</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2.重要性原则：根据指标在整个指标体系中的地位和作用进行筛选，选择最具代表性、最能反映评价要求的指标。</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3.综合性原则：将定性指标和定量指标相结合，定性分析是定量分析的基础，定量分析是定性分析的深化，两者相结合系统反映财政支出所产生的社会效益。</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4.经济性原则：指标的选取要考虑现实条件及可操作性，数据的获得应符合成本效益原则，在合理成本的基础上收集信息。</w:t>
      </w:r>
    </w:p>
    <w:p>
      <w:pPr>
        <w:pStyle w:val="4"/>
        <w:spacing w:before="0" w:after="0"/>
        <w:ind w:firstLine="643" w:firstLineChars="200"/>
        <w:jc w:val="both"/>
        <w:rPr>
          <w:rFonts w:ascii="楷体_GB2312" w:eastAsia="楷体_GB2312" w:hAnsiTheme="minorEastAsia"/>
          <w:kern w:val="2"/>
          <w:sz w:val="32"/>
        </w:rPr>
      </w:pPr>
      <w:bookmarkStart w:id="41" w:name="_Toc8171"/>
      <w:r>
        <w:rPr>
          <w:rFonts w:hint="eastAsia" w:ascii="楷体_GB2312" w:eastAsia="楷体_GB2312" w:hAnsiTheme="minorEastAsia"/>
          <w:kern w:val="2"/>
          <w:sz w:val="32"/>
        </w:rPr>
        <w:t>（五）</w:t>
      </w:r>
      <w:bookmarkEnd w:id="38"/>
      <w:bookmarkStart w:id="42" w:name="_Toc465149509"/>
      <w:r>
        <w:rPr>
          <w:rFonts w:hint="eastAsia" w:ascii="楷体_GB2312" w:eastAsia="楷体_GB2312" w:hAnsiTheme="minorEastAsia"/>
          <w:kern w:val="2"/>
          <w:sz w:val="32"/>
        </w:rPr>
        <w:t>绩效评价方法</w:t>
      </w:r>
      <w:bookmarkEnd w:id="39"/>
      <w:bookmarkEnd w:id="41"/>
      <w:bookmarkEnd w:id="42"/>
    </w:p>
    <w:p>
      <w:pPr>
        <w:spacing w:after="0" w:line="360" w:lineRule="auto"/>
        <w:ind w:firstLine="640" w:firstLineChars="200"/>
        <w:jc w:val="both"/>
        <w:textAlignment w:val="baseline"/>
        <w:rPr>
          <w:rFonts w:ascii="仿宋_GB2312" w:eastAsia="仿宋_GB2312" w:cs="DengXian-Regular"/>
          <w:sz w:val="32"/>
          <w:szCs w:val="32"/>
        </w:rPr>
      </w:pPr>
      <w:bookmarkStart w:id="43" w:name="_Toc421623217"/>
      <w:bookmarkStart w:id="44" w:name="_Toc422314152"/>
      <w:bookmarkStart w:id="45" w:name="_Toc492652780"/>
      <w:bookmarkStart w:id="46" w:name="_Toc465149510"/>
      <w:r>
        <w:rPr>
          <w:rFonts w:ascii="仿宋_GB2312" w:eastAsia="仿宋_GB2312" w:cs="DengXian-Regular"/>
          <w:sz w:val="32"/>
          <w:szCs w:val="32"/>
        </w:rPr>
        <w:t>本次评价采取</w:t>
      </w:r>
      <w:r>
        <w:rPr>
          <w:rFonts w:hint="eastAsia" w:ascii="仿宋_GB2312" w:eastAsia="仿宋_GB2312" w:cs="DengXian-Regular"/>
          <w:sz w:val="32"/>
          <w:szCs w:val="32"/>
        </w:rPr>
        <w:t>目标比较法、</w:t>
      </w:r>
      <w:r>
        <w:rPr>
          <w:rFonts w:ascii="仿宋_GB2312" w:eastAsia="仿宋_GB2312" w:cs="DengXian-Regular"/>
          <w:sz w:val="32"/>
          <w:szCs w:val="32"/>
        </w:rPr>
        <w:t>定量和定性评价相结合和综合评价相结合</w:t>
      </w:r>
      <w:r>
        <w:rPr>
          <w:rFonts w:hint="eastAsia" w:ascii="仿宋_GB2312" w:eastAsia="仿宋_GB2312" w:cs="DengXian-Regular"/>
          <w:sz w:val="32"/>
          <w:szCs w:val="32"/>
        </w:rPr>
        <w:t>的方式</w:t>
      </w:r>
      <w:r>
        <w:rPr>
          <w:rFonts w:ascii="仿宋_GB2312" w:eastAsia="仿宋_GB2312" w:cs="DengXian-Regular"/>
          <w:sz w:val="32"/>
          <w:szCs w:val="32"/>
        </w:rPr>
        <w:t>，运用审查、</w:t>
      </w:r>
      <w:r>
        <w:rPr>
          <w:rFonts w:hint="eastAsia" w:ascii="仿宋_GB2312" w:eastAsia="仿宋_GB2312" w:cs="DengXian-Regular"/>
          <w:sz w:val="32"/>
          <w:szCs w:val="32"/>
        </w:rPr>
        <w:t>询问查证和问卷调查</w:t>
      </w:r>
      <w:r>
        <w:rPr>
          <w:rFonts w:ascii="仿宋_GB2312" w:eastAsia="仿宋_GB2312" w:cs="DengXian-Regular"/>
          <w:sz w:val="32"/>
          <w:szCs w:val="32"/>
        </w:rPr>
        <w:t>等方法开展</w:t>
      </w:r>
      <w:r>
        <w:rPr>
          <w:rFonts w:hint="eastAsia" w:ascii="仿宋_GB2312" w:eastAsia="仿宋_GB2312" w:cs="DengXian-Regular"/>
          <w:sz w:val="32"/>
          <w:szCs w:val="32"/>
        </w:rPr>
        <w:t>绩效</w:t>
      </w:r>
      <w:r>
        <w:rPr>
          <w:rFonts w:ascii="仿宋_GB2312" w:eastAsia="仿宋_GB2312" w:cs="DengXian-Regular"/>
          <w:sz w:val="32"/>
          <w:szCs w:val="32"/>
        </w:rPr>
        <w:t>评价工作。</w:t>
      </w:r>
      <w:bookmarkEnd w:id="43"/>
      <w:bookmarkEnd w:id="44"/>
    </w:p>
    <w:p>
      <w:pPr>
        <w:spacing w:after="0" w:line="360" w:lineRule="auto"/>
        <w:ind w:firstLine="640" w:firstLineChars="200"/>
        <w:jc w:val="both"/>
        <w:textAlignment w:val="baseline"/>
        <w:rPr>
          <w:rFonts w:ascii="仿宋_GB2312" w:eastAsia="仿宋_GB2312" w:cs="DengXian-Regular"/>
          <w:sz w:val="32"/>
          <w:szCs w:val="32"/>
        </w:rPr>
      </w:pPr>
      <w:bookmarkStart w:id="47" w:name="_Toc422314153"/>
      <w:bookmarkStart w:id="48" w:name="_Toc421623218"/>
      <w:r>
        <w:rPr>
          <w:rFonts w:ascii="仿宋_GB2312" w:eastAsia="仿宋_GB2312" w:cs="DengXian-Regular"/>
          <w:sz w:val="32"/>
          <w:szCs w:val="32"/>
        </w:rPr>
        <w:t>1</w:t>
      </w:r>
      <w:r>
        <w:rPr>
          <w:rFonts w:hint="eastAsia" w:ascii="仿宋_GB2312" w:eastAsia="仿宋_GB2312" w:cs="DengXian-Regular"/>
          <w:sz w:val="32"/>
          <w:szCs w:val="32"/>
        </w:rPr>
        <w:t>.</w:t>
      </w:r>
      <w:r>
        <w:rPr>
          <w:rFonts w:ascii="仿宋_GB2312" w:eastAsia="仿宋_GB2312" w:cs="DengXian-Regular"/>
          <w:sz w:val="32"/>
          <w:szCs w:val="32"/>
        </w:rPr>
        <w:t>审查法：通过审查被评价单位的</w:t>
      </w:r>
      <w:r>
        <w:rPr>
          <w:rFonts w:hint="eastAsia" w:ascii="仿宋_GB2312" w:eastAsia="仿宋_GB2312" w:cs="DengXian-Regular"/>
          <w:sz w:val="32"/>
          <w:szCs w:val="32"/>
        </w:rPr>
        <w:t>预算文本</w:t>
      </w:r>
      <w:r>
        <w:rPr>
          <w:rFonts w:ascii="仿宋_GB2312" w:eastAsia="仿宋_GB2312" w:cs="DengXian-Regular"/>
          <w:sz w:val="32"/>
          <w:szCs w:val="32"/>
        </w:rPr>
        <w:t>、</w:t>
      </w:r>
      <w:r>
        <w:rPr>
          <w:rFonts w:hint="eastAsia" w:ascii="仿宋_GB2312" w:eastAsia="仿宋_GB2312" w:cs="DengXian-Regular"/>
          <w:sz w:val="32"/>
          <w:szCs w:val="32"/>
        </w:rPr>
        <w:t>决算文本</w:t>
      </w:r>
      <w:r>
        <w:rPr>
          <w:rFonts w:ascii="仿宋_GB2312" w:eastAsia="仿宋_GB2312" w:cs="DengXian-Regular"/>
          <w:sz w:val="32"/>
          <w:szCs w:val="32"/>
        </w:rPr>
        <w:t>、</w:t>
      </w:r>
      <w:r>
        <w:rPr>
          <w:rFonts w:hint="eastAsia" w:ascii="仿宋_GB2312" w:eastAsia="仿宋_GB2312" w:cs="DengXian-Regular"/>
          <w:sz w:val="32"/>
          <w:szCs w:val="32"/>
        </w:rPr>
        <w:t>会计账簿、支出凭证、项目完成情况</w:t>
      </w:r>
      <w:r>
        <w:rPr>
          <w:rFonts w:ascii="仿宋_GB2312" w:eastAsia="仿宋_GB2312" w:cs="DengXian-Regular"/>
          <w:sz w:val="32"/>
          <w:szCs w:val="32"/>
        </w:rPr>
        <w:t>等</w:t>
      </w:r>
      <w:r>
        <w:rPr>
          <w:rFonts w:hint="eastAsia" w:ascii="仿宋_GB2312" w:eastAsia="仿宋_GB2312" w:cs="DengXian-Regular"/>
          <w:sz w:val="32"/>
          <w:szCs w:val="32"/>
        </w:rPr>
        <w:t>相关</w:t>
      </w:r>
      <w:r>
        <w:rPr>
          <w:rFonts w:ascii="仿宋_GB2312" w:eastAsia="仿宋_GB2312" w:cs="DengXian-Regular"/>
          <w:sz w:val="32"/>
          <w:szCs w:val="32"/>
        </w:rPr>
        <w:t>资料，分析资金</w:t>
      </w:r>
      <w:r>
        <w:rPr>
          <w:rFonts w:hint="eastAsia" w:ascii="仿宋_GB2312" w:eastAsia="仿宋_GB2312" w:cs="DengXian-Regular"/>
          <w:sz w:val="32"/>
          <w:szCs w:val="32"/>
        </w:rPr>
        <w:t>收</w:t>
      </w:r>
      <w:r>
        <w:rPr>
          <w:rFonts w:ascii="仿宋_GB2312" w:eastAsia="仿宋_GB2312" w:cs="DengXian-Regular"/>
          <w:sz w:val="32"/>
          <w:szCs w:val="32"/>
        </w:rPr>
        <w:t>支的合理性</w:t>
      </w:r>
      <w:r>
        <w:rPr>
          <w:rFonts w:hint="eastAsia" w:ascii="仿宋_GB2312" w:eastAsia="仿宋_GB2312" w:cs="DengXian-Regular"/>
          <w:sz w:val="32"/>
          <w:szCs w:val="32"/>
        </w:rPr>
        <w:t>和</w:t>
      </w:r>
      <w:r>
        <w:rPr>
          <w:rFonts w:ascii="仿宋_GB2312" w:eastAsia="仿宋_GB2312" w:cs="DengXian-Regular"/>
          <w:sz w:val="32"/>
          <w:szCs w:val="32"/>
        </w:rPr>
        <w:t>合规性</w:t>
      </w:r>
      <w:r>
        <w:rPr>
          <w:rFonts w:hint="eastAsia" w:ascii="仿宋_GB2312" w:eastAsia="仿宋_GB2312" w:cs="DengXian-Regular"/>
          <w:sz w:val="32"/>
          <w:szCs w:val="32"/>
        </w:rPr>
        <w:t>、预算执行及管理情况、绩效目标和指标的设置及完成情况、部门整体效益</w:t>
      </w:r>
      <w:r>
        <w:rPr>
          <w:rFonts w:ascii="仿宋_GB2312" w:eastAsia="仿宋_GB2312" w:cs="DengXian-Regular"/>
          <w:sz w:val="32"/>
          <w:szCs w:val="32"/>
        </w:rPr>
        <w:t>。</w:t>
      </w:r>
      <w:bookmarkEnd w:id="47"/>
      <w:bookmarkEnd w:id="48"/>
    </w:p>
    <w:p>
      <w:pPr>
        <w:spacing w:after="0" w:line="360" w:lineRule="auto"/>
        <w:ind w:firstLine="640" w:firstLineChars="200"/>
        <w:jc w:val="both"/>
        <w:textAlignment w:val="baseline"/>
        <w:rPr>
          <w:rFonts w:ascii="仿宋_GB2312" w:eastAsia="仿宋_GB2312" w:cs="DengXian-Regular"/>
          <w:sz w:val="32"/>
          <w:szCs w:val="32"/>
        </w:rPr>
      </w:pPr>
      <w:bookmarkStart w:id="49" w:name="_Toc422314155"/>
      <w:bookmarkStart w:id="50" w:name="_Toc421623220"/>
      <w:r>
        <w:rPr>
          <w:rFonts w:hint="eastAsia" w:ascii="仿宋_GB2312" w:eastAsia="仿宋_GB2312" w:cs="DengXian-Regular"/>
          <w:sz w:val="32"/>
          <w:szCs w:val="32"/>
        </w:rPr>
        <w:t>2.询问查证</w:t>
      </w:r>
      <w:r>
        <w:rPr>
          <w:rFonts w:ascii="仿宋_GB2312" w:eastAsia="仿宋_GB2312" w:cs="DengXian-Regular"/>
          <w:sz w:val="32"/>
          <w:szCs w:val="32"/>
        </w:rPr>
        <w:t>法：</w:t>
      </w:r>
      <w:r>
        <w:rPr>
          <w:rFonts w:hint="eastAsia" w:ascii="仿宋_GB2312" w:eastAsia="仿宋_GB2312" w:cs="DengXian-Regular"/>
          <w:sz w:val="32"/>
          <w:szCs w:val="32"/>
        </w:rPr>
        <w:t>在比较分析相关资料的基础上，通过询问的形式，核查项目资料是否真实、合理，从而对部门整体支出情况作出初步的判断和评价</w:t>
      </w:r>
      <w:r>
        <w:rPr>
          <w:rFonts w:ascii="仿宋_GB2312" w:eastAsia="仿宋_GB2312" w:cs="DengXian-Regular"/>
          <w:sz w:val="32"/>
          <w:szCs w:val="32"/>
        </w:rPr>
        <w:t>。</w:t>
      </w:r>
      <w:bookmarkEnd w:id="49"/>
      <w:bookmarkEnd w:id="50"/>
    </w:p>
    <w:p>
      <w:pPr>
        <w:spacing w:after="0" w:line="360" w:lineRule="auto"/>
        <w:ind w:firstLine="640" w:firstLineChars="200"/>
        <w:jc w:val="both"/>
        <w:textAlignment w:val="baseline"/>
        <w:rPr>
          <w:rFonts w:ascii="仿宋_GB2312" w:eastAsia="仿宋_GB2312" w:cs="DengXian-Regular"/>
          <w:sz w:val="32"/>
          <w:szCs w:val="32"/>
        </w:rPr>
      </w:pPr>
      <w:bookmarkStart w:id="51" w:name="_Toc421623221"/>
      <w:bookmarkStart w:id="52" w:name="_Toc422314156"/>
      <w:r>
        <w:rPr>
          <w:rFonts w:hint="eastAsia" w:ascii="仿宋_GB2312" w:eastAsia="仿宋_GB2312" w:cs="DengXian-Regular"/>
          <w:sz w:val="32"/>
          <w:szCs w:val="32"/>
        </w:rPr>
        <w:t>3.问卷调查</w:t>
      </w:r>
      <w:r>
        <w:rPr>
          <w:rFonts w:ascii="仿宋_GB2312" w:eastAsia="仿宋_GB2312" w:cs="DengXian-Regular"/>
          <w:sz w:val="32"/>
          <w:szCs w:val="32"/>
        </w:rPr>
        <w:t>法：通过</w:t>
      </w:r>
      <w:r>
        <w:rPr>
          <w:rFonts w:hint="eastAsia" w:ascii="仿宋_GB2312" w:eastAsia="仿宋_GB2312" w:cs="DengXian-Regular"/>
          <w:sz w:val="32"/>
          <w:szCs w:val="32"/>
        </w:rPr>
        <w:t>设计调查问卷，在一定范围内随机发放，并收集分析调查问卷，</w:t>
      </w:r>
      <w:r>
        <w:rPr>
          <w:rFonts w:ascii="仿宋_GB2312" w:eastAsia="仿宋_GB2312" w:cs="DengXian-Regular"/>
          <w:sz w:val="32"/>
          <w:szCs w:val="32"/>
        </w:rPr>
        <w:t>对财政支出的效果进行</w:t>
      </w:r>
      <w:r>
        <w:rPr>
          <w:rFonts w:hint="eastAsia" w:ascii="仿宋_GB2312" w:eastAsia="仿宋_GB2312" w:cs="DengXian-Regular"/>
          <w:sz w:val="32"/>
          <w:szCs w:val="32"/>
        </w:rPr>
        <w:t>评价</w:t>
      </w:r>
      <w:r>
        <w:rPr>
          <w:rFonts w:ascii="仿宋_GB2312" w:eastAsia="仿宋_GB2312" w:cs="DengXian-Regular"/>
          <w:sz w:val="32"/>
          <w:szCs w:val="32"/>
        </w:rPr>
        <w:t>，</w:t>
      </w:r>
      <w:r>
        <w:rPr>
          <w:rFonts w:hint="eastAsia" w:ascii="仿宋_GB2312" w:eastAsia="仿宋_GB2312" w:cs="DengXian-Regular"/>
          <w:sz w:val="32"/>
          <w:szCs w:val="32"/>
        </w:rPr>
        <w:t>了解服务对象对部门履职效果</w:t>
      </w:r>
      <w:r>
        <w:rPr>
          <w:rFonts w:ascii="仿宋_GB2312" w:eastAsia="仿宋_GB2312" w:cs="DengXian-Regular"/>
          <w:sz w:val="32"/>
          <w:szCs w:val="32"/>
        </w:rPr>
        <w:t>的满意</w:t>
      </w:r>
      <w:r>
        <w:rPr>
          <w:rFonts w:hint="eastAsia" w:ascii="仿宋_GB2312" w:eastAsia="仿宋_GB2312" w:cs="DengXian-Regular"/>
          <w:sz w:val="32"/>
          <w:szCs w:val="32"/>
        </w:rPr>
        <w:t>程</w:t>
      </w:r>
      <w:r>
        <w:rPr>
          <w:rFonts w:ascii="仿宋_GB2312" w:eastAsia="仿宋_GB2312" w:cs="DengXian-Regular"/>
          <w:sz w:val="32"/>
          <w:szCs w:val="32"/>
        </w:rPr>
        <w:t>度。</w:t>
      </w:r>
      <w:bookmarkEnd w:id="51"/>
      <w:bookmarkEnd w:id="52"/>
      <w:bookmarkStart w:id="53" w:name="_Toc20821"/>
    </w:p>
    <w:p>
      <w:pPr>
        <w:spacing w:after="0" w:line="360" w:lineRule="auto"/>
        <w:ind w:firstLine="643" w:firstLineChars="200"/>
        <w:jc w:val="both"/>
        <w:textAlignment w:val="baseline"/>
        <w:rPr>
          <w:rFonts w:ascii="楷体_GB2312" w:eastAsia="楷体_GB2312" w:hAnsiTheme="minorEastAsia"/>
          <w:b/>
          <w:bCs/>
          <w:kern w:val="2"/>
          <w:sz w:val="32"/>
        </w:rPr>
      </w:pPr>
      <w:r>
        <w:rPr>
          <w:rFonts w:hint="eastAsia" w:ascii="楷体_GB2312" w:eastAsia="楷体_GB2312" w:hAnsiTheme="minorEastAsia"/>
          <w:b/>
          <w:bCs/>
          <w:kern w:val="2"/>
          <w:sz w:val="32"/>
        </w:rPr>
        <w:t>（六）绩效评价工作过程</w:t>
      </w:r>
      <w:bookmarkEnd w:id="45"/>
      <w:bookmarkEnd w:id="46"/>
      <w:bookmarkEnd w:id="53"/>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本次绩效评价工作经过了前期准备、绩效评价实施方案和指标体系制定、组织实施、绩效评价报告撰写四个阶段。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1.前期准备阶段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经与</w:t>
      </w:r>
      <w:r>
        <w:rPr>
          <w:rFonts w:hint="eastAsia" w:ascii="仿宋_GB2312" w:eastAsia="仿宋_GB2312" w:cs="DengXian-Regular"/>
          <w:sz w:val="32"/>
          <w:szCs w:val="32"/>
          <w:lang w:val="en-US" w:eastAsia="zh-CN"/>
        </w:rPr>
        <w:t>我部门内部各股室（中心）</w:t>
      </w:r>
      <w:r>
        <w:rPr>
          <w:rFonts w:hint="eastAsia" w:ascii="仿宋_GB2312" w:eastAsia="仿宋_GB2312" w:cs="DengXian-Regular"/>
          <w:sz w:val="32"/>
          <w:szCs w:val="32"/>
        </w:rPr>
        <w:t>充分沟通，并充分收集相关资料，主要包括部门职责、工作活动、预决算文本、相关管理制度、资金使用等相关资料，为制定绩效评价实施方案和指标体系奠定了基础。</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2.制定绩效评价实施方案和体系</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基于对</w:t>
      </w:r>
      <w:r>
        <w:rPr>
          <w:rFonts w:hint="eastAsia" w:ascii="仿宋_GB2312" w:eastAsia="仿宋_GB2312" w:cs="DengXian-Regular"/>
          <w:sz w:val="32"/>
          <w:szCs w:val="32"/>
          <w:lang w:val="en-US" w:eastAsia="zh-CN"/>
        </w:rPr>
        <w:t>我部门</w:t>
      </w:r>
      <w:r>
        <w:rPr>
          <w:rFonts w:hint="eastAsia" w:ascii="仿宋_GB2312" w:eastAsia="仿宋_GB2312" w:cs="DengXian-Regular"/>
          <w:sz w:val="32"/>
          <w:szCs w:val="32"/>
        </w:rPr>
        <w:t>相关资料的收集，制定绩效评价实施方案和体系,确定最终方案。</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3.组织实施阶段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根据绩效评价实施方案和指标体系，对</w:t>
      </w:r>
      <w:r>
        <w:rPr>
          <w:rFonts w:hint="eastAsia" w:ascii="仿宋_GB2312" w:eastAsia="仿宋_GB2312" w:cs="DengXian-Regular"/>
          <w:sz w:val="32"/>
          <w:szCs w:val="32"/>
          <w:lang w:val="en-US" w:eastAsia="zh-CN"/>
        </w:rPr>
        <w:t>我部门</w:t>
      </w:r>
      <w:r>
        <w:rPr>
          <w:rFonts w:hint="eastAsia" w:ascii="仿宋_GB2312" w:eastAsia="仿宋_GB2312" w:cs="DengXian-Regular"/>
          <w:sz w:val="32"/>
          <w:szCs w:val="32"/>
        </w:rPr>
        <w:t>开展评价工作，包括查看预决算文本及部门工作活动绩效目标和指标；比对预决算的调整及执行情况；核查固定资产管理的规范性；核查明细账与决算报表项目的一致性；对项目产出情况进行了解查看；随机选取服务对象进行满意度调查；对一些专业的问题咨询相关专家等。根据收集的数据、资料进行核对、比较、计算，对部门整体支出进行评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4.撰写绩效评价报告</w:t>
      </w:r>
      <w:bookmarkStart w:id="54" w:name="_Toc465149511"/>
      <w:bookmarkStart w:id="55" w:name="_Toc492652781"/>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在完成对各评价指标评分定级的基础上，开始进行报告撰写工作。</w:t>
      </w:r>
    </w:p>
    <w:p>
      <w:pPr>
        <w:pStyle w:val="3"/>
        <w:spacing w:before="0" w:after="0" w:line="360" w:lineRule="auto"/>
        <w:ind w:firstLine="643" w:firstLineChars="200"/>
        <w:rPr>
          <w:rFonts w:ascii="黑体"/>
        </w:rPr>
      </w:pPr>
      <w:bookmarkStart w:id="56" w:name="_Toc6467"/>
      <w:r>
        <w:rPr>
          <w:rFonts w:hint="eastAsia" w:ascii="黑体"/>
        </w:rPr>
        <w:t>四、</w:t>
      </w:r>
      <w:bookmarkEnd w:id="54"/>
      <w:bookmarkEnd w:id="55"/>
      <w:bookmarkStart w:id="57" w:name="_Toc492652782"/>
      <w:r>
        <w:rPr>
          <w:rFonts w:hint="eastAsia" w:ascii="黑体"/>
        </w:rPr>
        <w:t>绩效评价评分情况</w:t>
      </w:r>
      <w:bookmarkEnd w:id="56"/>
    </w:p>
    <w:bookmarkEnd w:id="57"/>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lang w:val="en-US" w:eastAsia="zh-CN"/>
        </w:rPr>
        <w:t>我部门</w:t>
      </w:r>
      <w:r>
        <w:rPr>
          <w:rFonts w:hint="eastAsia" w:ascii="仿宋_GB2312" w:eastAsia="仿宋_GB2312" w:cs="DengXian-Regular"/>
          <w:sz w:val="32"/>
          <w:szCs w:val="32"/>
        </w:rPr>
        <w:t>整体支出绩效评价总得分为</w:t>
      </w:r>
      <w:r>
        <w:rPr>
          <w:rFonts w:hint="default" w:ascii="仿宋_GB2312" w:eastAsia="仿宋_GB2312" w:cs="DengXian-Regular"/>
          <w:sz w:val="32"/>
          <w:szCs w:val="32"/>
          <w:lang w:val="en-US"/>
        </w:rPr>
        <w:t>93</w:t>
      </w:r>
      <w:r>
        <w:rPr>
          <w:rFonts w:hint="eastAsia" w:ascii="仿宋_GB2312" w:eastAsia="仿宋_GB2312" w:cs="DengXian-Regular"/>
          <w:sz w:val="32"/>
          <w:szCs w:val="32"/>
        </w:rPr>
        <w:t>分，综合绩效评价等级为“</w:t>
      </w:r>
      <w:r>
        <w:rPr>
          <w:rFonts w:hint="eastAsia" w:ascii="仿宋_GB2312" w:eastAsia="仿宋_GB2312" w:cs="DengXian-Regular"/>
          <w:sz w:val="32"/>
          <w:szCs w:val="32"/>
          <w:lang w:val="en-US" w:eastAsia="zh-CN"/>
        </w:rPr>
        <w:t>优</w:t>
      </w:r>
      <w:r>
        <w:rPr>
          <w:rFonts w:hint="eastAsia" w:ascii="仿宋_GB2312" w:eastAsia="仿宋_GB2312" w:cs="DengXian-Regular"/>
          <w:sz w:val="32"/>
          <w:szCs w:val="32"/>
        </w:rPr>
        <w:t>”。各项得分情况如下</w:t>
      </w:r>
      <w:r>
        <w:rPr>
          <w:rFonts w:hint="eastAsia" w:ascii="仿宋_GB2312" w:eastAsia="仿宋_GB2312" w:cs="Times New Roman" w:hAnsiTheme="minorEastAsia"/>
          <w:sz w:val="32"/>
          <w:szCs w:val="32"/>
          <w:u w:color="000000"/>
        </w:rPr>
        <w:t>：</w:t>
      </w:r>
      <w:r>
        <w:rPr>
          <w:rFonts w:ascii="仿宋_GB2312" w:eastAsia="仿宋_GB2312" w:cs="Times New Roman" w:hAnsiTheme="minorEastAsia"/>
          <w:sz w:val="32"/>
          <w:szCs w:val="32"/>
          <w:u w:color="000000"/>
        </w:rPr>
        <w:t xml:space="preserve"> </w:t>
      </w:r>
    </w:p>
    <w:p>
      <w:pPr>
        <w:pStyle w:val="4"/>
        <w:spacing w:before="0" w:after="0"/>
        <w:ind w:firstLine="643" w:firstLineChars="200"/>
        <w:jc w:val="both"/>
        <w:rPr>
          <w:rFonts w:ascii="楷体_GB2312" w:eastAsia="楷体_GB2312" w:hAnsiTheme="minorEastAsia"/>
          <w:kern w:val="2"/>
          <w:sz w:val="32"/>
        </w:rPr>
      </w:pPr>
      <w:bookmarkStart w:id="58" w:name="_Toc492652783"/>
      <w:bookmarkStart w:id="59" w:name="_Toc4390"/>
      <w:r>
        <w:rPr>
          <w:rFonts w:hint="eastAsia" w:ascii="楷体_GB2312" w:eastAsia="楷体_GB2312" w:hAnsiTheme="minorEastAsia"/>
          <w:kern w:val="2"/>
          <w:sz w:val="32"/>
        </w:rPr>
        <w:t>（一）</w:t>
      </w:r>
      <w:bookmarkEnd w:id="58"/>
      <w:r>
        <w:rPr>
          <w:rFonts w:hint="eastAsia" w:ascii="楷体_GB2312" w:eastAsia="楷体_GB2312" w:hAnsiTheme="minorEastAsia"/>
          <w:kern w:val="2"/>
          <w:sz w:val="32"/>
        </w:rPr>
        <w:t>投入（12分）</w:t>
      </w:r>
      <w:bookmarkEnd w:id="59"/>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DengXian-Regular"/>
          <w:sz w:val="32"/>
          <w:szCs w:val="32"/>
        </w:rPr>
        <w:t>该一级指标包含绩效目标设定和预算配置两个二级指标，主要反映绩效目标设定是否合理、科学，绩效指标的制定是否清晰、可衡量，预算编制是否完整，项目预算是否细化及在职人员控制情况。</w:t>
      </w:r>
      <w:r>
        <w:rPr>
          <w:rFonts w:hint="eastAsia" w:ascii="仿宋_GB2312" w:eastAsia="仿宋_GB2312" w:cs="Times New Roman" w:hAnsiTheme="minorEastAsia"/>
          <w:sz w:val="32"/>
          <w:szCs w:val="32"/>
          <w:u w:color="000000"/>
        </w:rPr>
        <w:tab/>
      </w: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表2  投入指标及得分情况表</w:t>
      </w:r>
    </w:p>
    <w:tbl>
      <w:tblPr>
        <w:tblStyle w:val="23"/>
        <w:tblW w:w="0" w:type="auto"/>
        <w:tblInd w:w="704"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59"/>
        <w:gridCol w:w="1418"/>
        <w:gridCol w:w="1701"/>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一级指标</w:t>
            </w:r>
          </w:p>
        </w:tc>
        <w:tc>
          <w:tcPr>
            <w:tcW w:w="1418"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二级指标</w:t>
            </w:r>
          </w:p>
        </w:tc>
        <w:tc>
          <w:tcPr>
            <w:tcW w:w="1701"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三级指标</w:t>
            </w:r>
          </w:p>
        </w:tc>
        <w:tc>
          <w:tcPr>
            <w:tcW w:w="1276"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分值权重</w:t>
            </w:r>
          </w:p>
        </w:tc>
        <w:tc>
          <w:tcPr>
            <w:tcW w:w="1134" w:type="dxa"/>
            <w:vAlign w:val="center"/>
          </w:tcPr>
          <w:p>
            <w:pPr>
              <w:spacing w:line="420" w:lineRule="exact"/>
              <w:jc w:val="center"/>
              <w:rPr>
                <w:rFonts w:cs="宋体" w:asciiTheme="minorEastAsia" w:hAnsiTheme="minorEastAsia" w:eastAsiaTheme="minorEastAsia"/>
                <w:b/>
                <w:sz w:val="21"/>
                <w:szCs w:val="21"/>
              </w:rPr>
            </w:pPr>
            <w:r>
              <w:rPr>
                <w:rFonts w:hint="eastAsia" w:cs="宋体" w:asciiTheme="minorEastAsia" w:hAnsiTheme="minorEastAsia" w:eastAsiaTheme="minorEastAsia"/>
                <w:b/>
                <w:sz w:val="21"/>
                <w:szCs w:val="21"/>
              </w:rPr>
              <w:t>得分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投入</w:t>
            </w:r>
          </w:p>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（12分）</w:t>
            </w:r>
          </w:p>
        </w:tc>
        <w:tc>
          <w:tcPr>
            <w:tcW w:w="1418" w:type="dxa"/>
            <w:vMerge w:val="restart"/>
            <w:vAlign w:val="center"/>
          </w:tcPr>
          <w:p>
            <w:pPr>
              <w:spacing w:line="420" w:lineRule="exact"/>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绩效目标设定（6分）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绩效目标合理性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绩效目标科学性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绩效指标明确性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预算配置</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（6分）</w:t>
            </w: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预算编制完整性</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项目预算细化率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1559"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418" w:type="dxa"/>
            <w:vMerge w:val="continue"/>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701"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在职人员控制率</w:t>
            </w: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134"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4" w:hRule="exact"/>
        </w:trPr>
        <w:tc>
          <w:tcPr>
            <w:tcW w:w="2977" w:type="dxa"/>
            <w:gridSpan w:val="2"/>
            <w:vAlign w:val="center"/>
          </w:tcPr>
          <w:p>
            <w:pPr>
              <w:spacing w:line="420" w:lineRule="exact"/>
              <w:ind w:firstLine="420" w:firstLineChars="200"/>
              <w:jc w:val="center"/>
              <w:rPr>
                <w:rFonts w:cs="宋体" w:asciiTheme="minorEastAsia" w:hAnsiTheme="minorEastAsia" w:eastAsiaTheme="minorEastAsia"/>
                <w:sz w:val="21"/>
                <w:szCs w:val="21"/>
                <w:highlight w:val="yellow"/>
              </w:rPr>
            </w:pPr>
            <w:r>
              <w:rPr>
                <w:rFonts w:hint="eastAsia" w:cs="宋体" w:asciiTheme="minorEastAsia" w:hAnsiTheme="minorEastAsia" w:eastAsiaTheme="minorEastAsia"/>
                <w:sz w:val="21"/>
                <w:szCs w:val="21"/>
              </w:rPr>
              <w:t>合计</w:t>
            </w:r>
          </w:p>
        </w:tc>
        <w:tc>
          <w:tcPr>
            <w:tcW w:w="1701" w:type="dxa"/>
            <w:vAlign w:val="center"/>
          </w:tcPr>
          <w:p>
            <w:pPr>
              <w:spacing w:line="420" w:lineRule="exact"/>
              <w:ind w:firstLine="420" w:firstLineChars="200"/>
              <w:jc w:val="center"/>
              <w:rPr>
                <w:rFonts w:cs="宋体" w:asciiTheme="minorEastAsia" w:hAnsiTheme="minorEastAsia" w:eastAsiaTheme="minorEastAsia"/>
                <w:sz w:val="21"/>
                <w:szCs w:val="21"/>
                <w:highlight w:val="yellow"/>
              </w:rPr>
            </w:pPr>
          </w:p>
        </w:tc>
        <w:tc>
          <w:tcPr>
            <w:tcW w:w="1276"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12</w:t>
            </w:r>
          </w:p>
        </w:tc>
        <w:tc>
          <w:tcPr>
            <w:tcW w:w="1134"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12</w:t>
            </w:r>
          </w:p>
        </w:tc>
      </w:tr>
    </w:tbl>
    <w:p>
      <w:pPr>
        <w:spacing w:after="0" w:line="360" w:lineRule="auto"/>
        <w:ind w:firstLine="640" w:firstLineChars="200"/>
        <w:jc w:val="both"/>
        <w:textAlignment w:val="baseline"/>
        <w:rPr>
          <w:rFonts w:ascii="仿宋_GB2312" w:eastAsia="仿宋_GB2312" w:cs="DengXian-Regular"/>
          <w:sz w:val="32"/>
          <w:szCs w:val="32"/>
        </w:rPr>
      </w:pPr>
      <w:bookmarkStart w:id="60" w:name="_Toc464638478"/>
      <w:bookmarkStart w:id="61" w:name="_Toc465149513"/>
      <w:r>
        <w:rPr>
          <w:rFonts w:hint="eastAsia" w:ascii="仿宋_GB2312" w:eastAsia="仿宋_GB2312" w:cs="DengXian-Regular"/>
          <w:sz w:val="32"/>
          <w:szCs w:val="32"/>
        </w:rPr>
        <w:t>1.绩效目标设定（6分）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（1）绩效目标合理性(2分)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职责设定是否符合“三定”方案中所赋予的职责；工作活动是否与部门职责、工作规划和重点工作相关；工作活动项下确定的预算项目是否合理，是否与工作活动密切相关；工作活动和项目预算安排是否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通过对比保定市徐水区委办公室及保定市徐水区人民政府办公室印发的《保定市徐水区</w:t>
      </w:r>
      <w:r>
        <w:rPr>
          <w:rFonts w:hint="eastAsia" w:ascii="仿宋_GB2312" w:eastAsia="仿宋_GB2312" w:cs="DengXian-Regular"/>
          <w:sz w:val="32"/>
          <w:szCs w:val="32"/>
          <w:lang w:val="en-US" w:eastAsia="zh-CN"/>
        </w:rPr>
        <w:t>财政局</w:t>
      </w:r>
      <w:r>
        <w:rPr>
          <w:rFonts w:hint="eastAsia" w:ascii="仿宋_GB2312" w:eastAsia="仿宋_GB2312" w:cs="DengXian-Regular"/>
          <w:sz w:val="32"/>
          <w:szCs w:val="32"/>
        </w:rPr>
        <w:t>单位职能配置内设机构和人员编制规定》和徐水区</w:t>
      </w:r>
      <w:r>
        <w:rPr>
          <w:rFonts w:hint="eastAsia" w:ascii="仿宋_GB2312" w:eastAsia="仿宋_GB2312" w:cs="DengXian-Regular"/>
          <w:sz w:val="32"/>
          <w:szCs w:val="32"/>
          <w:lang w:val="en-US" w:eastAsia="zh-CN"/>
        </w:rPr>
        <w:t>财政局</w:t>
      </w:r>
      <w:r>
        <w:rPr>
          <w:rFonts w:hint="eastAsia" w:ascii="仿宋_GB2312" w:eastAsia="仿宋_GB2312" w:cs="DengXian-Regular"/>
          <w:sz w:val="32"/>
          <w:szCs w:val="32"/>
        </w:rPr>
        <w:t>2022年预算文本—部门职责工作活动绩效目标，评价工作组认为</w:t>
      </w:r>
      <w:r>
        <w:rPr>
          <w:rFonts w:hint="eastAsia" w:ascii="仿宋_GB2312" w:eastAsia="仿宋_GB2312" w:cs="DengXian-Regular"/>
          <w:sz w:val="32"/>
          <w:szCs w:val="32"/>
          <w:lang w:val="en-US" w:eastAsia="zh-CN"/>
        </w:rPr>
        <w:t>我部门的</w:t>
      </w:r>
      <w:r>
        <w:rPr>
          <w:rFonts w:hint="eastAsia" w:ascii="仿宋_GB2312" w:eastAsia="仿宋_GB2312" w:cs="DengXian-Regular"/>
          <w:sz w:val="32"/>
          <w:szCs w:val="32"/>
        </w:rPr>
        <w:t>部门职责符合“三定”方案中所赋予的职责，绩效目标设立依据充分，符合客观实际，与部门职责、工作规划和重点工作相关，工作活动和项目预算安排合理。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（2）绩效目标科学性（2分）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批复的部门年度发展规划目标和部门职责分类绩效目标是否充分，是否与部门履职、年度工作任务相符；工作活动是否有明确的绩效目标，绩效目标是否与部门职责目标、部门年度工作目标一致，是否能体现工作活动的产出和效果。</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val="en-US" w:eastAsia="zh-CN"/>
        </w:rPr>
        <w:t>我部门</w:t>
      </w:r>
      <w:r>
        <w:rPr>
          <w:rFonts w:hint="eastAsia" w:ascii="仿宋_GB2312" w:eastAsia="仿宋_GB2312" w:cs="DengXian-Regular"/>
          <w:sz w:val="32"/>
          <w:szCs w:val="32"/>
        </w:rPr>
        <w:t>2022年预算文本—部门职责工作活动绩效目标（详见附件4），绩效目标与部门履职、年度工作任务相符；工作活动有明确的绩效目标，绩效目标与部门职责目标、部门年度工作目标一致。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（3）绩效目标明确性（2分）</w:t>
      </w:r>
    </w:p>
    <w:p>
      <w:pPr>
        <w:spacing w:after="0" w:line="360" w:lineRule="auto"/>
        <w:ind w:firstLine="640" w:firstLineChars="200"/>
        <w:jc w:val="both"/>
        <w:textAlignment w:val="baseline"/>
        <w:rPr>
          <w:rFonts w:ascii="仿宋_GB2312" w:eastAsia="仿宋_GB2312" w:cs="DengXian-Regular"/>
          <w:sz w:val="32"/>
          <w:szCs w:val="32"/>
          <w:highlight w:val="yellow"/>
        </w:rPr>
      </w:pPr>
      <w:r>
        <w:rPr>
          <w:rFonts w:hint="eastAsia" w:ascii="仿宋_GB2312" w:eastAsia="仿宋_GB2312" w:cs="DengXian-Regular"/>
          <w:sz w:val="32"/>
          <w:szCs w:val="32"/>
        </w:rPr>
        <w:t>该指标主要评价是否将部门整体的绩效目标细化分解为具体的工作任务，工作活动、预算项目绩效指标是否清晰、细化、可评价、可衡量；工作活动、预算项目绩效指标的评价标准是否清晰、可衡量；是否与部门年度的任务数或计划数相对应。</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val="en-US" w:eastAsia="zh-CN"/>
        </w:rPr>
        <w:t>我部门</w:t>
      </w:r>
      <w:r>
        <w:rPr>
          <w:rFonts w:hint="eastAsia" w:ascii="仿宋_GB2312" w:eastAsia="仿宋_GB2312" w:cs="DengXian-Regular"/>
          <w:sz w:val="32"/>
          <w:szCs w:val="32"/>
        </w:rPr>
        <w:t>2022年预算文本—部门职责工作活动绩效目标,该指标实际得分</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2.预算配置（6分）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（1）预算编制完整性（2分）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该指标主要评价部门所有收入是否全部纳入部门预算，部门支出预算是否统筹各类支出，按基本支出、项目支出分别编制。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val="en-US" w:eastAsia="zh-CN"/>
        </w:rPr>
        <w:t>我部门</w:t>
      </w:r>
      <w:r>
        <w:rPr>
          <w:rFonts w:hint="eastAsia" w:ascii="仿宋_GB2312" w:eastAsia="仿宋_GB2312" w:cs="DengXian-Regular"/>
          <w:sz w:val="32"/>
          <w:szCs w:val="32"/>
        </w:rPr>
        <w:t>2022年预算文本及相关会计资料，</w:t>
      </w:r>
      <w:r>
        <w:rPr>
          <w:rFonts w:hint="eastAsia" w:ascii="仿宋_GB2312" w:eastAsia="仿宋_GB2312" w:cs="DengXian-Regular"/>
          <w:sz w:val="32"/>
          <w:szCs w:val="32"/>
          <w:lang w:val="en-US" w:eastAsia="zh-CN"/>
        </w:rPr>
        <w:t>我部门</w:t>
      </w:r>
      <w:r>
        <w:rPr>
          <w:rFonts w:hint="eastAsia" w:ascii="仿宋_GB2312" w:eastAsia="仿宋_GB2312" w:cs="DengXian-Regular"/>
          <w:sz w:val="32"/>
          <w:szCs w:val="32"/>
        </w:rPr>
        <w:t>所有收入均已纳入部门预算，部门支出按基本支出、项目支出分别编制。</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（2）项目预算细化率（2分）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该指标主要评价编报的项目支出是否细化到具体用款单位和项目的资金额度，通过项目预算细化率衡量。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项目预算细化率=细化的项目金额/实际编报的项目金额×100%。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根据区</w:t>
      </w:r>
      <w:r>
        <w:rPr>
          <w:rFonts w:hint="eastAsia" w:ascii="仿宋_GB2312" w:eastAsia="仿宋_GB2312" w:cs="DengXian-Regular"/>
          <w:sz w:val="32"/>
          <w:szCs w:val="32"/>
          <w:lang w:val="en-US" w:eastAsia="zh-CN"/>
        </w:rPr>
        <w:t>财政局</w:t>
      </w:r>
      <w:r>
        <w:rPr>
          <w:rFonts w:hint="eastAsia" w:ascii="仿宋_GB2312" w:eastAsia="仿宋_GB2312" w:cs="DengXian-Regular"/>
          <w:sz w:val="32"/>
          <w:szCs w:val="32"/>
        </w:rPr>
        <w:t>单位2022年预算文本—部门项目支出预算表，</w:t>
      </w:r>
      <w:r>
        <w:rPr>
          <w:rFonts w:hint="eastAsia" w:ascii="仿宋_GB2312" w:eastAsia="仿宋_GB2312" w:cs="DengXian-Regular"/>
          <w:sz w:val="32"/>
          <w:szCs w:val="32"/>
          <w:lang w:val="en-US" w:eastAsia="zh-CN"/>
        </w:rPr>
        <w:t>财政局部门</w:t>
      </w:r>
      <w:r>
        <w:rPr>
          <w:rFonts w:hint="eastAsia" w:ascii="仿宋_GB2312" w:eastAsia="仿宋_GB2312" w:cs="DengXian-Regular"/>
          <w:sz w:val="32"/>
          <w:szCs w:val="32"/>
        </w:rPr>
        <w:t>202</w:t>
      </w:r>
      <w:r>
        <w:rPr>
          <w:rFonts w:hint="default" w:ascii="仿宋_GB2312" w:eastAsia="仿宋_GB2312" w:cs="DengXian-Regular"/>
          <w:sz w:val="32"/>
          <w:szCs w:val="32"/>
          <w:lang w:val="en-US"/>
        </w:rPr>
        <w:t>2</w:t>
      </w:r>
      <w:r>
        <w:rPr>
          <w:rFonts w:hint="eastAsia" w:ascii="仿宋_GB2312" w:eastAsia="仿宋_GB2312" w:cs="DengXian-Regular"/>
          <w:sz w:val="32"/>
          <w:szCs w:val="32"/>
        </w:rPr>
        <w:t>年预算项目共</w:t>
      </w:r>
      <w:r>
        <w:rPr>
          <w:rFonts w:hint="default" w:ascii="仿宋_GB2312" w:eastAsia="仿宋_GB2312" w:cs="DengXian-Regular"/>
          <w:sz w:val="32"/>
          <w:szCs w:val="32"/>
          <w:lang w:val="en-US"/>
        </w:rPr>
        <w:t>7</w:t>
      </w:r>
      <w:r>
        <w:rPr>
          <w:rFonts w:hint="eastAsia" w:ascii="仿宋_GB2312" w:eastAsia="仿宋_GB2312" w:cs="DengXian-Regular"/>
          <w:sz w:val="32"/>
          <w:szCs w:val="32"/>
        </w:rPr>
        <w:t>个（详见附件2-2-2），涉及资金</w:t>
      </w:r>
      <w:r>
        <w:rPr>
          <w:rFonts w:hint="default" w:ascii="仿宋_GB2312" w:eastAsia="仿宋_GB2312" w:cs="DengXian-Regular"/>
          <w:sz w:val="32"/>
          <w:szCs w:val="32"/>
          <w:lang w:val="en-US"/>
        </w:rPr>
        <w:t>584.21</w:t>
      </w:r>
      <w:r>
        <w:rPr>
          <w:rFonts w:hint="eastAsia" w:ascii="仿宋_GB2312" w:eastAsia="仿宋_GB2312" w:cs="DengXian-Regular"/>
          <w:sz w:val="32"/>
          <w:szCs w:val="32"/>
        </w:rPr>
        <w:t>万元，所有项目均细化到具体用款单位及项目资金额度。项目预算细化率=（</w:t>
      </w:r>
      <w:r>
        <w:rPr>
          <w:rFonts w:hint="default" w:ascii="仿宋_GB2312" w:eastAsia="仿宋_GB2312" w:cs="DengXian-Regular"/>
          <w:sz w:val="32"/>
          <w:szCs w:val="32"/>
          <w:lang w:val="en-US"/>
        </w:rPr>
        <w:t>584.21</w:t>
      </w:r>
      <w:r>
        <w:rPr>
          <w:rFonts w:hint="eastAsia" w:ascii="仿宋_GB2312" w:eastAsia="仿宋_GB2312" w:cs="DengXian-Regular"/>
          <w:sz w:val="32"/>
          <w:szCs w:val="32"/>
        </w:rPr>
        <w:t>/</w:t>
      </w:r>
      <w:r>
        <w:rPr>
          <w:rFonts w:hint="default" w:ascii="仿宋_GB2312" w:eastAsia="仿宋_GB2312" w:cs="DengXian-Regular"/>
          <w:sz w:val="32"/>
          <w:szCs w:val="32"/>
          <w:lang w:val="en-US"/>
        </w:rPr>
        <w:t>584.21</w:t>
      </w:r>
      <w:r>
        <w:rPr>
          <w:rFonts w:hint="eastAsia" w:ascii="仿宋_GB2312" w:eastAsia="仿宋_GB2312" w:cs="DengXian-Regular"/>
          <w:sz w:val="32"/>
          <w:szCs w:val="32"/>
        </w:rPr>
        <w:t>）*100%=100%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（3）在职人员控制率（2分）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该指标主要考核截至2022年底区</w:t>
      </w:r>
      <w:r>
        <w:rPr>
          <w:rFonts w:hint="eastAsia" w:ascii="仿宋_GB2312" w:eastAsia="仿宋_GB2312" w:cs="DengXian-Regular"/>
          <w:sz w:val="32"/>
          <w:szCs w:val="32"/>
          <w:lang w:val="en-US" w:eastAsia="zh-CN"/>
        </w:rPr>
        <w:t>财政局</w:t>
      </w:r>
      <w:r>
        <w:rPr>
          <w:rFonts w:hint="eastAsia" w:ascii="仿宋_GB2312" w:eastAsia="仿宋_GB2312" w:cs="DengXian-Regular"/>
          <w:sz w:val="32"/>
          <w:szCs w:val="32"/>
        </w:rPr>
        <w:t>在职人员控制情况，通过在职人员控制率衡量。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在职人员控制率=决算在职人员/编制数×100%。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根据保定市徐水区委办公室及保定市徐水区人民政府办公室关于印发《保定市徐水区</w:t>
      </w:r>
      <w:r>
        <w:rPr>
          <w:rFonts w:hint="eastAsia" w:ascii="仿宋_GB2312" w:eastAsia="仿宋_GB2312" w:cs="DengXian-Regular"/>
          <w:sz w:val="32"/>
          <w:szCs w:val="32"/>
          <w:lang w:val="en-US" w:eastAsia="zh-CN"/>
        </w:rPr>
        <w:t>财政局</w:t>
      </w:r>
      <w:r>
        <w:rPr>
          <w:rFonts w:hint="eastAsia" w:ascii="仿宋_GB2312" w:eastAsia="仿宋_GB2312" w:cs="DengXian-Regular"/>
          <w:sz w:val="32"/>
          <w:szCs w:val="32"/>
        </w:rPr>
        <w:t>单位职能配置内设机构和人员编制规定》的通知，</w:t>
      </w:r>
      <w:r>
        <w:rPr>
          <w:rFonts w:hint="eastAsia" w:ascii="仿宋_GB2312" w:eastAsia="仿宋_GB2312" w:cs="DengXian-Regular"/>
          <w:sz w:val="32"/>
          <w:szCs w:val="32"/>
          <w:lang w:val="en-US" w:eastAsia="zh-CN"/>
        </w:rPr>
        <w:t>财政局部门</w:t>
      </w:r>
      <w:r>
        <w:rPr>
          <w:rFonts w:hint="eastAsia" w:ascii="仿宋_GB2312" w:eastAsia="仿宋_GB2312" w:cs="DengXian-Regular"/>
          <w:sz w:val="32"/>
          <w:szCs w:val="32"/>
        </w:rPr>
        <w:t>人员编制为</w:t>
      </w:r>
      <w:r>
        <w:rPr>
          <w:rFonts w:hint="default" w:ascii="仿宋_GB2312" w:eastAsia="仿宋_GB2312" w:cs="DengXian-Regular"/>
          <w:sz w:val="32"/>
          <w:szCs w:val="32"/>
          <w:lang w:val="en-US"/>
        </w:rPr>
        <w:t>75</w:t>
      </w:r>
      <w:r>
        <w:rPr>
          <w:rFonts w:hint="eastAsia" w:ascii="仿宋_GB2312" w:eastAsia="仿宋_GB2312" w:cs="DengXian-Regular"/>
          <w:sz w:val="32"/>
          <w:szCs w:val="32"/>
        </w:rPr>
        <w:t>人，根据区</w:t>
      </w:r>
      <w:r>
        <w:rPr>
          <w:rFonts w:hint="eastAsia" w:ascii="仿宋_GB2312" w:eastAsia="仿宋_GB2312" w:cs="DengXian-Regular"/>
          <w:sz w:val="32"/>
          <w:szCs w:val="32"/>
          <w:lang w:val="en-US" w:eastAsia="zh-CN"/>
        </w:rPr>
        <w:t>财政局</w:t>
      </w:r>
      <w:r>
        <w:rPr>
          <w:rFonts w:hint="eastAsia" w:ascii="仿宋_GB2312" w:eastAsia="仿宋_GB2312" w:cs="DengXian-Regular"/>
          <w:sz w:val="32"/>
          <w:szCs w:val="32"/>
        </w:rPr>
        <w:t>2022年决算文本-部门基本情况表，截至2022年底，在职人员</w:t>
      </w:r>
      <w:r>
        <w:rPr>
          <w:rFonts w:hint="default" w:ascii="仿宋_GB2312" w:eastAsia="仿宋_GB2312" w:cs="DengXian-Regular"/>
          <w:sz w:val="32"/>
          <w:szCs w:val="32"/>
          <w:lang w:val="en-US"/>
        </w:rPr>
        <w:t>67</w:t>
      </w:r>
      <w:r>
        <w:rPr>
          <w:rFonts w:hint="eastAsia" w:ascii="仿宋_GB2312" w:eastAsia="仿宋_GB2312" w:cs="DengXian-Regular"/>
          <w:sz w:val="32"/>
          <w:szCs w:val="32"/>
        </w:rPr>
        <w:t>人，在职人员控制率=（</w:t>
      </w:r>
      <w:r>
        <w:rPr>
          <w:rFonts w:hint="default" w:ascii="仿宋_GB2312" w:eastAsia="仿宋_GB2312" w:cs="DengXian-Regular"/>
          <w:sz w:val="32"/>
          <w:szCs w:val="32"/>
          <w:lang w:val="en-US"/>
        </w:rPr>
        <w:t>67</w:t>
      </w:r>
      <w:r>
        <w:rPr>
          <w:rFonts w:hint="eastAsia" w:ascii="仿宋_GB2312" w:eastAsia="仿宋_GB2312" w:cs="DengXian-Regular"/>
          <w:sz w:val="32"/>
          <w:szCs w:val="32"/>
        </w:rPr>
        <w:t>/</w:t>
      </w:r>
      <w:r>
        <w:rPr>
          <w:rFonts w:hint="default" w:ascii="仿宋_GB2312" w:eastAsia="仿宋_GB2312" w:cs="DengXian-Regular"/>
          <w:sz w:val="32"/>
          <w:szCs w:val="32"/>
          <w:lang w:val="en-US"/>
        </w:rPr>
        <w:t>75</w:t>
      </w:r>
      <w:r>
        <w:rPr>
          <w:rFonts w:hint="eastAsia" w:ascii="仿宋_GB2312" w:eastAsia="仿宋_GB2312" w:cs="DengXian-Regular"/>
          <w:sz w:val="32"/>
          <w:szCs w:val="32"/>
        </w:rPr>
        <w:t>）*100%=</w:t>
      </w:r>
      <w:r>
        <w:rPr>
          <w:rFonts w:hint="default" w:ascii="仿宋_GB2312" w:eastAsia="仿宋_GB2312" w:cs="DengXian-Regular"/>
          <w:sz w:val="32"/>
          <w:szCs w:val="32"/>
          <w:lang w:val="en-US"/>
        </w:rPr>
        <w:t>89.33</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bookmarkEnd w:id="60"/>
    <w:bookmarkEnd w:id="61"/>
    <w:p>
      <w:pPr>
        <w:pStyle w:val="4"/>
        <w:spacing w:before="0" w:after="0"/>
        <w:ind w:firstLine="643" w:firstLineChars="200"/>
        <w:jc w:val="both"/>
        <w:rPr>
          <w:rFonts w:ascii="楷体" w:hAnsi="楷体" w:eastAsia="楷体"/>
          <w:sz w:val="32"/>
        </w:rPr>
      </w:pPr>
      <w:bookmarkStart w:id="62" w:name="_Toc19940"/>
      <w:r>
        <w:rPr>
          <w:rFonts w:hint="eastAsia" w:ascii="楷体" w:hAnsi="楷体" w:eastAsia="楷体"/>
          <w:sz w:val="32"/>
        </w:rPr>
        <w:t>（二）过程（48分）</w:t>
      </w:r>
      <w:bookmarkEnd w:id="62"/>
    </w:p>
    <w:p>
      <w:pPr>
        <w:spacing w:after="0" w:line="360" w:lineRule="auto"/>
        <w:ind w:firstLine="640" w:firstLineChars="200"/>
        <w:jc w:val="both"/>
        <w:textAlignment w:val="baseline"/>
        <w:rPr>
          <w:rFonts w:ascii="仿宋_GB2312" w:eastAsia="仿宋_GB2312" w:cs="DengXian-Regular"/>
          <w:sz w:val="32"/>
          <w:szCs w:val="32"/>
        </w:rPr>
      </w:pPr>
      <w:bookmarkStart w:id="63" w:name="_Toc464638480"/>
      <w:r>
        <w:rPr>
          <w:rFonts w:hint="eastAsia" w:ascii="仿宋_GB2312" w:eastAsia="仿宋_GB2312" w:cs="DengXian-Regular"/>
          <w:sz w:val="32"/>
          <w:szCs w:val="32"/>
        </w:rPr>
        <w:t>该一级指标包含预算执行、预算管理和绩效评价三个二级指标，主要反映预算调整、收入支出完成情况，“三公”经费、政府采购执行情况，财务管理是否规范、资金使用是否合规，决算真实性。</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表3  过程指标及得分情况表</w:t>
      </w:r>
    </w:p>
    <w:tbl>
      <w:tblPr>
        <w:tblStyle w:val="23"/>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1557"/>
        <w:gridCol w:w="1388"/>
        <w:gridCol w:w="2277"/>
        <w:gridCol w:w="1155"/>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388"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277"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55"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276" w:type="dxa"/>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过程（48分）</w:t>
            </w:r>
          </w:p>
        </w:tc>
        <w:tc>
          <w:tcPr>
            <w:tcW w:w="1388" w:type="dxa"/>
            <w:vMerge w:val="restart"/>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预算执行</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（24分）</w:t>
            </w: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预算收入调整率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收入完成率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预算支出调整率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rPr>
            </w:pPr>
          </w:p>
        </w:tc>
        <w:tc>
          <w:tcPr>
            <w:tcW w:w="1388" w:type="dxa"/>
            <w:vMerge w:val="continue"/>
            <w:vAlign w:val="center"/>
          </w:tcPr>
          <w:p>
            <w:pPr>
              <w:spacing w:line="420" w:lineRule="exact"/>
              <w:jc w:val="center"/>
              <w:rPr>
                <w:rFonts w:cs="宋体" w:asciiTheme="minorEastAsia" w:hAnsiTheme="minorEastAsia" w:eastAsiaTheme="minorEastAsia"/>
                <w:sz w:val="21"/>
                <w:szCs w:val="21"/>
              </w:rPr>
            </w:pPr>
          </w:p>
        </w:tc>
        <w:tc>
          <w:tcPr>
            <w:tcW w:w="2277"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财政拨款支出完成率</w:t>
            </w:r>
          </w:p>
        </w:tc>
        <w:tc>
          <w:tcPr>
            <w:tcW w:w="1155" w:type="dxa"/>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4</w:t>
            </w:r>
          </w:p>
        </w:tc>
        <w:tc>
          <w:tcPr>
            <w:tcW w:w="1276" w:type="dxa"/>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1388"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2277"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“三公经费”控制率</w:t>
            </w:r>
          </w:p>
        </w:tc>
        <w:tc>
          <w:tcPr>
            <w:tcW w:w="1155"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3</w:t>
            </w:r>
          </w:p>
        </w:tc>
        <w:tc>
          <w:tcPr>
            <w:tcW w:w="1276" w:type="dxa"/>
            <w:vAlign w:val="center"/>
          </w:tcPr>
          <w:p>
            <w:pPr>
              <w:spacing w:line="420" w:lineRule="exact"/>
              <w:jc w:val="center"/>
              <w:rPr>
                <w:rFonts w:hint="default" w:cs="宋体" w:asciiTheme="minorEastAsia" w:hAnsiTheme="minorEastAsia" w:eastAsiaTheme="minorEastAsia"/>
                <w:sz w:val="21"/>
                <w:szCs w:val="21"/>
                <w:highlight w:val="none"/>
                <w:lang w:val="en-US"/>
              </w:rPr>
            </w:pPr>
            <w:r>
              <w:rPr>
                <w:rFonts w:hint="default" w:cs="宋体" w:asciiTheme="minorEastAsia" w:hAnsiTheme="minorEastAsia" w:eastAsiaTheme="minorEastAsia"/>
                <w:sz w:val="21"/>
                <w:szCs w:val="21"/>
                <w:highlight w:val="none"/>
                <w:lang w:val="en-US"/>
              </w:rPr>
              <w:t>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1388"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2277"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政府采购执行率</w:t>
            </w:r>
          </w:p>
        </w:tc>
        <w:tc>
          <w:tcPr>
            <w:tcW w:w="1155"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3</w:t>
            </w:r>
          </w:p>
        </w:tc>
        <w:tc>
          <w:tcPr>
            <w:tcW w:w="1276" w:type="dxa"/>
            <w:vAlign w:val="center"/>
          </w:tcPr>
          <w:p>
            <w:pPr>
              <w:spacing w:line="420" w:lineRule="exact"/>
              <w:jc w:val="center"/>
              <w:rPr>
                <w:rFonts w:hint="default" w:cs="宋体" w:asciiTheme="minorEastAsia" w:hAnsiTheme="minorEastAsia" w:eastAsiaTheme="minorEastAsia"/>
                <w:sz w:val="21"/>
                <w:szCs w:val="21"/>
                <w:highlight w:val="none"/>
                <w:lang w:val="en-US"/>
              </w:rPr>
            </w:pPr>
            <w:r>
              <w:rPr>
                <w:rFonts w:hint="default" w:cs="宋体" w:asciiTheme="minorEastAsia" w:hAnsiTheme="minorEastAsia" w:eastAsiaTheme="minorEastAsia"/>
                <w:sz w:val="21"/>
                <w:szCs w:val="21"/>
                <w:highlight w:val="none"/>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1388"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2277"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资金使用合规性</w:t>
            </w:r>
          </w:p>
        </w:tc>
        <w:tc>
          <w:tcPr>
            <w:tcW w:w="1155"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3</w:t>
            </w:r>
          </w:p>
        </w:tc>
        <w:tc>
          <w:tcPr>
            <w:tcW w:w="1276" w:type="dxa"/>
            <w:vAlign w:val="center"/>
          </w:tcPr>
          <w:p>
            <w:pPr>
              <w:spacing w:line="420" w:lineRule="exact"/>
              <w:jc w:val="center"/>
              <w:rPr>
                <w:rFonts w:hint="default" w:cs="宋体" w:asciiTheme="minorEastAsia" w:hAnsiTheme="minorEastAsia" w:eastAsiaTheme="minorEastAsia"/>
                <w:sz w:val="21"/>
                <w:szCs w:val="21"/>
                <w:highlight w:val="none"/>
                <w:lang w:val="en-US"/>
              </w:rPr>
            </w:pPr>
            <w:r>
              <w:rPr>
                <w:rFonts w:hint="default" w:cs="宋体" w:asciiTheme="minorEastAsia" w:hAnsiTheme="minorEastAsia" w:eastAsiaTheme="minorEastAsia"/>
                <w:sz w:val="21"/>
                <w:szCs w:val="21"/>
                <w:highlight w:val="none"/>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1388"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2277"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决算真实性</w:t>
            </w:r>
          </w:p>
        </w:tc>
        <w:tc>
          <w:tcPr>
            <w:tcW w:w="1155"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3</w:t>
            </w:r>
          </w:p>
        </w:tc>
        <w:tc>
          <w:tcPr>
            <w:tcW w:w="1276" w:type="dxa"/>
            <w:vAlign w:val="center"/>
          </w:tcPr>
          <w:p>
            <w:pPr>
              <w:spacing w:line="420" w:lineRule="exact"/>
              <w:jc w:val="center"/>
              <w:rPr>
                <w:rFonts w:hint="default" w:cs="宋体" w:asciiTheme="minorEastAsia" w:hAnsiTheme="minorEastAsia" w:eastAsiaTheme="minorEastAsia"/>
                <w:sz w:val="21"/>
                <w:szCs w:val="21"/>
                <w:highlight w:val="none"/>
                <w:lang w:val="en-US"/>
              </w:rPr>
            </w:pPr>
            <w:r>
              <w:rPr>
                <w:rFonts w:hint="default" w:cs="宋体" w:asciiTheme="minorEastAsia" w:hAnsiTheme="minorEastAsia" w:eastAsiaTheme="minorEastAsia"/>
                <w:sz w:val="21"/>
                <w:szCs w:val="21"/>
                <w:highlight w:val="none"/>
                <w:lang w:val="en-US"/>
              </w:rPr>
              <w:t>3</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1388" w:type="dxa"/>
            <w:vMerge w:val="restart"/>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预算管理</w:t>
            </w:r>
          </w:p>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（16分）</w:t>
            </w:r>
          </w:p>
        </w:tc>
        <w:tc>
          <w:tcPr>
            <w:tcW w:w="2277"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管理制度健全性</w:t>
            </w:r>
          </w:p>
        </w:tc>
        <w:tc>
          <w:tcPr>
            <w:tcW w:w="1155"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4</w:t>
            </w:r>
          </w:p>
        </w:tc>
        <w:tc>
          <w:tcPr>
            <w:tcW w:w="1276" w:type="dxa"/>
            <w:vAlign w:val="center"/>
          </w:tcPr>
          <w:p>
            <w:pPr>
              <w:spacing w:line="420" w:lineRule="exact"/>
              <w:jc w:val="center"/>
              <w:rPr>
                <w:rFonts w:hint="default" w:cs="宋体" w:asciiTheme="minorEastAsia" w:hAnsiTheme="minorEastAsia" w:eastAsiaTheme="minorEastAsia"/>
                <w:sz w:val="21"/>
                <w:szCs w:val="21"/>
                <w:highlight w:val="none"/>
                <w:lang w:val="en-US"/>
              </w:rPr>
            </w:pPr>
            <w:r>
              <w:rPr>
                <w:rFonts w:hint="default" w:cs="宋体" w:asciiTheme="minorEastAsia" w:hAnsiTheme="minorEastAsia" w:eastAsiaTheme="minorEastAsia"/>
                <w:sz w:val="21"/>
                <w:szCs w:val="21"/>
                <w:highlight w:val="none"/>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1388"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2277"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预决算信息公开</w:t>
            </w:r>
          </w:p>
        </w:tc>
        <w:tc>
          <w:tcPr>
            <w:tcW w:w="1155"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4</w:t>
            </w:r>
          </w:p>
        </w:tc>
        <w:tc>
          <w:tcPr>
            <w:tcW w:w="1276" w:type="dxa"/>
            <w:vAlign w:val="center"/>
          </w:tcPr>
          <w:p>
            <w:pPr>
              <w:spacing w:line="420" w:lineRule="exact"/>
              <w:jc w:val="center"/>
              <w:rPr>
                <w:rFonts w:hint="default" w:cs="宋体" w:asciiTheme="minorEastAsia" w:hAnsiTheme="minorEastAsia" w:eastAsiaTheme="minorEastAsia"/>
                <w:sz w:val="21"/>
                <w:szCs w:val="21"/>
                <w:highlight w:val="none"/>
                <w:lang w:val="en-US"/>
              </w:rPr>
            </w:pPr>
            <w:r>
              <w:rPr>
                <w:rFonts w:hint="default" w:cs="宋体" w:asciiTheme="minorEastAsia" w:hAnsiTheme="minorEastAsia" w:eastAsiaTheme="minorEastAsia"/>
                <w:sz w:val="21"/>
                <w:szCs w:val="21"/>
                <w:highlight w:val="none"/>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1388"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2277"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基础信息完善性</w:t>
            </w:r>
          </w:p>
        </w:tc>
        <w:tc>
          <w:tcPr>
            <w:tcW w:w="1155"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4</w:t>
            </w:r>
          </w:p>
        </w:tc>
        <w:tc>
          <w:tcPr>
            <w:tcW w:w="1276" w:type="dxa"/>
            <w:vAlign w:val="center"/>
          </w:tcPr>
          <w:p>
            <w:pPr>
              <w:spacing w:line="420" w:lineRule="exact"/>
              <w:jc w:val="center"/>
              <w:rPr>
                <w:rFonts w:hint="default" w:cs="宋体" w:asciiTheme="minorEastAsia" w:hAnsiTheme="minorEastAsia" w:eastAsiaTheme="minorEastAsia"/>
                <w:sz w:val="21"/>
                <w:szCs w:val="21"/>
                <w:highlight w:val="none"/>
                <w:lang w:val="en-US"/>
              </w:rPr>
            </w:pPr>
            <w:r>
              <w:rPr>
                <w:rFonts w:hint="default" w:cs="宋体" w:asciiTheme="minorEastAsia" w:hAnsiTheme="minorEastAsia" w:eastAsiaTheme="minorEastAsia"/>
                <w:sz w:val="21"/>
                <w:szCs w:val="21"/>
                <w:highlight w:val="none"/>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1388"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2277"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资产管理规范性</w:t>
            </w:r>
          </w:p>
        </w:tc>
        <w:tc>
          <w:tcPr>
            <w:tcW w:w="1155"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4</w:t>
            </w:r>
          </w:p>
        </w:tc>
        <w:tc>
          <w:tcPr>
            <w:tcW w:w="1276" w:type="dxa"/>
            <w:vAlign w:val="center"/>
          </w:tcPr>
          <w:p>
            <w:pPr>
              <w:spacing w:line="420" w:lineRule="exact"/>
              <w:jc w:val="center"/>
              <w:rPr>
                <w:rFonts w:hint="default" w:cs="宋体" w:asciiTheme="minorEastAsia" w:hAnsiTheme="minorEastAsia" w:eastAsiaTheme="minorEastAsia"/>
                <w:sz w:val="21"/>
                <w:szCs w:val="21"/>
                <w:highlight w:val="none"/>
                <w:lang w:val="en-US"/>
              </w:rPr>
            </w:pPr>
            <w:r>
              <w:rPr>
                <w:rFonts w:hint="default" w:cs="宋体" w:asciiTheme="minorEastAsia" w:hAnsiTheme="minorEastAsia" w:eastAsiaTheme="minorEastAsia"/>
                <w:sz w:val="21"/>
                <w:szCs w:val="21"/>
                <w:highlight w:val="none"/>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67"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1388" w:type="dxa"/>
            <w:vMerge w:val="restart"/>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绩效评价</w:t>
            </w:r>
          </w:p>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（8分）</w:t>
            </w:r>
          </w:p>
        </w:tc>
        <w:tc>
          <w:tcPr>
            <w:tcW w:w="2277"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绩效自评覆盖率</w:t>
            </w:r>
          </w:p>
        </w:tc>
        <w:tc>
          <w:tcPr>
            <w:tcW w:w="1155"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4</w:t>
            </w:r>
          </w:p>
        </w:tc>
        <w:tc>
          <w:tcPr>
            <w:tcW w:w="1276" w:type="dxa"/>
            <w:vAlign w:val="center"/>
          </w:tcPr>
          <w:p>
            <w:pPr>
              <w:spacing w:line="420" w:lineRule="exact"/>
              <w:jc w:val="center"/>
              <w:rPr>
                <w:rFonts w:hint="default" w:cs="宋体" w:asciiTheme="minorEastAsia" w:hAnsiTheme="minorEastAsia" w:eastAsiaTheme="minorEastAsia"/>
                <w:sz w:val="21"/>
                <w:szCs w:val="21"/>
                <w:highlight w:val="none"/>
                <w:lang w:val="en-US"/>
              </w:rPr>
            </w:pPr>
            <w:r>
              <w:rPr>
                <w:rFonts w:hint="default" w:cs="宋体" w:asciiTheme="minorEastAsia" w:hAnsiTheme="minorEastAsia" w:eastAsiaTheme="minorEastAsia"/>
                <w:sz w:val="21"/>
                <w:szCs w:val="21"/>
                <w:highlight w:val="none"/>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482" w:hRule="exact"/>
          <w:jc w:val="center"/>
        </w:trPr>
        <w:tc>
          <w:tcPr>
            <w:tcW w:w="1557"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1388" w:type="dxa"/>
            <w:vMerge w:val="continue"/>
            <w:vAlign w:val="center"/>
          </w:tcPr>
          <w:p>
            <w:pPr>
              <w:spacing w:line="420" w:lineRule="exact"/>
              <w:jc w:val="center"/>
              <w:rPr>
                <w:rFonts w:cs="宋体" w:asciiTheme="minorEastAsia" w:hAnsiTheme="minorEastAsia" w:eastAsiaTheme="minorEastAsia"/>
                <w:sz w:val="21"/>
                <w:szCs w:val="21"/>
                <w:highlight w:val="none"/>
              </w:rPr>
            </w:pPr>
          </w:p>
        </w:tc>
        <w:tc>
          <w:tcPr>
            <w:tcW w:w="2277"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绩效评价优等率</w:t>
            </w:r>
          </w:p>
        </w:tc>
        <w:tc>
          <w:tcPr>
            <w:tcW w:w="1155"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4</w:t>
            </w:r>
          </w:p>
        </w:tc>
        <w:tc>
          <w:tcPr>
            <w:tcW w:w="1276" w:type="dxa"/>
            <w:vAlign w:val="center"/>
          </w:tcPr>
          <w:p>
            <w:pPr>
              <w:spacing w:line="420" w:lineRule="exact"/>
              <w:jc w:val="center"/>
              <w:rPr>
                <w:rFonts w:hint="default" w:cs="宋体" w:asciiTheme="minorEastAsia" w:hAnsiTheme="minorEastAsia" w:eastAsiaTheme="minorEastAsia"/>
                <w:sz w:val="21"/>
                <w:szCs w:val="21"/>
                <w:highlight w:val="none"/>
                <w:lang w:val="en-US"/>
              </w:rPr>
            </w:pPr>
            <w:r>
              <w:rPr>
                <w:rFonts w:hint="default" w:cs="宋体" w:asciiTheme="minorEastAsia" w:hAnsiTheme="minorEastAsia" w:eastAsiaTheme="minorEastAsia"/>
                <w:sz w:val="21"/>
                <w:szCs w:val="21"/>
                <w:highlight w:val="none"/>
                <w:lang w:val="en-US"/>
              </w:rPr>
              <w:t>4</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rHeight w:val="397" w:hRule="exact"/>
          <w:jc w:val="center"/>
        </w:trPr>
        <w:tc>
          <w:tcPr>
            <w:tcW w:w="2945" w:type="dxa"/>
            <w:gridSpan w:val="2"/>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合计</w:t>
            </w:r>
          </w:p>
        </w:tc>
        <w:tc>
          <w:tcPr>
            <w:tcW w:w="2277" w:type="dxa"/>
            <w:vAlign w:val="center"/>
          </w:tcPr>
          <w:p>
            <w:pPr>
              <w:spacing w:line="420" w:lineRule="exact"/>
              <w:jc w:val="center"/>
              <w:rPr>
                <w:rFonts w:cs="宋体" w:asciiTheme="minorEastAsia" w:hAnsiTheme="minorEastAsia" w:eastAsiaTheme="minorEastAsia"/>
                <w:sz w:val="21"/>
                <w:szCs w:val="21"/>
                <w:highlight w:val="none"/>
              </w:rPr>
            </w:pPr>
          </w:p>
        </w:tc>
        <w:tc>
          <w:tcPr>
            <w:tcW w:w="1155" w:type="dxa"/>
            <w:vAlign w:val="center"/>
          </w:tcPr>
          <w:p>
            <w:pPr>
              <w:spacing w:line="420" w:lineRule="exact"/>
              <w:jc w:val="center"/>
              <w:rPr>
                <w:rFonts w:cs="宋体" w:asciiTheme="minorEastAsia" w:hAnsiTheme="minorEastAsia" w:eastAsiaTheme="minorEastAsia"/>
                <w:sz w:val="21"/>
                <w:szCs w:val="21"/>
                <w:highlight w:val="none"/>
              </w:rPr>
            </w:pPr>
            <w:r>
              <w:rPr>
                <w:rFonts w:hint="eastAsia" w:cs="宋体" w:asciiTheme="minorEastAsia" w:hAnsiTheme="minorEastAsia" w:eastAsiaTheme="minorEastAsia"/>
                <w:sz w:val="21"/>
                <w:szCs w:val="21"/>
                <w:highlight w:val="none"/>
              </w:rPr>
              <w:t>48</w:t>
            </w:r>
          </w:p>
        </w:tc>
        <w:tc>
          <w:tcPr>
            <w:tcW w:w="1276" w:type="dxa"/>
            <w:vAlign w:val="center"/>
          </w:tcPr>
          <w:p>
            <w:pPr>
              <w:spacing w:line="420" w:lineRule="exact"/>
              <w:jc w:val="center"/>
              <w:rPr>
                <w:rFonts w:hint="default" w:cs="宋体" w:asciiTheme="minorEastAsia" w:hAnsiTheme="minorEastAsia" w:eastAsiaTheme="minorEastAsia"/>
                <w:sz w:val="21"/>
                <w:szCs w:val="21"/>
                <w:highlight w:val="none"/>
                <w:lang w:val="en-US"/>
              </w:rPr>
            </w:pPr>
            <w:r>
              <w:rPr>
                <w:rFonts w:hint="default" w:cs="宋体" w:asciiTheme="minorEastAsia" w:hAnsiTheme="minorEastAsia" w:eastAsiaTheme="minorEastAsia"/>
                <w:sz w:val="21"/>
                <w:szCs w:val="21"/>
                <w:highlight w:val="none"/>
                <w:lang w:val="en-US"/>
              </w:rPr>
              <w:t>41</w:t>
            </w:r>
          </w:p>
        </w:tc>
      </w:tr>
      <w:bookmarkEnd w:id="63"/>
    </w:tbl>
    <w:p>
      <w:pPr>
        <w:spacing w:after="0" w:line="360" w:lineRule="auto"/>
        <w:ind w:firstLine="640" w:firstLineChars="200"/>
        <w:jc w:val="both"/>
        <w:textAlignment w:val="baseline"/>
        <w:rPr>
          <w:rFonts w:ascii="仿宋_GB2312" w:eastAsia="仿宋_GB2312" w:cs="DengXian-Regular"/>
          <w:sz w:val="32"/>
          <w:szCs w:val="32"/>
        </w:rPr>
      </w:pPr>
      <w:bookmarkStart w:id="64" w:name="_Toc465149514"/>
      <w:bookmarkStart w:id="65" w:name="_Toc464638487"/>
      <w:r>
        <w:rPr>
          <w:rFonts w:hint="eastAsia" w:ascii="仿宋_GB2312" w:eastAsia="仿宋_GB2312" w:cs="DengXian-Regular"/>
          <w:sz w:val="32"/>
          <w:szCs w:val="32"/>
          <w:highlight w:val="none"/>
        </w:rPr>
        <w:t>1.预算执行（24分）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（1）预算收入调整率（2分）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该指标主要评价预算收入的调整情况，进而衡量预算收入编制的准确性，通过预算收入调整率衡量。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预算收入调整率=（调整预算数-年初预算数）/年初预算数*100%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w:t>
      </w:r>
      <w:r>
        <w:rPr>
          <w:rFonts w:hint="default" w:ascii="仿宋_GB2312" w:eastAsia="仿宋_GB2312" w:cs="DengXian-Regular"/>
          <w:sz w:val="32"/>
          <w:szCs w:val="32"/>
          <w:lang w:val="en-US"/>
        </w:rPr>
        <w:t>2022年</w:t>
      </w:r>
      <w:r>
        <w:rPr>
          <w:rFonts w:hint="eastAsia" w:ascii="仿宋_GB2312" w:eastAsia="仿宋_GB2312" w:cs="DengXian-Regular"/>
          <w:sz w:val="32"/>
          <w:szCs w:val="32"/>
        </w:rPr>
        <w:t>预算文本和</w:t>
      </w:r>
      <w:r>
        <w:rPr>
          <w:rFonts w:ascii="仿宋_GB2312" w:eastAsia="仿宋_GB2312" w:cs="DengXian-Regular"/>
          <w:sz w:val="32"/>
          <w:szCs w:val="32"/>
        </w:rPr>
        <w:t>决算</w:t>
      </w:r>
      <w:r>
        <w:rPr>
          <w:rFonts w:hint="eastAsia" w:ascii="仿宋_GB2312" w:eastAsia="仿宋_GB2312" w:cs="DengXian-Regular"/>
          <w:sz w:val="32"/>
          <w:szCs w:val="32"/>
        </w:rPr>
        <w:t>文</w:t>
      </w:r>
      <w:r>
        <w:rPr>
          <w:rFonts w:ascii="仿宋_GB2312" w:eastAsia="仿宋_GB2312" w:cs="DengXian-Regular"/>
          <w:sz w:val="32"/>
          <w:szCs w:val="32"/>
        </w:rPr>
        <w:t>本</w:t>
      </w:r>
      <w:r>
        <w:rPr>
          <w:rFonts w:hint="eastAsia" w:ascii="仿宋_GB2312" w:eastAsia="仿宋_GB2312" w:cs="DengXian-Regular"/>
          <w:sz w:val="32"/>
          <w:szCs w:val="32"/>
        </w:rPr>
        <w:t>， 2022年度预算</w:t>
      </w:r>
      <w:r>
        <w:rPr>
          <w:rFonts w:ascii="仿宋_GB2312" w:eastAsia="仿宋_GB2312" w:cs="DengXian-Regular"/>
          <w:sz w:val="32"/>
          <w:szCs w:val="32"/>
        </w:rPr>
        <w:t>收入</w:t>
      </w:r>
      <w:r>
        <w:rPr>
          <w:rFonts w:hint="eastAsia" w:ascii="仿宋_GB2312" w:eastAsia="仿宋_GB2312" w:cs="DengXian-Regular"/>
          <w:sz w:val="32"/>
          <w:szCs w:val="32"/>
        </w:rPr>
        <w:t>调整预算数</w:t>
      </w:r>
      <w:r>
        <w:rPr>
          <w:rFonts w:hint="default" w:ascii="仿宋_GB2312" w:eastAsia="仿宋_GB2312" w:cs="DengXian-Regular"/>
          <w:sz w:val="32"/>
          <w:szCs w:val="32"/>
          <w:lang w:val="en-US" w:eastAsia="zh-CN"/>
        </w:rPr>
        <w:t>2445.93</w:t>
      </w:r>
      <w:r>
        <w:rPr>
          <w:rFonts w:hint="eastAsia" w:ascii="仿宋_GB2312" w:eastAsia="仿宋_GB2312" w:cs="DengXian-Regular"/>
          <w:sz w:val="32"/>
          <w:szCs w:val="32"/>
        </w:rPr>
        <w:t>万元</w:t>
      </w:r>
      <w:r>
        <w:rPr>
          <w:rFonts w:ascii="仿宋_GB2312" w:eastAsia="仿宋_GB2312" w:cs="DengXian-Regular"/>
          <w:sz w:val="32"/>
          <w:szCs w:val="32"/>
        </w:rPr>
        <w:t>，</w:t>
      </w:r>
      <w:r>
        <w:rPr>
          <w:rFonts w:hint="eastAsia" w:ascii="仿宋_GB2312" w:eastAsia="仿宋_GB2312" w:cs="DengXian-Regular"/>
          <w:sz w:val="32"/>
          <w:szCs w:val="32"/>
        </w:rPr>
        <w:t>年初</w:t>
      </w:r>
      <w:r>
        <w:rPr>
          <w:rFonts w:ascii="仿宋_GB2312" w:eastAsia="仿宋_GB2312" w:cs="DengXian-Regular"/>
          <w:sz w:val="32"/>
          <w:szCs w:val="32"/>
        </w:rPr>
        <w:t>预算数</w:t>
      </w:r>
      <w:r>
        <w:rPr>
          <w:rFonts w:hint="default" w:ascii="仿宋_GB2312" w:eastAsia="仿宋_GB2312" w:cs="DengXian-Regular"/>
          <w:sz w:val="32"/>
          <w:szCs w:val="32"/>
          <w:lang w:val="en-US"/>
        </w:rPr>
        <w:t>1930.03</w:t>
      </w:r>
      <w:r>
        <w:rPr>
          <w:rFonts w:hint="eastAsia" w:ascii="仿宋_GB2312" w:eastAsia="仿宋_GB2312" w:cs="DengXian-Regular"/>
          <w:sz w:val="32"/>
          <w:szCs w:val="32"/>
        </w:rPr>
        <w:t>万元</w:t>
      </w:r>
      <w:r>
        <w:rPr>
          <w:rFonts w:ascii="仿宋_GB2312" w:eastAsia="仿宋_GB2312" w:cs="DengXian-Regular"/>
          <w:sz w:val="32"/>
          <w:szCs w:val="32"/>
        </w:rPr>
        <w:t>,</w:t>
      </w:r>
      <w:r>
        <w:rPr>
          <w:rFonts w:hint="eastAsia"/>
        </w:rPr>
        <w:t xml:space="preserve"> </w:t>
      </w:r>
      <w:r>
        <w:rPr>
          <w:rFonts w:hint="eastAsia" w:ascii="仿宋_GB2312" w:eastAsia="仿宋_GB2312" w:cs="DengXian-Regular"/>
          <w:sz w:val="32"/>
          <w:szCs w:val="32"/>
        </w:rPr>
        <w:t>预算收入调整率为</w:t>
      </w:r>
      <w:r>
        <w:rPr>
          <w:rFonts w:hint="default" w:ascii="仿宋_GB2312" w:eastAsia="仿宋_GB2312" w:cs="DengXian-Regular"/>
          <w:sz w:val="32"/>
          <w:szCs w:val="32"/>
          <w:lang w:val="en-US"/>
        </w:rPr>
        <w:t>26.73</w:t>
      </w:r>
      <w:r>
        <w:rPr>
          <w:rFonts w:hint="eastAsia" w:ascii="仿宋_GB2312" w:eastAsia="仿宋_GB2312" w:cs="DengXian-Regular"/>
          <w:sz w:val="32"/>
          <w:szCs w:val="32"/>
        </w:rPr>
        <w:t>%，预算调整</w:t>
      </w:r>
      <w:r>
        <w:rPr>
          <w:rFonts w:hint="eastAsia" w:ascii="仿宋_GB2312" w:eastAsia="仿宋_GB2312" w:cs="DengXian-Regular"/>
          <w:sz w:val="32"/>
          <w:szCs w:val="32"/>
          <w:lang w:val="en-US" w:eastAsia="zh-CN"/>
        </w:rPr>
        <w:t>增加</w:t>
      </w:r>
      <w:r>
        <w:rPr>
          <w:rFonts w:hint="eastAsia" w:ascii="仿宋_GB2312" w:eastAsia="仿宋_GB2312" w:cs="DengXian-Regular"/>
          <w:sz w:val="32"/>
          <w:szCs w:val="32"/>
        </w:rPr>
        <w:t>了</w:t>
      </w:r>
      <w:r>
        <w:rPr>
          <w:rFonts w:hint="default" w:ascii="仿宋_GB2312" w:eastAsia="仿宋_GB2312" w:cs="DengXian-Regular"/>
          <w:sz w:val="32"/>
          <w:szCs w:val="32"/>
          <w:lang w:val="en-US"/>
        </w:rPr>
        <w:t>26.73</w:t>
      </w:r>
      <w:r>
        <w:rPr>
          <w:rFonts w:hint="eastAsia" w:ascii="仿宋_GB2312" w:eastAsia="仿宋_GB2312" w:cs="DengXian-Regular"/>
          <w:sz w:val="32"/>
          <w:szCs w:val="32"/>
        </w:rPr>
        <w:t>个百分点，</w:t>
      </w:r>
      <w:r>
        <w:rPr>
          <w:rFonts w:hint="eastAsia" w:ascii="仿宋_GB2312" w:eastAsia="仿宋_GB2312" w:cs="DengXian-Regular"/>
          <w:sz w:val="32"/>
          <w:szCs w:val="32"/>
          <w:lang w:val="en-US" w:eastAsia="zh-CN"/>
        </w:rPr>
        <w:t>扣</w:t>
      </w:r>
      <w:r>
        <w:rPr>
          <w:rFonts w:hint="default" w:ascii="仿宋_GB2312" w:eastAsia="仿宋_GB2312" w:cs="DengXian-Regular"/>
          <w:sz w:val="32"/>
          <w:szCs w:val="32"/>
          <w:lang w:val="en-US" w:eastAsia="zh-CN"/>
        </w:rPr>
        <w:t>2</w:t>
      </w:r>
      <w:r>
        <w:rPr>
          <w:rFonts w:hint="eastAsia" w:ascii="仿宋_GB2312" w:eastAsia="仿宋_GB2312" w:cs="DengXian-Regular"/>
          <w:sz w:val="32"/>
          <w:szCs w:val="32"/>
          <w:lang w:val="en-US" w:eastAsia="zh-CN"/>
        </w:rPr>
        <w:t>分，</w:t>
      </w:r>
      <w:r>
        <w:rPr>
          <w:rFonts w:hint="eastAsia" w:ascii="仿宋_GB2312" w:eastAsia="仿宋_GB2312" w:cs="DengXian-Regular"/>
          <w:sz w:val="32"/>
          <w:szCs w:val="32"/>
        </w:rPr>
        <w:t>得</w:t>
      </w:r>
      <w:r>
        <w:rPr>
          <w:rFonts w:hint="default" w:ascii="仿宋_GB2312" w:eastAsia="仿宋_GB2312" w:cs="DengXian-Regular"/>
          <w:sz w:val="32"/>
          <w:szCs w:val="32"/>
          <w:lang w:val="en-US"/>
        </w:rPr>
        <w:t>0</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highlight w:val="none"/>
          <w:lang w:val="en-US"/>
        </w:rPr>
        <w:t>0</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（2）收入完成率（4分）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该指标主要评价部门预算收入的完成情况，用以反映部门预算收入的完成程度，通过收入完成率衡量。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收入完成率=（决算收入/预算收入）×100%。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根据2022年决算文本，2022年</w:t>
      </w:r>
      <w:r>
        <w:rPr>
          <w:rFonts w:hint="eastAsia" w:ascii="仿宋_GB2312" w:eastAsia="仿宋_GB2312" w:cs="DengXian-Regular"/>
          <w:sz w:val="32"/>
          <w:szCs w:val="32"/>
          <w:lang w:val="en-US" w:eastAsia="zh-CN"/>
        </w:rPr>
        <w:t>收入调整</w:t>
      </w:r>
      <w:r>
        <w:rPr>
          <w:rFonts w:hint="eastAsia" w:ascii="仿宋_GB2312" w:eastAsia="仿宋_GB2312" w:cs="DengXian-Regular"/>
          <w:sz w:val="32"/>
          <w:szCs w:val="32"/>
        </w:rPr>
        <w:t>预算数</w:t>
      </w:r>
      <w:r>
        <w:rPr>
          <w:rFonts w:hint="default" w:ascii="仿宋_GB2312" w:eastAsia="仿宋_GB2312" w:cs="DengXian-Regular"/>
          <w:sz w:val="32"/>
          <w:szCs w:val="32"/>
          <w:lang w:val="en-US"/>
        </w:rPr>
        <w:t>2445.93</w:t>
      </w:r>
      <w:r>
        <w:rPr>
          <w:rFonts w:hint="eastAsia" w:ascii="仿宋_GB2312" w:eastAsia="仿宋_GB2312" w:cs="DengXian-Regular"/>
          <w:sz w:val="32"/>
          <w:szCs w:val="32"/>
        </w:rPr>
        <w:t>万元，收入决算数</w:t>
      </w:r>
      <w:r>
        <w:rPr>
          <w:rFonts w:hint="default" w:ascii="仿宋_GB2312" w:eastAsia="仿宋_GB2312" w:cs="DengXian-Regular"/>
          <w:sz w:val="32"/>
          <w:szCs w:val="32"/>
          <w:lang w:val="en-US"/>
        </w:rPr>
        <w:t>2445.93</w:t>
      </w:r>
      <w:r>
        <w:rPr>
          <w:rFonts w:hint="eastAsia" w:ascii="仿宋_GB2312" w:eastAsia="仿宋_GB2312" w:cs="DengXian-Regular"/>
          <w:sz w:val="32"/>
          <w:szCs w:val="32"/>
        </w:rPr>
        <w:t>万元，收入完成率=（决算数/预算数）*100%=</w:t>
      </w:r>
      <w:r>
        <w:rPr>
          <w:rFonts w:hint="default" w:ascii="仿宋_GB2312" w:eastAsia="仿宋_GB2312" w:cs="DengXian-Regular"/>
          <w:sz w:val="32"/>
          <w:szCs w:val="32"/>
          <w:lang w:val="en-US"/>
        </w:rPr>
        <w:t>100</w:t>
      </w:r>
      <w:r>
        <w:rPr>
          <w:rFonts w:hint="eastAsia" w:ascii="仿宋_GB2312" w:eastAsia="仿宋_GB2312" w:cs="DengXian-Regular"/>
          <w:sz w:val="32"/>
          <w:szCs w:val="32"/>
        </w:rPr>
        <w:t>%。</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（3）预算支出调整率（2分）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该指标主要评价预算支出的调整情况，进而衡量预算支出编制的准确性，通过预算支出调整率衡量。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预算支出调整率=（调整预算数-年初预算数）/年初预算数*100%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lang w:val="en-US" w:eastAsia="zh-CN"/>
        </w:rPr>
        <w:t>我</w:t>
      </w:r>
      <w:r>
        <w:rPr>
          <w:rFonts w:hint="eastAsia" w:ascii="仿宋_GB2312" w:eastAsia="仿宋_GB2312" w:cs="DengXian-Regular"/>
          <w:sz w:val="32"/>
          <w:szCs w:val="32"/>
        </w:rPr>
        <w:t>单位2022年度预算支出的调整预算数</w:t>
      </w:r>
      <w:r>
        <w:rPr>
          <w:rFonts w:hint="default" w:ascii="仿宋_GB2312" w:eastAsia="仿宋_GB2312" w:cs="DengXian-Regular"/>
          <w:sz w:val="32"/>
          <w:szCs w:val="32"/>
          <w:lang w:val="en-US"/>
        </w:rPr>
        <w:t>2446.68</w:t>
      </w:r>
      <w:r>
        <w:rPr>
          <w:rFonts w:hint="eastAsia" w:ascii="仿宋_GB2312" w:eastAsia="仿宋_GB2312" w:cs="DengXian-Regular"/>
          <w:sz w:val="32"/>
          <w:szCs w:val="32"/>
        </w:rPr>
        <w:t>万元，年初预算数为</w:t>
      </w:r>
      <w:r>
        <w:rPr>
          <w:rFonts w:hint="default" w:ascii="仿宋_GB2312" w:eastAsia="仿宋_GB2312" w:cs="DengXian-Regular"/>
          <w:sz w:val="32"/>
          <w:szCs w:val="32"/>
          <w:lang w:val="en-US"/>
        </w:rPr>
        <w:t>1930.03</w:t>
      </w:r>
      <w:r>
        <w:rPr>
          <w:rFonts w:hint="eastAsia" w:ascii="仿宋_GB2312" w:eastAsia="仿宋_GB2312" w:cs="DengXian-Regular"/>
          <w:sz w:val="32"/>
          <w:szCs w:val="32"/>
        </w:rPr>
        <w:t>万元，预算支出调整率为</w:t>
      </w:r>
      <w:r>
        <w:rPr>
          <w:rFonts w:hint="default" w:ascii="仿宋_GB2312" w:eastAsia="仿宋_GB2312" w:cs="DengXian-Regular"/>
          <w:sz w:val="32"/>
          <w:szCs w:val="32"/>
          <w:lang w:val="en-US"/>
        </w:rPr>
        <w:t>-26.77</w:t>
      </w:r>
      <w:r>
        <w:rPr>
          <w:rFonts w:hint="eastAsia" w:ascii="仿宋_GB2312" w:eastAsia="仿宋_GB2312" w:cs="DengXian-Regular"/>
          <w:sz w:val="32"/>
          <w:szCs w:val="32"/>
        </w:rPr>
        <w:t>%，预算调整</w:t>
      </w:r>
      <w:r>
        <w:rPr>
          <w:rFonts w:hint="eastAsia" w:ascii="仿宋_GB2312" w:eastAsia="仿宋_GB2312" w:cs="DengXian-Regular"/>
          <w:sz w:val="32"/>
          <w:szCs w:val="32"/>
          <w:lang w:val="en-US" w:eastAsia="zh-CN"/>
        </w:rPr>
        <w:t>增加</w:t>
      </w:r>
      <w:r>
        <w:rPr>
          <w:rFonts w:hint="default" w:ascii="仿宋_GB2312" w:eastAsia="仿宋_GB2312" w:cs="DengXian-Regular"/>
          <w:sz w:val="32"/>
          <w:szCs w:val="32"/>
          <w:lang w:val="en-US"/>
        </w:rPr>
        <w:t>26.77</w:t>
      </w:r>
      <w:r>
        <w:rPr>
          <w:rFonts w:hint="eastAsia" w:ascii="仿宋_GB2312" w:eastAsia="仿宋_GB2312" w:cs="DengXian-Regular"/>
          <w:sz w:val="32"/>
          <w:szCs w:val="32"/>
        </w:rPr>
        <w:t>个百分点，扣</w:t>
      </w:r>
      <w:r>
        <w:rPr>
          <w:rFonts w:hint="default" w:ascii="仿宋_GB2312" w:eastAsia="仿宋_GB2312" w:cs="DengXian-Regular"/>
          <w:sz w:val="32"/>
          <w:szCs w:val="32"/>
          <w:lang w:val="en-US"/>
        </w:rPr>
        <w:t>2</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0</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（4）财政拨款支出完成率（4分）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该指标主要评价部门财政拨款的支出进度，通过财政拨款支出完成率来衡量。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财政拨款支出完成率=（部门决算财政拨款支出/部门决算财政拨款收入）*100%。</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根据我</w:t>
      </w:r>
      <w:r>
        <w:rPr>
          <w:rFonts w:ascii="仿宋_GB2312" w:eastAsia="仿宋_GB2312" w:cs="DengXian-Regular"/>
          <w:sz w:val="32"/>
          <w:szCs w:val="32"/>
        </w:rPr>
        <w:t>部门</w:t>
      </w:r>
      <w:r>
        <w:rPr>
          <w:rFonts w:hint="eastAsia" w:ascii="仿宋_GB2312" w:eastAsia="仿宋_GB2312" w:cs="DengXian-Regular"/>
          <w:sz w:val="32"/>
          <w:szCs w:val="32"/>
        </w:rPr>
        <w:t>2022年决算文本，部门决算财政拨款支出数</w:t>
      </w:r>
      <w:r>
        <w:rPr>
          <w:rFonts w:hint="default" w:ascii="仿宋_GB2312" w:eastAsia="仿宋_GB2312" w:cs="DengXian-Regular"/>
          <w:sz w:val="32"/>
          <w:szCs w:val="32"/>
          <w:lang w:val="en-US"/>
        </w:rPr>
        <w:t>2446.64</w:t>
      </w:r>
      <w:r>
        <w:rPr>
          <w:rFonts w:hint="eastAsia" w:ascii="仿宋_GB2312" w:eastAsia="仿宋_GB2312" w:cs="DengXian-Regular"/>
          <w:sz w:val="32"/>
          <w:szCs w:val="32"/>
        </w:rPr>
        <w:t>万元，财政拨款收入数</w:t>
      </w:r>
      <w:r>
        <w:rPr>
          <w:rFonts w:hint="default" w:ascii="仿宋_GB2312" w:eastAsia="仿宋_GB2312" w:cs="DengXian-Regular"/>
          <w:sz w:val="32"/>
          <w:szCs w:val="32"/>
          <w:lang w:val="en-US"/>
        </w:rPr>
        <w:t>2445.89</w:t>
      </w:r>
      <w:r>
        <w:rPr>
          <w:rFonts w:hint="eastAsia" w:ascii="仿宋_GB2312" w:eastAsia="仿宋_GB2312" w:cs="DengXian-Regular"/>
          <w:sz w:val="32"/>
          <w:szCs w:val="32"/>
        </w:rPr>
        <w:t>万元，财政拨款支出率=（财政拨款支出数/财政拨款收入数）*100%=</w:t>
      </w:r>
      <w:r>
        <w:rPr>
          <w:rFonts w:hint="default" w:ascii="仿宋_GB2312" w:eastAsia="仿宋_GB2312" w:cs="DengXian-Regular"/>
          <w:sz w:val="32"/>
          <w:szCs w:val="32"/>
          <w:lang w:val="en-US"/>
        </w:rPr>
        <w:t>100.03</w:t>
      </w:r>
      <w:r>
        <w:rPr>
          <w:rFonts w:hint="eastAsia" w:ascii="仿宋_GB2312" w:eastAsia="仿宋_GB2312" w:cs="DengXian-Regular"/>
          <w:sz w:val="32"/>
          <w:szCs w:val="32"/>
        </w:rPr>
        <w:t>%</w:t>
      </w:r>
      <w:r>
        <w:rPr>
          <w:rFonts w:ascii="Arial" w:hAnsi="Arial" w:eastAsia="仿宋_GB2312" w:cs="Arial"/>
          <w:sz w:val="32"/>
          <w:szCs w:val="32"/>
        </w:rPr>
        <w:t>≥</w:t>
      </w:r>
      <w:r>
        <w:rPr>
          <w:rFonts w:hint="eastAsia" w:ascii="仿宋_GB2312" w:eastAsia="仿宋_GB2312" w:cs="DengXian-Regular"/>
          <w:sz w:val="32"/>
          <w:szCs w:val="32"/>
        </w:rPr>
        <w:t>90%。2022年年初结转和结余</w:t>
      </w:r>
      <w:r>
        <w:rPr>
          <w:rFonts w:hint="default" w:ascii="仿宋_GB2312" w:eastAsia="仿宋_GB2312" w:cs="DengXian-Regular"/>
          <w:sz w:val="32"/>
          <w:szCs w:val="32"/>
          <w:lang w:val="en-US"/>
        </w:rPr>
        <w:t>0.75</w:t>
      </w:r>
      <w:r>
        <w:rPr>
          <w:rFonts w:hint="eastAsia" w:ascii="仿宋_GB2312" w:eastAsia="仿宋_GB2312" w:cs="DengXian-Regular"/>
          <w:sz w:val="32"/>
          <w:szCs w:val="32"/>
        </w:rPr>
        <w:t>万元，故支出数大于收入数。</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（5）“三公”经费控制率（3分）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该指标主要评价“三公”经费是否得到有效控制，通过“三公”经费控制率来衡量。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“三公”经费控制率=（实际支出数/预算数）*100%。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根据2022年预算文本及决算文本，“三公”经费年初预算数</w:t>
      </w:r>
      <w:r>
        <w:rPr>
          <w:rFonts w:hint="default" w:ascii="仿宋_GB2312" w:eastAsia="仿宋_GB2312" w:cs="DengXian-Regular"/>
          <w:sz w:val="32"/>
          <w:szCs w:val="32"/>
          <w:lang w:val="en-US"/>
        </w:rPr>
        <w:t>6.44</w:t>
      </w:r>
      <w:r>
        <w:rPr>
          <w:rFonts w:hint="eastAsia" w:ascii="仿宋_GB2312" w:eastAsia="仿宋_GB2312" w:cs="DengXian-Regular"/>
          <w:sz w:val="32"/>
          <w:szCs w:val="32"/>
        </w:rPr>
        <w:t>万元，年末决算数</w:t>
      </w:r>
      <w:r>
        <w:rPr>
          <w:rFonts w:hint="default" w:ascii="仿宋_GB2312" w:eastAsia="仿宋_GB2312" w:cs="DengXian-Regular"/>
          <w:sz w:val="32"/>
          <w:szCs w:val="32"/>
          <w:lang w:val="en-US"/>
        </w:rPr>
        <w:t>19.94</w:t>
      </w:r>
      <w:r>
        <w:rPr>
          <w:rFonts w:hint="eastAsia" w:ascii="仿宋_GB2312" w:eastAsia="仿宋_GB2312" w:cs="DengXian-Regular"/>
          <w:sz w:val="32"/>
          <w:szCs w:val="32"/>
        </w:rPr>
        <w:t>万元，“三公”经费控制率=（年末决算数/年初预算数）*100%=</w:t>
      </w:r>
      <w:r>
        <w:rPr>
          <w:rFonts w:hint="default" w:ascii="仿宋_GB2312" w:eastAsia="仿宋_GB2312" w:cs="DengXian-Regular"/>
          <w:sz w:val="32"/>
          <w:szCs w:val="32"/>
          <w:lang w:val="en-US"/>
        </w:rPr>
        <w:t>309.63</w:t>
      </w:r>
      <w:r>
        <w:rPr>
          <w:rFonts w:hint="eastAsia" w:ascii="仿宋_GB2312" w:eastAsia="仿宋_GB2312" w:cs="DengXian-Regular"/>
          <w:sz w:val="32"/>
          <w:szCs w:val="32"/>
        </w:rPr>
        <w:t>%</w:t>
      </w:r>
      <w:r>
        <w:rPr>
          <w:rFonts w:hint="default" w:ascii="Arial" w:hAnsi="Arial" w:eastAsia="仿宋_GB2312" w:cs="Arial"/>
          <w:sz w:val="32"/>
          <w:szCs w:val="32"/>
          <w:lang w:val="en-US" w:eastAsia="zh-CN"/>
        </w:rPr>
        <w:t>&gt;</w:t>
      </w:r>
      <w:r>
        <w:rPr>
          <w:rFonts w:hint="eastAsia" w:ascii="仿宋_GB2312" w:eastAsia="仿宋_GB2312" w:cs="DengXian-Regular"/>
          <w:sz w:val="32"/>
          <w:szCs w:val="32"/>
        </w:rPr>
        <w:t>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0</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（6）政府采购执行率（3分）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该指标主要评价部门是否有效执行政府采购政策，通过政府采购执行率来衡量。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政府采购执行率=（实际政府采购金额/政府采购预算金额）*100%。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根据2022年预算文本及决算文本，政府采购年初预算</w:t>
      </w:r>
      <w:r>
        <w:rPr>
          <w:rFonts w:hint="eastAsia" w:ascii="仿宋_GB2312" w:eastAsia="仿宋_GB2312" w:cs="DengXian-Regular"/>
          <w:sz w:val="32"/>
          <w:szCs w:val="32"/>
          <w:lang w:val="en-US" w:eastAsia="zh-CN"/>
        </w:rPr>
        <w:t>未安排</w:t>
      </w:r>
      <w:r>
        <w:rPr>
          <w:rFonts w:hint="eastAsia" w:ascii="仿宋_GB2312" w:eastAsia="仿宋_GB2312" w:cs="DengXian-Regular"/>
          <w:sz w:val="32"/>
          <w:szCs w:val="32"/>
        </w:rPr>
        <w:t>，年末决算数</w:t>
      </w:r>
      <w:r>
        <w:rPr>
          <w:rFonts w:hint="default" w:ascii="仿宋_GB2312" w:eastAsia="仿宋_GB2312" w:cs="DengXian-Regular"/>
          <w:sz w:val="32"/>
          <w:szCs w:val="32"/>
          <w:lang w:val="en-US"/>
        </w:rPr>
        <w:t>88.91</w:t>
      </w:r>
      <w:r>
        <w:rPr>
          <w:rFonts w:hint="eastAsia" w:ascii="仿宋_GB2312" w:eastAsia="仿宋_GB2312" w:cs="DengXian-Regular"/>
          <w:sz w:val="32"/>
          <w:szCs w:val="32"/>
        </w:rPr>
        <w:t>万元，政府采购执行率为</w:t>
      </w:r>
      <w:r>
        <w:rPr>
          <w:rFonts w:hint="default" w:ascii="仿宋_GB2312" w:eastAsia="仿宋_GB2312" w:cs="DengXian-Regular"/>
          <w:sz w:val="32"/>
          <w:szCs w:val="32"/>
          <w:lang w:val="en-US"/>
        </w:rPr>
        <w:t>100%</w:t>
      </w:r>
      <w:r>
        <w:rPr>
          <w:rFonts w:hint="eastAsia" w:ascii="仿宋_GB2312" w:eastAsia="仿宋_GB2312" w:cs="DengXian-Regular"/>
          <w:sz w:val="32"/>
          <w:szCs w:val="32"/>
        </w:rPr>
        <w:t>。</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该指标实际得分为</w:t>
      </w:r>
      <w:r>
        <w:rPr>
          <w:rFonts w:hint="default" w:ascii="仿宋_GB2312" w:eastAsia="仿宋_GB2312" w:cs="DengXian-Regular"/>
          <w:sz w:val="32"/>
          <w:szCs w:val="32"/>
          <w:lang w:val="en-US"/>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（7）资金使用合规性（3分）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该指标主要评价资金使用是否按照相关法律法规和资金管理办法规定的用途使用，财务管理是否符合相关会计准则和财务制度。</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根据</w:t>
      </w:r>
      <w:r>
        <w:rPr>
          <w:rFonts w:hint="eastAsia" w:ascii="仿宋_GB2312" w:eastAsia="仿宋_GB2312" w:cs="DengXian-Regular"/>
          <w:sz w:val="32"/>
          <w:szCs w:val="32"/>
          <w:lang w:val="en-US" w:eastAsia="zh-CN"/>
        </w:rPr>
        <w:t>我部门</w:t>
      </w:r>
      <w:r>
        <w:rPr>
          <w:rFonts w:hint="eastAsia" w:ascii="仿宋_GB2312" w:eastAsia="仿宋_GB2312" w:cs="DengXian-Regular"/>
          <w:sz w:val="32"/>
          <w:szCs w:val="32"/>
        </w:rPr>
        <w:t>2022年明细账、会计凭证等相关资料，</w:t>
      </w:r>
      <w:r>
        <w:rPr>
          <w:rFonts w:hint="eastAsia" w:ascii="仿宋_GB2312" w:eastAsia="仿宋_GB2312" w:cs="DengXian-Regular"/>
          <w:sz w:val="32"/>
          <w:szCs w:val="32"/>
          <w:lang w:val="en-US" w:eastAsia="zh-CN"/>
        </w:rPr>
        <w:t>我部门</w:t>
      </w:r>
      <w:r>
        <w:rPr>
          <w:rFonts w:hint="eastAsia" w:ascii="仿宋_GB2312" w:eastAsia="仿宋_GB2312" w:cs="DengXian-Regular"/>
          <w:sz w:val="32"/>
          <w:szCs w:val="32"/>
        </w:rPr>
        <w:t>资金使用符合相关会计准则和财务制度，资金拨付有完备的审批程序和手续，资金使用符合部门预算批复的用途，未发现截留、挤占、挪用财政资金的情况。</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（8）决算真实性（3分）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该指标主要评价决算编制数据是否与账表一致，即决算报表数据与会计账簿数据是否一致。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经核查</w:t>
      </w:r>
      <w:r>
        <w:rPr>
          <w:rFonts w:hint="eastAsia" w:ascii="仿宋_GB2312" w:eastAsia="仿宋_GB2312" w:cs="DengXian-Regular"/>
          <w:sz w:val="32"/>
          <w:szCs w:val="32"/>
          <w:lang w:val="en-US" w:eastAsia="zh-CN"/>
        </w:rPr>
        <w:t>我部门</w:t>
      </w:r>
      <w:r>
        <w:rPr>
          <w:rFonts w:hint="eastAsia" w:ascii="仿宋_GB2312" w:eastAsia="仿宋_GB2312" w:cs="DengXian-Regular"/>
          <w:sz w:val="32"/>
          <w:szCs w:val="32"/>
        </w:rPr>
        <w:t>2022年决算文本、明细账及总账，</w:t>
      </w:r>
      <w:r>
        <w:rPr>
          <w:rFonts w:hint="eastAsia" w:ascii="仿宋_GB2312" w:eastAsia="仿宋_GB2312" w:cs="DengXian-Regular"/>
          <w:sz w:val="32"/>
          <w:szCs w:val="32"/>
          <w:lang w:val="en-US" w:eastAsia="zh-CN"/>
        </w:rPr>
        <w:t>即</w:t>
      </w:r>
      <w:r>
        <w:rPr>
          <w:rFonts w:hint="eastAsia" w:ascii="仿宋_GB2312" w:eastAsia="仿宋_GB2312" w:cs="DengXian-Regular"/>
          <w:sz w:val="32"/>
          <w:szCs w:val="32"/>
        </w:rPr>
        <w:t>决算文本数据均与明细账、总账一致。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3</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2.预算管理（16分）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（1）管理制度健全性（4分）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该指标主要评价部门是否制定资金管理办法、财务管理制度、会计核算制度等相关内部控制制度，制度执行是否得到有效执行。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我部门工作制度涵盖了财务制度、网络安全制度、公务用车制度等相关制度，经检查我部门付款流程审批单、资产盘点表等资料，均已按照相关管理制度的规定执行。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（2）预决算信息公开性（4分）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该指标主要评价部门是否按照政府信息公开的有关要求在相关网站公开部门预算、预算执行情况、年度工作任务等相关信息。</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2022年按政府信息公开的有关要求在保定市徐水区人民政府网进行</w:t>
      </w:r>
      <w:r>
        <w:rPr>
          <w:rFonts w:ascii="仿宋_GB2312" w:eastAsia="仿宋_GB2312" w:cs="DengXian-Regular"/>
          <w:sz w:val="32"/>
          <w:szCs w:val="32"/>
        </w:rPr>
        <w:t>了</w:t>
      </w:r>
      <w:r>
        <w:rPr>
          <w:rFonts w:hint="eastAsia" w:ascii="仿宋_GB2312" w:eastAsia="仿宋_GB2312" w:cs="DengXian-Regular"/>
          <w:sz w:val="32"/>
          <w:szCs w:val="32"/>
        </w:rPr>
        <w:t>预决算公</w:t>
      </w:r>
      <w:r>
        <w:rPr>
          <w:rFonts w:ascii="仿宋_GB2312" w:eastAsia="仿宋_GB2312" w:cs="DengXian-Regular"/>
          <w:sz w:val="32"/>
          <w:szCs w:val="32"/>
        </w:rPr>
        <w:t>开</w:t>
      </w:r>
      <w:r>
        <w:rPr>
          <w:rFonts w:hint="eastAsia" w:ascii="仿宋_GB2312" w:eastAsia="仿宋_GB2312" w:cs="DengXian-Regular"/>
          <w:sz w:val="32"/>
          <w:szCs w:val="32"/>
        </w:rPr>
        <w:t>等相关信息。</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（3）基础信息完善性（4分）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该指标主要评价基础数据信息和财务信息资料是否真实、完整。</w:t>
      </w:r>
    </w:p>
    <w:p>
      <w:pPr>
        <w:spacing w:after="0" w:line="360" w:lineRule="auto"/>
        <w:ind w:firstLine="640" w:firstLineChars="200"/>
        <w:jc w:val="both"/>
        <w:textAlignment w:val="baseline"/>
        <w:rPr>
          <w:rFonts w:hint="eastAsia" w:ascii="仿宋_GB2312" w:eastAsia="仿宋_GB2312" w:cs="DengXian-Regular"/>
          <w:sz w:val="32"/>
          <w:szCs w:val="32"/>
          <w:lang w:val="en-US" w:eastAsia="zh-CN"/>
        </w:rPr>
      </w:pPr>
      <w:r>
        <w:rPr>
          <w:rFonts w:hint="eastAsia" w:ascii="仿宋_GB2312" w:eastAsia="仿宋_GB2312" w:cs="DengXian-Regular"/>
          <w:sz w:val="32"/>
          <w:szCs w:val="32"/>
        </w:rPr>
        <w:t>经核查20</w:t>
      </w:r>
      <w:r>
        <w:rPr>
          <w:rFonts w:ascii="仿宋_GB2312" w:eastAsia="仿宋_GB2312" w:cs="DengXian-Regular"/>
          <w:sz w:val="32"/>
          <w:szCs w:val="32"/>
        </w:rPr>
        <w:t>20</w:t>
      </w:r>
      <w:r>
        <w:rPr>
          <w:rFonts w:hint="eastAsia" w:ascii="仿宋_GB2312" w:eastAsia="仿宋_GB2312" w:cs="DengXian-Regular"/>
          <w:sz w:val="32"/>
          <w:szCs w:val="32"/>
        </w:rPr>
        <w:t>年会计账簿、凭证及其他相关资料，我</w:t>
      </w:r>
      <w:r>
        <w:rPr>
          <w:rFonts w:ascii="仿宋_GB2312" w:eastAsia="仿宋_GB2312" w:cs="DengXian-Regular"/>
          <w:sz w:val="32"/>
          <w:szCs w:val="32"/>
        </w:rPr>
        <w:t>部门</w:t>
      </w:r>
      <w:r>
        <w:rPr>
          <w:rFonts w:hint="eastAsia" w:ascii="仿宋_GB2312" w:eastAsia="仿宋_GB2312" w:cs="DengXian-Regular"/>
          <w:sz w:val="32"/>
          <w:szCs w:val="32"/>
        </w:rPr>
        <w:t>会计信息资料真实完整</w:t>
      </w:r>
      <w:r>
        <w:rPr>
          <w:rFonts w:hint="eastAsia" w:ascii="仿宋_GB2312" w:eastAsia="仿宋_GB2312" w:cs="DengXian-Regular"/>
          <w:sz w:val="32"/>
          <w:szCs w:val="32"/>
          <w:lang w:val="en-US" w:eastAsia="zh-CN"/>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（4）资产管理规范性（4分）</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该指标主要评价资产管理是否规范，是否建立资产台账，新增资产是否符合规定程序和规定标准，资产的配置是否合规，资产保存是否完整。</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我部门利用</w:t>
      </w:r>
      <w:r>
        <w:rPr>
          <w:rFonts w:ascii="仿宋_GB2312" w:eastAsia="仿宋_GB2312" w:cs="DengXian-Regular"/>
          <w:sz w:val="32"/>
          <w:szCs w:val="32"/>
        </w:rPr>
        <w:t>行政事</w:t>
      </w:r>
      <w:r>
        <w:rPr>
          <w:rFonts w:hint="eastAsia" w:ascii="仿宋_GB2312" w:eastAsia="仿宋_GB2312" w:cs="DengXian-Regular"/>
          <w:sz w:val="32"/>
          <w:szCs w:val="32"/>
        </w:rPr>
        <w:t>业</w:t>
      </w:r>
      <w:r>
        <w:rPr>
          <w:rFonts w:ascii="仿宋_GB2312" w:eastAsia="仿宋_GB2312" w:cs="DengXian-Regular"/>
          <w:sz w:val="32"/>
          <w:szCs w:val="32"/>
        </w:rPr>
        <w:t>单位</w:t>
      </w:r>
      <w:r>
        <w:rPr>
          <w:rFonts w:hint="eastAsia" w:ascii="仿宋_GB2312" w:eastAsia="仿宋_GB2312" w:cs="DengXian-Regular"/>
          <w:sz w:val="32"/>
          <w:szCs w:val="32"/>
        </w:rPr>
        <w:t>资产</w:t>
      </w:r>
      <w:r>
        <w:rPr>
          <w:rFonts w:ascii="仿宋_GB2312" w:eastAsia="仿宋_GB2312" w:cs="DengXian-Regular"/>
          <w:sz w:val="32"/>
          <w:szCs w:val="32"/>
        </w:rPr>
        <w:t>系统</w:t>
      </w:r>
      <w:r>
        <w:rPr>
          <w:rFonts w:hint="eastAsia" w:ascii="仿宋_GB2312" w:eastAsia="仿宋_GB2312" w:cs="DengXian-Regular"/>
          <w:sz w:val="32"/>
          <w:szCs w:val="32"/>
        </w:rPr>
        <w:t>登记</w:t>
      </w:r>
      <w:r>
        <w:rPr>
          <w:rFonts w:hint="eastAsia" w:ascii="仿宋_GB2312" w:eastAsia="仿宋_GB2312" w:cs="DengXian-Regular"/>
          <w:sz w:val="32"/>
          <w:szCs w:val="32"/>
          <w:lang w:val="en-US" w:eastAsia="zh-CN"/>
        </w:rPr>
        <w:t>和管理</w:t>
      </w:r>
      <w:r>
        <w:rPr>
          <w:rFonts w:hint="eastAsia" w:ascii="仿宋_GB2312" w:eastAsia="仿宋_GB2312" w:cs="DengXian-Regular"/>
          <w:sz w:val="32"/>
          <w:szCs w:val="32"/>
        </w:rPr>
        <w:t>固定</w:t>
      </w:r>
      <w:r>
        <w:rPr>
          <w:rFonts w:ascii="仿宋_GB2312" w:eastAsia="仿宋_GB2312" w:cs="DengXian-Regular"/>
          <w:sz w:val="32"/>
          <w:szCs w:val="32"/>
        </w:rPr>
        <w:t>资产</w:t>
      </w:r>
      <w:r>
        <w:rPr>
          <w:rFonts w:hint="eastAsia" w:ascii="仿宋_GB2312" w:eastAsia="仿宋_GB2312" w:cs="DengXian-Regular"/>
          <w:sz w:val="32"/>
          <w:szCs w:val="32"/>
          <w:lang w:eastAsia="zh-CN"/>
        </w:rPr>
        <w:t>、</w:t>
      </w:r>
      <w:r>
        <w:rPr>
          <w:rFonts w:hint="eastAsia" w:ascii="仿宋_GB2312" w:eastAsia="仿宋_GB2312" w:cs="DengXian-Regular"/>
          <w:sz w:val="32"/>
          <w:szCs w:val="32"/>
          <w:lang w:val="en-US" w:eastAsia="zh-CN"/>
        </w:rPr>
        <w:t>无形资产</w:t>
      </w:r>
      <w:r>
        <w:rPr>
          <w:rFonts w:ascii="仿宋_GB2312" w:eastAsia="仿宋_GB2312" w:cs="DengXian-Regular"/>
          <w:sz w:val="32"/>
          <w:szCs w:val="32"/>
        </w:rPr>
        <w:t>，</w:t>
      </w:r>
      <w:r>
        <w:rPr>
          <w:rFonts w:hint="eastAsia" w:ascii="仿宋_GB2312" w:eastAsia="仿宋_GB2312" w:cs="DengXian-Regular"/>
          <w:sz w:val="32"/>
          <w:szCs w:val="32"/>
        </w:rPr>
        <w:t>资产保存完整，2022年新增资产</w:t>
      </w:r>
      <w:r>
        <w:rPr>
          <w:rFonts w:hint="default" w:ascii="仿宋_GB2312" w:eastAsia="仿宋_GB2312" w:cs="DengXian-Regular"/>
          <w:sz w:val="32"/>
          <w:szCs w:val="32"/>
          <w:lang w:val="en-US"/>
        </w:rPr>
        <w:t>113.06</w:t>
      </w:r>
      <w:r>
        <w:rPr>
          <w:rFonts w:hint="eastAsia" w:ascii="仿宋_GB2312" w:eastAsia="仿宋_GB2312" w:cs="DengXian-Regular"/>
          <w:sz w:val="32"/>
          <w:szCs w:val="32"/>
        </w:rPr>
        <w:t>万元，其中：</w:t>
      </w:r>
      <w:r>
        <w:rPr>
          <w:rFonts w:hint="eastAsia" w:ascii="仿宋_GB2312" w:eastAsia="仿宋_GB2312" w:cs="DengXian-Regular"/>
          <w:sz w:val="32"/>
          <w:szCs w:val="32"/>
          <w:lang w:val="en-US" w:eastAsia="zh-CN"/>
        </w:rPr>
        <w:t>房屋和构筑物增加</w:t>
      </w:r>
      <w:r>
        <w:rPr>
          <w:rFonts w:hint="default" w:ascii="仿宋_GB2312" w:eastAsia="仿宋_GB2312" w:cs="DengXian-Regular"/>
          <w:sz w:val="32"/>
          <w:szCs w:val="32"/>
          <w:lang w:val="en-US" w:eastAsia="zh-CN"/>
        </w:rPr>
        <w:t>1.42</w:t>
      </w:r>
      <w:r>
        <w:rPr>
          <w:rFonts w:hint="eastAsia" w:ascii="仿宋_GB2312" w:eastAsia="仿宋_GB2312" w:cs="DengXian-Regular"/>
          <w:sz w:val="32"/>
          <w:szCs w:val="32"/>
          <w:lang w:val="en-US" w:eastAsia="zh-CN"/>
        </w:rPr>
        <w:t>万元，</w:t>
      </w:r>
      <w:r>
        <w:rPr>
          <w:rFonts w:ascii="仿宋_GB2312" w:eastAsia="仿宋_GB2312" w:cs="DengXian-Regular"/>
          <w:sz w:val="32"/>
          <w:szCs w:val="32"/>
        </w:rPr>
        <w:t>通用设备增加</w:t>
      </w:r>
      <w:r>
        <w:rPr>
          <w:rFonts w:hint="default" w:ascii="仿宋_GB2312" w:eastAsia="仿宋_GB2312" w:cs="DengXian-Regular"/>
          <w:sz w:val="32"/>
          <w:szCs w:val="32"/>
          <w:lang w:val="en-US"/>
        </w:rPr>
        <w:t>79.61</w:t>
      </w:r>
      <w:r>
        <w:rPr>
          <w:rFonts w:hint="eastAsia" w:ascii="仿宋_GB2312" w:eastAsia="仿宋_GB2312" w:cs="DengXian-Regular"/>
          <w:sz w:val="32"/>
          <w:szCs w:val="32"/>
        </w:rPr>
        <w:t>万元</w:t>
      </w:r>
      <w:r>
        <w:rPr>
          <w:rFonts w:ascii="仿宋_GB2312" w:eastAsia="仿宋_GB2312" w:cs="DengXian-Regular"/>
          <w:sz w:val="32"/>
          <w:szCs w:val="32"/>
        </w:rPr>
        <w:t>，</w:t>
      </w:r>
      <w:r>
        <w:rPr>
          <w:rFonts w:hint="eastAsia" w:ascii="仿宋_GB2312" w:eastAsia="仿宋_GB2312" w:cs="DengXian-Regular"/>
          <w:sz w:val="32"/>
          <w:szCs w:val="32"/>
          <w:lang w:val="en-US" w:eastAsia="zh-CN"/>
        </w:rPr>
        <w:t>图书和档案增加</w:t>
      </w:r>
      <w:r>
        <w:rPr>
          <w:rFonts w:hint="default" w:ascii="仿宋_GB2312" w:eastAsia="仿宋_GB2312" w:cs="DengXian-Regular"/>
          <w:sz w:val="32"/>
          <w:szCs w:val="32"/>
          <w:lang w:val="en-US" w:eastAsia="zh-CN"/>
        </w:rPr>
        <w:t>0.2</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家具</w:t>
      </w:r>
      <w:r>
        <w:rPr>
          <w:rFonts w:ascii="仿宋_GB2312" w:eastAsia="仿宋_GB2312" w:cs="DengXian-Regular"/>
          <w:sz w:val="32"/>
          <w:szCs w:val="32"/>
        </w:rPr>
        <w:t>用</w:t>
      </w:r>
      <w:r>
        <w:rPr>
          <w:rFonts w:hint="eastAsia" w:ascii="仿宋_GB2312" w:eastAsia="仿宋_GB2312" w:cs="DengXian-Regular"/>
          <w:sz w:val="32"/>
          <w:szCs w:val="32"/>
        </w:rPr>
        <w:t>具</w:t>
      </w:r>
      <w:r>
        <w:rPr>
          <w:rFonts w:ascii="仿宋_GB2312" w:eastAsia="仿宋_GB2312" w:cs="DengXian-Regular"/>
          <w:sz w:val="32"/>
          <w:szCs w:val="32"/>
        </w:rPr>
        <w:t>增加</w:t>
      </w:r>
      <w:r>
        <w:rPr>
          <w:rFonts w:hint="default" w:ascii="仿宋_GB2312" w:eastAsia="仿宋_GB2312" w:cs="DengXian-Regular"/>
          <w:sz w:val="32"/>
          <w:szCs w:val="32"/>
          <w:lang w:val="en-US"/>
        </w:rPr>
        <w:t>31.29</w:t>
      </w:r>
      <w:r>
        <w:rPr>
          <w:rFonts w:hint="eastAsia" w:ascii="仿宋_GB2312" w:eastAsia="仿宋_GB2312" w:cs="DengXian-Regular"/>
          <w:sz w:val="32"/>
          <w:szCs w:val="32"/>
        </w:rPr>
        <w:t>万元，</w:t>
      </w:r>
      <w:r>
        <w:rPr>
          <w:rFonts w:hint="eastAsia" w:ascii="仿宋_GB2312" w:eastAsia="仿宋_GB2312" w:cs="DengXian-Regular"/>
          <w:sz w:val="32"/>
          <w:szCs w:val="32"/>
          <w:lang w:val="en-US" w:eastAsia="zh-CN"/>
        </w:rPr>
        <w:t>无形资产增加</w:t>
      </w:r>
      <w:r>
        <w:rPr>
          <w:rFonts w:hint="default" w:ascii="仿宋_GB2312" w:eastAsia="仿宋_GB2312" w:cs="DengXian-Regular"/>
          <w:sz w:val="32"/>
          <w:szCs w:val="32"/>
          <w:lang w:val="en-US" w:eastAsia="zh-CN"/>
        </w:rPr>
        <w:t>0.54</w:t>
      </w:r>
      <w:r>
        <w:rPr>
          <w:rFonts w:hint="eastAsia" w:ascii="仿宋_GB2312" w:eastAsia="仿宋_GB2312" w:cs="DengXian-Regular"/>
          <w:sz w:val="32"/>
          <w:szCs w:val="32"/>
          <w:lang w:val="en-US" w:eastAsia="zh-CN"/>
        </w:rPr>
        <w:t>万元，</w:t>
      </w:r>
      <w:r>
        <w:rPr>
          <w:rFonts w:hint="eastAsia" w:ascii="仿宋_GB2312" w:eastAsia="仿宋_GB2312" w:cs="DengXian-Regular"/>
          <w:sz w:val="32"/>
          <w:szCs w:val="32"/>
        </w:rPr>
        <w:t>资产购置手续完备，配置符合要求，资产管理整体较规范。</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3.绩效评价（8分）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（1）绩效自评覆盖率（4分）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该指标主要评价部门是否按相关要求实施绩效自评，通过绩效自评覆盖率来衡量。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绩效自评覆盖率=（报送相关自评材料的数量/应实施项目绩效自评数量）*100%。</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根据徐水区财政局《关于开展2022年度财政专项资金部门绩效自评价工作的通知》及</w:t>
      </w:r>
      <w:r>
        <w:rPr>
          <w:rFonts w:hint="eastAsia" w:ascii="仿宋_GB2312" w:eastAsia="仿宋_GB2312" w:cs="DengXian-Regular"/>
          <w:sz w:val="32"/>
          <w:szCs w:val="32"/>
          <w:lang w:val="en-US" w:eastAsia="zh-CN"/>
        </w:rPr>
        <w:t>我部门</w:t>
      </w:r>
      <w:r>
        <w:rPr>
          <w:rFonts w:hint="eastAsia" w:ascii="仿宋_GB2312" w:eastAsia="仿宋_GB2312" w:cs="DengXian-Regular"/>
          <w:sz w:val="32"/>
          <w:szCs w:val="32"/>
        </w:rPr>
        <w:t>2022年一般项目部门绩效自评表，2022年开展绩效自评的项目数为</w:t>
      </w:r>
      <w:r>
        <w:rPr>
          <w:rFonts w:hint="default" w:ascii="仿宋_GB2312" w:eastAsia="仿宋_GB2312" w:cs="DengXian-Regular"/>
          <w:sz w:val="32"/>
          <w:szCs w:val="32"/>
          <w:lang w:val="en-US"/>
        </w:rPr>
        <w:t>11</w:t>
      </w:r>
      <w:r>
        <w:rPr>
          <w:rFonts w:hint="eastAsia" w:ascii="仿宋_GB2312" w:eastAsia="仿宋_GB2312" w:cs="DengXian-Regular"/>
          <w:sz w:val="32"/>
          <w:szCs w:val="32"/>
        </w:rPr>
        <w:t>个，年初预算文本项目数</w:t>
      </w:r>
      <w:r>
        <w:rPr>
          <w:rFonts w:hint="default" w:ascii="仿宋_GB2312" w:eastAsia="仿宋_GB2312" w:cs="DengXian-Regular"/>
          <w:sz w:val="32"/>
          <w:szCs w:val="32"/>
          <w:lang w:val="en-US"/>
        </w:rPr>
        <w:t>7</w:t>
      </w:r>
      <w:r>
        <w:rPr>
          <w:rFonts w:hint="eastAsia" w:ascii="仿宋_GB2312" w:eastAsia="仿宋_GB2312" w:cs="DengXian-Regular"/>
          <w:sz w:val="32"/>
          <w:szCs w:val="32"/>
        </w:rPr>
        <w:t>个，要求自评项目个数</w:t>
      </w:r>
      <w:r>
        <w:rPr>
          <w:rFonts w:hint="default" w:ascii="仿宋_GB2312" w:eastAsia="仿宋_GB2312" w:cs="DengXian-Regular"/>
          <w:sz w:val="32"/>
          <w:szCs w:val="32"/>
          <w:lang w:val="en-US"/>
        </w:rPr>
        <w:t>11</w:t>
      </w:r>
      <w:r>
        <w:rPr>
          <w:rFonts w:hint="eastAsia" w:ascii="仿宋_GB2312" w:eastAsia="仿宋_GB2312" w:cs="DengXian-Regular"/>
          <w:sz w:val="32"/>
          <w:szCs w:val="32"/>
        </w:rPr>
        <w:t xml:space="preserve">个，自评覆盖率为 </w:t>
      </w:r>
      <w:r>
        <w:rPr>
          <w:rFonts w:hint="default" w:ascii="仿宋_GB2312" w:eastAsia="仿宋_GB2312" w:cs="DengXian-Regular"/>
          <w:sz w:val="32"/>
          <w:szCs w:val="32"/>
          <w:lang w:val="en-US"/>
        </w:rPr>
        <w:t>100</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（2）绩效评价优等率（4分）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该指标主要评价部门开展的绩效评价项目的完成质量，通过绩效评价优等率来衡量。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绩效评价优等率=（结果达到优等的数量/参评数量）*100%。</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我部门2022年参评数量</w:t>
      </w:r>
      <w:r>
        <w:rPr>
          <w:rFonts w:ascii="仿宋_GB2312" w:eastAsia="仿宋_GB2312" w:cs="DengXian-Regular"/>
          <w:sz w:val="32"/>
          <w:szCs w:val="32"/>
        </w:rPr>
        <w:t>11</w:t>
      </w:r>
      <w:r>
        <w:rPr>
          <w:rFonts w:hint="eastAsia" w:ascii="仿宋_GB2312" w:eastAsia="仿宋_GB2312" w:cs="DengXian-Regular"/>
          <w:sz w:val="32"/>
          <w:szCs w:val="32"/>
        </w:rPr>
        <w:t>个，绩效评价结果达到优等的数量</w:t>
      </w:r>
      <w:r>
        <w:rPr>
          <w:rFonts w:ascii="仿宋_GB2312" w:eastAsia="仿宋_GB2312" w:cs="DengXian-Regular"/>
          <w:sz w:val="32"/>
          <w:szCs w:val="32"/>
        </w:rPr>
        <w:t>11</w:t>
      </w:r>
      <w:r>
        <w:rPr>
          <w:rFonts w:hint="eastAsia" w:ascii="仿宋_GB2312" w:eastAsia="仿宋_GB2312" w:cs="DengXian-Regular"/>
          <w:sz w:val="32"/>
          <w:szCs w:val="32"/>
        </w:rPr>
        <w:t>个，绩效评价优等率为</w:t>
      </w:r>
      <w:r>
        <w:rPr>
          <w:rFonts w:ascii="仿宋_GB2312" w:eastAsia="仿宋_GB2312" w:cs="DengXian-Regular"/>
          <w:sz w:val="32"/>
          <w:szCs w:val="32"/>
        </w:rPr>
        <w:t>100</w:t>
      </w:r>
      <w:r>
        <w:rPr>
          <w:rFonts w:hint="eastAsia"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4</w:t>
      </w:r>
      <w:r>
        <w:rPr>
          <w:rFonts w:hint="eastAsia" w:ascii="仿宋_GB2312" w:eastAsia="仿宋_GB2312" w:cs="DengXian-Regular"/>
          <w:sz w:val="32"/>
          <w:szCs w:val="32"/>
        </w:rPr>
        <w:t>分。</w:t>
      </w:r>
      <w:bookmarkEnd w:id="64"/>
      <w:bookmarkEnd w:id="65"/>
    </w:p>
    <w:p>
      <w:pPr>
        <w:pStyle w:val="4"/>
        <w:spacing w:before="0" w:after="0"/>
        <w:ind w:firstLine="643" w:firstLineChars="200"/>
        <w:jc w:val="both"/>
        <w:rPr>
          <w:rFonts w:ascii="楷体" w:hAnsi="楷体" w:eastAsia="楷体"/>
          <w:sz w:val="32"/>
        </w:rPr>
      </w:pPr>
      <w:bookmarkStart w:id="66" w:name="_Toc12330"/>
      <w:r>
        <w:rPr>
          <w:rFonts w:hint="eastAsia" w:ascii="楷体" w:hAnsi="楷体" w:eastAsia="楷体"/>
          <w:sz w:val="32"/>
        </w:rPr>
        <w:t>（三）产出（25分）</w:t>
      </w:r>
      <w:bookmarkEnd w:id="66"/>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该一级指标包含责任履行一个二级指标，主要反映结转结余率，项目资金使用率，财政法规及业务宣传培训人次数，财政监督检查次数，财政项目投资评审完成率。</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表4  产出指标及得分情况表</w:t>
      </w:r>
    </w:p>
    <w:tbl>
      <w:tblPr>
        <w:tblStyle w:val="23"/>
        <w:tblW w:w="0" w:type="auto"/>
        <w:jc w:val="center"/>
        <w:tblLayout w:type="fixed"/>
        <w:tblCellMar>
          <w:top w:w="15" w:type="dxa"/>
          <w:left w:w="15" w:type="dxa"/>
          <w:bottom w:w="15" w:type="dxa"/>
          <w:right w:w="15" w:type="dxa"/>
        </w:tblCellMar>
      </w:tblPr>
      <w:tblGrid>
        <w:gridCol w:w="1577"/>
        <w:gridCol w:w="1004"/>
        <w:gridCol w:w="2536"/>
        <w:gridCol w:w="1125"/>
        <w:gridCol w:w="853"/>
      </w:tblGrid>
      <w:tr>
        <w:tblPrEx>
          <w:tblCellMar>
            <w:top w:w="15" w:type="dxa"/>
            <w:left w:w="15" w:type="dxa"/>
            <w:bottom w:w="15" w:type="dxa"/>
            <w:right w:w="15" w:type="dxa"/>
          </w:tblCellMar>
        </w:tblPrEx>
        <w:trPr>
          <w:trHeight w:val="397" w:hRule="exact"/>
          <w:jc w:val="center"/>
        </w:trPr>
        <w:tc>
          <w:tcPr>
            <w:tcW w:w="1577"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004"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CellMar>
            <w:top w:w="15" w:type="dxa"/>
            <w:left w:w="15" w:type="dxa"/>
            <w:bottom w:w="15" w:type="dxa"/>
            <w:right w:w="15" w:type="dxa"/>
          </w:tblCellMar>
        </w:tblPrEx>
        <w:trPr>
          <w:trHeight w:val="397" w:hRule="exact"/>
          <w:jc w:val="center"/>
        </w:trPr>
        <w:tc>
          <w:tcPr>
            <w:tcW w:w="1577" w:type="dxa"/>
            <w:vMerge w:val="restart"/>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产出</w:t>
            </w:r>
          </w:p>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（25分）</w:t>
            </w:r>
          </w:p>
        </w:tc>
        <w:tc>
          <w:tcPr>
            <w:tcW w:w="1004" w:type="dxa"/>
            <w:vMerge w:val="restart"/>
            <w:tcBorders>
              <w:top w:val="single" w:color="000000" w:sz="4" w:space="0"/>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责任履行（25分）</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结转结余率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项目资金使用率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财政法规宣传培训人次数</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财政监督检查次数</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5</w:t>
            </w:r>
          </w:p>
        </w:tc>
      </w:tr>
      <w:tr>
        <w:tblPrEx>
          <w:tblCellMar>
            <w:top w:w="15" w:type="dxa"/>
            <w:left w:w="15" w:type="dxa"/>
            <w:bottom w:w="15" w:type="dxa"/>
            <w:right w:w="15" w:type="dxa"/>
          </w:tblCellMar>
        </w:tblPrEx>
        <w:trPr>
          <w:trHeight w:val="397" w:hRule="exact"/>
          <w:jc w:val="center"/>
        </w:trPr>
        <w:tc>
          <w:tcPr>
            <w:tcW w:w="1577"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004" w:type="dxa"/>
            <w:vMerge w:val="continue"/>
            <w:tcBorders>
              <w:left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财政项目投资评审完成率</w:t>
            </w: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853"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5</w:t>
            </w:r>
          </w:p>
        </w:tc>
      </w:tr>
      <w:tr>
        <w:tblPrEx>
          <w:tblCellMar>
            <w:top w:w="15" w:type="dxa"/>
            <w:left w:w="15" w:type="dxa"/>
            <w:bottom w:w="15" w:type="dxa"/>
            <w:right w:w="15" w:type="dxa"/>
          </w:tblCellMar>
        </w:tblPrEx>
        <w:trPr>
          <w:trHeight w:val="397" w:hRule="exact"/>
          <w:jc w:val="center"/>
        </w:trPr>
        <w:tc>
          <w:tcPr>
            <w:tcW w:w="2581"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536"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2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25</w:t>
            </w:r>
          </w:p>
        </w:tc>
        <w:tc>
          <w:tcPr>
            <w:tcW w:w="853" w:type="dxa"/>
            <w:tcBorders>
              <w:top w:val="single" w:color="000000" w:sz="4" w:space="0"/>
              <w:left w:val="single" w:color="000000" w:sz="4" w:space="0"/>
              <w:bottom w:val="single" w:color="000000" w:sz="4" w:space="0"/>
              <w:right w:val="single" w:color="000000" w:sz="4" w:space="0"/>
            </w:tcBorders>
            <w:shd w:val="clear" w:color="auto" w:fill="auto"/>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25</w:t>
            </w:r>
          </w:p>
        </w:tc>
      </w:tr>
    </w:tbl>
    <w:p>
      <w:pPr>
        <w:spacing w:after="0" w:line="360" w:lineRule="auto"/>
        <w:ind w:firstLine="640" w:firstLineChars="200"/>
        <w:jc w:val="both"/>
        <w:textAlignment w:val="baseline"/>
        <w:rPr>
          <w:rFonts w:ascii="仿宋_GB2312" w:eastAsia="仿宋_GB2312" w:cs="DengXian-Regular"/>
          <w:sz w:val="32"/>
          <w:szCs w:val="32"/>
        </w:rPr>
      </w:pPr>
      <w:bookmarkStart w:id="67" w:name="_Toc464638518"/>
      <w:bookmarkStart w:id="68" w:name="_Toc465149515"/>
      <w:r>
        <w:rPr>
          <w:rFonts w:hint="eastAsia" w:ascii="仿宋_GB2312" w:eastAsia="仿宋_GB2312" w:cs="DengXian-Regular"/>
          <w:sz w:val="32"/>
          <w:szCs w:val="32"/>
        </w:rPr>
        <w:t>1.结转结余率（5分）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该指标主要评价部门的结转结余情况，通过结转结余率衡量。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结转结余率=（本年结转结余数/决算收入数）*100%。</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根据2022年决算文本及相关资料，</w:t>
      </w:r>
      <w:r>
        <w:rPr>
          <w:rFonts w:ascii="仿宋_GB2312" w:eastAsia="仿宋_GB2312" w:cs="DengXian-Regular"/>
          <w:sz w:val="32"/>
          <w:szCs w:val="32"/>
        </w:rPr>
        <w:t>我部门</w:t>
      </w:r>
      <w:r>
        <w:rPr>
          <w:rFonts w:hint="eastAsia" w:ascii="仿宋_GB2312" w:eastAsia="仿宋_GB2312" w:cs="DengXian-Regular"/>
          <w:sz w:val="32"/>
          <w:szCs w:val="32"/>
        </w:rPr>
        <w:t>2022年结转结余资金</w:t>
      </w:r>
      <w:r>
        <w:rPr>
          <w:rFonts w:hint="default" w:ascii="仿宋_GB2312" w:eastAsia="仿宋_GB2312" w:cs="DengXian-Regular"/>
          <w:sz w:val="32"/>
          <w:szCs w:val="32"/>
          <w:lang w:val="en-US"/>
        </w:rPr>
        <w:t>0</w:t>
      </w:r>
      <w:r>
        <w:rPr>
          <w:rFonts w:hint="eastAsia" w:ascii="仿宋_GB2312" w:eastAsia="仿宋_GB2312" w:cs="DengXian-Regular"/>
          <w:sz w:val="32"/>
          <w:szCs w:val="32"/>
        </w:rPr>
        <w:t>万元，结转结余</w:t>
      </w:r>
      <w:r>
        <w:rPr>
          <w:rFonts w:hint="default" w:ascii="仿宋_GB2312" w:eastAsia="仿宋_GB2312" w:cs="DengXian-Regular"/>
          <w:sz w:val="32"/>
          <w:szCs w:val="32"/>
          <w:lang w:val="en-US"/>
        </w:rPr>
        <w:t>0</w:t>
      </w:r>
      <w:r>
        <w:rPr>
          <w:rFonts w:hint="eastAsia" w:ascii="仿宋_GB2312" w:eastAsia="仿宋_GB2312" w:cs="DengXian-Regular"/>
          <w:sz w:val="32"/>
          <w:szCs w:val="32"/>
        </w:rPr>
        <w:t>%，小于5%。</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5</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2.项目资金使用率（5分）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该指标主要评价项目资金的使用效率，通过项目资金使用率来衡量。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项目资金使用率=（实际支出项目资金总额/计划完整项目资金总数）*100%。</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我部门2022年实际支出项目资金总额</w:t>
      </w:r>
      <w:r>
        <w:rPr>
          <w:rFonts w:hint="default" w:ascii="仿宋_GB2312" w:eastAsia="仿宋_GB2312" w:cs="DengXian-Regular"/>
          <w:sz w:val="32"/>
          <w:szCs w:val="32"/>
          <w:lang w:val="en-US"/>
        </w:rPr>
        <w:t>1155.93</w:t>
      </w:r>
      <w:r>
        <w:rPr>
          <w:rFonts w:hint="eastAsia" w:ascii="仿宋_GB2312" w:eastAsia="仿宋_GB2312" w:cs="DengXian-Regular"/>
          <w:sz w:val="32"/>
          <w:szCs w:val="32"/>
        </w:rPr>
        <w:t>万元，年初预算共</w:t>
      </w:r>
      <w:r>
        <w:rPr>
          <w:rFonts w:hint="default" w:ascii="仿宋_GB2312" w:eastAsia="仿宋_GB2312" w:cs="DengXian-Regular"/>
          <w:sz w:val="32"/>
          <w:szCs w:val="32"/>
          <w:lang w:val="en-US"/>
        </w:rPr>
        <w:t>7</w:t>
      </w:r>
      <w:r>
        <w:rPr>
          <w:rFonts w:hint="eastAsia" w:ascii="仿宋_GB2312" w:eastAsia="仿宋_GB2312" w:cs="DengXian-Regular"/>
          <w:sz w:val="32"/>
          <w:szCs w:val="32"/>
        </w:rPr>
        <w:t>个项目，预算数</w:t>
      </w:r>
      <w:r>
        <w:rPr>
          <w:rFonts w:hint="default" w:ascii="仿宋_GB2312" w:eastAsia="仿宋_GB2312" w:cs="DengXian-Regular"/>
          <w:sz w:val="32"/>
          <w:szCs w:val="32"/>
          <w:lang w:val="en-US"/>
        </w:rPr>
        <w:t>584.21</w:t>
      </w:r>
      <w:r>
        <w:rPr>
          <w:rFonts w:hint="eastAsia" w:ascii="仿宋_GB2312" w:eastAsia="仿宋_GB2312" w:cs="DengXian-Regular"/>
          <w:sz w:val="32"/>
          <w:szCs w:val="32"/>
        </w:rPr>
        <w:t>万元，年中追加项目资金</w:t>
      </w:r>
      <w:r>
        <w:rPr>
          <w:rFonts w:hint="default" w:ascii="仿宋_GB2312" w:eastAsia="仿宋_GB2312" w:cs="DengXian-Regular"/>
          <w:sz w:val="32"/>
          <w:szCs w:val="32"/>
          <w:lang w:val="en-US"/>
        </w:rPr>
        <w:t>571.72</w:t>
      </w:r>
      <w:r>
        <w:rPr>
          <w:rFonts w:hint="eastAsia" w:ascii="仿宋_GB2312" w:eastAsia="仿宋_GB2312" w:cs="DengXian-Regular"/>
          <w:sz w:val="32"/>
          <w:szCs w:val="32"/>
        </w:rPr>
        <w:t>万元，项目资金使用率为</w:t>
      </w:r>
      <w:r>
        <w:rPr>
          <w:rFonts w:hint="default" w:ascii="仿宋_GB2312" w:eastAsia="仿宋_GB2312" w:cs="DengXian-Regular"/>
          <w:sz w:val="32"/>
          <w:szCs w:val="32"/>
          <w:lang w:val="en-US"/>
        </w:rPr>
        <w:t>100</w:t>
      </w:r>
      <w:r>
        <w:rPr>
          <w:rFonts w:hint="eastAsia" w:ascii="仿宋_GB2312" w:eastAsia="仿宋_GB2312" w:cs="DengXian-Regular"/>
          <w:sz w:val="32"/>
          <w:szCs w:val="32"/>
        </w:rPr>
        <w:t>%。</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该指标实际得分</w:t>
      </w:r>
      <w:r>
        <w:rPr>
          <w:rFonts w:hint="default" w:ascii="仿宋_GB2312" w:eastAsia="仿宋_GB2312" w:cs="DengXian-Regular"/>
          <w:sz w:val="32"/>
          <w:szCs w:val="32"/>
          <w:lang w:val="en-US"/>
        </w:rPr>
        <w:t>5</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3.</w:t>
      </w:r>
      <w:r>
        <w:rPr>
          <w:rFonts w:hint="eastAsia"/>
        </w:rPr>
        <w:t xml:space="preserve"> </w:t>
      </w:r>
      <w:r>
        <w:rPr>
          <w:rFonts w:hint="eastAsia" w:ascii="仿宋_GB2312" w:eastAsia="仿宋_GB2312" w:cs="DengXian-Regular"/>
          <w:sz w:val="32"/>
          <w:szCs w:val="32"/>
        </w:rPr>
        <w:t>财政法规宣传培训人次数（5分</w:t>
      </w:r>
      <w:r>
        <w:rPr>
          <w:rFonts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该指标主要评价财政法律法规政策宣传</w:t>
      </w:r>
      <w:r>
        <w:rPr>
          <w:rFonts w:ascii="仿宋_GB2312" w:eastAsia="仿宋_GB2312" w:cs="DengXian-Regular"/>
          <w:sz w:val="32"/>
          <w:szCs w:val="32"/>
        </w:rPr>
        <w:t>培训</w:t>
      </w:r>
      <w:r>
        <w:rPr>
          <w:rFonts w:hint="eastAsia" w:ascii="仿宋_GB2312" w:eastAsia="仿宋_GB2312" w:cs="DengXian-Regular"/>
          <w:sz w:val="32"/>
          <w:szCs w:val="32"/>
        </w:rPr>
        <w:t>的实施</w:t>
      </w:r>
      <w:r>
        <w:rPr>
          <w:rFonts w:ascii="仿宋_GB2312" w:eastAsia="仿宋_GB2312" w:cs="DengXian-Regular"/>
          <w:sz w:val="32"/>
          <w:szCs w:val="32"/>
        </w:rPr>
        <w:t>效果</w:t>
      </w:r>
      <w:r>
        <w:rPr>
          <w:rFonts w:hint="eastAsia" w:ascii="仿宋_GB2312" w:eastAsia="仿宋_GB2312" w:cs="DengXian-Regular"/>
          <w:sz w:val="32"/>
          <w:szCs w:val="32"/>
        </w:rPr>
        <w:t>，通过培训人</w:t>
      </w:r>
      <w:r>
        <w:rPr>
          <w:rFonts w:ascii="仿宋_GB2312" w:eastAsia="仿宋_GB2312" w:cs="DengXian-Regular"/>
          <w:sz w:val="32"/>
          <w:szCs w:val="32"/>
        </w:rPr>
        <w:t>次数</w:t>
      </w:r>
      <w:r>
        <w:rPr>
          <w:rFonts w:hint="eastAsia" w:ascii="仿宋_GB2312" w:eastAsia="仿宋_GB2312" w:cs="DengXian-Regular"/>
          <w:sz w:val="32"/>
          <w:szCs w:val="32"/>
        </w:rPr>
        <w:t>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我</w:t>
      </w:r>
      <w:r>
        <w:rPr>
          <w:rFonts w:ascii="仿宋_GB2312" w:eastAsia="仿宋_GB2312" w:cs="DengXian-Regular"/>
          <w:sz w:val="32"/>
          <w:szCs w:val="32"/>
        </w:rPr>
        <w:t>部门</w:t>
      </w:r>
      <w:r>
        <w:rPr>
          <w:rFonts w:hint="eastAsia" w:ascii="仿宋_GB2312" w:eastAsia="仿宋_GB2312" w:cs="DengXian-Regular"/>
          <w:sz w:val="32"/>
          <w:szCs w:val="32"/>
        </w:rPr>
        <w:t>2022年预期</w:t>
      </w:r>
      <w:r>
        <w:rPr>
          <w:rFonts w:ascii="仿宋_GB2312" w:eastAsia="仿宋_GB2312" w:cs="DengXian-Regular"/>
          <w:sz w:val="32"/>
          <w:szCs w:val="32"/>
        </w:rPr>
        <w:t>培训</w:t>
      </w:r>
      <w:r>
        <w:rPr>
          <w:rFonts w:hint="eastAsia" w:ascii="仿宋_GB2312" w:eastAsia="仿宋_GB2312" w:cs="DengXian-Regular"/>
          <w:sz w:val="32"/>
          <w:szCs w:val="32"/>
        </w:rPr>
        <w:t>人</w:t>
      </w:r>
      <w:r>
        <w:rPr>
          <w:rFonts w:ascii="仿宋_GB2312" w:eastAsia="仿宋_GB2312" w:cs="DengXian-Regular"/>
          <w:sz w:val="32"/>
          <w:szCs w:val="32"/>
        </w:rPr>
        <w:t>次</w:t>
      </w:r>
      <w:r>
        <w:rPr>
          <w:rFonts w:hint="eastAsia" w:ascii="仿宋_GB2312" w:eastAsia="仿宋_GB2312" w:cs="DengXian-Regular"/>
          <w:sz w:val="32"/>
          <w:szCs w:val="32"/>
        </w:rPr>
        <w:t>数≥</w:t>
      </w:r>
      <w:r>
        <w:rPr>
          <w:rFonts w:hint="default" w:ascii="仿宋_GB2312" w:eastAsia="仿宋_GB2312" w:cs="DengXian-Regular"/>
          <w:sz w:val="32"/>
          <w:szCs w:val="32"/>
          <w:lang w:val="en-US"/>
        </w:rPr>
        <w:t>300</w:t>
      </w:r>
      <w:r>
        <w:rPr>
          <w:rFonts w:hint="eastAsia" w:ascii="仿宋_GB2312" w:eastAsia="仿宋_GB2312" w:cs="DengXian-Regular"/>
          <w:sz w:val="32"/>
          <w:szCs w:val="32"/>
        </w:rPr>
        <w:t>为优，全</w:t>
      </w:r>
      <w:r>
        <w:rPr>
          <w:rFonts w:ascii="仿宋_GB2312" w:eastAsia="仿宋_GB2312" w:cs="DengXian-Regular"/>
          <w:sz w:val="32"/>
          <w:szCs w:val="32"/>
        </w:rPr>
        <w:t>年</w:t>
      </w:r>
      <w:r>
        <w:rPr>
          <w:rFonts w:hint="eastAsia" w:ascii="仿宋_GB2312" w:eastAsia="仿宋_GB2312" w:cs="DengXian-Regular"/>
          <w:sz w:val="32"/>
          <w:szCs w:val="32"/>
        </w:rPr>
        <w:t>实际完成培训人</w:t>
      </w:r>
      <w:r>
        <w:rPr>
          <w:rFonts w:ascii="仿宋_GB2312" w:eastAsia="仿宋_GB2312" w:cs="DengXian-Regular"/>
          <w:sz w:val="32"/>
          <w:szCs w:val="32"/>
        </w:rPr>
        <w:t>次数</w:t>
      </w:r>
      <w:r>
        <w:rPr>
          <w:rFonts w:hint="eastAsia" w:ascii="仿宋_GB2312" w:eastAsia="仿宋_GB2312" w:cs="DengXian-Regular"/>
          <w:sz w:val="32"/>
          <w:szCs w:val="32"/>
        </w:rPr>
        <w:t>是</w:t>
      </w:r>
      <w:r>
        <w:rPr>
          <w:rFonts w:hint="default" w:ascii="仿宋_GB2312" w:eastAsia="仿宋_GB2312" w:cs="DengXian-Regular"/>
          <w:sz w:val="32"/>
          <w:szCs w:val="32"/>
          <w:lang w:val="en-US"/>
        </w:rPr>
        <w:t>1200</w:t>
      </w:r>
      <w:r>
        <w:rPr>
          <w:rFonts w:hint="eastAsia" w:ascii="仿宋_GB2312" w:eastAsia="仿宋_GB2312" w:cs="DengXian-Regular"/>
          <w:sz w:val="32"/>
          <w:szCs w:val="32"/>
        </w:rPr>
        <w:t>，得</w:t>
      </w:r>
      <w:r>
        <w:rPr>
          <w:rFonts w:ascii="仿宋_GB2312" w:eastAsia="仿宋_GB2312" w:cs="DengXian-Regular"/>
          <w:sz w:val="32"/>
          <w:szCs w:val="32"/>
        </w:rPr>
        <w:t>分</w:t>
      </w:r>
      <w:r>
        <w:rPr>
          <w:rFonts w:hint="eastAsia" w:ascii="仿宋_GB2312" w:eastAsia="仿宋_GB2312" w:cs="DengXian-Regular"/>
          <w:sz w:val="32"/>
          <w:szCs w:val="32"/>
        </w:rPr>
        <w:t>5分</w:t>
      </w:r>
      <w:r>
        <w:rPr>
          <w:rFonts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5</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4.</w:t>
      </w:r>
      <w:r>
        <w:rPr>
          <w:rFonts w:hint="eastAsia"/>
        </w:rPr>
        <w:t xml:space="preserve"> </w:t>
      </w:r>
      <w:r>
        <w:rPr>
          <w:rFonts w:hint="eastAsia" w:ascii="仿宋_GB2312" w:eastAsia="仿宋_GB2312" w:cs="DengXian-Regular"/>
          <w:sz w:val="32"/>
          <w:szCs w:val="32"/>
        </w:rPr>
        <w:t>财政监督检查次数（5分</w:t>
      </w:r>
      <w:r>
        <w:rPr>
          <w:rFonts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该指标主要评价财政监督</w:t>
      </w:r>
      <w:r>
        <w:rPr>
          <w:rFonts w:ascii="仿宋_GB2312" w:eastAsia="仿宋_GB2312" w:cs="DengXian-Regular"/>
          <w:sz w:val="32"/>
          <w:szCs w:val="32"/>
        </w:rPr>
        <w:t>检查</w:t>
      </w:r>
      <w:r>
        <w:rPr>
          <w:rFonts w:hint="eastAsia" w:ascii="仿宋_GB2312" w:eastAsia="仿宋_GB2312" w:cs="DengXian-Regular"/>
          <w:sz w:val="32"/>
          <w:szCs w:val="32"/>
        </w:rPr>
        <w:t>的工</w:t>
      </w:r>
      <w:r>
        <w:rPr>
          <w:rFonts w:ascii="仿宋_GB2312" w:eastAsia="仿宋_GB2312" w:cs="DengXian-Regular"/>
          <w:sz w:val="32"/>
          <w:szCs w:val="32"/>
        </w:rPr>
        <w:t>作成果</w:t>
      </w:r>
      <w:r>
        <w:rPr>
          <w:rFonts w:hint="eastAsia" w:ascii="仿宋_GB2312" w:eastAsia="仿宋_GB2312" w:cs="DengXian-Regular"/>
          <w:sz w:val="32"/>
          <w:szCs w:val="32"/>
        </w:rPr>
        <w:t>，通过监督检查</w:t>
      </w:r>
      <w:r>
        <w:rPr>
          <w:rFonts w:ascii="仿宋_GB2312" w:eastAsia="仿宋_GB2312" w:cs="DengXian-Regular"/>
          <w:sz w:val="32"/>
          <w:szCs w:val="32"/>
        </w:rPr>
        <w:t>次数</w:t>
      </w:r>
      <w:r>
        <w:rPr>
          <w:rFonts w:hint="eastAsia" w:ascii="仿宋_GB2312" w:eastAsia="仿宋_GB2312" w:cs="DengXian-Regular"/>
          <w:sz w:val="32"/>
          <w:szCs w:val="32"/>
        </w:rPr>
        <w:t>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我</w:t>
      </w:r>
      <w:r>
        <w:rPr>
          <w:rFonts w:ascii="仿宋_GB2312" w:eastAsia="仿宋_GB2312" w:cs="DengXian-Regular"/>
          <w:sz w:val="32"/>
          <w:szCs w:val="32"/>
        </w:rPr>
        <w:t>部门</w:t>
      </w:r>
      <w:r>
        <w:rPr>
          <w:rFonts w:hint="eastAsia" w:ascii="仿宋_GB2312" w:eastAsia="仿宋_GB2312" w:cs="DengXian-Regular"/>
          <w:sz w:val="32"/>
          <w:szCs w:val="32"/>
        </w:rPr>
        <w:t>2022年财政监督检查</w:t>
      </w:r>
      <w:r>
        <w:rPr>
          <w:rFonts w:ascii="仿宋_GB2312" w:eastAsia="仿宋_GB2312" w:cs="DengXian-Regular"/>
          <w:sz w:val="32"/>
          <w:szCs w:val="32"/>
        </w:rPr>
        <w:t>次</w:t>
      </w:r>
      <w:r>
        <w:rPr>
          <w:rFonts w:hint="eastAsia" w:ascii="仿宋_GB2312" w:eastAsia="仿宋_GB2312" w:cs="DengXian-Regular"/>
          <w:sz w:val="32"/>
          <w:szCs w:val="32"/>
        </w:rPr>
        <w:t>数≥</w:t>
      </w:r>
      <w:r>
        <w:rPr>
          <w:rFonts w:ascii="仿宋_GB2312" w:eastAsia="仿宋_GB2312" w:cs="DengXian-Regular"/>
          <w:sz w:val="32"/>
          <w:szCs w:val="32"/>
        </w:rPr>
        <w:t>3</w:t>
      </w:r>
      <w:r>
        <w:rPr>
          <w:rFonts w:hint="eastAsia" w:ascii="仿宋_GB2312" w:eastAsia="仿宋_GB2312" w:cs="DengXian-Regular"/>
          <w:sz w:val="32"/>
          <w:szCs w:val="32"/>
        </w:rPr>
        <w:t>为优，全</w:t>
      </w:r>
      <w:r>
        <w:rPr>
          <w:rFonts w:ascii="仿宋_GB2312" w:eastAsia="仿宋_GB2312" w:cs="DengXian-Regular"/>
          <w:sz w:val="32"/>
          <w:szCs w:val="32"/>
        </w:rPr>
        <w:t>年</w:t>
      </w:r>
      <w:r>
        <w:rPr>
          <w:rFonts w:hint="eastAsia" w:ascii="仿宋_GB2312" w:eastAsia="仿宋_GB2312" w:cs="DengXian-Regular"/>
          <w:sz w:val="32"/>
          <w:szCs w:val="32"/>
        </w:rPr>
        <w:t>实际完成监督检查</w:t>
      </w:r>
      <w:r>
        <w:rPr>
          <w:rFonts w:ascii="仿宋_GB2312" w:eastAsia="仿宋_GB2312" w:cs="DengXian-Regular"/>
          <w:sz w:val="32"/>
          <w:szCs w:val="32"/>
        </w:rPr>
        <w:t>次数</w:t>
      </w:r>
      <w:r>
        <w:rPr>
          <w:rFonts w:hint="eastAsia" w:ascii="仿宋_GB2312" w:eastAsia="仿宋_GB2312" w:cs="DengXian-Regular"/>
          <w:sz w:val="32"/>
          <w:szCs w:val="32"/>
        </w:rPr>
        <w:t>是</w:t>
      </w:r>
      <w:r>
        <w:rPr>
          <w:rFonts w:ascii="仿宋_GB2312" w:eastAsia="仿宋_GB2312" w:cs="DengXian-Regular"/>
          <w:sz w:val="32"/>
          <w:szCs w:val="32"/>
        </w:rPr>
        <w:t>3</w:t>
      </w:r>
      <w:r>
        <w:rPr>
          <w:rFonts w:hint="eastAsia" w:ascii="仿宋_GB2312" w:eastAsia="仿宋_GB2312" w:cs="DengXian-Regular"/>
          <w:sz w:val="32"/>
          <w:szCs w:val="32"/>
        </w:rPr>
        <w:t>，得</w:t>
      </w:r>
      <w:r>
        <w:rPr>
          <w:rFonts w:ascii="仿宋_GB2312" w:eastAsia="仿宋_GB2312" w:cs="DengXian-Regular"/>
          <w:sz w:val="32"/>
          <w:szCs w:val="32"/>
        </w:rPr>
        <w:t>分</w:t>
      </w:r>
      <w:r>
        <w:rPr>
          <w:rFonts w:hint="eastAsia" w:ascii="仿宋_GB2312" w:eastAsia="仿宋_GB2312" w:cs="DengXian-Regular"/>
          <w:sz w:val="32"/>
          <w:szCs w:val="32"/>
        </w:rPr>
        <w:t>5分</w:t>
      </w:r>
      <w:r>
        <w:rPr>
          <w:rFonts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5</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ascii="仿宋_GB2312" w:eastAsia="仿宋_GB2312" w:cs="DengXian-Regular"/>
          <w:sz w:val="32"/>
          <w:szCs w:val="32"/>
        </w:rPr>
        <w:t>5.</w:t>
      </w:r>
      <w:r>
        <w:rPr>
          <w:rFonts w:hint="eastAsia"/>
        </w:rPr>
        <w:t xml:space="preserve"> </w:t>
      </w:r>
      <w:r>
        <w:rPr>
          <w:rFonts w:hint="eastAsia" w:ascii="仿宋_GB2312" w:eastAsia="仿宋_GB2312" w:cs="DengXian-Regular"/>
          <w:sz w:val="32"/>
          <w:szCs w:val="32"/>
        </w:rPr>
        <w:t>财政项目投资评审完成率（5</w:t>
      </w:r>
      <w:r>
        <w:rPr>
          <w:rFonts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该指标主要评价财政项目投资评审完成效率，通过财政项目投资评审完成率来衡量。</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财政项目投资评审完成率=（实际完成评审</w:t>
      </w:r>
      <w:r>
        <w:rPr>
          <w:rFonts w:ascii="仿宋_GB2312" w:eastAsia="仿宋_GB2312" w:cs="DengXian-Regular"/>
          <w:sz w:val="32"/>
          <w:szCs w:val="32"/>
        </w:rPr>
        <w:t>项目</w:t>
      </w:r>
      <w:r>
        <w:rPr>
          <w:rFonts w:hint="eastAsia" w:ascii="仿宋_GB2312" w:eastAsia="仿宋_GB2312" w:cs="DengXian-Regular"/>
          <w:sz w:val="32"/>
          <w:szCs w:val="32"/>
        </w:rPr>
        <w:t>/全年评审</w:t>
      </w:r>
      <w:r>
        <w:rPr>
          <w:rFonts w:ascii="仿宋_GB2312" w:eastAsia="仿宋_GB2312" w:cs="DengXian-Regular"/>
          <w:sz w:val="32"/>
          <w:szCs w:val="32"/>
        </w:rPr>
        <w:t>项目</w:t>
      </w:r>
      <w:r>
        <w:rPr>
          <w:rFonts w:hint="eastAsia" w:ascii="仿宋_GB2312" w:eastAsia="仿宋_GB2312" w:cs="DengXian-Regular"/>
          <w:sz w:val="32"/>
          <w:szCs w:val="32"/>
        </w:rPr>
        <w:t>总数）*100%。</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我</w:t>
      </w:r>
      <w:r>
        <w:rPr>
          <w:rFonts w:ascii="仿宋_GB2312" w:eastAsia="仿宋_GB2312" w:cs="DengXian-Regular"/>
          <w:sz w:val="32"/>
          <w:szCs w:val="32"/>
        </w:rPr>
        <w:t>部门</w:t>
      </w:r>
      <w:r>
        <w:rPr>
          <w:rFonts w:hint="eastAsia" w:ascii="仿宋_GB2312" w:eastAsia="仿宋_GB2312" w:cs="DengXian-Regular"/>
          <w:sz w:val="32"/>
          <w:szCs w:val="32"/>
        </w:rPr>
        <w:t>2022年全年评审</w:t>
      </w:r>
      <w:r>
        <w:rPr>
          <w:rFonts w:ascii="仿宋_GB2312" w:eastAsia="仿宋_GB2312" w:cs="DengXian-Regular"/>
          <w:sz w:val="32"/>
          <w:szCs w:val="32"/>
        </w:rPr>
        <w:t>项目</w:t>
      </w:r>
      <w:r>
        <w:rPr>
          <w:rFonts w:hint="eastAsia" w:ascii="仿宋_GB2312" w:eastAsia="仿宋_GB2312" w:cs="DengXian-Regular"/>
          <w:sz w:val="32"/>
          <w:szCs w:val="32"/>
        </w:rPr>
        <w:t>总数是</w:t>
      </w:r>
      <w:r>
        <w:rPr>
          <w:rFonts w:hint="default" w:ascii="仿宋_GB2312" w:eastAsia="仿宋_GB2312" w:cs="DengXian-Regular"/>
          <w:sz w:val="32"/>
          <w:szCs w:val="32"/>
          <w:lang w:val="en-US"/>
        </w:rPr>
        <w:t>120</w:t>
      </w:r>
      <w:r>
        <w:rPr>
          <w:rFonts w:hint="eastAsia" w:ascii="仿宋_GB2312" w:eastAsia="仿宋_GB2312" w:cs="DengXian-Regular"/>
          <w:sz w:val="32"/>
          <w:szCs w:val="32"/>
        </w:rPr>
        <w:t>，全</w:t>
      </w:r>
      <w:r>
        <w:rPr>
          <w:rFonts w:ascii="仿宋_GB2312" w:eastAsia="仿宋_GB2312" w:cs="DengXian-Regular"/>
          <w:sz w:val="32"/>
          <w:szCs w:val="32"/>
        </w:rPr>
        <w:t>年</w:t>
      </w:r>
      <w:r>
        <w:rPr>
          <w:rFonts w:hint="eastAsia" w:ascii="仿宋_GB2312" w:eastAsia="仿宋_GB2312" w:cs="DengXian-Regular"/>
          <w:sz w:val="32"/>
          <w:szCs w:val="32"/>
        </w:rPr>
        <w:t>实际完成评</w:t>
      </w:r>
      <w:r>
        <w:rPr>
          <w:rFonts w:ascii="仿宋_GB2312" w:eastAsia="仿宋_GB2312" w:cs="DengXian-Regular"/>
          <w:sz w:val="32"/>
          <w:szCs w:val="32"/>
        </w:rPr>
        <w:t>审项目</w:t>
      </w:r>
      <w:r>
        <w:rPr>
          <w:rFonts w:hint="eastAsia" w:ascii="仿宋_GB2312" w:eastAsia="仿宋_GB2312" w:cs="DengXian-Regular"/>
          <w:sz w:val="32"/>
          <w:szCs w:val="32"/>
        </w:rPr>
        <w:t>有</w:t>
      </w:r>
      <w:r>
        <w:rPr>
          <w:rFonts w:hint="default" w:ascii="仿宋_GB2312" w:eastAsia="仿宋_GB2312" w:cs="DengXian-Regular"/>
          <w:sz w:val="32"/>
          <w:szCs w:val="32"/>
          <w:lang w:val="en-US"/>
        </w:rPr>
        <w:t>166</w:t>
      </w:r>
      <w:r>
        <w:rPr>
          <w:rFonts w:hint="eastAsia" w:ascii="仿宋_GB2312" w:eastAsia="仿宋_GB2312" w:cs="DengXian-Regular"/>
          <w:sz w:val="32"/>
          <w:szCs w:val="32"/>
        </w:rPr>
        <w:t>，财政项目投资评审完成率=</w:t>
      </w:r>
      <w:r>
        <w:rPr>
          <w:rFonts w:hint="default" w:ascii="仿宋_GB2312" w:eastAsia="仿宋_GB2312" w:cs="DengXian-Regular"/>
          <w:sz w:val="32"/>
          <w:szCs w:val="32"/>
          <w:lang w:val="en-US"/>
        </w:rPr>
        <w:t>166</w:t>
      </w:r>
      <w:r>
        <w:rPr>
          <w:rFonts w:ascii="仿宋_GB2312" w:eastAsia="仿宋_GB2312" w:cs="DengXian-Regular"/>
          <w:sz w:val="32"/>
          <w:szCs w:val="32"/>
        </w:rPr>
        <w:t>/</w:t>
      </w:r>
      <w:r>
        <w:rPr>
          <w:rFonts w:hint="default" w:ascii="仿宋_GB2312" w:eastAsia="仿宋_GB2312" w:cs="DengXian-Regular"/>
          <w:sz w:val="32"/>
          <w:szCs w:val="32"/>
          <w:lang w:val="en-US"/>
        </w:rPr>
        <w:t>120</w:t>
      </w:r>
      <w:r>
        <w:rPr>
          <w:rFonts w:ascii="仿宋_GB2312" w:eastAsia="仿宋_GB2312" w:cs="DengXian-Regular"/>
          <w:sz w:val="32"/>
          <w:szCs w:val="32"/>
        </w:rPr>
        <w:t>*100%=</w:t>
      </w:r>
      <w:r>
        <w:rPr>
          <w:rFonts w:hint="default" w:ascii="仿宋_GB2312" w:eastAsia="仿宋_GB2312" w:cs="DengXian-Regular"/>
          <w:sz w:val="32"/>
          <w:szCs w:val="32"/>
          <w:lang w:val="en-US"/>
        </w:rPr>
        <w:t>138.33</w:t>
      </w:r>
      <w:r>
        <w:rPr>
          <w:rFonts w:ascii="仿宋_GB2312" w:eastAsia="仿宋_GB2312" w:cs="DengXian-Regular"/>
          <w:sz w:val="32"/>
          <w:szCs w:val="32"/>
        </w:rPr>
        <w:t>%</w:t>
      </w:r>
      <w:r>
        <w:rPr>
          <w:rFonts w:hint="eastAsia" w:ascii="仿宋_GB2312" w:eastAsia="仿宋_GB2312" w:cs="DengXian-Regular"/>
          <w:sz w:val="32"/>
          <w:szCs w:val="32"/>
        </w:rPr>
        <w:t>，大</w:t>
      </w:r>
      <w:r>
        <w:rPr>
          <w:rFonts w:ascii="仿宋_GB2312" w:eastAsia="仿宋_GB2312" w:cs="DengXian-Regular"/>
          <w:sz w:val="32"/>
          <w:szCs w:val="32"/>
        </w:rPr>
        <w:t>于</w:t>
      </w:r>
      <w:r>
        <w:rPr>
          <w:rFonts w:hint="eastAsia" w:ascii="仿宋_GB2312" w:eastAsia="仿宋_GB2312" w:cs="DengXian-Regular"/>
          <w:sz w:val="32"/>
          <w:szCs w:val="32"/>
        </w:rPr>
        <w:t>设定</w:t>
      </w:r>
      <w:r>
        <w:rPr>
          <w:rFonts w:ascii="仿宋_GB2312" w:eastAsia="仿宋_GB2312" w:cs="DengXian-Regular"/>
          <w:sz w:val="32"/>
          <w:szCs w:val="32"/>
        </w:rPr>
        <w:t>目标</w:t>
      </w:r>
      <w:r>
        <w:rPr>
          <w:rFonts w:hint="eastAsia" w:ascii="仿宋_GB2312" w:eastAsia="仿宋_GB2312" w:cs="DengXian-Regular"/>
          <w:sz w:val="32"/>
          <w:szCs w:val="32"/>
        </w:rPr>
        <w:t>75%，得</w:t>
      </w:r>
      <w:r>
        <w:rPr>
          <w:rFonts w:ascii="仿宋_GB2312" w:eastAsia="仿宋_GB2312" w:cs="DengXian-Regular"/>
          <w:sz w:val="32"/>
          <w:szCs w:val="32"/>
        </w:rPr>
        <w:t>分</w:t>
      </w:r>
      <w:r>
        <w:rPr>
          <w:rFonts w:hint="eastAsia" w:ascii="仿宋_GB2312" w:eastAsia="仿宋_GB2312" w:cs="DengXian-Regular"/>
          <w:sz w:val="32"/>
          <w:szCs w:val="32"/>
        </w:rPr>
        <w:t>5分</w:t>
      </w:r>
      <w:r>
        <w:rPr>
          <w:rFonts w:ascii="仿宋_GB2312" w:eastAsia="仿宋_GB2312" w:cs="DengXian-Regular"/>
          <w:sz w:val="32"/>
          <w:szCs w:val="32"/>
        </w:rPr>
        <w:t>。</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该指标实际得分</w:t>
      </w:r>
      <w:r>
        <w:rPr>
          <w:rFonts w:ascii="仿宋_GB2312" w:eastAsia="仿宋_GB2312" w:cs="DengXian-Regular"/>
          <w:sz w:val="32"/>
          <w:szCs w:val="32"/>
        </w:rPr>
        <w:t>5</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hint="eastAsia" w:ascii="仿宋_GB2312" w:eastAsia="仿宋_GB2312" w:cs="DengXian-Regular"/>
          <w:sz w:val="32"/>
          <w:szCs w:val="32"/>
        </w:rPr>
      </w:pPr>
    </w:p>
    <w:p>
      <w:pPr>
        <w:pStyle w:val="4"/>
        <w:spacing w:before="0" w:after="0"/>
        <w:ind w:firstLine="643" w:firstLineChars="200"/>
        <w:jc w:val="both"/>
        <w:rPr>
          <w:rFonts w:ascii="楷体" w:hAnsi="楷体" w:eastAsia="楷体"/>
          <w:sz w:val="32"/>
        </w:rPr>
      </w:pPr>
      <w:bookmarkStart w:id="69" w:name="_Toc28363"/>
      <w:r>
        <w:rPr>
          <w:rFonts w:hint="eastAsia" w:ascii="楷体" w:hAnsi="楷体" w:eastAsia="楷体"/>
          <w:sz w:val="32"/>
        </w:rPr>
        <w:t>（四）效果</w:t>
      </w:r>
      <w:bookmarkEnd w:id="67"/>
      <w:bookmarkEnd w:id="68"/>
      <w:r>
        <w:rPr>
          <w:rFonts w:hint="eastAsia" w:ascii="楷体" w:hAnsi="楷体" w:eastAsia="楷体"/>
          <w:sz w:val="32"/>
        </w:rPr>
        <w:t>（15分）</w:t>
      </w:r>
      <w:bookmarkEnd w:id="69"/>
    </w:p>
    <w:p>
      <w:pPr>
        <w:spacing w:after="0" w:line="360" w:lineRule="auto"/>
        <w:ind w:firstLine="640" w:firstLineChars="200"/>
        <w:jc w:val="both"/>
        <w:textAlignment w:val="baseline"/>
        <w:rPr>
          <w:rFonts w:ascii="仿宋_GB2312" w:eastAsia="仿宋_GB2312" w:cs="DengXian-Regular"/>
          <w:sz w:val="32"/>
          <w:szCs w:val="32"/>
        </w:rPr>
      </w:pPr>
      <w:bookmarkStart w:id="70" w:name="_Toc464638520"/>
      <w:r>
        <w:rPr>
          <w:rFonts w:hint="eastAsia" w:ascii="仿宋_GB2312" w:eastAsia="仿宋_GB2312" w:cs="DengXian-Regular"/>
          <w:sz w:val="32"/>
          <w:szCs w:val="32"/>
        </w:rPr>
        <w:t>该一级指标包含履职效益一个二级指标。主要反映部门履行职责对社会发展所带来的直接或间接效益及社会公众或部门的服务对象对部门履职效果的满意程度。</w:t>
      </w:r>
    </w:p>
    <w:p>
      <w:pPr>
        <w:spacing w:after="0" w:line="360" w:lineRule="auto"/>
        <w:jc w:val="center"/>
        <w:textAlignment w:val="baseline"/>
        <w:rPr>
          <w:rFonts w:asciiTheme="minorEastAsia" w:hAnsiTheme="minorEastAsia" w:eastAsiaTheme="minorEastAsia" w:cstheme="minorEastAsia"/>
          <w:b/>
          <w:bCs/>
          <w:sz w:val="32"/>
          <w:szCs w:val="32"/>
        </w:rPr>
      </w:pPr>
      <w:r>
        <w:rPr>
          <w:rFonts w:hint="eastAsia" w:asciiTheme="minorEastAsia" w:hAnsiTheme="minorEastAsia" w:eastAsiaTheme="minorEastAsia" w:cstheme="minorEastAsia"/>
          <w:b/>
          <w:bCs/>
          <w:sz w:val="32"/>
          <w:szCs w:val="32"/>
        </w:rPr>
        <w:t>表5  效果指标及得分情况表</w:t>
      </w:r>
    </w:p>
    <w:tbl>
      <w:tblPr>
        <w:tblStyle w:val="23"/>
        <w:tblW w:w="0" w:type="auto"/>
        <w:jc w:val="center"/>
        <w:tblLayout w:type="fixed"/>
        <w:tblCellMar>
          <w:top w:w="15" w:type="dxa"/>
          <w:left w:w="15" w:type="dxa"/>
          <w:bottom w:w="15" w:type="dxa"/>
          <w:right w:w="15" w:type="dxa"/>
        </w:tblCellMar>
      </w:tblPr>
      <w:tblGrid>
        <w:gridCol w:w="1468"/>
        <w:gridCol w:w="1155"/>
        <w:gridCol w:w="2130"/>
        <w:gridCol w:w="1200"/>
        <w:gridCol w:w="1045"/>
      </w:tblGrid>
      <w:tr>
        <w:tblPrEx>
          <w:tblCellMar>
            <w:top w:w="15" w:type="dxa"/>
            <w:left w:w="15" w:type="dxa"/>
            <w:bottom w:w="15" w:type="dxa"/>
            <w:right w:w="15" w:type="dxa"/>
          </w:tblCellMar>
        </w:tblPrEx>
        <w:trPr>
          <w:trHeight w:val="397" w:hRule="exact"/>
          <w:jc w:val="center"/>
        </w:trPr>
        <w:tc>
          <w:tcPr>
            <w:tcW w:w="1468"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一级指标</w:t>
            </w:r>
          </w:p>
        </w:tc>
        <w:tc>
          <w:tcPr>
            <w:tcW w:w="115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二级指标</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三级指标</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分数权重</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after="0"/>
              <w:jc w:val="center"/>
              <w:textAlignment w:val="center"/>
              <w:rPr>
                <w:rFonts w:cs="宋体" w:asciiTheme="minorEastAsia" w:hAnsiTheme="minorEastAsia" w:eastAsiaTheme="minorEastAsia"/>
                <w:b/>
                <w:color w:val="000000"/>
                <w:sz w:val="21"/>
                <w:szCs w:val="21"/>
              </w:rPr>
            </w:pPr>
            <w:r>
              <w:rPr>
                <w:rFonts w:hint="eastAsia" w:cs="宋体" w:asciiTheme="minorEastAsia" w:hAnsiTheme="minorEastAsia" w:eastAsiaTheme="minorEastAsia"/>
                <w:b/>
                <w:color w:val="000000"/>
                <w:sz w:val="21"/>
                <w:szCs w:val="21"/>
              </w:rPr>
              <w:t>得分</w:t>
            </w:r>
          </w:p>
        </w:tc>
      </w:tr>
      <w:tr>
        <w:tblPrEx>
          <w:tblCellMar>
            <w:top w:w="15" w:type="dxa"/>
            <w:left w:w="15" w:type="dxa"/>
            <w:bottom w:w="15" w:type="dxa"/>
            <w:right w:w="15" w:type="dxa"/>
          </w:tblCellMar>
        </w:tblPrEx>
        <w:trPr>
          <w:trHeight w:val="397" w:hRule="exact"/>
          <w:jc w:val="center"/>
        </w:trPr>
        <w:tc>
          <w:tcPr>
            <w:tcW w:w="1468"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项目效果</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1155" w:type="dxa"/>
            <w:vMerge w:val="restart"/>
            <w:tcBorders>
              <w:top w:val="single" w:color="000000" w:sz="4" w:space="0"/>
              <w:left w:val="single" w:color="000000" w:sz="4" w:space="0"/>
              <w:bottom w:val="single" w:color="000000" w:sz="4" w:space="0"/>
              <w:right w:val="single" w:color="000000" w:sz="4" w:space="0"/>
            </w:tcBorders>
            <w:vAlign w:val="center"/>
          </w:tcPr>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履职效益</w:t>
            </w:r>
          </w:p>
          <w:p>
            <w:pPr>
              <w:spacing w:after="0"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（15分）</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部门整体效益</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10</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10</w:t>
            </w:r>
          </w:p>
        </w:tc>
      </w:tr>
      <w:tr>
        <w:tblPrEx>
          <w:tblCellMar>
            <w:top w:w="15" w:type="dxa"/>
            <w:left w:w="15" w:type="dxa"/>
            <w:bottom w:w="15" w:type="dxa"/>
            <w:right w:w="15" w:type="dxa"/>
          </w:tblCellMar>
        </w:tblPrEx>
        <w:trPr>
          <w:trHeight w:val="397" w:hRule="exact"/>
          <w:jc w:val="center"/>
        </w:trPr>
        <w:tc>
          <w:tcPr>
            <w:tcW w:w="1468"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155" w:type="dxa"/>
            <w:vMerge w:val="continue"/>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考评满意度</w:t>
            </w: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5</w:t>
            </w:r>
          </w:p>
        </w:tc>
      </w:tr>
      <w:tr>
        <w:tblPrEx>
          <w:tblCellMar>
            <w:top w:w="15" w:type="dxa"/>
            <w:left w:w="15" w:type="dxa"/>
            <w:bottom w:w="15" w:type="dxa"/>
            <w:right w:w="15" w:type="dxa"/>
          </w:tblCellMar>
        </w:tblPrEx>
        <w:trPr>
          <w:trHeight w:val="397" w:hRule="exact"/>
          <w:jc w:val="center"/>
        </w:trPr>
        <w:tc>
          <w:tcPr>
            <w:tcW w:w="2623" w:type="dxa"/>
            <w:gridSpan w:val="2"/>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合计</w:t>
            </w:r>
          </w:p>
        </w:tc>
        <w:tc>
          <w:tcPr>
            <w:tcW w:w="213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p>
        </w:tc>
        <w:tc>
          <w:tcPr>
            <w:tcW w:w="1200"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cs="宋体" w:asciiTheme="minorEastAsia" w:hAnsiTheme="minorEastAsia" w:eastAsiaTheme="minorEastAsia"/>
                <w:sz w:val="21"/>
                <w:szCs w:val="21"/>
              </w:rPr>
            </w:pPr>
            <w:r>
              <w:rPr>
                <w:rFonts w:hint="eastAsia" w:cs="宋体" w:asciiTheme="minorEastAsia" w:hAnsiTheme="minorEastAsia" w:eastAsiaTheme="minorEastAsia"/>
                <w:sz w:val="21"/>
                <w:szCs w:val="21"/>
              </w:rPr>
              <w:t>15</w:t>
            </w:r>
          </w:p>
        </w:tc>
        <w:tc>
          <w:tcPr>
            <w:tcW w:w="1045" w:type="dxa"/>
            <w:tcBorders>
              <w:top w:val="single" w:color="000000" w:sz="4" w:space="0"/>
              <w:left w:val="single" w:color="000000" w:sz="4" w:space="0"/>
              <w:bottom w:val="single" w:color="000000" w:sz="4" w:space="0"/>
              <w:right w:val="single" w:color="000000" w:sz="4" w:space="0"/>
            </w:tcBorders>
            <w:vAlign w:val="center"/>
          </w:tcPr>
          <w:p>
            <w:pPr>
              <w:spacing w:line="420" w:lineRule="exact"/>
              <w:jc w:val="center"/>
              <w:rPr>
                <w:rFonts w:hint="default" w:cs="宋体" w:asciiTheme="minorEastAsia" w:hAnsiTheme="minorEastAsia" w:eastAsiaTheme="minorEastAsia"/>
                <w:sz w:val="21"/>
                <w:szCs w:val="21"/>
                <w:lang w:val="en-US"/>
              </w:rPr>
            </w:pPr>
            <w:r>
              <w:rPr>
                <w:rFonts w:hint="default" w:cs="宋体" w:asciiTheme="minorEastAsia" w:hAnsiTheme="minorEastAsia" w:eastAsiaTheme="minorEastAsia"/>
                <w:sz w:val="21"/>
                <w:szCs w:val="21"/>
                <w:lang w:val="en-US"/>
              </w:rPr>
              <w:t>15</w:t>
            </w:r>
          </w:p>
        </w:tc>
      </w:tr>
      <w:bookmarkEnd w:id="70"/>
    </w:tbl>
    <w:p>
      <w:pPr>
        <w:spacing w:after="0" w:line="360" w:lineRule="auto"/>
        <w:ind w:firstLine="640" w:firstLineChars="200"/>
        <w:jc w:val="both"/>
        <w:textAlignment w:val="baseline"/>
        <w:rPr>
          <w:rFonts w:ascii="仿宋_GB2312" w:eastAsia="仿宋_GB2312" w:cs="DengXian-Regular"/>
          <w:sz w:val="32"/>
          <w:szCs w:val="32"/>
        </w:rPr>
      </w:pPr>
      <w:bookmarkStart w:id="71" w:name="_Toc465149516"/>
      <w:bookmarkStart w:id="72" w:name="_Toc492652784"/>
      <w:bookmarkStart w:id="73" w:name="_Toc464638561"/>
      <w:r>
        <w:rPr>
          <w:rFonts w:hint="eastAsia" w:ascii="仿宋_GB2312" w:eastAsia="仿宋_GB2312" w:cs="DengXian-Regular"/>
          <w:sz w:val="32"/>
          <w:szCs w:val="32"/>
        </w:rPr>
        <w:t>1.部门整体效益（10分）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该指标主要评价部门履行职责对社会发展所带来的直接或间接效益。</w:t>
      </w:r>
    </w:p>
    <w:p>
      <w:pPr>
        <w:spacing w:after="0" w:line="360" w:lineRule="auto"/>
        <w:ind w:firstLine="640" w:firstLineChars="200"/>
        <w:jc w:val="both"/>
        <w:textAlignment w:val="baseline"/>
        <w:rPr>
          <w:rFonts w:hint="eastAsia" w:ascii="仿宋_GB2312" w:eastAsia="仿宋_GB2312" w:cs="DengXian-Regular"/>
          <w:sz w:val="32"/>
          <w:szCs w:val="32"/>
        </w:rPr>
      </w:pPr>
      <w:r>
        <w:rPr>
          <w:rFonts w:hint="eastAsia" w:ascii="仿宋_GB2312" w:eastAsia="仿宋_GB2312" w:cs="DengXian-Regular"/>
          <w:sz w:val="32"/>
          <w:szCs w:val="32"/>
        </w:rPr>
        <w:t>经查看我部门的相关资料，我部门以习近平新时代中国特色社会主义思想为指导，全面贯彻党的政策精神，紧紧围绕区委发展战略和决策部署，坚持稳中求进工作总基调，坚持新发展理念，坚持推动高质量发展，以</w:t>
      </w:r>
      <w:r>
        <w:rPr>
          <w:rFonts w:hint="eastAsia" w:ascii="仿宋_GB2312" w:eastAsia="仿宋_GB2312" w:cs="DengXian-Regular"/>
          <w:sz w:val="32"/>
          <w:szCs w:val="32"/>
          <w:lang w:eastAsia="zh-CN"/>
        </w:rPr>
        <w:t>《中华人民共和国预算法》</w:t>
      </w:r>
      <w:r>
        <w:rPr>
          <w:rFonts w:hint="eastAsia" w:ascii="仿宋_GB2312" w:eastAsia="仿宋_GB2312" w:cs="DengXian-Regular"/>
          <w:sz w:val="32"/>
          <w:szCs w:val="32"/>
        </w:rPr>
        <w:t>为依据，以全面建设高质量财政为主线，持续优化收支结构，推进预算绩效管理，防范化解财政风险，增强财政可持续性，推进财政收入规模进一步壮大，保障能力进一步增强，理财水平进一步提升，资源配置更加科学，资金使用更加高效，财政风险有效防控，全年财政平稳运行。</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该项指标实际得分</w:t>
      </w:r>
      <w:r>
        <w:rPr>
          <w:rFonts w:hint="default" w:ascii="仿宋_GB2312" w:eastAsia="仿宋_GB2312" w:cs="DengXian-Regular"/>
          <w:sz w:val="32"/>
          <w:szCs w:val="32"/>
          <w:lang w:val="en-US"/>
        </w:rPr>
        <w:t>10</w:t>
      </w:r>
      <w:r>
        <w:rPr>
          <w:rFonts w:hint="eastAsia" w:ascii="仿宋_GB2312" w:eastAsia="仿宋_GB2312" w:cs="DengXian-Regular"/>
          <w:sz w:val="32"/>
          <w:szCs w:val="32"/>
        </w:rPr>
        <w:t>分。</w:t>
      </w:r>
    </w:p>
    <w:p>
      <w:pPr>
        <w:spacing w:after="0" w:line="360" w:lineRule="auto"/>
        <w:ind w:firstLine="640" w:firstLineChars="200"/>
        <w:jc w:val="both"/>
        <w:textAlignment w:val="baseline"/>
        <w:rPr>
          <w:rFonts w:ascii="仿宋_GB2312" w:eastAsia="仿宋_GB2312" w:cs="DengXian-Regular"/>
          <w:sz w:val="32"/>
          <w:szCs w:val="32"/>
        </w:rPr>
      </w:pPr>
      <w:r>
        <w:rPr>
          <w:rFonts w:hint="eastAsia" w:ascii="仿宋_GB2312" w:eastAsia="仿宋_GB2312" w:cs="DengXian-Regular"/>
          <w:sz w:val="32"/>
          <w:szCs w:val="32"/>
        </w:rPr>
        <w:t>2.考评满意度（5分）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该指标主要评价社会公众或部门的服务对象对部门履职效果的满意程度。</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针对该指标，我们随机选取了50个调查对象进行了问卷调查，具体调查情况如下：</w:t>
      </w:r>
    </w:p>
    <w:p>
      <w:pPr>
        <w:spacing w:after="0" w:line="360" w:lineRule="auto"/>
        <w:jc w:val="center"/>
        <w:textAlignment w:val="baseline"/>
        <w:rPr>
          <w:rFonts w:asciiTheme="minorEastAsia" w:hAnsiTheme="minorEastAsia" w:eastAsiaTheme="minorEastAsia" w:cstheme="minorEastAsia"/>
          <w:b/>
          <w:bCs/>
          <w:sz w:val="32"/>
          <w:szCs w:val="32"/>
          <w:u w:color="000000"/>
        </w:rPr>
      </w:pPr>
      <w:r>
        <w:rPr>
          <w:rFonts w:hint="eastAsia" w:asciiTheme="minorEastAsia" w:hAnsiTheme="minorEastAsia" w:eastAsiaTheme="minorEastAsia" w:cstheme="minorEastAsia"/>
          <w:b/>
          <w:bCs/>
          <w:sz w:val="32"/>
          <w:szCs w:val="32"/>
          <w:u w:color="000000"/>
        </w:rPr>
        <w:t>表6  服务对象满意度调查问卷汇总表</w:t>
      </w:r>
    </w:p>
    <w:p>
      <w:pPr>
        <w:spacing w:after="0" w:line="540" w:lineRule="exact"/>
        <w:ind w:firstLine="6930" w:firstLineChars="3300"/>
        <w:jc w:val="both"/>
        <w:textAlignment w:val="baseline"/>
        <w:rPr>
          <w:rFonts w:ascii="仿宋_GB2312" w:eastAsia="仿宋_GB2312" w:cs="Times New Roman" w:hAnsiTheme="minorEastAsia"/>
          <w:sz w:val="32"/>
          <w:szCs w:val="32"/>
          <w:u w:color="000000"/>
        </w:rPr>
      </w:pPr>
      <w:r>
        <w:rPr>
          <w:rFonts w:hint="eastAsia" w:asciiTheme="minorEastAsia" w:hAnsiTheme="minorEastAsia" w:eastAsiaTheme="minorEastAsia" w:cstheme="minorEastAsia"/>
          <w:sz w:val="21"/>
          <w:szCs w:val="21"/>
          <w:u w:color="000000"/>
        </w:rPr>
        <w:t>单位：人次</w:t>
      </w:r>
    </w:p>
    <w:tbl>
      <w:tblPr>
        <w:tblStyle w:val="23"/>
        <w:tblW w:w="7948" w:type="dxa"/>
        <w:jc w:val="center"/>
        <w:tblLayout w:type="fixed"/>
        <w:tblCellMar>
          <w:top w:w="15" w:type="dxa"/>
          <w:left w:w="15" w:type="dxa"/>
          <w:bottom w:w="15" w:type="dxa"/>
          <w:right w:w="15" w:type="dxa"/>
        </w:tblCellMar>
      </w:tblPr>
      <w:tblGrid>
        <w:gridCol w:w="2834"/>
        <w:gridCol w:w="1114"/>
        <w:gridCol w:w="1134"/>
        <w:gridCol w:w="1218"/>
        <w:gridCol w:w="767"/>
        <w:gridCol w:w="881"/>
      </w:tblGrid>
      <w:tr>
        <w:tblPrEx>
          <w:tblCellMar>
            <w:top w:w="15" w:type="dxa"/>
            <w:left w:w="15" w:type="dxa"/>
            <w:bottom w:w="15" w:type="dxa"/>
            <w:right w:w="15" w:type="dxa"/>
          </w:tblCellMar>
        </w:tblPrEx>
        <w:trPr>
          <w:trHeight w:val="525" w:hRule="atLeast"/>
          <w:jc w:val="center"/>
        </w:trPr>
        <w:tc>
          <w:tcPr>
            <w:tcW w:w="28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调查项目</w:t>
            </w:r>
          </w:p>
        </w:tc>
        <w:tc>
          <w:tcPr>
            <w:tcW w:w="111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满意</w:t>
            </w:r>
          </w:p>
        </w:tc>
        <w:tc>
          <w:tcPr>
            <w:tcW w:w="1134"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一般</w:t>
            </w:r>
          </w:p>
        </w:tc>
        <w:tc>
          <w:tcPr>
            <w:tcW w:w="1218"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不满意</w:t>
            </w:r>
          </w:p>
        </w:tc>
        <w:tc>
          <w:tcPr>
            <w:tcW w:w="767"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合计</w:t>
            </w:r>
          </w:p>
        </w:tc>
        <w:tc>
          <w:tcPr>
            <w:tcW w:w="881" w:type="dxa"/>
            <w:tcBorders>
              <w:top w:val="single" w:color="auto" w:sz="4" w:space="0"/>
              <w:left w:val="single" w:color="auto" w:sz="4" w:space="0"/>
              <w:bottom w:val="single" w:color="auto" w:sz="4" w:space="0"/>
              <w:right w:val="single" w:color="auto" w:sz="4" w:space="0"/>
            </w:tcBorders>
            <w:vAlign w:val="center"/>
          </w:tcPr>
          <w:p>
            <w:pPr>
              <w:spacing w:after="0" w:line="540" w:lineRule="exact"/>
              <w:jc w:val="center"/>
              <w:textAlignment w:val="baseline"/>
              <w:rPr>
                <w:rFonts w:cs="Times New Roman" w:asciiTheme="minorEastAsia" w:hAnsiTheme="minorEastAsia" w:eastAsiaTheme="minorEastAsia"/>
                <w:b/>
                <w:bCs/>
                <w:sz w:val="21"/>
                <w:szCs w:val="21"/>
                <w:u w:color="000000"/>
              </w:rPr>
            </w:pPr>
            <w:r>
              <w:rPr>
                <w:rFonts w:hint="eastAsia" w:cs="Times New Roman" w:asciiTheme="minorEastAsia" w:hAnsiTheme="minorEastAsia" w:eastAsiaTheme="minorEastAsia"/>
                <w:b/>
                <w:bCs/>
                <w:sz w:val="21"/>
                <w:szCs w:val="21"/>
                <w:u w:color="000000"/>
              </w:rPr>
              <w:t>单项得分</w:t>
            </w:r>
          </w:p>
        </w:tc>
      </w:tr>
      <w:tr>
        <w:tblPrEx>
          <w:tblCellMar>
            <w:top w:w="15" w:type="dxa"/>
            <w:left w:w="15" w:type="dxa"/>
            <w:bottom w:w="15" w:type="dxa"/>
            <w:right w:w="15" w:type="dxa"/>
          </w:tblCellMar>
        </w:tblPrEx>
        <w:trPr>
          <w:trHeight w:val="59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lang w:val="en-US" w:eastAsia="zh-CN"/>
              </w:rPr>
              <w:t>一体化平台资金支付</w:t>
            </w:r>
            <w:r>
              <w:rPr>
                <w:rFonts w:hint="eastAsia" w:cs="Times New Roman" w:asciiTheme="minorEastAsia" w:hAnsiTheme="minorEastAsia" w:eastAsiaTheme="minorEastAsia"/>
                <w:sz w:val="21"/>
                <w:szCs w:val="21"/>
                <w:u w:color="000000"/>
              </w:rPr>
              <w:t>工作</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4500</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200</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4700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rPr>
            </w:pPr>
            <w:r>
              <w:rPr>
                <w:rFonts w:cs="Times New Roman" w:asciiTheme="minorEastAsia" w:hAnsiTheme="minorEastAsia" w:eastAsiaTheme="minorEastAsia"/>
                <w:sz w:val="21"/>
                <w:szCs w:val="21"/>
                <w:u w:color="000000"/>
              </w:rPr>
              <w:t>94</w:t>
            </w:r>
          </w:p>
        </w:tc>
      </w:tr>
      <w:tr>
        <w:tblPrEx>
          <w:tblCellMar>
            <w:top w:w="15" w:type="dxa"/>
            <w:left w:w="15" w:type="dxa"/>
            <w:bottom w:w="15" w:type="dxa"/>
            <w:right w:w="15" w:type="dxa"/>
          </w:tblCellMar>
        </w:tblPrEx>
        <w:trPr>
          <w:trHeight w:val="510"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对财政</w:t>
            </w:r>
            <w:r>
              <w:rPr>
                <w:rFonts w:cs="Times New Roman" w:asciiTheme="minorEastAsia" w:hAnsiTheme="minorEastAsia" w:eastAsiaTheme="minorEastAsia"/>
                <w:sz w:val="21"/>
                <w:szCs w:val="21"/>
                <w:u w:color="000000"/>
              </w:rPr>
              <w:t>局的服务</w:t>
            </w:r>
            <w:r>
              <w:rPr>
                <w:rFonts w:hint="eastAsia" w:cs="Times New Roman" w:asciiTheme="minorEastAsia" w:hAnsiTheme="minorEastAsia" w:eastAsiaTheme="minorEastAsia"/>
                <w:sz w:val="21"/>
                <w:szCs w:val="21"/>
                <w:u w:color="000000"/>
              </w:rPr>
              <w:t>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4600</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200</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4800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hint="default" w:cs="Times New Roman" w:asciiTheme="minorEastAsia" w:hAnsiTheme="minorEastAsia" w:eastAsiaTheme="minorEastAsia"/>
                <w:sz w:val="21"/>
                <w:szCs w:val="21"/>
                <w:u w:color="000000"/>
                <w:lang w:val="en-US"/>
              </w:rPr>
            </w:pPr>
            <w:r>
              <w:rPr>
                <w:rFonts w:cs="Times New Roman" w:asciiTheme="minorEastAsia" w:hAnsiTheme="minorEastAsia" w:eastAsiaTheme="minorEastAsia"/>
                <w:sz w:val="21"/>
                <w:szCs w:val="21"/>
                <w:u w:color="000000"/>
              </w:rPr>
              <w:t>96</w:t>
            </w:r>
          </w:p>
        </w:tc>
      </w:tr>
      <w:tr>
        <w:tblPrEx>
          <w:tblCellMar>
            <w:top w:w="15" w:type="dxa"/>
            <w:left w:w="15" w:type="dxa"/>
            <w:bottom w:w="15" w:type="dxa"/>
            <w:right w:w="15" w:type="dxa"/>
          </w:tblCellMar>
        </w:tblPrEx>
        <w:trPr>
          <w:trHeight w:val="585" w:hRule="atLeast"/>
          <w:jc w:val="center"/>
        </w:trPr>
        <w:tc>
          <w:tcPr>
            <w:tcW w:w="28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both"/>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您对区财政法对预算</w:t>
            </w:r>
            <w:r>
              <w:rPr>
                <w:rFonts w:cs="Times New Roman" w:asciiTheme="minorEastAsia" w:hAnsiTheme="minorEastAsia" w:eastAsiaTheme="minorEastAsia"/>
                <w:sz w:val="21"/>
                <w:szCs w:val="21"/>
                <w:u w:color="000000"/>
              </w:rPr>
              <w:t>单位的业务指导和培训是否满意</w:t>
            </w:r>
          </w:p>
        </w:tc>
        <w:tc>
          <w:tcPr>
            <w:tcW w:w="111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4400</w:t>
            </w:r>
          </w:p>
        </w:tc>
        <w:tc>
          <w:tcPr>
            <w:tcW w:w="1134"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hint="eastAsia" w:cs="Times New Roman" w:asciiTheme="minorEastAsia" w:hAnsiTheme="minorEastAsia" w:eastAsiaTheme="minorEastAsia"/>
                <w:sz w:val="21"/>
                <w:szCs w:val="21"/>
                <w:u w:color="000000"/>
              </w:rPr>
              <w:t>250</w:t>
            </w:r>
          </w:p>
        </w:tc>
        <w:tc>
          <w:tcPr>
            <w:tcW w:w="1218"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p>
        </w:tc>
        <w:tc>
          <w:tcPr>
            <w:tcW w:w="767"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4650</w:t>
            </w:r>
          </w:p>
        </w:tc>
        <w:tc>
          <w:tcPr>
            <w:tcW w:w="881" w:type="dxa"/>
            <w:tcBorders>
              <w:top w:val="single" w:color="000000" w:sz="4" w:space="0"/>
              <w:left w:val="single" w:color="000000" w:sz="4" w:space="0"/>
              <w:bottom w:val="single" w:color="000000" w:sz="4" w:space="0"/>
              <w:right w:val="single" w:color="000000" w:sz="4" w:space="0"/>
            </w:tcBorders>
            <w:vAlign w:val="center"/>
          </w:tcPr>
          <w:p>
            <w:pPr>
              <w:spacing w:after="0" w:line="360" w:lineRule="auto"/>
              <w:jc w:val="center"/>
              <w:textAlignment w:val="baseline"/>
              <w:rPr>
                <w:rFonts w:cs="Times New Roman" w:asciiTheme="minorEastAsia" w:hAnsiTheme="minorEastAsia" w:eastAsiaTheme="minorEastAsia"/>
                <w:sz w:val="21"/>
                <w:szCs w:val="21"/>
                <w:u w:color="000000"/>
              </w:rPr>
            </w:pPr>
            <w:r>
              <w:rPr>
                <w:rFonts w:cs="Times New Roman" w:asciiTheme="minorEastAsia" w:hAnsiTheme="minorEastAsia" w:eastAsiaTheme="minorEastAsia"/>
                <w:sz w:val="21"/>
                <w:szCs w:val="21"/>
                <w:u w:color="000000"/>
              </w:rPr>
              <w:t>95</w:t>
            </w:r>
          </w:p>
        </w:tc>
      </w:tr>
    </w:tbl>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调查问卷共分为3个单项，每个单项满分为100分。其中：每一单项满分为100分：满意为100分，一般为50分，不满意为0分。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单项满意度得分=总分数/总人数</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总体满意度得分=∑1/3各单项满意度得分</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经计算，总体得分为</w:t>
      </w:r>
      <w:r>
        <w:rPr>
          <w:rFonts w:hint="default" w:ascii="仿宋_GB2312" w:eastAsia="仿宋_GB2312" w:cs="Times New Roman" w:hAnsiTheme="minorEastAsia"/>
          <w:sz w:val="32"/>
          <w:szCs w:val="32"/>
          <w:u w:color="000000"/>
          <w:lang w:val="en-US"/>
        </w:rPr>
        <w:t>95</w:t>
      </w:r>
      <w:r>
        <w:rPr>
          <w:rFonts w:hint="eastAsia" w:ascii="仿宋_GB2312" w:eastAsia="仿宋_GB2312" w:cs="Times New Roman" w:hAnsiTheme="minorEastAsia"/>
          <w:sz w:val="32"/>
          <w:szCs w:val="32"/>
          <w:u w:color="000000"/>
        </w:rPr>
        <w:t>分，小于(大于）90分，评价等级为“</w:t>
      </w:r>
      <w:r>
        <w:rPr>
          <w:rFonts w:hint="eastAsia" w:ascii="仿宋_GB2312" w:eastAsia="仿宋_GB2312" w:cs="Times New Roman" w:hAnsiTheme="minorEastAsia"/>
          <w:sz w:val="32"/>
          <w:szCs w:val="32"/>
          <w:u w:color="000000"/>
          <w:lang w:val="en-US" w:eastAsia="zh-CN"/>
        </w:rPr>
        <w:t>优</w:t>
      </w:r>
      <w:r>
        <w:rPr>
          <w:rFonts w:hint="eastAsia" w:ascii="仿宋_GB2312" w:eastAsia="仿宋_GB2312" w:cs="Times New Roman" w:hAnsiTheme="minorEastAsia"/>
          <w:sz w:val="32"/>
          <w:szCs w:val="32"/>
          <w:u w:color="000000"/>
        </w:rPr>
        <w:t>”。</w:t>
      </w:r>
    </w:p>
    <w:p>
      <w:pPr>
        <w:spacing w:after="0" w:line="360" w:lineRule="auto"/>
        <w:ind w:firstLine="640" w:firstLineChars="200"/>
        <w:jc w:val="both"/>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该指标实际得分</w:t>
      </w:r>
      <w:r>
        <w:rPr>
          <w:rFonts w:hint="default" w:ascii="仿宋_GB2312" w:eastAsia="仿宋_GB2312" w:cs="Times New Roman" w:hAnsiTheme="minorEastAsia"/>
          <w:sz w:val="32"/>
          <w:szCs w:val="32"/>
          <w:u w:color="000000"/>
          <w:lang w:val="en-US"/>
        </w:rPr>
        <w:t>5</w:t>
      </w:r>
      <w:r>
        <w:rPr>
          <w:rFonts w:hint="eastAsia" w:ascii="仿宋_GB2312" w:eastAsia="仿宋_GB2312" w:cs="Times New Roman" w:hAnsiTheme="minorEastAsia"/>
          <w:sz w:val="32"/>
          <w:szCs w:val="32"/>
          <w:u w:color="000000"/>
        </w:rPr>
        <w:t>分。</w:t>
      </w:r>
    </w:p>
    <w:p>
      <w:pPr>
        <w:pStyle w:val="3"/>
        <w:keepNext w:val="0"/>
        <w:keepLines w:val="0"/>
        <w:suppressLineNumbers/>
        <w:spacing w:before="0" w:after="0" w:line="360" w:lineRule="auto"/>
        <w:ind w:firstLine="643" w:firstLineChars="200"/>
        <w:rPr>
          <w:rFonts w:ascii="黑体"/>
        </w:rPr>
      </w:pPr>
      <w:bookmarkStart w:id="74" w:name="_Toc13757"/>
      <w:r>
        <w:rPr>
          <w:rFonts w:hint="eastAsia" w:ascii="黑体"/>
        </w:rPr>
        <w:t>五、绩效评价发现的问题</w:t>
      </w:r>
      <w:bookmarkEnd w:id="71"/>
      <w:bookmarkEnd w:id="72"/>
      <w:bookmarkEnd w:id="73"/>
      <w:bookmarkEnd w:id="74"/>
      <w:bookmarkStart w:id="75" w:name="_Toc492652789"/>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通过对各指标得分及扣分原因的分析，</w:t>
      </w:r>
      <w:r>
        <w:rPr>
          <w:rFonts w:hint="eastAsia" w:ascii="仿宋_GB2312" w:eastAsia="仿宋_GB2312" w:cs="DengXian-Regular"/>
          <w:sz w:val="32"/>
          <w:szCs w:val="32"/>
          <w:lang w:val="en-US" w:eastAsia="zh-CN"/>
        </w:rPr>
        <w:t>财政局</w:t>
      </w:r>
      <w:r>
        <w:rPr>
          <w:rFonts w:hint="eastAsia" w:ascii="仿宋_GB2312" w:eastAsia="仿宋_GB2312" w:cs="Times New Roman" w:hAnsiTheme="minorEastAsia"/>
          <w:sz w:val="32"/>
          <w:szCs w:val="32"/>
          <w:u w:color="000000"/>
        </w:rPr>
        <w:t>2022年部门整体支出基本按相关要求执行预算、决算，完成了绩效目标，资金使用效益良好。通过评价，也发现一些不足之处，具体情况如下：</w:t>
      </w:r>
      <w:bookmarkStart w:id="76" w:name="_Toc20723"/>
    </w:p>
    <w:bookmarkEnd w:id="75"/>
    <w:bookmarkEnd w:id="76"/>
    <w:p>
      <w:pPr>
        <w:spacing w:after="0" w:line="360" w:lineRule="auto"/>
        <w:ind w:firstLine="640" w:firstLineChars="200"/>
        <w:jc w:val="both"/>
        <w:textAlignment w:val="baseline"/>
        <w:rPr>
          <w:rFonts w:ascii="仿宋_GB2312" w:eastAsia="仿宋_GB2312" w:cs="Times New Roman" w:hAnsiTheme="minorEastAsia"/>
          <w:sz w:val="32"/>
          <w:szCs w:val="32"/>
          <w:u w:color="000000"/>
        </w:rPr>
      </w:pPr>
      <w:bookmarkStart w:id="77" w:name="_Toc465149521"/>
      <w:r>
        <w:rPr>
          <w:rFonts w:hint="eastAsia" w:ascii="仿宋_GB2312" w:eastAsia="仿宋_GB2312" w:cs="Times New Roman" w:hAnsiTheme="minorEastAsia"/>
          <w:sz w:val="32"/>
          <w:szCs w:val="32"/>
          <w:u w:color="000000"/>
        </w:rPr>
        <w:t>1.政府采购预算编制方面，还有待于进一步精细化、科学化，以便于政府</w:t>
      </w:r>
      <w:r>
        <w:rPr>
          <w:rFonts w:ascii="仿宋_GB2312" w:eastAsia="仿宋_GB2312" w:cs="Times New Roman" w:hAnsiTheme="minorEastAsia"/>
          <w:sz w:val="32"/>
          <w:szCs w:val="32"/>
          <w:u w:color="000000"/>
        </w:rPr>
        <w:t>采购按预算执行</w:t>
      </w:r>
      <w:r>
        <w:rPr>
          <w:rFonts w:hint="eastAsia" w:ascii="仿宋_GB2312" w:eastAsia="仿宋_GB2312" w:cs="Times New Roman" w:hAnsiTheme="minorEastAsia"/>
          <w:sz w:val="32"/>
          <w:szCs w:val="32"/>
          <w:u w:color="000000"/>
        </w:rPr>
        <w:t>。</w:t>
      </w:r>
    </w:p>
    <w:p>
      <w:pPr>
        <w:spacing w:after="0" w:line="360" w:lineRule="auto"/>
        <w:ind w:firstLine="640" w:firstLineChars="2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2.项目资金使用率方面：部分项目需要加强监督与管理，项目资金使用率有待进一步提高。</w:t>
      </w:r>
    </w:p>
    <w:p>
      <w:pPr>
        <w:spacing w:after="0" w:line="360" w:lineRule="auto"/>
        <w:jc w:val="both"/>
        <w:textAlignment w:val="baseline"/>
        <w:rPr>
          <w:rFonts w:ascii="仿宋_GB2312" w:eastAsia="仿宋_GB2312" w:cs="Times New Roman" w:hAnsiTheme="minorEastAsia"/>
          <w:sz w:val="32"/>
          <w:szCs w:val="32"/>
          <w:u w:color="000000"/>
        </w:rPr>
      </w:pPr>
    </w:p>
    <w:p>
      <w:pPr>
        <w:spacing w:after="0" w:line="360" w:lineRule="auto"/>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附件：1.保定市徐水</w:t>
      </w:r>
      <w:r>
        <w:rPr>
          <w:rFonts w:hint="eastAsia" w:ascii="仿宋_GB2312" w:eastAsia="仿宋_GB2312" w:cs="DengXian-Regular"/>
          <w:sz w:val="32"/>
          <w:szCs w:val="32"/>
        </w:rPr>
        <w:t>区</w:t>
      </w:r>
      <w:r>
        <w:rPr>
          <w:rFonts w:hint="eastAsia" w:ascii="仿宋_GB2312" w:eastAsia="仿宋_GB2312" w:cs="DengXian-Regular"/>
          <w:sz w:val="32"/>
          <w:szCs w:val="32"/>
          <w:lang w:val="en-US" w:eastAsia="zh-CN"/>
        </w:rPr>
        <w:t>财政局</w:t>
      </w:r>
      <w:r>
        <w:rPr>
          <w:rFonts w:hint="eastAsia" w:ascii="仿宋_GB2312" w:eastAsia="仿宋_GB2312" w:cs="Times New Roman" w:hAnsiTheme="minorEastAsia"/>
          <w:sz w:val="32"/>
          <w:szCs w:val="32"/>
          <w:u w:color="000000"/>
        </w:rPr>
        <w:t>部门基本情况及主要职责</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r>
        <w:rPr>
          <w:rFonts w:hint="eastAsia" w:ascii="仿宋_GB2312" w:eastAsia="仿宋_GB2312" w:cs="Times New Roman" w:hAnsiTheme="minorEastAsia"/>
          <w:sz w:val="32"/>
          <w:szCs w:val="32"/>
          <w:u w:color="000000"/>
        </w:rPr>
        <w:t>2.</w:t>
      </w:r>
      <w:r>
        <w:rPr>
          <w:rFonts w:ascii="仿宋_GB2312" w:eastAsia="仿宋_GB2312" w:cs="Times New Roman" w:hAnsiTheme="minorEastAsia"/>
          <w:sz w:val="32"/>
          <w:szCs w:val="32"/>
          <w:u w:color="000000"/>
        </w:rPr>
        <w:t>2022年</w:t>
      </w:r>
      <w:r>
        <w:rPr>
          <w:rFonts w:hint="eastAsia" w:ascii="仿宋_GB2312" w:eastAsia="仿宋_GB2312" w:cs="Times New Roman" w:hAnsiTheme="minorEastAsia"/>
          <w:sz w:val="32"/>
          <w:szCs w:val="32"/>
          <w:u w:color="000000"/>
        </w:rPr>
        <w:t>度保定市徐水区</w:t>
      </w:r>
      <w:r>
        <w:rPr>
          <w:rFonts w:hint="eastAsia" w:ascii="仿宋_GB2312" w:eastAsia="仿宋_GB2312" w:cs="DengXian-Regular"/>
          <w:sz w:val="32"/>
          <w:szCs w:val="32"/>
          <w:lang w:val="en-US" w:eastAsia="zh-CN"/>
        </w:rPr>
        <w:t>财政局</w:t>
      </w:r>
      <w:r>
        <w:rPr>
          <w:rFonts w:hint="eastAsia" w:ascii="仿宋_GB2312" w:eastAsia="仿宋_GB2312" w:cs="Times New Roman" w:hAnsiTheme="minorEastAsia"/>
          <w:sz w:val="32"/>
          <w:szCs w:val="32"/>
          <w:u w:color="000000"/>
        </w:rPr>
        <w:t>收支预算及决算明细表</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8" w:name="_Toc465149534"/>
      <w:r>
        <w:rPr>
          <w:rFonts w:hint="eastAsia" w:ascii="仿宋_GB2312" w:eastAsia="仿宋_GB2312" w:cs="Times New Roman" w:hAnsiTheme="minorEastAsia"/>
          <w:sz w:val="32"/>
          <w:szCs w:val="32"/>
          <w:u w:color="000000"/>
        </w:rPr>
        <w:t>3.</w:t>
      </w:r>
      <w:bookmarkEnd w:id="78"/>
      <w:r>
        <w:rPr>
          <w:rFonts w:hint="eastAsia" w:ascii="仿宋_GB2312" w:eastAsia="仿宋_GB2312" w:cs="Times New Roman" w:hAnsiTheme="minorEastAsia"/>
          <w:sz w:val="32"/>
          <w:szCs w:val="32"/>
          <w:u w:color="000000"/>
        </w:rPr>
        <w:t>部门整体支出绩效评价指标体系</w:t>
      </w:r>
    </w:p>
    <w:p>
      <w:pPr>
        <w:spacing w:after="0" w:line="540" w:lineRule="exact"/>
        <w:ind w:firstLine="960" w:firstLineChars="300"/>
        <w:jc w:val="both"/>
        <w:textAlignment w:val="baseline"/>
        <w:rPr>
          <w:rFonts w:ascii="仿宋_GB2312" w:eastAsia="仿宋_GB2312" w:cs="Times New Roman" w:hAnsiTheme="minorEastAsia"/>
          <w:sz w:val="32"/>
          <w:szCs w:val="32"/>
          <w:u w:color="000000"/>
        </w:rPr>
      </w:pPr>
      <w:bookmarkStart w:id="79" w:name="_Toc465149544"/>
      <w:r>
        <w:rPr>
          <w:rFonts w:hint="eastAsia" w:ascii="仿宋_GB2312" w:eastAsia="仿宋_GB2312" w:cs="Times New Roman" w:hAnsiTheme="minorEastAsia"/>
          <w:sz w:val="32"/>
          <w:szCs w:val="32"/>
          <w:u w:color="000000"/>
        </w:rPr>
        <w:t>4.</w:t>
      </w:r>
      <w:bookmarkEnd w:id="79"/>
      <w:r>
        <w:rPr>
          <w:rFonts w:ascii="仿宋_GB2312" w:eastAsia="仿宋_GB2312" w:cs="Times New Roman" w:hAnsiTheme="minorEastAsia"/>
          <w:sz w:val="32"/>
          <w:szCs w:val="32"/>
          <w:u w:color="000000"/>
        </w:rPr>
        <w:t>2022年</w:t>
      </w:r>
      <w:r>
        <w:rPr>
          <w:rFonts w:hint="eastAsia" w:ascii="仿宋_GB2312" w:eastAsia="仿宋_GB2312" w:cs="Times New Roman" w:hAnsiTheme="minorEastAsia"/>
          <w:sz w:val="32"/>
          <w:szCs w:val="32"/>
          <w:u w:color="000000"/>
        </w:rPr>
        <w:t>徐水区</w:t>
      </w:r>
      <w:r>
        <w:rPr>
          <w:rFonts w:hint="eastAsia" w:ascii="仿宋_GB2312" w:eastAsia="仿宋_GB2312" w:cs="DengXian-Regular"/>
          <w:sz w:val="32"/>
          <w:szCs w:val="32"/>
          <w:lang w:val="en-US" w:eastAsia="zh-CN"/>
        </w:rPr>
        <w:t>财政局</w:t>
      </w:r>
      <w:r>
        <w:rPr>
          <w:rFonts w:hint="eastAsia" w:ascii="仿宋_GB2312" w:eastAsia="仿宋_GB2312" w:cs="Times New Roman" w:hAnsiTheme="minorEastAsia"/>
          <w:sz w:val="32"/>
          <w:szCs w:val="32"/>
          <w:u w:color="000000"/>
        </w:rPr>
        <w:t>工作活动绩效目标、绩效指标一览表</w:t>
      </w:r>
      <w:bookmarkEnd w:id="77"/>
    </w:p>
    <w:p>
      <w:pPr>
        <w:spacing w:line="540" w:lineRule="exact"/>
        <w:ind w:firstLine="640" w:firstLineChars="200"/>
        <w:jc w:val="both"/>
        <w:textAlignment w:val="baseline"/>
        <w:rPr>
          <w:rFonts w:ascii="仿宋_GB2312" w:eastAsia="仿宋_GB2312" w:cs="Times New Roman" w:hAnsiTheme="minorEastAsia"/>
          <w:sz w:val="32"/>
          <w:szCs w:val="32"/>
          <w:u w:color="000000"/>
        </w:rPr>
      </w:pPr>
    </w:p>
    <w:p>
      <w:pPr>
        <w:spacing w:line="540" w:lineRule="exact"/>
        <w:ind w:firstLine="640" w:firstLineChars="200"/>
        <w:jc w:val="both"/>
        <w:textAlignment w:val="baseline"/>
        <w:rPr>
          <w:rFonts w:ascii="仿宋_GB2312" w:eastAsia="仿宋_GB2312" w:cs="Times New Roman" w:hAnsiTheme="minorEastAsia"/>
          <w:sz w:val="32"/>
          <w:szCs w:val="32"/>
          <w:u w:color="000000"/>
        </w:rPr>
      </w:pPr>
    </w:p>
    <w:sectPr>
      <w:footerReference r:id="rId5" w:type="default"/>
      <w:pgSz w:w="11906" w:h="16838"/>
      <w:pgMar w:top="1440" w:right="1797" w:bottom="1191" w:left="1797" w:header="709" w:footer="709" w:gutter="0"/>
      <w:pgNumType w:start="1"/>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ACF3C50" w:usb2="00000016" w:usb3="00000000" w:csb0="0004001F" w:csb1="00000000"/>
  </w:font>
  <w:font w:name="仿宋_GB2312">
    <w:altName w:val="仿宋"/>
    <w:panose1 w:val="02010609030101010101"/>
    <w:charset w:val="86"/>
    <w:family w:val="modern"/>
    <w:pitch w:val="default"/>
    <w:sig w:usb0="00000000" w:usb1="00000000" w:usb2="00000000" w:usb3="00000000" w:csb0="00040000"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2010609030101010101"/>
    <w:charset w:val="86"/>
    <w:family w:val="modern"/>
    <w:pitch w:val="default"/>
    <w:sig w:usb0="00000000" w:usb1="00000000" w:usb2="00000010" w:usb3="00000000" w:csb0="00040000" w:csb1="00000000"/>
  </w:font>
  <w:font w:name="DengXian-Regular">
    <w:altName w:val="宋体"/>
    <w:panose1 w:val="00000000000000000000"/>
    <w:charset w:val="86"/>
    <w:family w:val="auto"/>
    <w:pitch w:val="default"/>
    <w:sig w:usb0="00000000" w:usb1="00000000" w:usb2="00000010" w:usb3="00000000" w:csb0="00040001"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p>
  <w:p>
    <w:pPr>
      <w:pStyle w:val="14"/>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4"/>
      <w:jc w:val="center"/>
    </w:pPr>
    <w:r>
      <w:fldChar w:fldCharType="begin"/>
    </w:r>
    <w:r>
      <w:instrText xml:space="preserve"> PAGE   \* MERGEFORMAT </w:instrText>
    </w:r>
    <w:r>
      <w:fldChar w:fldCharType="separate"/>
    </w:r>
    <w:r>
      <w:rPr>
        <w:lang w:val="zh-CN"/>
      </w:rPr>
      <w:t>4</w:t>
    </w:r>
    <w:r>
      <w:rPr>
        <w:lang w:val="zh-CN"/>
      </w:rPr>
      <w:fldChar w:fldCharType="end"/>
    </w:r>
  </w:p>
  <w:p>
    <w:pPr>
      <w:pStyle w:val="1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720"/>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2"/>
  </w:compat>
  <w:rsids>
    <w:rsidRoot w:val="00D31D50"/>
    <w:rsid w:val="00004179"/>
    <w:rsid w:val="0000439F"/>
    <w:rsid w:val="00007CA0"/>
    <w:rsid w:val="00015C39"/>
    <w:rsid w:val="000174D3"/>
    <w:rsid w:val="0002415F"/>
    <w:rsid w:val="00025620"/>
    <w:rsid w:val="00026F83"/>
    <w:rsid w:val="0002705B"/>
    <w:rsid w:val="000317D7"/>
    <w:rsid w:val="00032B03"/>
    <w:rsid w:val="000334C2"/>
    <w:rsid w:val="0003450B"/>
    <w:rsid w:val="0003465E"/>
    <w:rsid w:val="00034910"/>
    <w:rsid w:val="0003506D"/>
    <w:rsid w:val="000409C0"/>
    <w:rsid w:val="0004123E"/>
    <w:rsid w:val="00044599"/>
    <w:rsid w:val="000446E5"/>
    <w:rsid w:val="00044A25"/>
    <w:rsid w:val="00047D7B"/>
    <w:rsid w:val="000509B6"/>
    <w:rsid w:val="00050A62"/>
    <w:rsid w:val="000516BA"/>
    <w:rsid w:val="00051DBC"/>
    <w:rsid w:val="00052010"/>
    <w:rsid w:val="00061096"/>
    <w:rsid w:val="000612A2"/>
    <w:rsid w:val="00063117"/>
    <w:rsid w:val="00072BF5"/>
    <w:rsid w:val="000752C6"/>
    <w:rsid w:val="00075B78"/>
    <w:rsid w:val="00077648"/>
    <w:rsid w:val="00080E48"/>
    <w:rsid w:val="00091D50"/>
    <w:rsid w:val="000935D5"/>
    <w:rsid w:val="0009618D"/>
    <w:rsid w:val="00096195"/>
    <w:rsid w:val="0009756F"/>
    <w:rsid w:val="000A1F67"/>
    <w:rsid w:val="000A2079"/>
    <w:rsid w:val="000A5467"/>
    <w:rsid w:val="000B09F3"/>
    <w:rsid w:val="000B0C4A"/>
    <w:rsid w:val="000B23E8"/>
    <w:rsid w:val="000B62FE"/>
    <w:rsid w:val="000B72BC"/>
    <w:rsid w:val="000B78D7"/>
    <w:rsid w:val="000C1EA5"/>
    <w:rsid w:val="000C52FB"/>
    <w:rsid w:val="000C55E6"/>
    <w:rsid w:val="000C6D5A"/>
    <w:rsid w:val="000D09B2"/>
    <w:rsid w:val="000D7C38"/>
    <w:rsid w:val="000E0902"/>
    <w:rsid w:val="000E3830"/>
    <w:rsid w:val="000F070B"/>
    <w:rsid w:val="000F3158"/>
    <w:rsid w:val="000F364D"/>
    <w:rsid w:val="000F4432"/>
    <w:rsid w:val="000F465E"/>
    <w:rsid w:val="000F5E8C"/>
    <w:rsid w:val="001000B2"/>
    <w:rsid w:val="00104C6C"/>
    <w:rsid w:val="0010560E"/>
    <w:rsid w:val="0010612A"/>
    <w:rsid w:val="00106FF7"/>
    <w:rsid w:val="00107111"/>
    <w:rsid w:val="001073D6"/>
    <w:rsid w:val="00107819"/>
    <w:rsid w:val="0011574B"/>
    <w:rsid w:val="00116132"/>
    <w:rsid w:val="00117B9C"/>
    <w:rsid w:val="00117E7D"/>
    <w:rsid w:val="00120EA6"/>
    <w:rsid w:val="00122196"/>
    <w:rsid w:val="0012439D"/>
    <w:rsid w:val="0012587C"/>
    <w:rsid w:val="0013591D"/>
    <w:rsid w:val="00141DE8"/>
    <w:rsid w:val="00144105"/>
    <w:rsid w:val="00145B4E"/>
    <w:rsid w:val="001544E1"/>
    <w:rsid w:val="001551CE"/>
    <w:rsid w:val="00164732"/>
    <w:rsid w:val="00164FE1"/>
    <w:rsid w:val="001703D7"/>
    <w:rsid w:val="001719D0"/>
    <w:rsid w:val="00172245"/>
    <w:rsid w:val="0017403C"/>
    <w:rsid w:val="00174241"/>
    <w:rsid w:val="00176E7D"/>
    <w:rsid w:val="001804B7"/>
    <w:rsid w:val="001827F5"/>
    <w:rsid w:val="00183C43"/>
    <w:rsid w:val="00185652"/>
    <w:rsid w:val="00187750"/>
    <w:rsid w:val="00190292"/>
    <w:rsid w:val="001926B8"/>
    <w:rsid w:val="0019341A"/>
    <w:rsid w:val="001952EC"/>
    <w:rsid w:val="001A0F7A"/>
    <w:rsid w:val="001A1677"/>
    <w:rsid w:val="001A5FD3"/>
    <w:rsid w:val="001B0380"/>
    <w:rsid w:val="001B04A4"/>
    <w:rsid w:val="001B30D5"/>
    <w:rsid w:val="001B382A"/>
    <w:rsid w:val="001B5C88"/>
    <w:rsid w:val="001B6CE6"/>
    <w:rsid w:val="001C046D"/>
    <w:rsid w:val="001C1412"/>
    <w:rsid w:val="001C391F"/>
    <w:rsid w:val="001C5135"/>
    <w:rsid w:val="001C796E"/>
    <w:rsid w:val="001D1367"/>
    <w:rsid w:val="001D5041"/>
    <w:rsid w:val="001D5A7C"/>
    <w:rsid w:val="001D76AA"/>
    <w:rsid w:val="001E21EA"/>
    <w:rsid w:val="001E288A"/>
    <w:rsid w:val="001E3ABB"/>
    <w:rsid w:val="001E4C24"/>
    <w:rsid w:val="001E5C43"/>
    <w:rsid w:val="001F07B6"/>
    <w:rsid w:val="001F0B92"/>
    <w:rsid w:val="001F1094"/>
    <w:rsid w:val="001F2F0E"/>
    <w:rsid w:val="001F33AA"/>
    <w:rsid w:val="001F6236"/>
    <w:rsid w:val="00200051"/>
    <w:rsid w:val="00202D5A"/>
    <w:rsid w:val="00205F02"/>
    <w:rsid w:val="0021307B"/>
    <w:rsid w:val="002142B8"/>
    <w:rsid w:val="002161F4"/>
    <w:rsid w:val="00216E75"/>
    <w:rsid w:val="00221907"/>
    <w:rsid w:val="00222FA8"/>
    <w:rsid w:val="0022532A"/>
    <w:rsid w:val="00227AFB"/>
    <w:rsid w:val="00235741"/>
    <w:rsid w:val="00236B18"/>
    <w:rsid w:val="002401EA"/>
    <w:rsid w:val="00241B9D"/>
    <w:rsid w:val="002439D4"/>
    <w:rsid w:val="00245CB2"/>
    <w:rsid w:val="00246A44"/>
    <w:rsid w:val="00250BAC"/>
    <w:rsid w:val="00260245"/>
    <w:rsid w:val="0026252A"/>
    <w:rsid w:val="00262BB1"/>
    <w:rsid w:val="00263D3A"/>
    <w:rsid w:val="002643BE"/>
    <w:rsid w:val="00265325"/>
    <w:rsid w:val="00266E84"/>
    <w:rsid w:val="002715FC"/>
    <w:rsid w:val="002736FD"/>
    <w:rsid w:val="00274CFA"/>
    <w:rsid w:val="00275677"/>
    <w:rsid w:val="00275A3F"/>
    <w:rsid w:val="0028068C"/>
    <w:rsid w:val="00280F6C"/>
    <w:rsid w:val="00282A89"/>
    <w:rsid w:val="00283F8F"/>
    <w:rsid w:val="002869F9"/>
    <w:rsid w:val="00292F98"/>
    <w:rsid w:val="002939A0"/>
    <w:rsid w:val="002959A3"/>
    <w:rsid w:val="0029626E"/>
    <w:rsid w:val="00296E59"/>
    <w:rsid w:val="00297CEF"/>
    <w:rsid w:val="002A0364"/>
    <w:rsid w:val="002A1661"/>
    <w:rsid w:val="002A1A25"/>
    <w:rsid w:val="002A563C"/>
    <w:rsid w:val="002B05EF"/>
    <w:rsid w:val="002B2E34"/>
    <w:rsid w:val="002B76FA"/>
    <w:rsid w:val="002C029E"/>
    <w:rsid w:val="002C2C71"/>
    <w:rsid w:val="002C5A65"/>
    <w:rsid w:val="002C71F3"/>
    <w:rsid w:val="002D2112"/>
    <w:rsid w:val="002D53D7"/>
    <w:rsid w:val="002D5508"/>
    <w:rsid w:val="002D5FC1"/>
    <w:rsid w:val="002D7AB3"/>
    <w:rsid w:val="002E1D3C"/>
    <w:rsid w:val="002E1F73"/>
    <w:rsid w:val="002E269D"/>
    <w:rsid w:val="002E3460"/>
    <w:rsid w:val="002E70AE"/>
    <w:rsid w:val="002F0C41"/>
    <w:rsid w:val="002F5B6A"/>
    <w:rsid w:val="002F5BF5"/>
    <w:rsid w:val="002F5ECA"/>
    <w:rsid w:val="00306572"/>
    <w:rsid w:val="003079C7"/>
    <w:rsid w:val="003169F3"/>
    <w:rsid w:val="0032078D"/>
    <w:rsid w:val="00321CE0"/>
    <w:rsid w:val="0032231F"/>
    <w:rsid w:val="00323B43"/>
    <w:rsid w:val="00325BCC"/>
    <w:rsid w:val="003309A3"/>
    <w:rsid w:val="003345BC"/>
    <w:rsid w:val="00343662"/>
    <w:rsid w:val="0035365E"/>
    <w:rsid w:val="00355403"/>
    <w:rsid w:val="003569A8"/>
    <w:rsid w:val="00361FFF"/>
    <w:rsid w:val="00362340"/>
    <w:rsid w:val="003653A5"/>
    <w:rsid w:val="00366971"/>
    <w:rsid w:val="00367DF7"/>
    <w:rsid w:val="00370AFA"/>
    <w:rsid w:val="0037120F"/>
    <w:rsid w:val="0037242E"/>
    <w:rsid w:val="003743E9"/>
    <w:rsid w:val="0038005F"/>
    <w:rsid w:val="003803CC"/>
    <w:rsid w:val="00382949"/>
    <w:rsid w:val="00391AE3"/>
    <w:rsid w:val="00396D4C"/>
    <w:rsid w:val="003A02BE"/>
    <w:rsid w:val="003A1765"/>
    <w:rsid w:val="003A3C32"/>
    <w:rsid w:val="003A4D02"/>
    <w:rsid w:val="003A4D52"/>
    <w:rsid w:val="003A536E"/>
    <w:rsid w:val="003B6DEC"/>
    <w:rsid w:val="003B79D3"/>
    <w:rsid w:val="003C2B92"/>
    <w:rsid w:val="003D126B"/>
    <w:rsid w:val="003D1D33"/>
    <w:rsid w:val="003D22C9"/>
    <w:rsid w:val="003D28AC"/>
    <w:rsid w:val="003D37D8"/>
    <w:rsid w:val="003D7B2A"/>
    <w:rsid w:val="003E266C"/>
    <w:rsid w:val="003E3C05"/>
    <w:rsid w:val="003F282F"/>
    <w:rsid w:val="00400E89"/>
    <w:rsid w:val="00401AB4"/>
    <w:rsid w:val="00402CA2"/>
    <w:rsid w:val="00402D95"/>
    <w:rsid w:val="00403ADD"/>
    <w:rsid w:val="00407629"/>
    <w:rsid w:val="004108EE"/>
    <w:rsid w:val="00410F1A"/>
    <w:rsid w:val="00412A31"/>
    <w:rsid w:val="004200B9"/>
    <w:rsid w:val="00426133"/>
    <w:rsid w:val="004300B1"/>
    <w:rsid w:val="00430AF8"/>
    <w:rsid w:val="0043148F"/>
    <w:rsid w:val="0043354D"/>
    <w:rsid w:val="00434EB0"/>
    <w:rsid w:val="004358AB"/>
    <w:rsid w:val="00435DA7"/>
    <w:rsid w:val="004370A2"/>
    <w:rsid w:val="00445C28"/>
    <w:rsid w:val="004468B5"/>
    <w:rsid w:val="00451E9F"/>
    <w:rsid w:val="004551F1"/>
    <w:rsid w:val="00456648"/>
    <w:rsid w:val="00457E00"/>
    <w:rsid w:val="00461E7C"/>
    <w:rsid w:val="004639E0"/>
    <w:rsid w:val="00463A6D"/>
    <w:rsid w:val="00465A21"/>
    <w:rsid w:val="0047047F"/>
    <w:rsid w:val="00472C49"/>
    <w:rsid w:val="00474DE3"/>
    <w:rsid w:val="00477959"/>
    <w:rsid w:val="00486217"/>
    <w:rsid w:val="00486A56"/>
    <w:rsid w:val="00494D73"/>
    <w:rsid w:val="004A19C4"/>
    <w:rsid w:val="004A6EA4"/>
    <w:rsid w:val="004B146A"/>
    <w:rsid w:val="004B1E69"/>
    <w:rsid w:val="004B4146"/>
    <w:rsid w:val="004B5892"/>
    <w:rsid w:val="004B59DD"/>
    <w:rsid w:val="004B5E88"/>
    <w:rsid w:val="004B5EDE"/>
    <w:rsid w:val="004C0341"/>
    <w:rsid w:val="004C46D3"/>
    <w:rsid w:val="004C5D39"/>
    <w:rsid w:val="004C7656"/>
    <w:rsid w:val="004C7C48"/>
    <w:rsid w:val="004D21B9"/>
    <w:rsid w:val="004D21FF"/>
    <w:rsid w:val="004D2DD5"/>
    <w:rsid w:val="004D41F0"/>
    <w:rsid w:val="004D55F1"/>
    <w:rsid w:val="004D578A"/>
    <w:rsid w:val="004D656B"/>
    <w:rsid w:val="004D7523"/>
    <w:rsid w:val="004E0AA9"/>
    <w:rsid w:val="004E1AEF"/>
    <w:rsid w:val="004E3774"/>
    <w:rsid w:val="004E446B"/>
    <w:rsid w:val="004E5448"/>
    <w:rsid w:val="004E5DFC"/>
    <w:rsid w:val="004E642E"/>
    <w:rsid w:val="004E7ADC"/>
    <w:rsid w:val="004F4875"/>
    <w:rsid w:val="005031BA"/>
    <w:rsid w:val="00507211"/>
    <w:rsid w:val="00507934"/>
    <w:rsid w:val="0051171B"/>
    <w:rsid w:val="00512D1D"/>
    <w:rsid w:val="005131A5"/>
    <w:rsid w:val="00515160"/>
    <w:rsid w:val="00516D5A"/>
    <w:rsid w:val="005170FB"/>
    <w:rsid w:val="0052300D"/>
    <w:rsid w:val="00523B77"/>
    <w:rsid w:val="0052474C"/>
    <w:rsid w:val="00525074"/>
    <w:rsid w:val="00525520"/>
    <w:rsid w:val="005319EE"/>
    <w:rsid w:val="00531BE2"/>
    <w:rsid w:val="005421AC"/>
    <w:rsid w:val="00544C1A"/>
    <w:rsid w:val="00546D1B"/>
    <w:rsid w:val="0055027D"/>
    <w:rsid w:val="00554FA1"/>
    <w:rsid w:val="00556934"/>
    <w:rsid w:val="005601FB"/>
    <w:rsid w:val="005607DF"/>
    <w:rsid w:val="00564377"/>
    <w:rsid w:val="00564538"/>
    <w:rsid w:val="00566A89"/>
    <w:rsid w:val="00567E07"/>
    <w:rsid w:val="005771F7"/>
    <w:rsid w:val="00577B7B"/>
    <w:rsid w:val="00583F7F"/>
    <w:rsid w:val="0058600B"/>
    <w:rsid w:val="00587913"/>
    <w:rsid w:val="00593428"/>
    <w:rsid w:val="00593B65"/>
    <w:rsid w:val="005A15D6"/>
    <w:rsid w:val="005A1FD8"/>
    <w:rsid w:val="005A317D"/>
    <w:rsid w:val="005A79F9"/>
    <w:rsid w:val="005C3594"/>
    <w:rsid w:val="005C46B7"/>
    <w:rsid w:val="005C7C8B"/>
    <w:rsid w:val="005D5617"/>
    <w:rsid w:val="005D6591"/>
    <w:rsid w:val="005D6869"/>
    <w:rsid w:val="005D7446"/>
    <w:rsid w:val="005E5F88"/>
    <w:rsid w:val="005F06F5"/>
    <w:rsid w:val="005F46C0"/>
    <w:rsid w:val="005F471D"/>
    <w:rsid w:val="005F720A"/>
    <w:rsid w:val="005F7467"/>
    <w:rsid w:val="005F78E7"/>
    <w:rsid w:val="006007F3"/>
    <w:rsid w:val="0060402C"/>
    <w:rsid w:val="0061252A"/>
    <w:rsid w:val="006135B3"/>
    <w:rsid w:val="006138D4"/>
    <w:rsid w:val="00616C03"/>
    <w:rsid w:val="00616F30"/>
    <w:rsid w:val="006215A2"/>
    <w:rsid w:val="00621F7D"/>
    <w:rsid w:val="00622AD1"/>
    <w:rsid w:val="00623267"/>
    <w:rsid w:val="00625428"/>
    <w:rsid w:val="0062670B"/>
    <w:rsid w:val="00630B86"/>
    <w:rsid w:val="00630F5B"/>
    <w:rsid w:val="00634C66"/>
    <w:rsid w:val="006352D1"/>
    <w:rsid w:val="00636E1A"/>
    <w:rsid w:val="00642BA5"/>
    <w:rsid w:val="006434E0"/>
    <w:rsid w:val="00650C90"/>
    <w:rsid w:val="0065172D"/>
    <w:rsid w:val="0065287D"/>
    <w:rsid w:val="0065671B"/>
    <w:rsid w:val="00656A5A"/>
    <w:rsid w:val="00663A42"/>
    <w:rsid w:val="0066418E"/>
    <w:rsid w:val="0066469F"/>
    <w:rsid w:val="0067780F"/>
    <w:rsid w:val="00686C30"/>
    <w:rsid w:val="00690FA3"/>
    <w:rsid w:val="0069331D"/>
    <w:rsid w:val="00696DF8"/>
    <w:rsid w:val="0069783E"/>
    <w:rsid w:val="00697E26"/>
    <w:rsid w:val="006A0330"/>
    <w:rsid w:val="006A3AE1"/>
    <w:rsid w:val="006A3B57"/>
    <w:rsid w:val="006A6AB2"/>
    <w:rsid w:val="006B117D"/>
    <w:rsid w:val="006B19B7"/>
    <w:rsid w:val="006B392C"/>
    <w:rsid w:val="006B4CC0"/>
    <w:rsid w:val="006B65B0"/>
    <w:rsid w:val="006C5198"/>
    <w:rsid w:val="006C6A07"/>
    <w:rsid w:val="006E0A3D"/>
    <w:rsid w:val="006E27F1"/>
    <w:rsid w:val="006E5BC8"/>
    <w:rsid w:val="006E7CBA"/>
    <w:rsid w:val="006F222F"/>
    <w:rsid w:val="006F7B69"/>
    <w:rsid w:val="0070241F"/>
    <w:rsid w:val="007024A9"/>
    <w:rsid w:val="00703C96"/>
    <w:rsid w:val="007130D7"/>
    <w:rsid w:val="00713E98"/>
    <w:rsid w:val="00715591"/>
    <w:rsid w:val="00715AE8"/>
    <w:rsid w:val="0072516F"/>
    <w:rsid w:val="00725D44"/>
    <w:rsid w:val="0073034D"/>
    <w:rsid w:val="00731ADC"/>
    <w:rsid w:val="007330F2"/>
    <w:rsid w:val="00733DB0"/>
    <w:rsid w:val="00735043"/>
    <w:rsid w:val="00740444"/>
    <w:rsid w:val="00744577"/>
    <w:rsid w:val="007452CF"/>
    <w:rsid w:val="00746055"/>
    <w:rsid w:val="00746DA9"/>
    <w:rsid w:val="00747086"/>
    <w:rsid w:val="007515E2"/>
    <w:rsid w:val="00756D66"/>
    <w:rsid w:val="00761D80"/>
    <w:rsid w:val="0076364A"/>
    <w:rsid w:val="00766FC5"/>
    <w:rsid w:val="00770E5B"/>
    <w:rsid w:val="00772930"/>
    <w:rsid w:val="00776E20"/>
    <w:rsid w:val="007814AF"/>
    <w:rsid w:val="007825F0"/>
    <w:rsid w:val="00787F88"/>
    <w:rsid w:val="0079721A"/>
    <w:rsid w:val="007A095C"/>
    <w:rsid w:val="007A0AF8"/>
    <w:rsid w:val="007A283A"/>
    <w:rsid w:val="007A65C8"/>
    <w:rsid w:val="007A6B16"/>
    <w:rsid w:val="007A7AC4"/>
    <w:rsid w:val="007B639C"/>
    <w:rsid w:val="007B7036"/>
    <w:rsid w:val="007C0870"/>
    <w:rsid w:val="007C2D10"/>
    <w:rsid w:val="007C457D"/>
    <w:rsid w:val="007D02A9"/>
    <w:rsid w:val="007D166D"/>
    <w:rsid w:val="007D17C7"/>
    <w:rsid w:val="007D2766"/>
    <w:rsid w:val="007D2FF7"/>
    <w:rsid w:val="007D74D8"/>
    <w:rsid w:val="007E13A4"/>
    <w:rsid w:val="007E20CA"/>
    <w:rsid w:val="007E3988"/>
    <w:rsid w:val="007E4698"/>
    <w:rsid w:val="007E6959"/>
    <w:rsid w:val="007E6991"/>
    <w:rsid w:val="007E7A36"/>
    <w:rsid w:val="007F222D"/>
    <w:rsid w:val="007F3FB7"/>
    <w:rsid w:val="007F518D"/>
    <w:rsid w:val="007F68FE"/>
    <w:rsid w:val="007F7E7E"/>
    <w:rsid w:val="00803C29"/>
    <w:rsid w:val="00804E5E"/>
    <w:rsid w:val="00804FAA"/>
    <w:rsid w:val="00805678"/>
    <w:rsid w:val="00805D26"/>
    <w:rsid w:val="0081553D"/>
    <w:rsid w:val="00815BE9"/>
    <w:rsid w:val="00815C94"/>
    <w:rsid w:val="00815CF6"/>
    <w:rsid w:val="00816990"/>
    <w:rsid w:val="00817981"/>
    <w:rsid w:val="00822851"/>
    <w:rsid w:val="00824A75"/>
    <w:rsid w:val="0082509A"/>
    <w:rsid w:val="00825A51"/>
    <w:rsid w:val="00825D53"/>
    <w:rsid w:val="008272DF"/>
    <w:rsid w:val="00831065"/>
    <w:rsid w:val="008337A7"/>
    <w:rsid w:val="00835BCB"/>
    <w:rsid w:val="00836773"/>
    <w:rsid w:val="00836E6A"/>
    <w:rsid w:val="008410D0"/>
    <w:rsid w:val="00841559"/>
    <w:rsid w:val="0084558B"/>
    <w:rsid w:val="00845924"/>
    <w:rsid w:val="00846107"/>
    <w:rsid w:val="00847E07"/>
    <w:rsid w:val="00851297"/>
    <w:rsid w:val="00852C43"/>
    <w:rsid w:val="00853737"/>
    <w:rsid w:val="008541B8"/>
    <w:rsid w:val="00857249"/>
    <w:rsid w:val="00861067"/>
    <w:rsid w:val="00862AE2"/>
    <w:rsid w:val="00862C25"/>
    <w:rsid w:val="00863CA2"/>
    <w:rsid w:val="00864A80"/>
    <w:rsid w:val="008655ED"/>
    <w:rsid w:val="00866942"/>
    <w:rsid w:val="00871B0D"/>
    <w:rsid w:val="00871B14"/>
    <w:rsid w:val="008735A1"/>
    <w:rsid w:val="00875962"/>
    <w:rsid w:val="00880325"/>
    <w:rsid w:val="00882ABD"/>
    <w:rsid w:val="008844A4"/>
    <w:rsid w:val="008857CC"/>
    <w:rsid w:val="0089314F"/>
    <w:rsid w:val="0089328E"/>
    <w:rsid w:val="0089513A"/>
    <w:rsid w:val="00896069"/>
    <w:rsid w:val="00896786"/>
    <w:rsid w:val="008976AB"/>
    <w:rsid w:val="008A2C15"/>
    <w:rsid w:val="008A3DBA"/>
    <w:rsid w:val="008A483E"/>
    <w:rsid w:val="008A5601"/>
    <w:rsid w:val="008B7726"/>
    <w:rsid w:val="008C08EC"/>
    <w:rsid w:val="008C2997"/>
    <w:rsid w:val="008C443B"/>
    <w:rsid w:val="008C538A"/>
    <w:rsid w:val="008D0618"/>
    <w:rsid w:val="008D1AEB"/>
    <w:rsid w:val="008D1E23"/>
    <w:rsid w:val="008D2A7C"/>
    <w:rsid w:val="008D3031"/>
    <w:rsid w:val="008D4F00"/>
    <w:rsid w:val="008D7DBC"/>
    <w:rsid w:val="008E08B2"/>
    <w:rsid w:val="008E0AFC"/>
    <w:rsid w:val="008E1E43"/>
    <w:rsid w:val="008E3116"/>
    <w:rsid w:val="008E637F"/>
    <w:rsid w:val="008E66FE"/>
    <w:rsid w:val="008F27DB"/>
    <w:rsid w:val="008F5B6F"/>
    <w:rsid w:val="009002A3"/>
    <w:rsid w:val="0090038C"/>
    <w:rsid w:val="009007EC"/>
    <w:rsid w:val="00900EF5"/>
    <w:rsid w:val="00901EE5"/>
    <w:rsid w:val="0090421D"/>
    <w:rsid w:val="00906447"/>
    <w:rsid w:val="0091349D"/>
    <w:rsid w:val="009141C7"/>
    <w:rsid w:val="009160EA"/>
    <w:rsid w:val="00920597"/>
    <w:rsid w:val="00921E42"/>
    <w:rsid w:val="00922872"/>
    <w:rsid w:val="0092425B"/>
    <w:rsid w:val="00924D39"/>
    <w:rsid w:val="00924FFE"/>
    <w:rsid w:val="009263C3"/>
    <w:rsid w:val="009268AB"/>
    <w:rsid w:val="009364FF"/>
    <w:rsid w:val="00942397"/>
    <w:rsid w:val="009425B4"/>
    <w:rsid w:val="00946F52"/>
    <w:rsid w:val="00950F44"/>
    <w:rsid w:val="00952A7D"/>
    <w:rsid w:val="00952BF8"/>
    <w:rsid w:val="00953747"/>
    <w:rsid w:val="0095565A"/>
    <w:rsid w:val="00955918"/>
    <w:rsid w:val="00960439"/>
    <w:rsid w:val="00961D67"/>
    <w:rsid w:val="00962D93"/>
    <w:rsid w:val="009636EF"/>
    <w:rsid w:val="0096408D"/>
    <w:rsid w:val="009651A8"/>
    <w:rsid w:val="009657E9"/>
    <w:rsid w:val="0096666B"/>
    <w:rsid w:val="0097114E"/>
    <w:rsid w:val="009719C3"/>
    <w:rsid w:val="0097578E"/>
    <w:rsid w:val="00976E55"/>
    <w:rsid w:val="009814B0"/>
    <w:rsid w:val="00984D41"/>
    <w:rsid w:val="009852BB"/>
    <w:rsid w:val="009853C4"/>
    <w:rsid w:val="0098547C"/>
    <w:rsid w:val="009860B4"/>
    <w:rsid w:val="00986724"/>
    <w:rsid w:val="0098718E"/>
    <w:rsid w:val="00994269"/>
    <w:rsid w:val="0099439A"/>
    <w:rsid w:val="00994737"/>
    <w:rsid w:val="009A0F00"/>
    <w:rsid w:val="009A37AE"/>
    <w:rsid w:val="009A4059"/>
    <w:rsid w:val="009A47EF"/>
    <w:rsid w:val="009B1979"/>
    <w:rsid w:val="009B1E1B"/>
    <w:rsid w:val="009B2CC0"/>
    <w:rsid w:val="009B4C38"/>
    <w:rsid w:val="009C0DAB"/>
    <w:rsid w:val="009C1E20"/>
    <w:rsid w:val="009D0378"/>
    <w:rsid w:val="009D0F18"/>
    <w:rsid w:val="009D1EFB"/>
    <w:rsid w:val="009D5964"/>
    <w:rsid w:val="009D6A0C"/>
    <w:rsid w:val="009E0725"/>
    <w:rsid w:val="009E1492"/>
    <w:rsid w:val="009E4B3F"/>
    <w:rsid w:val="009E5877"/>
    <w:rsid w:val="009F69B0"/>
    <w:rsid w:val="00A0310D"/>
    <w:rsid w:val="00A073F4"/>
    <w:rsid w:val="00A07BBE"/>
    <w:rsid w:val="00A16439"/>
    <w:rsid w:val="00A21057"/>
    <w:rsid w:val="00A217CE"/>
    <w:rsid w:val="00A21E86"/>
    <w:rsid w:val="00A22DFB"/>
    <w:rsid w:val="00A305E3"/>
    <w:rsid w:val="00A353F1"/>
    <w:rsid w:val="00A357B0"/>
    <w:rsid w:val="00A35B22"/>
    <w:rsid w:val="00A42B99"/>
    <w:rsid w:val="00A479B6"/>
    <w:rsid w:val="00A50D3C"/>
    <w:rsid w:val="00A532E3"/>
    <w:rsid w:val="00A54D9C"/>
    <w:rsid w:val="00A57200"/>
    <w:rsid w:val="00A57865"/>
    <w:rsid w:val="00A62B31"/>
    <w:rsid w:val="00A64850"/>
    <w:rsid w:val="00A65003"/>
    <w:rsid w:val="00A65202"/>
    <w:rsid w:val="00A73299"/>
    <w:rsid w:val="00A7536B"/>
    <w:rsid w:val="00A80356"/>
    <w:rsid w:val="00A816B6"/>
    <w:rsid w:val="00A82D81"/>
    <w:rsid w:val="00A96E79"/>
    <w:rsid w:val="00AA2033"/>
    <w:rsid w:val="00AA4A07"/>
    <w:rsid w:val="00AA6230"/>
    <w:rsid w:val="00AB632D"/>
    <w:rsid w:val="00AC5444"/>
    <w:rsid w:val="00AC70E1"/>
    <w:rsid w:val="00AD1D29"/>
    <w:rsid w:val="00AD328E"/>
    <w:rsid w:val="00AD5147"/>
    <w:rsid w:val="00AE0837"/>
    <w:rsid w:val="00AE11C8"/>
    <w:rsid w:val="00AE355C"/>
    <w:rsid w:val="00AE4EFC"/>
    <w:rsid w:val="00AE5731"/>
    <w:rsid w:val="00AE7127"/>
    <w:rsid w:val="00AF6BA2"/>
    <w:rsid w:val="00AF7801"/>
    <w:rsid w:val="00B019E2"/>
    <w:rsid w:val="00B020ED"/>
    <w:rsid w:val="00B036CB"/>
    <w:rsid w:val="00B130D5"/>
    <w:rsid w:val="00B13566"/>
    <w:rsid w:val="00B13A54"/>
    <w:rsid w:val="00B14220"/>
    <w:rsid w:val="00B16868"/>
    <w:rsid w:val="00B17251"/>
    <w:rsid w:val="00B2159A"/>
    <w:rsid w:val="00B21D32"/>
    <w:rsid w:val="00B313B2"/>
    <w:rsid w:val="00B337AE"/>
    <w:rsid w:val="00B34A43"/>
    <w:rsid w:val="00B36912"/>
    <w:rsid w:val="00B404A0"/>
    <w:rsid w:val="00B4256A"/>
    <w:rsid w:val="00B432AB"/>
    <w:rsid w:val="00B54D75"/>
    <w:rsid w:val="00B60C2A"/>
    <w:rsid w:val="00B65FC0"/>
    <w:rsid w:val="00B707DD"/>
    <w:rsid w:val="00B719F4"/>
    <w:rsid w:val="00B73995"/>
    <w:rsid w:val="00B74DBC"/>
    <w:rsid w:val="00B75E08"/>
    <w:rsid w:val="00B76684"/>
    <w:rsid w:val="00B7698F"/>
    <w:rsid w:val="00B85F5F"/>
    <w:rsid w:val="00B86395"/>
    <w:rsid w:val="00B86E2B"/>
    <w:rsid w:val="00B91DEC"/>
    <w:rsid w:val="00B92A56"/>
    <w:rsid w:val="00B931F8"/>
    <w:rsid w:val="00B95DB0"/>
    <w:rsid w:val="00B9722F"/>
    <w:rsid w:val="00B97741"/>
    <w:rsid w:val="00BA0721"/>
    <w:rsid w:val="00BA1883"/>
    <w:rsid w:val="00BA227D"/>
    <w:rsid w:val="00BA3EFA"/>
    <w:rsid w:val="00BA4C84"/>
    <w:rsid w:val="00BC09FC"/>
    <w:rsid w:val="00BC0DD5"/>
    <w:rsid w:val="00BC60E6"/>
    <w:rsid w:val="00BE66AA"/>
    <w:rsid w:val="00BE73B9"/>
    <w:rsid w:val="00BF444F"/>
    <w:rsid w:val="00BF77F5"/>
    <w:rsid w:val="00C01D8A"/>
    <w:rsid w:val="00C023EF"/>
    <w:rsid w:val="00C15415"/>
    <w:rsid w:val="00C16FE4"/>
    <w:rsid w:val="00C172EB"/>
    <w:rsid w:val="00C22F98"/>
    <w:rsid w:val="00C2363B"/>
    <w:rsid w:val="00C26560"/>
    <w:rsid w:val="00C3062F"/>
    <w:rsid w:val="00C32E7A"/>
    <w:rsid w:val="00C408D9"/>
    <w:rsid w:val="00C42DB9"/>
    <w:rsid w:val="00C447FD"/>
    <w:rsid w:val="00C44B90"/>
    <w:rsid w:val="00C51434"/>
    <w:rsid w:val="00C51743"/>
    <w:rsid w:val="00C51A61"/>
    <w:rsid w:val="00C57393"/>
    <w:rsid w:val="00C64C71"/>
    <w:rsid w:val="00C6528B"/>
    <w:rsid w:val="00C661B3"/>
    <w:rsid w:val="00C70300"/>
    <w:rsid w:val="00C7037D"/>
    <w:rsid w:val="00C70637"/>
    <w:rsid w:val="00C71DC8"/>
    <w:rsid w:val="00C73E69"/>
    <w:rsid w:val="00C74592"/>
    <w:rsid w:val="00C767BA"/>
    <w:rsid w:val="00C8048C"/>
    <w:rsid w:val="00C80C68"/>
    <w:rsid w:val="00C86E9A"/>
    <w:rsid w:val="00C90CE5"/>
    <w:rsid w:val="00C93A3D"/>
    <w:rsid w:val="00C94F0A"/>
    <w:rsid w:val="00CA3203"/>
    <w:rsid w:val="00CA6058"/>
    <w:rsid w:val="00CA6BD1"/>
    <w:rsid w:val="00CB1B1B"/>
    <w:rsid w:val="00CB3E03"/>
    <w:rsid w:val="00CB580D"/>
    <w:rsid w:val="00CB6098"/>
    <w:rsid w:val="00CB623E"/>
    <w:rsid w:val="00CC0BA5"/>
    <w:rsid w:val="00CC1F3E"/>
    <w:rsid w:val="00CC236E"/>
    <w:rsid w:val="00CC2B2A"/>
    <w:rsid w:val="00CC6216"/>
    <w:rsid w:val="00CC6A8D"/>
    <w:rsid w:val="00CC70FA"/>
    <w:rsid w:val="00CD37C3"/>
    <w:rsid w:val="00CD3911"/>
    <w:rsid w:val="00CD48EF"/>
    <w:rsid w:val="00CD4BA1"/>
    <w:rsid w:val="00CD59A6"/>
    <w:rsid w:val="00CE33C1"/>
    <w:rsid w:val="00CE3834"/>
    <w:rsid w:val="00CF148C"/>
    <w:rsid w:val="00CF3D94"/>
    <w:rsid w:val="00CF48A3"/>
    <w:rsid w:val="00CF5081"/>
    <w:rsid w:val="00D058E4"/>
    <w:rsid w:val="00D07178"/>
    <w:rsid w:val="00D11C0B"/>
    <w:rsid w:val="00D11EE9"/>
    <w:rsid w:val="00D13F47"/>
    <w:rsid w:val="00D14E66"/>
    <w:rsid w:val="00D17631"/>
    <w:rsid w:val="00D17CD3"/>
    <w:rsid w:val="00D21B22"/>
    <w:rsid w:val="00D24AEB"/>
    <w:rsid w:val="00D24AFD"/>
    <w:rsid w:val="00D27902"/>
    <w:rsid w:val="00D27984"/>
    <w:rsid w:val="00D31D50"/>
    <w:rsid w:val="00D323E9"/>
    <w:rsid w:val="00D34F5B"/>
    <w:rsid w:val="00D35023"/>
    <w:rsid w:val="00D403B8"/>
    <w:rsid w:val="00D45C1B"/>
    <w:rsid w:val="00D45E14"/>
    <w:rsid w:val="00D51C9A"/>
    <w:rsid w:val="00D5318C"/>
    <w:rsid w:val="00D53371"/>
    <w:rsid w:val="00D53BD5"/>
    <w:rsid w:val="00D55621"/>
    <w:rsid w:val="00D6000E"/>
    <w:rsid w:val="00D713D6"/>
    <w:rsid w:val="00D72DAF"/>
    <w:rsid w:val="00D75BB9"/>
    <w:rsid w:val="00D76276"/>
    <w:rsid w:val="00D77919"/>
    <w:rsid w:val="00D8083C"/>
    <w:rsid w:val="00D85F8D"/>
    <w:rsid w:val="00D87F81"/>
    <w:rsid w:val="00D90E39"/>
    <w:rsid w:val="00D97E89"/>
    <w:rsid w:val="00DA45EE"/>
    <w:rsid w:val="00DA58A3"/>
    <w:rsid w:val="00DB2F5B"/>
    <w:rsid w:val="00DB46CB"/>
    <w:rsid w:val="00DB695F"/>
    <w:rsid w:val="00DC03E7"/>
    <w:rsid w:val="00DC3710"/>
    <w:rsid w:val="00DC3B9E"/>
    <w:rsid w:val="00DC4FB9"/>
    <w:rsid w:val="00DC545F"/>
    <w:rsid w:val="00DC54A9"/>
    <w:rsid w:val="00DC6139"/>
    <w:rsid w:val="00DC6686"/>
    <w:rsid w:val="00DC6D84"/>
    <w:rsid w:val="00DC7F68"/>
    <w:rsid w:val="00DD1D7F"/>
    <w:rsid w:val="00DD360A"/>
    <w:rsid w:val="00DD7F91"/>
    <w:rsid w:val="00DE0985"/>
    <w:rsid w:val="00DE42BF"/>
    <w:rsid w:val="00DE4A1A"/>
    <w:rsid w:val="00DE4E11"/>
    <w:rsid w:val="00DE53FE"/>
    <w:rsid w:val="00DE6ED8"/>
    <w:rsid w:val="00E00A5F"/>
    <w:rsid w:val="00E05D64"/>
    <w:rsid w:val="00E07ABB"/>
    <w:rsid w:val="00E07D8F"/>
    <w:rsid w:val="00E13762"/>
    <w:rsid w:val="00E14E2F"/>
    <w:rsid w:val="00E1552D"/>
    <w:rsid w:val="00E1640B"/>
    <w:rsid w:val="00E317A6"/>
    <w:rsid w:val="00E3190E"/>
    <w:rsid w:val="00E31F05"/>
    <w:rsid w:val="00E32285"/>
    <w:rsid w:val="00E34295"/>
    <w:rsid w:val="00E3667E"/>
    <w:rsid w:val="00E4228D"/>
    <w:rsid w:val="00E4254E"/>
    <w:rsid w:val="00E4608C"/>
    <w:rsid w:val="00E502A2"/>
    <w:rsid w:val="00E521B6"/>
    <w:rsid w:val="00E52931"/>
    <w:rsid w:val="00E53ACE"/>
    <w:rsid w:val="00E5519B"/>
    <w:rsid w:val="00E55FEE"/>
    <w:rsid w:val="00E57BD3"/>
    <w:rsid w:val="00E57D38"/>
    <w:rsid w:val="00E65332"/>
    <w:rsid w:val="00E65F77"/>
    <w:rsid w:val="00E670CD"/>
    <w:rsid w:val="00E67EA9"/>
    <w:rsid w:val="00E7727F"/>
    <w:rsid w:val="00E83519"/>
    <w:rsid w:val="00E91889"/>
    <w:rsid w:val="00E91F0F"/>
    <w:rsid w:val="00E944E2"/>
    <w:rsid w:val="00E95C54"/>
    <w:rsid w:val="00E96103"/>
    <w:rsid w:val="00EA027D"/>
    <w:rsid w:val="00EB22CF"/>
    <w:rsid w:val="00EB3414"/>
    <w:rsid w:val="00EB39DD"/>
    <w:rsid w:val="00EB40E4"/>
    <w:rsid w:val="00EB67BA"/>
    <w:rsid w:val="00EC16F8"/>
    <w:rsid w:val="00EC306F"/>
    <w:rsid w:val="00EC408E"/>
    <w:rsid w:val="00EC41F2"/>
    <w:rsid w:val="00EC4E40"/>
    <w:rsid w:val="00EC4EB3"/>
    <w:rsid w:val="00EC5617"/>
    <w:rsid w:val="00EC7C9E"/>
    <w:rsid w:val="00ED230D"/>
    <w:rsid w:val="00ED2440"/>
    <w:rsid w:val="00EE1C0B"/>
    <w:rsid w:val="00EE59D0"/>
    <w:rsid w:val="00EE7FF3"/>
    <w:rsid w:val="00EF26BF"/>
    <w:rsid w:val="00EF4861"/>
    <w:rsid w:val="00EF50C7"/>
    <w:rsid w:val="00EF5E19"/>
    <w:rsid w:val="00EF779D"/>
    <w:rsid w:val="00EF7E82"/>
    <w:rsid w:val="00F01970"/>
    <w:rsid w:val="00F01B91"/>
    <w:rsid w:val="00F06AF6"/>
    <w:rsid w:val="00F079A5"/>
    <w:rsid w:val="00F07F69"/>
    <w:rsid w:val="00F107F9"/>
    <w:rsid w:val="00F111E0"/>
    <w:rsid w:val="00F117D4"/>
    <w:rsid w:val="00F16475"/>
    <w:rsid w:val="00F22D55"/>
    <w:rsid w:val="00F24A9A"/>
    <w:rsid w:val="00F2592D"/>
    <w:rsid w:val="00F25C5F"/>
    <w:rsid w:val="00F3182D"/>
    <w:rsid w:val="00F34EF2"/>
    <w:rsid w:val="00F3580F"/>
    <w:rsid w:val="00F406BB"/>
    <w:rsid w:val="00F44AD0"/>
    <w:rsid w:val="00F50379"/>
    <w:rsid w:val="00F55102"/>
    <w:rsid w:val="00F57115"/>
    <w:rsid w:val="00F6298B"/>
    <w:rsid w:val="00F63B02"/>
    <w:rsid w:val="00F65350"/>
    <w:rsid w:val="00F65C21"/>
    <w:rsid w:val="00F700A6"/>
    <w:rsid w:val="00F760D1"/>
    <w:rsid w:val="00F8151A"/>
    <w:rsid w:val="00F83788"/>
    <w:rsid w:val="00F84D69"/>
    <w:rsid w:val="00F85054"/>
    <w:rsid w:val="00F87AEF"/>
    <w:rsid w:val="00F87C14"/>
    <w:rsid w:val="00F94F61"/>
    <w:rsid w:val="00FA17B4"/>
    <w:rsid w:val="00FA3581"/>
    <w:rsid w:val="00FB10B8"/>
    <w:rsid w:val="00FB24BA"/>
    <w:rsid w:val="00FB28C8"/>
    <w:rsid w:val="00FB381D"/>
    <w:rsid w:val="00FB6172"/>
    <w:rsid w:val="00FB6492"/>
    <w:rsid w:val="00FC007D"/>
    <w:rsid w:val="00FC131A"/>
    <w:rsid w:val="00FC224A"/>
    <w:rsid w:val="00FC43D6"/>
    <w:rsid w:val="00FD2208"/>
    <w:rsid w:val="00FD2EC4"/>
    <w:rsid w:val="00FD63D3"/>
    <w:rsid w:val="00FD717D"/>
    <w:rsid w:val="00FE44CF"/>
    <w:rsid w:val="00FF1239"/>
    <w:rsid w:val="00FF1AC1"/>
    <w:rsid w:val="00FF5DE3"/>
    <w:rsid w:val="00FF62F7"/>
    <w:rsid w:val="00FF6EAF"/>
    <w:rsid w:val="00FF7408"/>
    <w:rsid w:val="01F65399"/>
    <w:rsid w:val="026A1A9F"/>
    <w:rsid w:val="03226A0E"/>
    <w:rsid w:val="04260169"/>
    <w:rsid w:val="04CC4830"/>
    <w:rsid w:val="050945F2"/>
    <w:rsid w:val="050E4034"/>
    <w:rsid w:val="056F4DC0"/>
    <w:rsid w:val="05F86FA8"/>
    <w:rsid w:val="06174B4A"/>
    <w:rsid w:val="06342461"/>
    <w:rsid w:val="065C2670"/>
    <w:rsid w:val="06677EA2"/>
    <w:rsid w:val="06F06056"/>
    <w:rsid w:val="07021FF9"/>
    <w:rsid w:val="071C7BC7"/>
    <w:rsid w:val="075A67A2"/>
    <w:rsid w:val="0840050B"/>
    <w:rsid w:val="086D38AF"/>
    <w:rsid w:val="08C44882"/>
    <w:rsid w:val="08C94E4D"/>
    <w:rsid w:val="0915227D"/>
    <w:rsid w:val="09164C3B"/>
    <w:rsid w:val="099842FD"/>
    <w:rsid w:val="0A33750A"/>
    <w:rsid w:val="0A3A2559"/>
    <w:rsid w:val="0A805158"/>
    <w:rsid w:val="0AF87126"/>
    <w:rsid w:val="0B4B1CD9"/>
    <w:rsid w:val="0B9B2EBC"/>
    <w:rsid w:val="0BA309DB"/>
    <w:rsid w:val="0BC90D6D"/>
    <w:rsid w:val="0BCB508B"/>
    <w:rsid w:val="0C070B14"/>
    <w:rsid w:val="0C1A22A8"/>
    <w:rsid w:val="0C26236E"/>
    <w:rsid w:val="0C9306BE"/>
    <w:rsid w:val="0CB05CD1"/>
    <w:rsid w:val="0D1B39E9"/>
    <w:rsid w:val="0DCB2021"/>
    <w:rsid w:val="0DEE4853"/>
    <w:rsid w:val="0E3A01CC"/>
    <w:rsid w:val="0E9172D3"/>
    <w:rsid w:val="0EE46973"/>
    <w:rsid w:val="0EF1422C"/>
    <w:rsid w:val="0F00093E"/>
    <w:rsid w:val="0F050C87"/>
    <w:rsid w:val="0F3B23D4"/>
    <w:rsid w:val="0F3B3DD7"/>
    <w:rsid w:val="107B6AE8"/>
    <w:rsid w:val="11195DC6"/>
    <w:rsid w:val="115A70AD"/>
    <w:rsid w:val="116421D6"/>
    <w:rsid w:val="11EA1B00"/>
    <w:rsid w:val="121F5AC5"/>
    <w:rsid w:val="125037BB"/>
    <w:rsid w:val="12521250"/>
    <w:rsid w:val="12524B60"/>
    <w:rsid w:val="125B2E30"/>
    <w:rsid w:val="127427DE"/>
    <w:rsid w:val="12E866AF"/>
    <w:rsid w:val="130C55D8"/>
    <w:rsid w:val="13244A23"/>
    <w:rsid w:val="13504B15"/>
    <w:rsid w:val="13EE6B6B"/>
    <w:rsid w:val="1472386E"/>
    <w:rsid w:val="148F0FC6"/>
    <w:rsid w:val="151600A7"/>
    <w:rsid w:val="159F345A"/>
    <w:rsid w:val="15E43EF8"/>
    <w:rsid w:val="15F16AD7"/>
    <w:rsid w:val="16A81136"/>
    <w:rsid w:val="16AC4207"/>
    <w:rsid w:val="178A56FB"/>
    <w:rsid w:val="17A8647B"/>
    <w:rsid w:val="17AB12BE"/>
    <w:rsid w:val="18253B4C"/>
    <w:rsid w:val="190F1674"/>
    <w:rsid w:val="19132D2F"/>
    <w:rsid w:val="19210747"/>
    <w:rsid w:val="196E7CB2"/>
    <w:rsid w:val="198759D2"/>
    <w:rsid w:val="19D72BB5"/>
    <w:rsid w:val="1AD212BF"/>
    <w:rsid w:val="1AF900F3"/>
    <w:rsid w:val="1AFC6A2C"/>
    <w:rsid w:val="1BA67C5C"/>
    <w:rsid w:val="1BE0351A"/>
    <w:rsid w:val="1C120302"/>
    <w:rsid w:val="1C442FCB"/>
    <w:rsid w:val="1C532B00"/>
    <w:rsid w:val="1CCC12C5"/>
    <w:rsid w:val="1D1B1BAD"/>
    <w:rsid w:val="1D401A6B"/>
    <w:rsid w:val="1DCC5DA5"/>
    <w:rsid w:val="1E8A015B"/>
    <w:rsid w:val="1EA00E4A"/>
    <w:rsid w:val="1F4F1109"/>
    <w:rsid w:val="1F6A0646"/>
    <w:rsid w:val="206A0332"/>
    <w:rsid w:val="2091595B"/>
    <w:rsid w:val="20F51AC3"/>
    <w:rsid w:val="21AE6D2F"/>
    <w:rsid w:val="21C21552"/>
    <w:rsid w:val="21C3713A"/>
    <w:rsid w:val="24DA6297"/>
    <w:rsid w:val="252F3CBE"/>
    <w:rsid w:val="26694CDB"/>
    <w:rsid w:val="282C171E"/>
    <w:rsid w:val="2849297F"/>
    <w:rsid w:val="2936596A"/>
    <w:rsid w:val="2997006D"/>
    <w:rsid w:val="29AC5EF0"/>
    <w:rsid w:val="2A3D11C6"/>
    <w:rsid w:val="2B040631"/>
    <w:rsid w:val="2B0B5AF1"/>
    <w:rsid w:val="2B472FE6"/>
    <w:rsid w:val="2B793244"/>
    <w:rsid w:val="2BA77F2A"/>
    <w:rsid w:val="2C094BA0"/>
    <w:rsid w:val="2C60205D"/>
    <w:rsid w:val="2C8F5C68"/>
    <w:rsid w:val="2CAD317E"/>
    <w:rsid w:val="2CC97424"/>
    <w:rsid w:val="2D2725F0"/>
    <w:rsid w:val="2D345768"/>
    <w:rsid w:val="2D73679B"/>
    <w:rsid w:val="2E5E6FC0"/>
    <w:rsid w:val="2E994608"/>
    <w:rsid w:val="2E9C375A"/>
    <w:rsid w:val="2EA60EE0"/>
    <w:rsid w:val="2ED8262F"/>
    <w:rsid w:val="2F0D66C8"/>
    <w:rsid w:val="2F242CBD"/>
    <w:rsid w:val="2F827680"/>
    <w:rsid w:val="2FB34058"/>
    <w:rsid w:val="300C74C4"/>
    <w:rsid w:val="304B3830"/>
    <w:rsid w:val="305A6B49"/>
    <w:rsid w:val="307D5A91"/>
    <w:rsid w:val="317B20C5"/>
    <w:rsid w:val="321F5452"/>
    <w:rsid w:val="32A33E31"/>
    <w:rsid w:val="32CC683D"/>
    <w:rsid w:val="32D048D8"/>
    <w:rsid w:val="32D3622F"/>
    <w:rsid w:val="32D63CF2"/>
    <w:rsid w:val="32F26097"/>
    <w:rsid w:val="3341799D"/>
    <w:rsid w:val="337A399F"/>
    <w:rsid w:val="337F2EFA"/>
    <w:rsid w:val="339029A7"/>
    <w:rsid w:val="33CC5FD9"/>
    <w:rsid w:val="34697607"/>
    <w:rsid w:val="34A00B12"/>
    <w:rsid w:val="34DC6FBF"/>
    <w:rsid w:val="352019FA"/>
    <w:rsid w:val="35731520"/>
    <w:rsid w:val="35F436C6"/>
    <w:rsid w:val="36037C49"/>
    <w:rsid w:val="36B4763B"/>
    <w:rsid w:val="36B804EA"/>
    <w:rsid w:val="371766EB"/>
    <w:rsid w:val="3728049C"/>
    <w:rsid w:val="37CD3E9A"/>
    <w:rsid w:val="37D03480"/>
    <w:rsid w:val="37D87189"/>
    <w:rsid w:val="37E87EA7"/>
    <w:rsid w:val="37F761BE"/>
    <w:rsid w:val="380B1A51"/>
    <w:rsid w:val="382056BC"/>
    <w:rsid w:val="38AB6B19"/>
    <w:rsid w:val="39035D73"/>
    <w:rsid w:val="39144BF9"/>
    <w:rsid w:val="39236305"/>
    <w:rsid w:val="397D1814"/>
    <w:rsid w:val="3991694F"/>
    <w:rsid w:val="3A096C45"/>
    <w:rsid w:val="3A7C282F"/>
    <w:rsid w:val="3B3315C9"/>
    <w:rsid w:val="3B3666AA"/>
    <w:rsid w:val="3B5D03F9"/>
    <w:rsid w:val="3B9C69ED"/>
    <w:rsid w:val="3C075E40"/>
    <w:rsid w:val="3C0F314C"/>
    <w:rsid w:val="3C8400FD"/>
    <w:rsid w:val="3C8D5215"/>
    <w:rsid w:val="3CB96E1E"/>
    <w:rsid w:val="3E2A5A13"/>
    <w:rsid w:val="3E6A5C1B"/>
    <w:rsid w:val="3E883A01"/>
    <w:rsid w:val="3E951BD3"/>
    <w:rsid w:val="3EB91E59"/>
    <w:rsid w:val="3F1030C4"/>
    <w:rsid w:val="3F90592E"/>
    <w:rsid w:val="3FA23A80"/>
    <w:rsid w:val="3FB75DF9"/>
    <w:rsid w:val="40522D1D"/>
    <w:rsid w:val="418368ED"/>
    <w:rsid w:val="425C64FC"/>
    <w:rsid w:val="4278675D"/>
    <w:rsid w:val="431F105C"/>
    <w:rsid w:val="43F003B4"/>
    <w:rsid w:val="43F426CB"/>
    <w:rsid w:val="446458DA"/>
    <w:rsid w:val="446645C4"/>
    <w:rsid w:val="44E00C2F"/>
    <w:rsid w:val="44F12828"/>
    <w:rsid w:val="453F4EE8"/>
    <w:rsid w:val="457E0C0E"/>
    <w:rsid w:val="45A27895"/>
    <w:rsid w:val="4654463C"/>
    <w:rsid w:val="469D1E1F"/>
    <w:rsid w:val="46A0381B"/>
    <w:rsid w:val="4703453A"/>
    <w:rsid w:val="47401AE3"/>
    <w:rsid w:val="47847F9B"/>
    <w:rsid w:val="47B6276E"/>
    <w:rsid w:val="47D7714D"/>
    <w:rsid w:val="47DE6A0D"/>
    <w:rsid w:val="48C8140D"/>
    <w:rsid w:val="48CA305E"/>
    <w:rsid w:val="491D1161"/>
    <w:rsid w:val="4945471C"/>
    <w:rsid w:val="495042D1"/>
    <w:rsid w:val="49C23604"/>
    <w:rsid w:val="4A6500D9"/>
    <w:rsid w:val="4B234E00"/>
    <w:rsid w:val="4B4D56DB"/>
    <w:rsid w:val="4BCB58DC"/>
    <w:rsid w:val="4BE87F26"/>
    <w:rsid w:val="4C081E20"/>
    <w:rsid w:val="4C146D1E"/>
    <w:rsid w:val="4C3974A1"/>
    <w:rsid w:val="4C42120C"/>
    <w:rsid w:val="4C4D743A"/>
    <w:rsid w:val="4C561056"/>
    <w:rsid w:val="4CDC25C4"/>
    <w:rsid w:val="4D2A1AAB"/>
    <w:rsid w:val="4DBE15DE"/>
    <w:rsid w:val="4DFF45BC"/>
    <w:rsid w:val="4E61428A"/>
    <w:rsid w:val="4E7B705D"/>
    <w:rsid w:val="4ECB455C"/>
    <w:rsid w:val="4EF16D21"/>
    <w:rsid w:val="4F37150A"/>
    <w:rsid w:val="4F4E6BEF"/>
    <w:rsid w:val="4F6745C5"/>
    <w:rsid w:val="4F751E54"/>
    <w:rsid w:val="4FA9510C"/>
    <w:rsid w:val="4FBA0F90"/>
    <w:rsid w:val="50891C17"/>
    <w:rsid w:val="520E7D39"/>
    <w:rsid w:val="52565932"/>
    <w:rsid w:val="527310FD"/>
    <w:rsid w:val="52C145B3"/>
    <w:rsid w:val="532C19FA"/>
    <w:rsid w:val="536C046F"/>
    <w:rsid w:val="53777260"/>
    <w:rsid w:val="53BD324D"/>
    <w:rsid w:val="53DA3FDB"/>
    <w:rsid w:val="54093E57"/>
    <w:rsid w:val="54B52F23"/>
    <w:rsid w:val="54CE160F"/>
    <w:rsid w:val="557B1B38"/>
    <w:rsid w:val="559025B5"/>
    <w:rsid w:val="55BE6F35"/>
    <w:rsid w:val="562F4A45"/>
    <w:rsid w:val="56AB5747"/>
    <w:rsid w:val="57466A30"/>
    <w:rsid w:val="57E7750E"/>
    <w:rsid w:val="582C3304"/>
    <w:rsid w:val="583E683E"/>
    <w:rsid w:val="584263FC"/>
    <w:rsid w:val="58AA248A"/>
    <w:rsid w:val="592757C1"/>
    <w:rsid w:val="5A097D45"/>
    <w:rsid w:val="5A232744"/>
    <w:rsid w:val="5A8E433F"/>
    <w:rsid w:val="5ACC5639"/>
    <w:rsid w:val="5AFE0937"/>
    <w:rsid w:val="5B022AFF"/>
    <w:rsid w:val="5B1C238B"/>
    <w:rsid w:val="5BB72396"/>
    <w:rsid w:val="5BDA2541"/>
    <w:rsid w:val="5C8E70AE"/>
    <w:rsid w:val="5C9700DF"/>
    <w:rsid w:val="5CFF5AEE"/>
    <w:rsid w:val="5D5260D6"/>
    <w:rsid w:val="5D9C2CD8"/>
    <w:rsid w:val="5DD5527F"/>
    <w:rsid w:val="5E4106DA"/>
    <w:rsid w:val="5E4B362D"/>
    <w:rsid w:val="5E4B3828"/>
    <w:rsid w:val="5EC32979"/>
    <w:rsid w:val="5EFC5263"/>
    <w:rsid w:val="5F2B51D9"/>
    <w:rsid w:val="5F37440C"/>
    <w:rsid w:val="5FC266FB"/>
    <w:rsid w:val="609E7926"/>
    <w:rsid w:val="60B91A75"/>
    <w:rsid w:val="60CC769A"/>
    <w:rsid w:val="60F3280A"/>
    <w:rsid w:val="615A0826"/>
    <w:rsid w:val="616E5025"/>
    <w:rsid w:val="62117B48"/>
    <w:rsid w:val="6233066F"/>
    <w:rsid w:val="625714F8"/>
    <w:rsid w:val="626E0F1C"/>
    <w:rsid w:val="62AF2B34"/>
    <w:rsid w:val="62D7081D"/>
    <w:rsid w:val="63687194"/>
    <w:rsid w:val="638E50BC"/>
    <w:rsid w:val="63DE1842"/>
    <w:rsid w:val="64D27A6F"/>
    <w:rsid w:val="65765688"/>
    <w:rsid w:val="65A40D91"/>
    <w:rsid w:val="66F55A6B"/>
    <w:rsid w:val="67327F2E"/>
    <w:rsid w:val="674609A7"/>
    <w:rsid w:val="67465B30"/>
    <w:rsid w:val="678A5670"/>
    <w:rsid w:val="68082611"/>
    <w:rsid w:val="68342280"/>
    <w:rsid w:val="688C533B"/>
    <w:rsid w:val="692F0DD2"/>
    <w:rsid w:val="692F6DB1"/>
    <w:rsid w:val="696B16A5"/>
    <w:rsid w:val="69772905"/>
    <w:rsid w:val="6A360EF4"/>
    <w:rsid w:val="6A736A2C"/>
    <w:rsid w:val="6AC4173D"/>
    <w:rsid w:val="6B3F6E7C"/>
    <w:rsid w:val="6B4F76A1"/>
    <w:rsid w:val="6BB6746F"/>
    <w:rsid w:val="6BFD03AE"/>
    <w:rsid w:val="6BFF6077"/>
    <w:rsid w:val="6C2308EC"/>
    <w:rsid w:val="6C867767"/>
    <w:rsid w:val="6CA34648"/>
    <w:rsid w:val="6D031FFE"/>
    <w:rsid w:val="6D1C404E"/>
    <w:rsid w:val="6D870368"/>
    <w:rsid w:val="6DEF74D5"/>
    <w:rsid w:val="6E9856D0"/>
    <w:rsid w:val="6EB840FC"/>
    <w:rsid w:val="6EE34E75"/>
    <w:rsid w:val="6EE920DC"/>
    <w:rsid w:val="6F377C99"/>
    <w:rsid w:val="6F7E7DE2"/>
    <w:rsid w:val="6FAA433E"/>
    <w:rsid w:val="704F1D50"/>
    <w:rsid w:val="7062369D"/>
    <w:rsid w:val="70D8666D"/>
    <w:rsid w:val="70F82977"/>
    <w:rsid w:val="711203ED"/>
    <w:rsid w:val="712A76BE"/>
    <w:rsid w:val="716D6D00"/>
    <w:rsid w:val="719901C6"/>
    <w:rsid w:val="71A52A63"/>
    <w:rsid w:val="71B131C3"/>
    <w:rsid w:val="71CC5821"/>
    <w:rsid w:val="71F26BCA"/>
    <w:rsid w:val="71F331D2"/>
    <w:rsid w:val="720542F1"/>
    <w:rsid w:val="72380013"/>
    <w:rsid w:val="72540D30"/>
    <w:rsid w:val="73426C39"/>
    <w:rsid w:val="73594771"/>
    <w:rsid w:val="740F0E4D"/>
    <w:rsid w:val="7469799F"/>
    <w:rsid w:val="74A66F51"/>
    <w:rsid w:val="74E24705"/>
    <w:rsid w:val="750506F3"/>
    <w:rsid w:val="758944AE"/>
    <w:rsid w:val="758C4507"/>
    <w:rsid w:val="75AA1A6C"/>
    <w:rsid w:val="76C0735A"/>
    <w:rsid w:val="76DE39EB"/>
    <w:rsid w:val="773A78A3"/>
    <w:rsid w:val="774B42DA"/>
    <w:rsid w:val="77CC2AC5"/>
    <w:rsid w:val="78AC0F28"/>
    <w:rsid w:val="78AD7E4B"/>
    <w:rsid w:val="7922758B"/>
    <w:rsid w:val="79766799"/>
    <w:rsid w:val="79B255D2"/>
    <w:rsid w:val="79B45BBB"/>
    <w:rsid w:val="79BF1B10"/>
    <w:rsid w:val="79D0307E"/>
    <w:rsid w:val="79DE121D"/>
    <w:rsid w:val="79E249A2"/>
    <w:rsid w:val="7A5C7B4D"/>
    <w:rsid w:val="7B083945"/>
    <w:rsid w:val="7B1F1C18"/>
    <w:rsid w:val="7B387938"/>
    <w:rsid w:val="7C341C52"/>
    <w:rsid w:val="7D033238"/>
    <w:rsid w:val="7D2F6ABF"/>
    <w:rsid w:val="7D50024E"/>
    <w:rsid w:val="7D637EF4"/>
    <w:rsid w:val="7E341B98"/>
    <w:rsid w:val="7E51328E"/>
    <w:rsid w:val="7E8B7C64"/>
    <w:rsid w:val="7F14576E"/>
    <w:rsid w:val="7FB7357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iPriority="0" w:semiHidden="0" w:name="heading 4"/>
    <w:lsdException w:qFormat="1" w:uiPriority="0" w:semiHidden="0" w:name="heading 5"/>
    <w:lsdException w:qFormat="1" w:uiPriority="0" w:semiHidden="0"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qFormat="1" w:unhideWhenUsed="0" w:uiPriority="99" w:semiHidden="0"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nhideWhenUsed="0" w:uiPriority="99" w:semiHidden="0" w:name="footnote reference"/>
    <w:lsdException w:qFormat="1" w:unhideWhenUsed="0" w:uiPriority="99" w:semiHidden="0"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sdException w:uiPriority="99" w:name="Closing"/>
    <w:lsdException w:uiPriority="99" w:name="Signature"/>
    <w:lsdException w:qFormat="1" w:uiPriority="1" w:name="Default Paragraph Font"/>
    <w:lsdException w:qFormat="1"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99" w:semiHidden="0" w:name="Emphasis"/>
    <w:lsdException w:qFormat="1" w:unhideWhenUsed="0" w:uiPriority="99" w:name="Document Map"/>
    <w:lsdException w:qFormat="1" w:unhideWhenUsed="0" w:uiPriority="99" w:semiHidden="0"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0" w:semiHidden="0" w:name="HTML Preformatted"/>
    <w:lsdException w:uiPriority="99" w:name="HTML Sample"/>
    <w:lsdException w:uiPriority="99" w:name="HTML Typewriter"/>
    <w:lsdException w:uiPriority="99" w:name="HTML Variable"/>
    <w:lsdException w:qFormat="1" w:uiPriority="99" w:name="Normal Table"/>
    <w:lsdException w:qFormat="1" w:unhideWhenUsed="0"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semiHidden="0"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link w:val="31"/>
    <w:qFormat/>
    <w:uiPriority w:val="99"/>
    <w:pPr>
      <w:keepNext/>
      <w:keepLines/>
      <w:adjustRightInd/>
      <w:snapToGrid/>
      <w:spacing w:before="200" w:line="360" w:lineRule="auto"/>
      <w:jc w:val="center"/>
      <w:textAlignment w:val="baseline"/>
      <w:outlineLvl w:val="0"/>
    </w:pPr>
    <w:rPr>
      <w:rFonts w:ascii="Times New Roman" w:hAnsi="Times New Roman" w:eastAsia="黑体" w:cs="Times New Roman"/>
      <w:b/>
      <w:bCs/>
      <w:color w:val="000000"/>
      <w:kern w:val="44"/>
      <w:sz w:val="36"/>
      <w:szCs w:val="44"/>
      <w:u w:color="000000"/>
    </w:rPr>
  </w:style>
  <w:style w:type="paragraph" w:styleId="3">
    <w:name w:val="heading 2"/>
    <w:basedOn w:val="1"/>
    <w:next w:val="1"/>
    <w:link w:val="32"/>
    <w:qFormat/>
    <w:uiPriority w:val="99"/>
    <w:pPr>
      <w:keepNext/>
      <w:keepLines/>
      <w:widowControl w:val="0"/>
      <w:adjustRightInd/>
      <w:snapToGrid/>
      <w:spacing w:before="260" w:after="260" w:line="416" w:lineRule="auto"/>
      <w:jc w:val="both"/>
      <w:outlineLvl w:val="1"/>
    </w:pPr>
    <w:rPr>
      <w:rFonts w:ascii="Arial" w:hAnsi="Arial" w:eastAsia="黑体" w:cs="Times New Roman"/>
      <w:b/>
      <w:bCs/>
      <w:kern w:val="2"/>
      <w:sz w:val="32"/>
      <w:szCs w:val="32"/>
    </w:rPr>
  </w:style>
  <w:style w:type="paragraph" w:styleId="4">
    <w:name w:val="heading 3"/>
    <w:basedOn w:val="1"/>
    <w:next w:val="1"/>
    <w:link w:val="33"/>
    <w:qFormat/>
    <w:uiPriority w:val="99"/>
    <w:pPr>
      <w:keepNext/>
      <w:keepLines/>
      <w:adjustRightInd/>
      <w:snapToGrid/>
      <w:spacing w:before="260" w:after="260" w:line="360" w:lineRule="auto"/>
      <w:textAlignment w:val="baseline"/>
      <w:outlineLvl w:val="2"/>
    </w:pPr>
    <w:rPr>
      <w:rFonts w:ascii="Times New Roman" w:hAnsi="Times New Roman" w:eastAsia="仿宋_GB2312" w:cs="Times New Roman"/>
      <w:b/>
      <w:bCs/>
      <w:sz w:val="30"/>
      <w:szCs w:val="32"/>
      <w:u w:color="000000"/>
    </w:rPr>
  </w:style>
  <w:style w:type="paragraph" w:styleId="5">
    <w:name w:val="heading 4"/>
    <w:basedOn w:val="1"/>
    <w:next w:val="1"/>
    <w:link w:val="34"/>
    <w:unhideWhenUsed/>
    <w:qFormat/>
    <w:uiPriority w:val="0"/>
    <w:pPr>
      <w:keepNext/>
      <w:keepLines/>
      <w:widowControl w:val="0"/>
      <w:adjustRightInd/>
      <w:snapToGrid/>
      <w:spacing w:before="280" w:after="290" w:line="376" w:lineRule="auto"/>
      <w:jc w:val="both"/>
      <w:outlineLvl w:val="3"/>
    </w:pPr>
    <w:rPr>
      <w:rFonts w:asciiTheme="majorHAnsi" w:hAnsiTheme="majorHAnsi" w:eastAsiaTheme="majorEastAsia" w:cstheme="majorBidi"/>
      <w:b/>
      <w:bCs/>
      <w:kern w:val="2"/>
      <w:sz w:val="28"/>
      <w:szCs w:val="28"/>
    </w:rPr>
  </w:style>
  <w:style w:type="paragraph" w:styleId="6">
    <w:name w:val="heading 5"/>
    <w:basedOn w:val="1"/>
    <w:next w:val="1"/>
    <w:link w:val="35"/>
    <w:unhideWhenUsed/>
    <w:qFormat/>
    <w:uiPriority w:val="0"/>
    <w:pPr>
      <w:keepNext/>
      <w:keepLines/>
      <w:widowControl w:val="0"/>
      <w:adjustRightInd/>
      <w:snapToGrid/>
      <w:spacing w:before="280" w:after="290" w:line="376" w:lineRule="auto"/>
      <w:jc w:val="both"/>
      <w:outlineLvl w:val="4"/>
    </w:pPr>
    <w:rPr>
      <w:rFonts w:ascii="Times New Roman" w:hAnsi="Times New Roman" w:eastAsia="宋体" w:cs="Times New Roman"/>
      <w:b/>
      <w:bCs/>
      <w:kern w:val="2"/>
      <w:sz w:val="28"/>
      <w:szCs w:val="28"/>
    </w:rPr>
  </w:style>
  <w:style w:type="paragraph" w:styleId="7">
    <w:name w:val="heading 6"/>
    <w:basedOn w:val="1"/>
    <w:next w:val="1"/>
    <w:link w:val="36"/>
    <w:unhideWhenUsed/>
    <w:qFormat/>
    <w:uiPriority w:val="0"/>
    <w:pPr>
      <w:keepNext/>
      <w:keepLines/>
      <w:widowControl w:val="0"/>
      <w:adjustRightInd/>
      <w:snapToGrid/>
      <w:spacing w:before="240" w:after="64" w:line="320" w:lineRule="auto"/>
      <w:jc w:val="both"/>
      <w:outlineLvl w:val="5"/>
    </w:pPr>
    <w:rPr>
      <w:rFonts w:asciiTheme="majorHAnsi" w:hAnsiTheme="majorHAnsi" w:eastAsiaTheme="majorEastAsia" w:cstheme="majorBidi"/>
      <w:b/>
      <w:bCs/>
      <w:kern w:val="2"/>
      <w:sz w:val="24"/>
      <w:szCs w:val="24"/>
    </w:rPr>
  </w:style>
  <w:style w:type="character" w:default="1" w:styleId="24">
    <w:name w:val="Default Paragraph Font"/>
    <w:semiHidden/>
    <w:unhideWhenUsed/>
    <w:qFormat/>
    <w:uiPriority w:val="1"/>
  </w:style>
  <w:style w:type="table" w:default="1" w:styleId="23">
    <w:name w:val="Normal Table"/>
    <w:semiHidden/>
    <w:unhideWhenUsed/>
    <w:qFormat/>
    <w:uiPriority w:val="99"/>
    <w:tblPr>
      <w:tblCellMar>
        <w:top w:w="0" w:type="dxa"/>
        <w:left w:w="108" w:type="dxa"/>
        <w:bottom w:w="0" w:type="dxa"/>
        <w:right w:w="108" w:type="dxa"/>
      </w:tblCellMar>
    </w:tblPr>
  </w:style>
  <w:style w:type="paragraph" w:styleId="8">
    <w:name w:val="Document Map"/>
    <w:basedOn w:val="1"/>
    <w:link w:val="43"/>
    <w:semiHidden/>
    <w:qFormat/>
    <w:uiPriority w:val="99"/>
    <w:pPr>
      <w:widowControl w:val="0"/>
      <w:shd w:val="clear" w:color="auto" w:fill="000080"/>
      <w:adjustRightInd/>
      <w:snapToGrid/>
      <w:spacing w:after="0"/>
      <w:jc w:val="both"/>
    </w:pPr>
    <w:rPr>
      <w:rFonts w:ascii="Times New Roman" w:hAnsi="Times New Roman" w:eastAsia="宋体" w:cs="Times New Roman"/>
      <w:kern w:val="2"/>
      <w:sz w:val="21"/>
      <w:szCs w:val="24"/>
    </w:rPr>
  </w:style>
  <w:style w:type="paragraph" w:styleId="9">
    <w:name w:val="annotation text"/>
    <w:basedOn w:val="1"/>
    <w:link w:val="41"/>
    <w:unhideWhenUsed/>
    <w:qFormat/>
    <w:uiPriority w:val="99"/>
  </w:style>
  <w:style w:type="paragraph" w:styleId="10">
    <w:name w:val="Body Text"/>
    <w:basedOn w:val="1"/>
    <w:link w:val="44"/>
    <w:qFormat/>
    <w:uiPriority w:val="99"/>
    <w:pPr>
      <w:widowControl w:val="0"/>
      <w:adjustRightInd/>
      <w:snapToGrid/>
      <w:spacing w:after="120"/>
      <w:jc w:val="both"/>
    </w:pPr>
    <w:rPr>
      <w:rFonts w:ascii="Times New Roman" w:hAnsi="Times New Roman" w:eastAsia="宋体" w:cs="Times New Roman"/>
      <w:kern w:val="2"/>
      <w:sz w:val="21"/>
      <w:szCs w:val="24"/>
    </w:rPr>
  </w:style>
  <w:style w:type="paragraph" w:styleId="11">
    <w:name w:val="toc 3"/>
    <w:basedOn w:val="1"/>
    <w:next w:val="1"/>
    <w:qFormat/>
    <w:uiPriority w:val="39"/>
    <w:pPr>
      <w:widowControl w:val="0"/>
      <w:adjustRightInd/>
      <w:snapToGrid/>
      <w:spacing w:after="0"/>
      <w:ind w:left="840" w:leftChars="400"/>
      <w:jc w:val="both"/>
    </w:pPr>
    <w:rPr>
      <w:rFonts w:ascii="Times New Roman" w:hAnsi="Times New Roman" w:eastAsia="宋体" w:cs="Times New Roman"/>
      <w:kern w:val="2"/>
      <w:sz w:val="28"/>
      <w:szCs w:val="24"/>
    </w:rPr>
  </w:style>
  <w:style w:type="paragraph" w:styleId="12">
    <w:name w:val="Plain Text"/>
    <w:basedOn w:val="1"/>
    <w:link w:val="45"/>
    <w:qFormat/>
    <w:uiPriority w:val="99"/>
    <w:pPr>
      <w:adjustRightInd/>
      <w:snapToGrid/>
      <w:spacing w:after="0" w:line="351" w:lineRule="atLeast"/>
      <w:ind w:firstLine="419"/>
      <w:jc w:val="both"/>
      <w:textAlignment w:val="baseline"/>
    </w:pPr>
    <w:rPr>
      <w:rFonts w:ascii="宋体" w:hAnsi="Times New Roman" w:eastAsia="宋体" w:cs="Times New Roman"/>
      <w:color w:val="000000"/>
      <w:sz w:val="21"/>
      <w:szCs w:val="20"/>
      <w:u w:color="000000"/>
    </w:rPr>
  </w:style>
  <w:style w:type="paragraph" w:styleId="13">
    <w:name w:val="Balloon Text"/>
    <w:basedOn w:val="1"/>
    <w:link w:val="46"/>
    <w:qFormat/>
    <w:uiPriority w:val="99"/>
    <w:pPr>
      <w:widowControl w:val="0"/>
      <w:adjustRightInd/>
      <w:snapToGrid/>
      <w:spacing w:after="0"/>
      <w:jc w:val="both"/>
    </w:pPr>
    <w:rPr>
      <w:rFonts w:ascii="Times New Roman" w:hAnsi="Times New Roman" w:eastAsia="宋体" w:cs="Times New Roman"/>
      <w:kern w:val="2"/>
      <w:sz w:val="18"/>
      <w:szCs w:val="18"/>
    </w:rPr>
  </w:style>
  <w:style w:type="paragraph" w:styleId="14">
    <w:name w:val="footer"/>
    <w:basedOn w:val="1"/>
    <w:link w:val="38"/>
    <w:unhideWhenUsed/>
    <w:qFormat/>
    <w:uiPriority w:val="99"/>
    <w:pPr>
      <w:tabs>
        <w:tab w:val="center" w:pos="4153"/>
        <w:tab w:val="right" w:pos="8306"/>
      </w:tabs>
    </w:pPr>
    <w:rPr>
      <w:sz w:val="18"/>
      <w:szCs w:val="18"/>
    </w:rPr>
  </w:style>
  <w:style w:type="paragraph" w:styleId="15">
    <w:name w:val="header"/>
    <w:basedOn w:val="1"/>
    <w:link w:val="37"/>
    <w:unhideWhenUsed/>
    <w:qFormat/>
    <w:uiPriority w:val="99"/>
    <w:pPr>
      <w:pBdr>
        <w:bottom w:val="single" w:color="auto" w:sz="6" w:space="1"/>
      </w:pBdr>
      <w:tabs>
        <w:tab w:val="center" w:pos="4153"/>
        <w:tab w:val="right" w:pos="8306"/>
      </w:tabs>
      <w:jc w:val="center"/>
    </w:pPr>
    <w:rPr>
      <w:sz w:val="18"/>
      <w:szCs w:val="18"/>
    </w:rPr>
  </w:style>
  <w:style w:type="paragraph" w:styleId="16">
    <w:name w:val="toc 1"/>
    <w:basedOn w:val="1"/>
    <w:next w:val="1"/>
    <w:qFormat/>
    <w:uiPriority w:val="39"/>
    <w:pPr>
      <w:widowControl w:val="0"/>
      <w:tabs>
        <w:tab w:val="right" w:leader="dot" w:pos="8777"/>
      </w:tabs>
      <w:adjustRightInd/>
      <w:snapToGrid/>
      <w:spacing w:after="0" w:line="360" w:lineRule="auto"/>
      <w:jc w:val="both"/>
    </w:pPr>
    <w:rPr>
      <w:rFonts w:ascii="Times New Roman" w:hAnsi="Times New Roman" w:eastAsia="黑体" w:cs="Times New Roman"/>
      <w:kern w:val="2"/>
      <w:sz w:val="32"/>
      <w:szCs w:val="32"/>
    </w:rPr>
  </w:style>
  <w:style w:type="paragraph" w:styleId="17">
    <w:name w:val="footnote text"/>
    <w:basedOn w:val="1"/>
    <w:link w:val="47"/>
    <w:qFormat/>
    <w:uiPriority w:val="99"/>
    <w:pPr>
      <w:widowControl w:val="0"/>
      <w:adjustRightInd/>
      <w:spacing w:after="0"/>
    </w:pPr>
    <w:rPr>
      <w:rFonts w:ascii="Times New Roman" w:hAnsi="Times New Roman" w:eastAsia="宋体" w:cs="Times New Roman"/>
      <w:kern w:val="2"/>
      <w:sz w:val="18"/>
      <w:szCs w:val="18"/>
    </w:rPr>
  </w:style>
  <w:style w:type="paragraph" w:styleId="18">
    <w:name w:val="toc 2"/>
    <w:basedOn w:val="1"/>
    <w:next w:val="1"/>
    <w:qFormat/>
    <w:uiPriority w:val="39"/>
    <w:pPr>
      <w:widowControl w:val="0"/>
      <w:adjustRightInd/>
      <w:snapToGrid/>
      <w:spacing w:after="0"/>
      <w:ind w:left="420" w:leftChars="200"/>
      <w:jc w:val="both"/>
    </w:pPr>
    <w:rPr>
      <w:rFonts w:ascii="Times New Roman" w:hAnsi="Times New Roman" w:eastAsia="宋体" w:cs="Times New Roman"/>
      <w:kern w:val="2"/>
      <w:sz w:val="30"/>
      <w:szCs w:val="24"/>
    </w:rPr>
  </w:style>
  <w:style w:type="paragraph" w:styleId="19">
    <w:name w:val="HTML Preformatted"/>
    <w:basedOn w:val="1"/>
    <w:link w:val="48"/>
    <w:unhideWhenUsed/>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djustRightInd/>
      <w:snapToGrid/>
      <w:spacing w:after="0"/>
    </w:pPr>
    <w:rPr>
      <w:rFonts w:ascii="宋体" w:hAnsi="宋体" w:eastAsia="宋体" w:cs="宋体"/>
      <w:sz w:val="24"/>
      <w:szCs w:val="24"/>
    </w:rPr>
  </w:style>
  <w:style w:type="paragraph" w:styleId="20">
    <w:name w:val="Normal (Web)"/>
    <w:basedOn w:val="1"/>
    <w:qFormat/>
    <w:uiPriority w:val="99"/>
    <w:pPr>
      <w:adjustRightInd/>
      <w:snapToGrid/>
      <w:spacing w:before="100" w:beforeAutospacing="1" w:after="100" w:afterAutospacing="1"/>
    </w:pPr>
    <w:rPr>
      <w:rFonts w:ascii="宋体" w:hAnsi="宋体" w:eastAsia="宋体" w:cs="宋体"/>
      <w:sz w:val="24"/>
      <w:szCs w:val="24"/>
    </w:rPr>
  </w:style>
  <w:style w:type="paragraph" w:styleId="21">
    <w:name w:val="Title"/>
    <w:basedOn w:val="1"/>
    <w:next w:val="1"/>
    <w:link w:val="70"/>
    <w:qFormat/>
    <w:uiPriority w:val="0"/>
    <w:pPr>
      <w:widowControl w:val="0"/>
      <w:adjustRightInd/>
      <w:snapToGrid/>
      <w:spacing w:before="240" w:after="60"/>
      <w:jc w:val="center"/>
      <w:outlineLvl w:val="0"/>
    </w:pPr>
    <w:rPr>
      <w:rFonts w:eastAsia="宋体" w:asciiTheme="majorHAnsi" w:hAnsiTheme="majorHAnsi" w:cstheme="majorBidi"/>
      <w:b/>
      <w:bCs/>
      <w:kern w:val="2"/>
      <w:sz w:val="32"/>
      <w:szCs w:val="32"/>
    </w:rPr>
  </w:style>
  <w:style w:type="paragraph" w:styleId="22">
    <w:name w:val="annotation subject"/>
    <w:basedOn w:val="9"/>
    <w:next w:val="9"/>
    <w:link w:val="42"/>
    <w:qFormat/>
    <w:uiPriority w:val="99"/>
    <w:pPr>
      <w:widowControl w:val="0"/>
      <w:adjustRightInd/>
      <w:snapToGrid/>
      <w:spacing w:after="0"/>
    </w:pPr>
    <w:rPr>
      <w:rFonts w:ascii="Times New Roman" w:hAnsi="Times New Roman" w:eastAsia="宋体" w:cs="Times New Roman"/>
      <w:b/>
      <w:bCs/>
      <w:kern w:val="2"/>
      <w:sz w:val="21"/>
      <w:szCs w:val="24"/>
    </w:rPr>
  </w:style>
  <w:style w:type="character" w:styleId="25">
    <w:name w:val="page number"/>
    <w:basedOn w:val="24"/>
    <w:qFormat/>
    <w:uiPriority w:val="99"/>
  </w:style>
  <w:style w:type="character" w:styleId="26">
    <w:name w:val="FollowedHyperlink"/>
    <w:basedOn w:val="24"/>
    <w:unhideWhenUsed/>
    <w:qFormat/>
    <w:uiPriority w:val="99"/>
    <w:rPr>
      <w:color w:val="800080"/>
      <w:u w:val="single"/>
    </w:rPr>
  </w:style>
  <w:style w:type="character" w:styleId="27">
    <w:name w:val="Emphasis"/>
    <w:qFormat/>
    <w:uiPriority w:val="99"/>
    <w:rPr>
      <w:color w:val="CC0000"/>
    </w:rPr>
  </w:style>
  <w:style w:type="character" w:styleId="28">
    <w:name w:val="Hyperlink"/>
    <w:qFormat/>
    <w:uiPriority w:val="99"/>
    <w:rPr>
      <w:color w:val="0000FF"/>
      <w:u w:val="single"/>
    </w:rPr>
  </w:style>
  <w:style w:type="character" w:styleId="29">
    <w:name w:val="annotation reference"/>
    <w:basedOn w:val="24"/>
    <w:qFormat/>
    <w:uiPriority w:val="99"/>
    <w:rPr>
      <w:sz w:val="21"/>
      <w:szCs w:val="21"/>
    </w:rPr>
  </w:style>
  <w:style w:type="character" w:styleId="30">
    <w:name w:val="footnote reference"/>
    <w:basedOn w:val="24"/>
    <w:qFormat/>
    <w:uiPriority w:val="99"/>
    <w:rPr>
      <w:vertAlign w:val="superscript"/>
    </w:rPr>
  </w:style>
  <w:style w:type="character" w:customStyle="1" w:styleId="31">
    <w:name w:val="标题 1 字符"/>
    <w:basedOn w:val="24"/>
    <w:link w:val="2"/>
    <w:qFormat/>
    <w:uiPriority w:val="99"/>
    <w:rPr>
      <w:rFonts w:ascii="Times New Roman" w:hAnsi="Times New Roman" w:eastAsia="黑体" w:cs="Times New Roman"/>
      <w:b/>
      <w:bCs/>
      <w:color w:val="000000"/>
      <w:kern w:val="44"/>
      <w:sz w:val="36"/>
      <w:szCs w:val="44"/>
      <w:u w:color="000000"/>
    </w:rPr>
  </w:style>
  <w:style w:type="character" w:customStyle="1" w:styleId="32">
    <w:name w:val="标题 2 字符"/>
    <w:basedOn w:val="24"/>
    <w:link w:val="3"/>
    <w:qFormat/>
    <w:uiPriority w:val="99"/>
    <w:rPr>
      <w:rFonts w:ascii="Arial" w:hAnsi="Arial" w:eastAsia="黑体" w:cs="Times New Roman"/>
      <w:b/>
      <w:bCs/>
      <w:kern w:val="2"/>
      <w:sz w:val="32"/>
      <w:szCs w:val="32"/>
    </w:rPr>
  </w:style>
  <w:style w:type="character" w:customStyle="1" w:styleId="33">
    <w:name w:val="标题 3 字符"/>
    <w:basedOn w:val="24"/>
    <w:link w:val="4"/>
    <w:qFormat/>
    <w:uiPriority w:val="99"/>
    <w:rPr>
      <w:rFonts w:ascii="Times New Roman" w:hAnsi="Times New Roman" w:eastAsia="仿宋_GB2312" w:cs="Times New Roman"/>
      <w:b/>
      <w:bCs/>
      <w:sz w:val="30"/>
      <w:szCs w:val="32"/>
      <w:u w:color="000000"/>
    </w:rPr>
  </w:style>
  <w:style w:type="character" w:customStyle="1" w:styleId="34">
    <w:name w:val="标题 4 字符"/>
    <w:basedOn w:val="24"/>
    <w:link w:val="5"/>
    <w:qFormat/>
    <w:uiPriority w:val="0"/>
    <w:rPr>
      <w:rFonts w:asciiTheme="majorHAnsi" w:hAnsiTheme="majorHAnsi" w:eastAsiaTheme="majorEastAsia" w:cstheme="majorBidi"/>
      <w:b/>
      <w:bCs/>
      <w:kern w:val="2"/>
      <w:sz w:val="28"/>
      <w:szCs w:val="28"/>
    </w:rPr>
  </w:style>
  <w:style w:type="character" w:customStyle="1" w:styleId="35">
    <w:name w:val="标题 5 字符"/>
    <w:basedOn w:val="24"/>
    <w:link w:val="6"/>
    <w:qFormat/>
    <w:uiPriority w:val="0"/>
    <w:rPr>
      <w:rFonts w:ascii="Times New Roman" w:hAnsi="Times New Roman" w:eastAsia="宋体" w:cs="Times New Roman"/>
      <w:b/>
      <w:bCs/>
      <w:kern w:val="2"/>
      <w:sz w:val="28"/>
      <w:szCs w:val="28"/>
    </w:rPr>
  </w:style>
  <w:style w:type="character" w:customStyle="1" w:styleId="36">
    <w:name w:val="标题 6 字符"/>
    <w:basedOn w:val="24"/>
    <w:link w:val="7"/>
    <w:qFormat/>
    <w:uiPriority w:val="0"/>
    <w:rPr>
      <w:rFonts w:asciiTheme="majorHAnsi" w:hAnsiTheme="majorHAnsi" w:eastAsiaTheme="majorEastAsia" w:cstheme="majorBidi"/>
      <w:b/>
      <w:bCs/>
      <w:kern w:val="2"/>
      <w:sz w:val="24"/>
      <w:szCs w:val="24"/>
    </w:rPr>
  </w:style>
  <w:style w:type="character" w:customStyle="1" w:styleId="37">
    <w:name w:val="页眉 字符"/>
    <w:basedOn w:val="24"/>
    <w:link w:val="15"/>
    <w:qFormat/>
    <w:uiPriority w:val="99"/>
    <w:rPr>
      <w:rFonts w:ascii="Tahoma" w:hAnsi="Tahoma"/>
      <w:sz w:val="18"/>
      <w:szCs w:val="18"/>
    </w:rPr>
  </w:style>
  <w:style w:type="character" w:customStyle="1" w:styleId="38">
    <w:name w:val="页脚 字符"/>
    <w:basedOn w:val="24"/>
    <w:link w:val="14"/>
    <w:qFormat/>
    <w:uiPriority w:val="99"/>
    <w:rPr>
      <w:rFonts w:ascii="Tahoma" w:hAnsi="Tahoma"/>
      <w:sz w:val="18"/>
      <w:szCs w:val="18"/>
    </w:rPr>
  </w:style>
  <w:style w:type="paragraph" w:customStyle="1" w:styleId="39">
    <w:name w:val="标题1"/>
    <w:basedOn w:val="1"/>
    <w:qFormat/>
    <w:uiPriority w:val="0"/>
    <w:pPr>
      <w:widowControl w:val="0"/>
      <w:adjustRightInd/>
      <w:snapToGrid/>
      <w:spacing w:after="0"/>
      <w:ind w:firstLine="640" w:firstLineChars="200"/>
      <w:jc w:val="center"/>
    </w:pPr>
    <w:rPr>
      <w:rFonts w:ascii="Times New Roman" w:hAnsi="Times New Roman" w:eastAsia="黑体" w:cs="Times New Roman"/>
      <w:kern w:val="2"/>
      <w:sz w:val="32"/>
      <w:szCs w:val="21"/>
    </w:rPr>
  </w:style>
  <w:style w:type="paragraph" w:styleId="40">
    <w:name w:val="List Paragraph"/>
    <w:basedOn w:val="1"/>
    <w:qFormat/>
    <w:uiPriority w:val="99"/>
    <w:pPr>
      <w:ind w:firstLine="420" w:firstLineChars="200"/>
    </w:pPr>
  </w:style>
  <w:style w:type="character" w:customStyle="1" w:styleId="41">
    <w:name w:val="批注文字 字符"/>
    <w:basedOn w:val="24"/>
    <w:link w:val="9"/>
    <w:qFormat/>
    <w:uiPriority w:val="99"/>
    <w:rPr>
      <w:rFonts w:ascii="Tahoma" w:hAnsi="Tahoma"/>
    </w:rPr>
  </w:style>
  <w:style w:type="character" w:customStyle="1" w:styleId="42">
    <w:name w:val="批注主题 字符"/>
    <w:basedOn w:val="41"/>
    <w:link w:val="22"/>
    <w:qFormat/>
    <w:uiPriority w:val="99"/>
    <w:rPr>
      <w:rFonts w:ascii="Times New Roman" w:hAnsi="Times New Roman" w:eastAsia="宋体" w:cs="Times New Roman"/>
      <w:b/>
      <w:bCs/>
      <w:kern w:val="2"/>
      <w:sz w:val="21"/>
      <w:szCs w:val="24"/>
    </w:rPr>
  </w:style>
  <w:style w:type="character" w:customStyle="1" w:styleId="43">
    <w:name w:val="文档结构图 字符"/>
    <w:basedOn w:val="24"/>
    <w:link w:val="8"/>
    <w:semiHidden/>
    <w:qFormat/>
    <w:uiPriority w:val="99"/>
    <w:rPr>
      <w:rFonts w:ascii="Times New Roman" w:hAnsi="Times New Roman" w:eastAsia="宋体" w:cs="Times New Roman"/>
      <w:kern w:val="2"/>
      <w:sz w:val="21"/>
      <w:szCs w:val="24"/>
      <w:shd w:val="clear" w:color="auto" w:fill="000080"/>
    </w:rPr>
  </w:style>
  <w:style w:type="character" w:customStyle="1" w:styleId="44">
    <w:name w:val="正文文本 字符"/>
    <w:basedOn w:val="24"/>
    <w:link w:val="10"/>
    <w:qFormat/>
    <w:uiPriority w:val="99"/>
    <w:rPr>
      <w:rFonts w:ascii="Times New Roman" w:hAnsi="Times New Roman" w:eastAsia="宋体" w:cs="Times New Roman"/>
      <w:kern w:val="2"/>
      <w:sz w:val="21"/>
      <w:szCs w:val="24"/>
    </w:rPr>
  </w:style>
  <w:style w:type="character" w:customStyle="1" w:styleId="45">
    <w:name w:val="纯文本 字符"/>
    <w:basedOn w:val="24"/>
    <w:link w:val="12"/>
    <w:qFormat/>
    <w:uiPriority w:val="99"/>
    <w:rPr>
      <w:rFonts w:ascii="宋体" w:hAnsi="Times New Roman" w:eastAsia="宋体" w:cs="Times New Roman"/>
      <w:color w:val="000000"/>
      <w:sz w:val="21"/>
      <w:szCs w:val="20"/>
      <w:u w:color="000000"/>
    </w:rPr>
  </w:style>
  <w:style w:type="character" w:customStyle="1" w:styleId="46">
    <w:name w:val="批注框文本 字符"/>
    <w:basedOn w:val="24"/>
    <w:link w:val="13"/>
    <w:qFormat/>
    <w:uiPriority w:val="99"/>
    <w:rPr>
      <w:rFonts w:ascii="Times New Roman" w:hAnsi="Times New Roman" w:eastAsia="宋体" w:cs="Times New Roman"/>
      <w:kern w:val="2"/>
      <w:sz w:val="18"/>
      <w:szCs w:val="18"/>
    </w:rPr>
  </w:style>
  <w:style w:type="character" w:customStyle="1" w:styleId="47">
    <w:name w:val="脚注文本 字符"/>
    <w:basedOn w:val="24"/>
    <w:link w:val="17"/>
    <w:qFormat/>
    <w:uiPriority w:val="99"/>
    <w:rPr>
      <w:rFonts w:ascii="Times New Roman" w:hAnsi="Times New Roman" w:eastAsia="宋体" w:cs="Times New Roman"/>
      <w:kern w:val="2"/>
      <w:sz w:val="18"/>
      <w:szCs w:val="18"/>
    </w:rPr>
  </w:style>
  <w:style w:type="character" w:customStyle="1" w:styleId="48">
    <w:name w:val="HTML 预设格式 字符"/>
    <w:basedOn w:val="24"/>
    <w:link w:val="19"/>
    <w:qFormat/>
    <w:uiPriority w:val="0"/>
    <w:rPr>
      <w:rFonts w:ascii="宋体" w:hAnsi="宋体" w:eastAsia="宋体" w:cs="宋体"/>
      <w:sz w:val="24"/>
      <w:szCs w:val="24"/>
    </w:rPr>
  </w:style>
  <w:style w:type="paragraph" w:customStyle="1" w:styleId="49">
    <w:name w:val="xl69"/>
    <w:basedOn w:val="1"/>
    <w:qFormat/>
    <w:uiPriority w:val="99"/>
    <w:pPr>
      <w:pBdr>
        <w:top w:val="single" w:color="auto" w:sz="8" w:space="0"/>
        <w:left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0">
    <w:name w:val="xl74"/>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1">
    <w:name w:val="xl70"/>
    <w:basedOn w:val="1"/>
    <w:qFormat/>
    <w:uiPriority w:val="99"/>
    <w:pPr>
      <w:pBdr>
        <w:left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2">
    <w:name w:val="font7"/>
    <w:basedOn w:val="1"/>
    <w:qFormat/>
    <w:uiPriority w:val="99"/>
    <w:pPr>
      <w:adjustRightInd/>
      <w:snapToGrid/>
      <w:spacing w:before="100" w:beforeAutospacing="1" w:after="100" w:afterAutospacing="1"/>
    </w:pPr>
    <w:rPr>
      <w:rFonts w:ascii="宋体" w:hAnsi="宋体" w:eastAsia="宋体" w:cs="宋体"/>
      <w:color w:val="000000"/>
      <w:sz w:val="24"/>
      <w:szCs w:val="24"/>
    </w:rPr>
  </w:style>
  <w:style w:type="paragraph" w:customStyle="1" w:styleId="53">
    <w:name w:val="xl72"/>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54">
    <w:name w:val="xl67"/>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55">
    <w:name w:val="font5"/>
    <w:basedOn w:val="1"/>
    <w:qFormat/>
    <w:uiPriority w:val="99"/>
    <w:pPr>
      <w:adjustRightInd/>
      <w:snapToGrid/>
      <w:spacing w:before="100" w:beforeAutospacing="1" w:after="100" w:afterAutospacing="1"/>
    </w:pPr>
    <w:rPr>
      <w:rFonts w:ascii="宋体" w:hAnsi="宋体" w:eastAsia="宋体" w:cs="宋体"/>
      <w:b/>
      <w:bCs/>
      <w:color w:val="000000"/>
      <w:sz w:val="24"/>
      <w:szCs w:val="24"/>
    </w:rPr>
  </w:style>
  <w:style w:type="paragraph" w:customStyle="1" w:styleId="56">
    <w:name w:val="xl65"/>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57">
    <w:name w:val="font6"/>
    <w:basedOn w:val="1"/>
    <w:qFormat/>
    <w:uiPriority w:val="99"/>
    <w:pPr>
      <w:adjustRightInd/>
      <w:snapToGrid/>
      <w:spacing w:before="100" w:beforeAutospacing="1" w:after="100" w:afterAutospacing="1"/>
    </w:pPr>
    <w:rPr>
      <w:rFonts w:ascii="宋体" w:hAnsi="宋体" w:eastAsia="宋体" w:cs="宋体"/>
      <w:color w:val="000000"/>
    </w:rPr>
  </w:style>
  <w:style w:type="paragraph" w:customStyle="1" w:styleId="58">
    <w:name w:val="xl75"/>
    <w:basedOn w:val="1"/>
    <w:qFormat/>
    <w:uiPriority w:val="99"/>
    <w:pPr>
      <w:pBdr>
        <w:bottom w:val="single" w:color="auto" w:sz="8" w:space="0"/>
        <w:right w:val="single" w:color="auto" w:sz="8" w:space="0"/>
      </w:pBdr>
      <w:adjustRightInd/>
      <w:snapToGrid/>
      <w:spacing w:before="100" w:beforeAutospacing="1" w:after="100" w:afterAutospacing="1"/>
      <w:jc w:val="center"/>
    </w:pPr>
    <w:rPr>
      <w:rFonts w:ascii="宋体" w:hAnsi="宋体" w:eastAsia="宋体" w:cs="宋体"/>
    </w:rPr>
  </w:style>
  <w:style w:type="paragraph" w:customStyle="1" w:styleId="59">
    <w:name w:val="Char Char Char Char Char Char1 Char"/>
    <w:basedOn w:val="1"/>
    <w:qFormat/>
    <w:uiPriority w:val="99"/>
    <w:pPr>
      <w:adjustRightInd/>
      <w:snapToGrid/>
      <w:spacing w:after="160" w:line="240" w:lineRule="exact"/>
    </w:pPr>
    <w:rPr>
      <w:rFonts w:ascii="Times New Roman" w:hAnsi="Times New Roman" w:eastAsia="宋体" w:cs="Times New Roman"/>
      <w:kern w:val="2"/>
      <w:sz w:val="21"/>
      <w:szCs w:val="24"/>
    </w:rPr>
  </w:style>
  <w:style w:type="paragraph" w:customStyle="1" w:styleId="60">
    <w:name w:val="xl68"/>
    <w:basedOn w:val="1"/>
    <w:qFormat/>
    <w:uiPriority w:val="99"/>
    <w:pPr>
      <w:pBdr>
        <w:bottom w:val="single" w:color="auto" w:sz="8" w:space="0"/>
        <w:right w:val="single" w:color="auto" w:sz="8" w:space="0"/>
      </w:pBdr>
      <w:adjustRightInd/>
      <w:snapToGrid/>
      <w:spacing w:before="100" w:beforeAutospacing="1" w:after="100" w:afterAutospacing="1"/>
      <w:jc w:val="center"/>
      <w:textAlignment w:val="top"/>
    </w:pPr>
    <w:rPr>
      <w:rFonts w:ascii="宋体" w:hAnsi="宋体" w:eastAsia="宋体" w:cs="宋体"/>
    </w:rPr>
  </w:style>
  <w:style w:type="paragraph" w:customStyle="1" w:styleId="61">
    <w:name w:val="xl66"/>
    <w:basedOn w:val="1"/>
    <w:qFormat/>
    <w:uiPriority w:val="99"/>
    <w:pPr>
      <w:pBdr>
        <w:top w:val="single" w:color="auto" w:sz="8" w:space="0"/>
        <w:bottom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2">
    <w:name w:val="xl73"/>
    <w:basedOn w:val="1"/>
    <w:qFormat/>
    <w:uiPriority w:val="99"/>
    <w:pPr>
      <w:pBdr>
        <w:top w:val="single" w:color="auto" w:sz="8" w:space="0"/>
        <w:right w:val="single" w:color="auto" w:sz="8" w:space="0"/>
      </w:pBdr>
      <w:adjustRightInd/>
      <w:snapToGrid/>
      <w:spacing w:before="100" w:beforeAutospacing="1" w:after="100" w:afterAutospacing="1"/>
      <w:jc w:val="center"/>
    </w:pPr>
    <w:rPr>
      <w:rFonts w:ascii="宋体" w:hAnsi="宋体" w:eastAsia="宋体" w:cs="宋体"/>
      <w:b/>
      <w:bCs/>
      <w:sz w:val="24"/>
      <w:szCs w:val="24"/>
    </w:rPr>
  </w:style>
  <w:style w:type="paragraph" w:customStyle="1" w:styleId="63">
    <w:name w:val="xl71"/>
    <w:basedOn w:val="1"/>
    <w:qFormat/>
    <w:uiPriority w:val="99"/>
    <w:pPr>
      <w:pBdr>
        <w:right w:val="single" w:color="auto" w:sz="8" w:space="0"/>
      </w:pBdr>
      <w:adjustRightInd/>
      <w:snapToGrid/>
      <w:spacing w:before="100" w:beforeAutospacing="1" w:after="100" w:afterAutospacing="1"/>
      <w:jc w:val="center"/>
    </w:pPr>
    <w:rPr>
      <w:rFonts w:ascii="宋体" w:hAnsi="宋体" w:eastAsia="宋体" w:cs="宋体"/>
      <w:b/>
      <w:bCs/>
    </w:rPr>
  </w:style>
  <w:style w:type="paragraph" w:customStyle="1" w:styleId="64">
    <w:name w:val="样式 标题 2 + 行距: 固定值 30 磅"/>
    <w:basedOn w:val="3"/>
    <w:qFormat/>
    <w:uiPriority w:val="99"/>
    <w:pPr>
      <w:widowControl/>
      <w:spacing w:line="600" w:lineRule="exact"/>
      <w:jc w:val="left"/>
      <w:textAlignment w:val="baseline"/>
    </w:pPr>
    <w:rPr>
      <w:rFonts w:eastAsia="楷体_GB2312" w:cs="宋体"/>
      <w:color w:val="000000"/>
      <w:kern w:val="0"/>
      <w:szCs w:val="20"/>
      <w:u w:color="000000"/>
    </w:rPr>
  </w:style>
  <w:style w:type="paragraph" w:customStyle="1" w:styleId="65">
    <w:name w:val="列出段落1"/>
    <w:basedOn w:val="1"/>
    <w:qFormat/>
    <w:uiPriority w:val="99"/>
    <w:pPr>
      <w:widowControl w:val="0"/>
      <w:adjustRightInd/>
      <w:snapToGrid/>
      <w:spacing w:after="0"/>
      <w:ind w:firstLine="420" w:firstLineChars="200"/>
      <w:jc w:val="both"/>
    </w:pPr>
    <w:rPr>
      <w:rFonts w:ascii="Times New Roman" w:hAnsi="Times New Roman" w:eastAsia="宋体" w:cs="Times New Roman"/>
      <w:kern w:val="2"/>
      <w:sz w:val="21"/>
      <w:szCs w:val="24"/>
    </w:rPr>
  </w:style>
  <w:style w:type="paragraph" w:customStyle="1" w:styleId="66">
    <w:name w:val="Char Char"/>
    <w:basedOn w:val="1"/>
    <w:qFormat/>
    <w:uiPriority w:val="0"/>
    <w:pPr>
      <w:widowControl w:val="0"/>
      <w:adjustRightInd/>
      <w:snapToGrid/>
      <w:spacing w:after="0"/>
      <w:jc w:val="both"/>
    </w:pPr>
    <w:rPr>
      <w:rFonts w:ascii="Times New Roman" w:hAnsi="Times New Roman" w:eastAsia="宋体" w:cs="Times New Roman"/>
      <w:kern w:val="2"/>
      <w:sz w:val="21"/>
      <w:szCs w:val="24"/>
    </w:rPr>
  </w:style>
  <w:style w:type="paragraph" w:customStyle="1" w:styleId="67">
    <w:name w:val="Char"/>
    <w:basedOn w:val="1"/>
    <w:qFormat/>
    <w:uiPriority w:val="99"/>
    <w:pPr>
      <w:adjustRightInd/>
      <w:snapToGrid/>
      <w:spacing w:after="160" w:line="240" w:lineRule="exact"/>
    </w:pPr>
    <w:rPr>
      <w:rFonts w:ascii="Calibri" w:hAnsi="Calibri" w:eastAsia="宋体" w:cs="Times New Roman"/>
      <w:kern w:val="2"/>
      <w:sz w:val="21"/>
    </w:rPr>
  </w:style>
  <w:style w:type="paragraph" w:customStyle="1" w:styleId="68">
    <w:name w:val="p"/>
    <w:basedOn w:val="1"/>
    <w:qFormat/>
    <w:uiPriority w:val="99"/>
    <w:pPr>
      <w:adjustRightInd/>
      <w:snapToGrid/>
      <w:spacing w:before="100" w:beforeAutospacing="1" w:after="100" w:afterAutospacing="1"/>
    </w:pPr>
    <w:rPr>
      <w:rFonts w:ascii="宋体" w:hAnsi="宋体" w:eastAsia="宋体" w:cs="宋体"/>
      <w:sz w:val="24"/>
      <w:szCs w:val="24"/>
    </w:rPr>
  </w:style>
  <w:style w:type="paragraph" w:customStyle="1" w:styleId="69">
    <w:name w:val="默认段落字体 Para Char Char Char Char"/>
    <w:basedOn w:val="1"/>
    <w:qFormat/>
    <w:uiPriority w:val="99"/>
    <w:pPr>
      <w:widowControl w:val="0"/>
      <w:adjustRightInd/>
      <w:snapToGrid/>
      <w:spacing w:after="0"/>
      <w:jc w:val="both"/>
    </w:pPr>
    <w:rPr>
      <w:rFonts w:ascii="Times New Roman" w:hAnsi="Times New Roman" w:eastAsia="宋体" w:cs="Times New Roman"/>
      <w:sz w:val="21"/>
      <w:szCs w:val="20"/>
      <w:lang w:eastAsia="en-US"/>
    </w:rPr>
  </w:style>
  <w:style w:type="character" w:customStyle="1" w:styleId="70">
    <w:name w:val="标题 字符"/>
    <w:basedOn w:val="24"/>
    <w:link w:val="21"/>
    <w:qFormat/>
    <w:uiPriority w:val="0"/>
    <w:rPr>
      <w:rFonts w:eastAsia="宋体" w:asciiTheme="majorHAnsi" w:hAnsiTheme="majorHAnsi" w:cstheme="majorBidi"/>
      <w:b/>
      <w:bCs/>
      <w:kern w:val="2"/>
      <w:sz w:val="32"/>
      <w:szCs w:val="32"/>
    </w:rPr>
  </w:style>
  <w:style w:type="paragraph" w:customStyle="1" w:styleId="71">
    <w:name w:val="TOC 标题1"/>
    <w:basedOn w:val="2"/>
    <w:next w:val="1"/>
    <w:unhideWhenUsed/>
    <w:qFormat/>
    <w:uiPriority w:val="39"/>
    <w:pPr>
      <w:spacing w:before="480" w:after="0" w:line="276" w:lineRule="auto"/>
      <w:jc w:val="left"/>
      <w:textAlignment w:val="auto"/>
      <w:outlineLvl w:val="9"/>
    </w:pPr>
    <w:rPr>
      <w:rFonts w:asciiTheme="majorHAnsi" w:hAnsiTheme="majorHAnsi" w:eastAsiaTheme="majorEastAsia" w:cstheme="majorBidi"/>
      <w:color w:val="366091" w:themeColor="accent1" w:themeShade="BF"/>
      <w:kern w:val="0"/>
      <w:sz w:val="28"/>
      <w:szCs w:val="28"/>
    </w:rPr>
  </w:style>
  <w:style w:type="character" w:customStyle="1" w:styleId="72">
    <w:name w:val="font01"/>
    <w:basedOn w:val="24"/>
    <w:qFormat/>
    <w:uiPriority w:val="0"/>
    <w:rPr>
      <w:rFonts w:hint="eastAsia" w:ascii="宋体" w:hAnsi="宋体" w:eastAsia="宋体" w:cs="宋体"/>
      <w:b/>
      <w:color w:val="000000"/>
      <w:sz w:val="32"/>
      <w:szCs w:val="32"/>
      <w:u w:val="none"/>
    </w:rPr>
  </w:style>
  <w:style w:type="character" w:customStyle="1" w:styleId="73">
    <w:name w:val="font21"/>
    <w:basedOn w:val="24"/>
    <w:qFormat/>
    <w:uiPriority w:val="0"/>
    <w:rPr>
      <w:rFonts w:hint="default" w:ascii="Times New Roman" w:hAnsi="Times New Roman" w:cs="Times New Roman"/>
      <w:b/>
      <w:color w:val="000000"/>
      <w:sz w:val="32"/>
      <w:szCs w:val="32"/>
      <w:u w:val="none"/>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7495635-C516-409F-8F36-1848A5B6142B}">
  <ds:schemaRefs/>
</ds:datastoreItem>
</file>

<file path=docProps/app.xml><?xml version="1.0" encoding="utf-8"?>
<Properties xmlns="http://schemas.openxmlformats.org/officeDocument/2006/extended-properties" xmlns:vt="http://schemas.openxmlformats.org/officeDocument/2006/docPropsVTypes">
  <Template>Normal.dotm</Template>
  <Company>Microsoft</Company>
  <Pages>32</Pages>
  <Words>2156</Words>
  <Characters>12293</Characters>
  <Lines>102</Lines>
  <Paragraphs>28</Paragraphs>
  <TotalTime>41</TotalTime>
  <ScaleCrop>false</ScaleCrop>
  <LinksUpToDate>false</LinksUpToDate>
  <CharactersWithSpaces>14421</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2019-11-18T06:52:00Z</dcterms:created>
  <dc:creator>Administrator</dc:creator>
  <cp:lastModifiedBy>甄</cp:lastModifiedBy>
  <cp:lastPrinted>2022-11-27T02:00:00Z</cp:lastPrinted>
  <dcterms:modified xsi:type="dcterms:W3CDTF">2025-05-12T07:51:02Z</dcterms:modified>
  <cp:revision>143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y fmtid="{D5CDD505-2E9C-101B-9397-08002B2CF9AE}" pid="3" name="ICV">
    <vt:lpwstr>7E7588654FC244E380CF99C244D2BB12</vt:lpwstr>
  </property>
</Properties>
</file>