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lang w:val="en-US" w:eastAsia="zh-CN"/>
        </w:rPr>
        <w:t>中共</w:t>
      </w:r>
      <w:r>
        <w:rPr>
          <w:rFonts w:hint="eastAsia" w:ascii="黑体" w:hAnsi="黑体" w:eastAsia="黑体" w:cs="Times New Roman"/>
          <w:bCs/>
          <w:kern w:val="2"/>
          <w:sz w:val="48"/>
          <w:szCs w:val="48"/>
        </w:rPr>
        <w:t>保定市徐水区</w:t>
      </w:r>
      <w:r>
        <w:rPr>
          <w:rFonts w:hint="eastAsia" w:ascii="黑体" w:hAnsi="黑体" w:eastAsia="黑体" w:cs="Times New Roman"/>
          <w:bCs/>
          <w:kern w:val="2"/>
          <w:sz w:val="48"/>
          <w:szCs w:val="48"/>
          <w:lang w:val="en-US" w:eastAsia="zh-CN"/>
        </w:rPr>
        <w:t>委党校</w:t>
      </w:r>
      <w:r>
        <w:rPr>
          <w:rFonts w:hint="eastAsia" w:ascii="黑体" w:hAnsi="黑体" w:eastAsia="黑体" w:cs="Times New Roman"/>
          <w:bCs/>
          <w:kern w:val="2"/>
          <w:sz w:val="48"/>
          <w:szCs w:val="48"/>
        </w:rPr>
        <w:t>2019年部门</w:t>
      </w:r>
    </w:p>
    <w:p>
      <w:pPr>
        <w:widowControl w:val="0"/>
        <w:adjustRightInd/>
        <w:snapToGrid/>
        <w:spacing w:after="0" w:line="480" w:lineRule="auto"/>
        <w:jc w:val="center"/>
        <w:rPr>
          <w:rFonts w:hint="eastAsia"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w:t>
      </w:r>
      <w:r>
        <w:rPr>
          <w:rFonts w:hint="eastAsia" w:cs="Times New Roman" w:asciiTheme="minorEastAsia" w:hAnsiTheme="minorEastAsia" w:eastAsiaTheme="minorEastAsia"/>
          <w:bCs/>
          <w:kern w:val="2"/>
          <w:sz w:val="36"/>
          <w:szCs w:val="36"/>
          <w:lang w:val="en-US" w:eastAsia="zh-CN"/>
        </w:rPr>
        <w:t>8</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w:t>
          </w:r>
          <w:r>
            <w:rPr>
              <w:rFonts w:hint="eastAsia" w:asciiTheme="majorEastAsia" w:hAnsiTheme="majorEastAsia" w:eastAsiaTheme="majorEastAsia" w:cstheme="majorEastAsia"/>
              <w:b/>
              <w:bCs/>
              <w:sz w:val="24"/>
              <w:lang w:val="en-US" w:eastAsia="zh-CN"/>
            </w:rPr>
            <w:t>中共</w:t>
          </w:r>
          <w:r>
            <w:rPr>
              <w:rFonts w:hint="eastAsia" w:asciiTheme="majorEastAsia" w:hAnsiTheme="majorEastAsia" w:eastAsiaTheme="majorEastAsia" w:cstheme="majorEastAsia"/>
              <w:b/>
              <w:bCs/>
              <w:sz w:val="24"/>
            </w:rPr>
            <w:t>保定市徐水区</w:t>
          </w:r>
          <w:r>
            <w:rPr>
              <w:rFonts w:hint="eastAsia" w:asciiTheme="majorEastAsia" w:hAnsiTheme="majorEastAsia" w:eastAsiaTheme="majorEastAsia" w:cstheme="majorEastAsia"/>
              <w:b/>
              <w:bCs/>
              <w:sz w:val="24"/>
              <w:lang w:val="en-US" w:eastAsia="zh-CN"/>
            </w:rPr>
            <w:t>委党校</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中共</w:t>
      </w:r>
      <w:r>
        <w:rPr>
          <w:rFonts w:hint="eastAsia" w:ascii="仿宋_GB2312" w:eastAsia="仿宋_GB2312" w:cs="DengXian-Regular"/>
          <w:sz w:val="32"/>
          <w:szCs w:val="32"/>
        </w:rPr>
        <w:t>保定市徐水区</w:t>
      </w:r>
      <w:r>
        <w:rPr>
          <w:rFonts w:hint="eastAsia" w:ascii="仿宋_GB2312" w:eastAsia="仿宋_GB2312" w:cs="DengXian-Regular"/>
          <w:sz w:val="32"/>
          <w:szCs w:val="32"/>
          <w:lang w:val="en-US" w:eastAsia="zh-CN"/>
        </w:rPr>
        <w:t>委党校为徐水区委直属事业机构，</w:t>
      </w:r>
      <w:r>
        <w:rPr>
          <w:rFonts w:hint="eastAsia" w:ascii="仿宋_GB2312" w:eastAsia="仿宋_GB2312" w:cs="DengXian-Regular"/>
          <w:sz w:val="32"/>
          <w:szCs w:val="32"/>
        </w:rPr>
        <w:t>经费保障形式为财政拨款，下设</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个股室，分别为</w:t>
      </w:r>
      <w:r>
        <w:rPr>
          <w:rFonts w:hint="eastAsia" w:ascii="仿宋_GB2312" w:eastAsia="仿宋_GB2312" w:cs="DengXian-Regular"/>
          <w:sz w:val="32"/>
          <w:szCs w:val="32"/>
          <w:lang w:val="en-US" w:eastAsia="zh-CN"/>
        </w:rPr>
        <w:t>综合股</w:t>
      </w:r>
      <w:r>
        <w:rPr>
          <w:rFonts w:hint="eastAsia" w:ascii="仿宋_GB2312" w:eastAsia="仿宋_GB2312" w:cs="DengXian-Regular"/>
          <w:sz w:val="32"/>
          <w:szCs w:val="32"/>
        </w:rPr>
        <w:t>股、</w:t>
      </w:r>
      <w:r>
        <w:rPr>
          <w:rFonts w:hint="eastAsia" w:ascii="仿宋_GB2312" w:eastAsia="仿宋_GB2312" w:cs="DengXian-Regular"/>
          <w:sz w:val="32"/>
          <w:szCs w:val="32"/>
          <w:lang w:val="en-US" w:eastAsia="zh-CN"/>
        </w:rPr>
        <w:t>教务股</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总务</w:t>
      </w:r>
      <w:r>
        <w:rPr>
          <w:rFonts w:hint="eastAsia" w:ascii="仿宋_GB2312" w:eastAsia="仿宋_GB2312" w:cs="DengXian-Regular"/>
          <w:sz w:val="32"/>
          <w:szCs w:val="32"/>
        </w:rPr>
        <w:t>股、</w:t>
      </w:r>
      <w:r>
        <w:rPr>
          <w:rFonts w:hint="eastAsia" w:ascii="仿宋_GB2312" w:eastAsia="仿宋_GB2312" w:cs="DengXian-Regular"/>
          <w:sz w:val="32"/>
          <w:szCs w:val="32"/>
          <w:lang w:val="en-US" w:eastAsia="zh-CN"/>
        </w:rPr>
        <w:t>党史研究</w:t>
      </w:r>
      <w:r>
        <w:rPr>
          <w:rFonts w:hint="eastAsia" w:ascii="仿宋_GB2312" w:eastAsia="仿宋_GB2312" w:cs="DengXian-Regular"/>
          <w:sz w:val="32"/>
          <w:szCs w:val="32"/>
        </w:rPr>
        <w:t>股，主要职责</w:t>
      </w:r>
      <w:r>
        <w:rPr>
          <w:rFonts w:hint="eastAsia" w:ascii="仿宋_GB2312" w:eastAsia="仿宋_GB2312" w:cs="DengXian-Regular"/>
          <w:sz w:val="32"/>
          <w:szCs w:val="32"/>
          <w:lang w:val="en-US" w:eastAsia="zh-CN"/>
        </w:rPr>
        <w:t>是党的路线、方针政策的宣传阵地，是区委培养党员、领导干部和理论干部的重要场所</w:t>
      </w:r>
      <w:r>
        <w:rPr>
          <w:rFonts w:hint="eastAsia" w:ascii="仿宋_GB2312" w:eastAsia="仿宋_GB2312" w:cs="DengXian-Regular"/>
          <w:sz w:val="32"/>
          <w:szCs w:val="32"/>
          <w:lang w:eastAsia="zh-CN"/>
        </w:rPr>
        <w:t>，</w:t>
      </w:r>
      <w:r>
        <w:rPr>
          <w:rFonts w:hint="eastAsia" w:ascii="仿宋_GB2312" w:eastAsia="仿宋_GB2312" w:cs="DengXian-Regular"/>
          <w:sz w:val="32"/>
          <w:szCs w:val="32"/>
        </w:rPr>
        <w:t>承担</w:t>
      </w:r>
      <w:r>
        <w:rPr>
          <w:rFonts w:hint="eastAsia" w:ascii="仿宋_GB2312" w:eastAsia="仿宋_GB2312" w:cs="DengXian-Regular"/>
          <w:sz w:val="32"/>
          <w:szCs w:val="32"/>
          <w:lang w:val="en-US" w:eastAsia="zh-CN"/>
        </w:rPr>
        <w:t>农村“两委”干部、区直各机关、各乡（镇）干部的长、中、短期培训、轮训任务。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val="en-US" w:eastAsia="zh-CN"/>
        </w:rPr>
        <w:t>中共</w:t>
      </w:r>
      <w:r>
        <w:rPr>
          <w:rFonts w:hint="eastAsia" w:ascii="仿宋_GB2312" w:eastAsia="仿宋_GB2312" w:cs="DengXian-Regular"/>
          <w:sz w:val="32"/>
          <w:szCs w:val="32"/>
        </w:rPr>
        <w:t>保定市徐水区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2019年部门整体支出绩效评价指标体系共设置4个一级指标、7个二级指标、27个三级指标，从投入、过程、产出、效果四个方面对区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2019年部门整体支出综合评价得分为</w:t>
      </w:r>
      <w:r>
        <w:rPr>
          <w:rFonts w:hint="eastAsia" w:ascii="仿宋_GB2312" w:eastAsia="仿宋_GB2312" w:cs="DengXian-Regular"/>
          <w:sz w:val="32"/>
          <w:szCs w:val="32"/>
          <w:lang w:val="en-US" w:eastAsia="zh-CN"/>
        </w:rPr>
        <w:t>98</w:t>
      </w:r>
      <w:r>
        <w:rPr>
          <w:rFonts w:hint="eastAsia" w:ascii="仿宋_GB2312" w:eastAsia="仿宋_GB2312" w:cs="DengXian-Regular"/>
          <w:sz w:val="32"/>
          <w:szCs w:val="32"/>
        </w:rPr>
        <w:t>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优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hint="default" w:ascii="仿宋_GB2312" w:eastAsia="仿宋_GB2312" w:cs="Times New Roman" w:hAnsiTheme="minorEastAsia"/>
          <w:sz w:val="32"/>
          <w:szCs w:val="32"/>
          <w:u w:color="000000"/>
          <w:lang w:val="en-US" w:eastAsia="zh-CN"/>
        </w:rPr>
      </w:pPr>
      <w:r>
        <w:rPr>
          <w:rFonts w:hint="eastAsia" w:ascii="仿宋_GB2312" w:eastAsia="仿宋_GB2312" w:cs="Times New Roman" w:hAnsiTheme="minorEastAsia"/>
          <w:sz w:val="32"/>
          <w:szCs w:val="32"/>
          <w:u w:color="000000"/>
          <w:lang w:val="en-US" w:eastAsia="zh-CN"/>
        </w:rPr>
        <w:t>党校职能比转单一，绩效指标需进一步细化。</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2.预算决算比较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管理制度需进一步细化完善</w:t>
      </w:r>
      <w:r>
        <w:rPr>
          <w:rFonts w:hint="eastAsia" w:ascii="仿宋_GB2312" w:eastAsia="仿宋_GB2312" w:cs="Times New Roman" w:hAnsiTheme="minorEastAsia"/>
          <w:sz w:val="32"/>
          <w:szCs w:val="32"/>
          <w:u w:color="000000"/>
        </w:rPr>
        <w:t>。</w:t>
      </w:r>
      <w:r>
        <w:rPr>
          <w:rFonts w:hint="eastAsia" w:ascii="仿宋_GB2312" w:eastAsia="仿宋_GB2312" w:cs="DengXian-Regular"/>
          <w:sz w:val="32"/>
          <w:szCs w:val="32"/>
        </w:rPr>
        <w:t>部门预算编制工作要全面反映和体现部门职责，根据具体情况及时调整预算的编制，缩小预算与决算差额</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3.预算追加方面</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区委党校2019年无追加预算。</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4.政府采购方面</w:t>
      </w:r>
    </w:p>
    <w:p>
      <w:pPr>
        <w:spacing w:after="0" w:line="360" w:lineRule="auto"/>
        <w:ind w:firstLine="640" w:firstLineChars="200"/>
        <w:jc w:val="both"/>
        <w:textAlignment w:val="baseline"/>
        <w:rPr>
          <w:rFonts w:hint="default" w:ascii="仿宋_GB2312" w:eastAsia="仿宋_GB2312" w:cs="DengXian-Regular"/>
          <w:sz w:val="32"/>
          <w:szCs w:val="32"/>
          <w:lang w:val="en-US"/>
        </w:rPr>
      </w:pPr>
      <w:r>
        <w:rPr>
          <w:rFonts w:hint="eastAsia" w:ascii="仿宋_GB2312" w:eastAsia="仿宋_GB2312" w:cs="DengXian-Regular"/>
          <w:sz w:val="32"/>
          <w:szCs w:val="32"/>
          <w:lang w:val="en-US" w:eastAsia="zh-CN"/>
        </w:rPr>
        <w:t>区委党校2019年无政府采购。</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5.项目资金使用率</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区委党校2019年，项目为校园安保服务项目，预算资金为人员工资4.8万元，</w:t>
      </w:r>
      <w:r>
        <w:rPr>
          <w:rFonts w:hint="eastAsia" w:ascii="仿宋_GB2312" w:eastAsia="仿宋_GB2312" w:cs="DengXian-Regular"/>
          <w:sz w:val="32"/>
          <w:szCs w:val="32"/>
        </w:rPr>
        <w:t>资金使用率</w:t>
      </w:r>
      <w:r>
        <w:rPr>
          <w:rFonts w:hint="eastAsia" w:ascii="仿宋_GB2312" w:eastAsia="仿宋_GB2312" w:cs="DengXian-Regular"/>
          <w:sz w:val="32"/>
          <w:szCs w:val="32"/>
          <w:lang w:val="en-US" w:eastAsia="zh-CN"/>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w:t>
      </w:r>
      <w:r>
        <w:rPr>
          <w:rFonts w:hint="eastAsia" w:ascii="仿宋_GB2312" w:eastAsia="仿宋_GB2312" w:cs="Times New Roman" w:hAnsiTheme="minorEastAsia"/>
          <w:sz w:val="32"/>
          <w:szCs w:val="32"/>
          <w:u w:color="000000"/>
          <w:lang w:val="en-US" w:eastAsia="zh-CN"/>
        </w:rPr>
        <w:t>委党校</w:t>
      </w:r>
      <w:r>
        <w:rPr>
          <w:rFonts w:hint="eastAsia" w:ascii="仿宋_GB2312" w:eastAsia="仿宋_GB2312" w:cs="Times New Roman" w:hAnsiTheme="minorEastAsia"/>
          <w:sz w:val="32"/>
          <w:szCs w:val="32"/>
          <w:u w:color="000000"/>
        </w:rPr>
        <w:t>对项目资金进行梳理，</w:t>
      </w:r>
      <w:r>
        <w:rPr>
          <w:rFonts w:hint="eastAsia" w:ascii="仿宋_GB2312" w:eastAsia="仿宋_GB2312" w:cs="Times New Roman" w:hAnsiTheme="minorEastAsia"/>
          <w:sz w:val="32"/>
          <w:szCs w:val="32"/>
          <w:u w:color="000000"/>
          <w:lang w:val="en-US" w:eastAsia="zh-CN"/>
        </w:rPr>
        <w:t>严格</w:t>
      </w:r>
      <w:r>
        <w:rPr>
          <w:rFonts w:hint="eastAsia" w:ascii="仿宋_GB2312" w:eastAsia="仿宋_GB2312" w:cs="Times New Roman" w:hAnsiTheme="minorEastAsia"/>
          <w:sz w:val="32"/>
          <w:szCs w:val="32"/>
          <w:u w:color="000000"/>
        </w:rPr>
        <w:t>项目进度和资金拨付进度，应拨付的资金及时拨付。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无</w:t>
      </w:r>
      <w:r>
        <w:rPr>
          <w:rFonts w:ascii="仿宋_GB2312" w:eastAsia="仿宋_GB2312" w:cs="DengXian-Regular"/>
          <w:sz w:val="32"/>
          <w:szCs w:val="32"/>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w:t>
      </w:r>
      <w:r>
        <w:rPr>
          <w:rFonts w:hint="eastAsia" w:ascii="楷体" w:hAnsi="楷体" w:eastAsia="楷体" w:cs="楷体"/>
          <w:lang w:val="en-US" w:eastAsia="zh-CN"/>
        </w:rPr>
        <w:t>中共</w:t>
      </w:r>
      <w:r>
        <w:rPr>
          <w:rFonts w:hint="eastAsia" w:ascii="楷体" w:hAnsi="楷体" w:eastAsia="楷体" w:cs="楷体"/>
        </w:rPr>
        <w:t>保定市徐水区</w:t>
      </w:r>
      <w:r>
        <w:rPr>
          <w:rFonts w:hint="eastAsia" w:ascii="楷体" w:hAnsi="楷体" w:eastAsia="楷体" w:cs="楷体"/>
          <w:lang w:val="en-US" w:eastAsia="zh-CN"/>
        </w:rPr>
        <w:t>委党校</w:t>
      </w:r>
      <w:r>
        <w:rPr>
          <w:rFonts w:hint="eastAsia" w:ascii="楷体" w:hAnsi="楷体" w:eastAsia="楷体" w:cs="楷体"/>
        </w:rPr>
        <w:t>基本情况</w:t>
      </w:r>
      <w:bookmarkEnd w:id="2"/>
      <w:bookmarkEnd w:id="3"/>
      <w:bookmarkStart w:id="4" w:name="_Toc492652764"/>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bookmarkStart w:id="5" w:name="_Toc11473"/>
      <w:r>
        <w:rPr>
          <w:rFonts w:hint="eastAsia" w:ascii="仿宋_GB2312" w:eastAsia="仿宋_GB2312" w:cs="DengXian-Regular"/>
          <w:sz w:val="32"/>
          <w:szCs w:val="32"/>
          <w:lang w:val="en-US" w:eastAsia="zh-CN"/>
        </w:rPr>
        <w:t>（一）部门职责和工作情况</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 xml:space="preserve">根据中共保定市徐水区委办公室、保定市徐水区人民政府办公室关于印发《保定市徐水区委党校单位职能配置内设机构和人员编制规定》的通知，区委党校为区委工作部门，正科级单位，下设4个股室。区委党校根据绩效预算管理改革的相关要求，按照“部门职责—工作活动绩效目标”的层级设立了绩效预算架构，职责活动包括1.宣传和研究马克思列宁主义、毛泽东思想、邓小平理论、“三个代表”重要思想、科学发展观、习近平新时代中国特色社会主义思想和党的路线、方针、政策；2.负责实施对区直各机关、各乡（镇）干部、农村“两委”干部的长、中、短期培训、轮训任务；3.围绕区委、区政府的中心工作开展调查研究，为区委、区政府决策提供服务;4.负责征集、整理编写本区有关党史资料，研究党的历史，提供给区委和上级党史部门研究。5.完成区委、区政府和上级党校（行政学院、社会主义学院）交办的其他工作；共5部分。 </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（二）部门年度发展规划总体目标和职责分类绩效目标</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按照2019年绩效预算编制要求，区委党校设置的年度发展规划总体目标为：</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负责贯彻执行党和国家关于制定区委党校工作要点，并监督实施。指导全区党员干部培训、轮训工作。制定培训、轮训规划并组织实施，负责全区党员干部培训、轮训工作。</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职责分类绩效目标为：</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1.干部教育培训按期优质完成。</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2.完成上级交办的其他任务。</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3.部门支出合理规范。</w:t>
      </w:r>
    </w:p>
    <w:bookmarkEnd w:id="4"/>
    <w:bookmarkEnd w:id="5"/>
    <w:p>
      <w:pPr>
        <w:spacing w:after="0" w:line="360" w:lineRule="auto"/>
        <w:ind w:firstLine="640" w:firstLineChars="200"/>
        <w:jc w:val="both"/>
        <w:textAlignment w:val="baseline"/>
        <w:rPr>
          <w:rFonts w:ascii="仿宋_GB2312" w:eastAsia="仿宋_GB2312" w:cs="DengXian-Regular"/>
          <w:sz w:val="32"/>
          <w:szCs w:val="32"/>
        </w:rPr>
      </w:pPr>
      <w:bookmarkStart w:id="6" w:name="_Toc1678"/>
      <w:bookmarkStart w:id="7" w:name="_Toc492652766"/>
      <w:bookmarkStart w:id="8" w:name="_Toc465149500"/>
      <w:r>
        <w:rPr>
          <w:rFonts w:hint="eastAsia" w:ascii="仿宋_GB2312" w:eastAsia="仿宋_GB2312" w:cs="DengXian-Regular"/>
          <w:sz w:val="32"/>
          <w:szCs w:val="32"/>
        </w:rPr>
        <w:t>（三）部门预算收入及决算收入</w:t>
      </w:r>
      <w:bookmarkEnd w:id="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预算收入</w:t>
      </w:r>
      <w:r>
        <w:rPr>
          <w:rFonts w:hint="eastAsia" w:ascii="仿宋_GB2312" w:eastAsia="仿宋_GB2312" w:cs="DengXian-Regular"/>
          <w:sz w:val="32"/>
          <w:szCs w:val="32"/>
          <w:lang w:val="en-US" w:eastAsia="zh-CN"/>
        </w:rPr>
        <w:t>364.28</w:t>
      </w:r>
      <w:r>
        <w:rPr>
          <w:rFonts w:hint="eastAsia" w:ascii="仿宋_GB2312" w:eastAsia="仿宋_GB2312" w:cs="DengXian-Regular"/>
          <w:sz w:val="32"/>
          <w:szCs w:val="32"/>
        </w:rPr>
        <w:t>万元，均为一般公共预算拨款，其中：财政拨款</w:t>
      </w:r>
      <w:r>
        <w:rPr>
          <w:rFonts w:hint="eastAsia" w:ascii="仿宋_GB2312" w:eastAsia="仿宋_GB2312" w:cs="DengXian-Regular"/>
          <w:sz w:val="32"/>
          <w:szCs w:val="32"/>
          <w:lang w:val="en-US" w:eastAsia="zh-CN"/>
        </w:rPr>
        <w:t>364.28</w:t>
      </w:r>
      <w:r>
        <w:rPr>
          <w:rFonts w:hint="eastAsia" w:ascii="仿宋_GB2312" w:eastAsia="仿宋_GB2312" w:cs="DengXian-Regular"/>
          <w:sz w:val="32"/>
          <w:szCs w:val="32"/>
        </w:rPr>
        <w:t>万元，中央财政提前通知转移支付</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万元。预算收入按功能分类包含：</w:t>
      </w:r>
      <w:r>
        <w:rPr>
          <w:rFonts w:hint="eastAsia" w:ascii="仿宋_GB2312" w:eastAsia="仿宋_GB2312" w:cs="DengXian-Regular"/>
          <w:sz w:val="32"/>
          <w:szCs w:val="32"/>
          <w:lang w:val="en-US" w:eastAsia="zh-CN"/>
        </w:rPr>
        <w:t>教育</w:t>
      </w:r>
      <w:r>
        <w:rPr>
          <w:rFonts w:hint="eastAsia" w:ascii="仿宋_GB2312" w:eastAsia="仿宋_GB2312" w:cs="DengXian-Regular"/>
          <w:sz w:val="32"/>
          <w:szCs w:val="32"/>
        </w:rPr>
        <w:t>支出</w:t>
      </w:r>
      <w:r>
        <w:rPr>
          <w:rFonts w:hint="eastAsia" w:ascii="仿宋_GB2312" w:eastAsia="仿宋_GB2312" w:cs="DengXian-Regular"/>
          <w:sz w:val="32"/>
          <w:szCs w:val="32"/>
          <w:lang w:val="en-US" w:eastAsia="zh-CN"/>
        </w:rPr>
        <w:t>254.25</w:t>
      </w:r>
      <w:r>
        <w:rPr>
          <w:rFonts w:hint="eastAsia" w:ascii="仿宋_GB2312" w:eastAsia="仿宋_GB2312" w:cs="DengXian-Regular"/>
          <w:sz w:val="32"/>
          <w:szCs w:val="32"/>
        </w:rPr>
        <w:t>万元，社会保障和就业支出</w:t>
      </w:r>
      <w:r>
        <w:rPr>
          <w:rFonts w:hint="eastAsia" w:ascii="仿宋_GB2312" w:eastAsia="仿宋_GB2312" w:cs="DengXian-Regular"/>
          <w:sz w:val="32"/>
          <w:szCs w:val="32"/>
          <w:lang w:val="en-US" w:eastAsia="zh-CN"/>
        </w:rPr>
        <w:t>85.2</w:t>
      </w:r>
      <w:r>
        <w:rPr>
          <w:rFonts w:hint="eastAsia" w:ascii="仿宋_GB2312" w:eastAsia="仿宋_GB2312" w:cs="DengXian-Regular"/>
          <w:sz w:val="32"/>
          <w:szCs w:val="32"/>
        </w:rPr>
        <w:t>万元，医疗卫生与计划生育支出</w:t>
      </w:r>
      <w:r>
        <w:rPr>
          <w:rFonts w:hint="eastAsia" w:ascii="仿宋_GB2312" w:eastAsia="仿宋_GB2312" w:cs="DengXian-Regular"/>
          <w:sz w:val="32"/>
          <w:szCs w:val="32"/>
          <w:lang w:val="en-US" w:eastAsia="zh-CN"/>
        </w:rPr>
        <w:t>13.84</w:t>
      </w:r>
      <w:r>
        <w:rPr>
          <w:rFonts w:hint="eastAsia" w:ascii="仿宋_GB2312" w:eastAsia="仿宋_GB2312" w:cs="DengXian-Regular"/>
          <w:sz w:val="32"/>
          <w:szCs w:val="32"/>
        </w:rPr>
        <w:t>万元，住房保障支出</w:t>
      </w:r>
      <w:r>
        <w:rPr>
          <w:rFonts w:hint="eastAsia" w:ascii="仿宋_GB2312" w:eastAsia="仿宋_GB2312" w:cs="DengXian-Regular"/>
          <w:sz w:val="32"/>
          <w:szCs w:val="32"/>
          <w:lang w:val="en-US" w:eastAsia="zh-CN"/>
        </w:rPr>
        <w:t>10.99</w:t>
      </w:r>
      <w:r>
        <w:rPr>
          <w:rFonts w:hint="eastAsia" w:ascii="仿宋_GB2312" w:eastAsia="仿宋_GB2312" w:cs="DengXian-Regular"/>
          <w:sz w:val="32"/>
          <w:szCs w:val="32"/>
        </w:rPr>
        <w:t>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决算收入</w:t>
      </w:r>
      <w:r>
        <w:rPr>
          <w:rFonts w:hint="eastAsia" w:ascii="仿宋_GB2312" w:eastAsia="仿宋_GB2312" w:cs="DengXian-Regular"/>
          <w:sz w:val="32"/>
          <w:szCs w:val="32"/>
          <w:lang w:val="en-US" w:eastAsia="zh-CN"/>
        </w:rPr>
        <w:t>281.10</w:t>
      </w:r>
      <w:r>
        <w:rPr>
          <w:rFonts w:hint="eastAsia" w:ascii="仿宋_GB2312" w:eastAsia="仿宋_GB2312" w:cs="DengXian-Regular"/>
          <w:sz w:val="32"/>
          <w:szCs w:val="32"/>
        </w:rPr>
        <w:t>万元，其中：财政拨款收入</w:t>
      </w:r>
      <w:r>
        <w:rPr>
          <w:rFonts w:hint="eastAsia" w:ascii="仿宋_GB2312" w:eastAsia="仿宋_GB2312" w:cs="DengXian-Regular"/>
          <w:sz w:val="32"/>
          <w:szCs w:val="32"/>
          <w:lang w:val="en-US" w:eastAsia="zh-CN"/>
        </w:rPr>
        <w:t>281.02</w:t>
      </w:r>
      <w:r>
        <w:rPr>
          <w:rFonts w:hint="eastAsia" w:ascii="仿宋_GB2312" w:eastAsia="仿宋_GB2312" w:cs="DengXian-Regular"/>
          <w:sz w:val="32"/>
          <w:szCs w:val="32"/>
        </w:rPr>
        <w:t>万元，其他收入</w:t>
      </w:r>
      <w:r>
        <w:rPr>
          <w:rFonts w:hint="eastAsia" w:ascii="仿宋_GB2312" w:eastAsia="仿宋_GB2312" w:cs="DengXian-Regular"/>
          <w:sz w:val="32"/>
          <w:szCs w:val="32"/>
          <w:lang w:val="en-US" w:eastAsia="zh-CN"/>
        </w:rPr>
        <w:t>0.08</w:t>
      </w:r>
      <w:r>
        <w:rPr>
          <w:rFonts w:hint="eastAsia" w:ascii="仿宋_GB2312" w:eastAsia="仿宋_GB2312" w:cs="DengXian-Regular"/>
          <w:sz w:val="32"/>
          <w:szCs w:val="32"/>
        </w:rPr>
        <w:t>万元（全部为利息收入）。决算收入按功能分类包含：</w:t>
      </w:r>
      <w:r>
        <w:rPr>
          <w:rFonts w:hint="eastAsia" w:ascii="仿宋_GB2312" w:eastAsia="仿宋_GB2312" w:cs="DengXian-Regular"/>
          <w:sz w:val="32"/>
          <w:szCs w:val="32"/>
          <w:lang w:val="en-US" w:eastAsia="zh-CN"/>
        </w:rPr>
        <w:t>教育</w:t>
      </w:r>
      <w:r>
        <w:rPr>
          <w:rFonts w:hint="eastAsia" w:ascii="仿宋_GB2312" w:eastAsia="仿宋_GB2312" w:cs="DengXian-Regular"/>
          <w:sz w:val="32"/>
          <w:szCs w:val="32"/>
        </w:rPr>
        <w:t>支出</w:t>
      </w:r>
      <w:r>
        <w:rPr>
          <w:rFonts w:hint="eastAsia" w:ascii="仿宋_GB2312" w:eastAsia="仿宋_GB2312" w:cs="DengXian-Regular"/>
          <w:sz w:val="32"/>
          <w:szCs w:val="32"/>
          <w:lang w:val="en-US" w:eastAsia="zh-CN"/>
        </w:rPr>
        <w:t>185.84</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66.11</w:t>
      </w:r>
      <w:r>
        <w:rPr>
          <w:rFonts w:hint="eastAsia" w:ascii="仿宋_GB2312" w:eastAsia="仿宋_GB2312" w:cs="DengXian-Regular"/>
          <w:sz w:val="32"/>
          <w:szCs w:val="32"/>
        </w:rPr>
        <w:t>%；社会保障和就业支出</w:t>
      </w:r>
      <w:r>
        <w:rPr>
          <w:rFonts w:hint="eastAsia" w:ascii="仿宋_GB2312" w:eastAsia="仿宋_GB2312" w:cs="DengXian-Regular"/>
          <w:sz w:val="32"/>
          <w:szCs w:val="32"/>
          <w:lang w:val="en-US" w:eastAsia="zh-CN"/>
        </w:rPr>
        <w:t>79.04</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28.12</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5.69</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2.02</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10.99</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3.91</w:t>
      </w:r>
      <w:r>
        <w:rPr>
          <w:rFonts w:hint="eastAsia" w:ascii="仿宋_GB2312" w:eastAsia="仿宋_GB2312" w:cs="DengXian-Regular"/>
          <w:sz w:val="32"/>
          <w:szCs w:val="32"/>
        </w:rPr>
        <w:t>%。具体决算收入详见附件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2019年度区</w:t>
      </w:r>
      <w:r>
        <w:rPr>
          <w:rFonts w:hint="eastAsia" w:asciiTheme="minorEastAsia" w:hAnsiTheme="minorEastAsia" w:eastAsiaTheme="minorEastAsia" w:cstheme="minorEastAsia"/>
          <w:b/>
          <w:bCs/>
          <w:sz w:val="32"/>
          <w:szCs w:val="32"/>
          <w:lang w:val="en-US" w:eastAsia="zh-CN"/>
        </w:rPr>
        <w:t>委党校</w:t>
      </w:r>
      <w:r>
        <w:rPr>
          <w:rFonts w:hint="eastAsia" w:asciiTheme="minorEastAsia" w:hAnsiTheme="minorEastAsia" w:eastAsiaTheme="minorEastAsia" w:cstheme="minorEastAsia"/>
          <w:b/>
          <w:bCs/>
          <w:sz w:val="32"/>
          <w:szCs w:val="32"/>
        </w:rPr>
        <w:t>决算收入结构图</w:t>
      </w:r>
    </w:p>
    <w:p>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415925</wp:posOffset>
            </wp:positionH>
            <wp:positionV relativeFrom="paragraph">
              <wp:posOffset>28575</wp:posOffset>
            </wp:positionV>
            <wp:extent cx="4572000" cy="2743200"/>
            <wp:effectExtent l="4445" t="4445" r="14605" b="14605"/>
            <wp:wrapSquare wrapText="bothSides"/>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一般公共预算财政拨款决算收入比年初预算减少</w:t>
      </w:r>
      <w:r>
        <w:rPr>
          <w:rFonts w:hint="eastAsia" w:ascii="仿宋_GB2312" w:eastAsia="仿宋_GB2312" w:cs="DengXian-Regular"/>
          <w:sz w:val="32"/>
          <w:szCs w:val="32"/>
          <w:lang w:val="en-US" w:eastAsia="zh-CN"/>
        </w:rPr>
        <w:t>83.26</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77.14</w:t>
      </w:r>
      <w:r>
        <w:rPr>
          <w:rFonts w:hint="eastAsia" w:ascii="仿宋_GB2312" w:eastAsia="仿宋_GB2312" w:cs="DengXian-Regular"/>
          <w:sz w:val="32"/>
          <w:szCs w:val="32"/>
        </w:rPr>
        <w:t>%。决算收入大于预算收入的主要原因为2019年度区</w:t>
      </w:r>
      <w:r>
        <w:rPr>
          <w:rFonts w:hint="eastAsia" w:ascii="仿宋_GB2312" w:eastAsia="仿宋_GB2312" w:cs="DengXian-Regular"/>
          <w:sz w:val="32"/>
          <w:szCs w:val="32"/>
          <w:lang w:val="en-US" w:eastAsia="zh-CN"/>
        </w:rPr>
        <w:t>委党校，一是退休人员去逝2人，人员经费减少。二是严格按照财政相关规定，厉行节约，缩减各项费用支出</w:t>
      </w:r>
      <w:r>
        <w:rPr>
          <w:rFonts w:hint="eastAsia" w:ascii="仿宋_GB2312" w:eastAsia="仿宋_GB2312" w:cs="DengXian-Regular"/>
          <w:sz w:val="32"/>
          <w:szCs w:val="32"/>
        </w:rPr>
        <w:t>。预算收入与决算收入对比情况见图2。</w:t>
      </w:r>
    </w:p>
    <w:p>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2019年度区</w:t>
      </w:r>
      <w:r>
        <w:rPr>
          <w:rFonts w:hint="eastAsia" w:asciiTheme="minorEastAsia" w:hAnsiTheme="minorEastAsia" w:eastAsiaTheme="minorEastAsia" w:cstheme="minorEastAsia"/>
          <w:b/>
          <w:sz w:val="32"/>
          <w:szCs w:val="32"/>
          <w:u w:color="000000"/>
          <w:lang w:val="en-US" w:eastAsia="zh-CN"/>
        </w:rPr>
        <w:t>委党校</w:t>
      </w:r>
      <w:r>
        <w:rPr>
          <w:rFonts w:hint="eastAsia" w:asciiTheme="minorEastAsia" w:hAnsiTheme="minorEastAsia" w:eastAsiaTheme="minorEastAsia" w:cstheme="minorEastAsia"/>
          <w:b/>
          <w:sz w:val="32"/>
          <w:szCs w:val="32"/>
          <w:u w:color="000000"/>
        </w:rPr>
        <w:t>预算收入与决算收入对比图</w:t>
      </w:r>
    </w:p>
    <w:p>
      <w:pPr>
        <w:pStyle w:val="4"/>
        <w:spacing w:before="0" w:after="0"/>
        <w:ind w:firstLine="602" w:firstLineChars="200"/>
        <w:jc w:val="both"/>
        <w:rPr>
          <w:rFonts w:hint="eastAsia" w:ascii="仿宋_GB2312" w:hAnsiTheme="minorEastAsia"/>
          <w:sz w:val="32"/>
        </w:rPr>
      </w:pPr>
      <w:bookmarkStart w:id="9" w:name="_Toc18197"/>
      <w:r>
        <w:drawing>
          <wp:inline distT="0" distB="0" distL="114300" distR="114300">
            <wp:extent cx="4572000" cy="2743200"/>
            <wp:effectExtent l="4445" t="4445" r="14605" b="14605"/>
            <wp:docPr id="1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jc w:val="both"/>
        <w:rPr>
          <w:rFonts w:hint="eastAsia" w:ascii="仿宋_GB2312" w:hAnsiTheme="minorEastAsia"/>
          <w:sz w:val="32"/>
        </w:rPr>
      </w:pPr>
    </w:p>
    <w:p>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7"/>
      <w:bookmarkEnd w:id="8"/>
      <w:r>
        <w:rPr>
          <w:rFonts w:hint="eastAsia" w:ascii="仿宋_GB2312" w:hAnsiTheme="minorEastAsia"/>
          <w:sz w:val="32"/>
        </w:rPr>
        <w:t>支出</w:t>
      </w:r>
      <w:bookmarkEnd w:id="9"/>
    </w:p>
    <w:p>
      <w:pPr>
        <w:spacing w:after="0" w:line="360" w:lineRule="auto"/>
        <w:ind w:firstLine="640" w:firstLineChars="200"/>
        <w:jc w:val="both"/>
        <w:rPr>
          <w:rFonts w:hint="eastAsia" w:ascii="仿宋_GB2312" w:eastAsia="仿宋_GB2312" w:cs="Times New Roman" w:hAnsiTheme="minorEastAsia"/>
          <w:sz w:val="32"/>
          <w:szCs w:val="32"/>
          <w:u w:color="000000"/>
        </w:rPr>
      </w:pPr>
      <w:r>
        <w:rPr>
          <w:rFonts w:hint="eastAsia" w:ascii="仿宋_GB2312" w:eastAsia="仿宋_GB2312" w:cs="DengXian-Regular"/>
          <w:sz w:val="32"/>
          <w:szCs w:val="32"/>
        </w:rPr>
        <w:t>2019年度区</w:t>
      </w:r>
      <w:r>
        <w:rPr>
          <w:rFonts w:hint="eastAsia" w:ascii="仿宋_GB2312" w:eastAsia="仿宋_GB2312" w:cs="DengXian-Regular"/>
          <w:sz w:val="32"/>
          <w:szCs w:val="32"/>
          <w:lang w:val="en-US" w:eastAsia="zh-CN"/>
        </w:rPr>
        <w:t>委党校</w:t>
      </w:r>
      <w:r>
        <w:rPr>
          <w:rFonts w:hint="eastAsia" w:ascii="仿宋_GB2312" w:eastAsia="仿宋_GB2312" w:cs="Times New Roman" w:hAnsiTheme="minorEastAsia"/>
          <w:sz w:val="32"/>
          <w:szCs w:val="32"/>
          <w:u w:color="000000"/>
        </w:rPr>
        <w:t>预算支出安排</w:t>
      </w:r>
      <w:r>
        <w:rPr>
          <w:rFonts w:hint="eastAsia" w:ascii="仿宋_GB2312" w:eastAsia="仿宋_GB2312" w:cs="DengXian-Regular"/>
          <w:sz w:val="32"/>
          <w:szCs w:val="32"/>
          <w:lang w:val="en-US" w:eastAsia="zh-CN"/>
        </w:rPr>
        <w:t>364.28</w:t>
      </w:r>
      <w:r>
        <w:rPr>
          <w:rFonts w:hint="eastAsia" w:ascii="仿宋_GB2312" w:eastAsia="仿宋_GB2312" w:cs="DengXian-Regular"/>
          <w:sz w:val="32"/>
          <w:szCs w:val="32"/>
        </w:rPr>
        <w:t>万元，其中：</w:t>
      </w:r>
      <w:r>
        <w:rPr>
          <w:rFonts w:hint="eastAsia" w:ascii="仿宋_GB2312" w:eastAsia="仿宋_GB2312" w:cs="Times New Roman" w:hAnsiTheme="minorEastAsia"/>
          <w:sz w:val="32"/>
          <w:szCs w:val="32"/>
          <w:u w:color="000000"/>
        </w:rPr>
        <w:t>基本支出</w:t>
      </w:r>
      <w:r>
        <w:rPr>
          <w:rFonts w:hint="eastAsia" w:ascii="仿宋_GB2312" w:eastAsia="仿宋_GB2312" w:cs="DengXian-Regular"/>
          <w:sz w:val="32"/>
          <w:szCs w:val="32"/>
          <w:lang w:val="en-US" w:eastAsia="zh-CN"/>
        </w:rPr>
        <w:t>359.48</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4.8</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lang w:val="en-US" w:eastAsia="zh-CN"/>
        </w:rPr>
        <w:t>教育</w:t>
      </w:r>
      <w:r>
        <w:rPr>
          <w:rFonts w:hint="eastAsia" w:ascii="仿宋_GB2312" w:eastAsia="仿宋_GB2312" w:cs="DengXian-Regular"/>
          <w:sz w:val="32"/>
          <w:szCs w:val="32"/>
        </w:rPr>
        <w:t>支出</w:t>
      </w:r>
      <w:r>
        <w:rPr>
          <w:rFonts w:hint="eastAsia" w:ascii="仿宋_GB2312" w:eastAsia="仿宋_GB2312" w:cs="DengXian-Regular"/>
          <w:sz w:val="32"/>
          <w:szCs w:val="32"/>
          <w:lang w:val="en-US" w:eastAsia="zh-CN"/>
        </w:rPr>
        <w:t>254.25</w:t>
      </w:r>
      <w:r>
        <w:rPr>
          <w:rFonts w:hint="eastAsia" w:ascii="仿宋_GB2312" w:eastAsia="仿宋_GB2312" w:cs="DengXian-Regular"/>
          <w:sz w:val="32"/>
          <w:szCs w:val="32"/>
        </w:rPr>
        <w:t>万元，社会保障和就业支出</w:t>
      </w:r>
      <w:r>
        <w:rPr>
          <w:rFonts w:hint="eastAsia" w:ascii="仿宋_GB2312" w:eastAsia="仿宋_GB2312" w:cs="DengXian-Regular"/>
          <w:sz w:val="32"/>
          <w:szCs w:val="32"/>
          <w:lang w:val="en-US" w:eastAsia="zh-CN"/>
        </w:rPr>
        <w:t>85.20</w:t>
      </w:r>
      <w:r>
        <w:rPr>
          <w:rFonts w:hint="eastAsia" w:ascii="仿宋_GB2312" w:eastAsia="仿宋_GB2312" w:cs="DengXian-Regular"/>
          <w:sz w:val="32"/>
          <w:szCs w:val="32"/>
        </w:rPr>
        <w:t>万元，医疗卫生与计划生育支出</w:t>
      </w:r>
      <w:r>
        <w:rPr>
          <w:rFonts w:hint="eastAsia" w:ascii="仿宋_GB2312" w:eastAsia="仿宋_GB2312" w:cs="DengXian-Regular"/>
          <w:sz w:val="32"/>
          <w:szCs w:val="32"/>
          <w:lang w:val="en-US" w:eastAsia="zh-CN"/>
        </w:rPr>
        <w:t>13.84</w:t>
      </w:r>
      <w:r>
        <w:rPr>
          <w:rFonts w:hint="eastAsia" w:ascii="仿宋_GB2312" w:eastAsia="仿宋_GB2312" w:cs="DengXian-Regular"/>
          <w:sz w:val="32"/>
          <w:szCs w:val="32"/>
        </w:rPr>
        <w:t>万元，住房保障支出</w:t>
      </w:r>
      <w:r>
        <w:rPr>
          <w:rFonts w:hint="eastAsia" w:ascii="仿宋_GB2312" w:eastAsia="仿宋_GB2312" w:cs="DengXian-Regular"/>
          <w:sz w:val="32"/>
          <w:szCs w:val="32"/>
          <w:lang w:val="en-US" w:eastAsia="zh-CN"/>
        </w:rPr>
        <w:t>10.99</w:t>
      </w:r>
      <w:r>
        <w:rPr>
          <w:rFonts w:hint="eastAsia" w:ascii="仿宋_GB2312" w:eastAsia="仿宋_GB2312" w:cs="DengXian-Regular"/>
          <w:sz w:val="32"/>
          <w:szCs w:val="32"/>
        </w:rPr>
        <w:t>万元。</w:t>
      </w:r>
      <w:r>
        <w:rPr>
          <w:rFonts w:hint="eastAsia" w:ascii="仿宋_GB2312" w:eastAsia="仿宋_GB2312" w:cs="Times New Roman" w:hAnsiTheme="minorEastAsia"/>
          <w:sz w:val="32"/>
          <w:szCs w:val="32"/>
          <w:u w:color="000000"/>
        </w:rPr>
        <w:t>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w:t>
      </w:r>
      <w:r>
        <w:rPr>
          <w:rFonts w:hint="eastAsia" w:ascii="仿宋_GB2312" w:eastAsia="仿宋_GB2312" w:cs="DengXian-Regular"/>
          <w:sz w:val="32"/>
          <w:szCs w:val="32"/>
          <w:lang w:val="en-US" w:eastAsia="zh-CN"/>
        </w:rPr>
        <w:t>委党校</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u w:color="000000"/>
          <w:lang w:val="en-US" w:eastAsia="zh-CN"/>
        </w:rPr>
        <w:t>283.17</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278.37</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4.8</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lang w:val="en-US" w:eastAsia="zh-CN"/>
        </w:rPr>
        <w:t>教育</w:t>
      </w:r>
      <w:r>
        <w:rPr>
          <w:rFonts w:hint="eastAsia" w:ascii="仿宋_GB2312" w:eastAsia="仿宋_GB2312" w:cs="Times New Roman" w:hAnsiTheme="minorEastAsia"/>
          <w:sz w:val="32"/>
          <w:szCs w:val="32"/>
          <w:u w:color="000000"/>
        </w:rPr>
        <w:t>支出</w:t>
      </w:r>
      <w:r>
        <w:rPr>
          <w:rFonts w:hint="eastAsia" w:ascii="仿宋_GB2312" w:eastAsia="仿宋_GB2312" w:cs="Times New Roman" w:hAnsiTheme="minorEastAsia"/>
          <w:sz w:val="32"/>
          <w:szCs w:val="32"/>
          <w:u w:color="000000"/>
          <w:lang w:val="en-US" w:eastAsia="zh-CN"/>
        </w:rPr>
        <w:t>187.45</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66.20</w:t>
      </w:r>
      <w:r>
        <w:rPr>
          <w:rFonts w:hint="eastAsia" w:ascii="仿宋_GB2312" w:eastAsia="仿宋_GB2312" w:cs="Times New Roman" w:hAnsiTheme="minorEastAsia"/>
          <w:sz w:val="32"/>
          <w:szCs w:val="32"/>
          <w:u w:color="000000"/>
        </w:rPr>
        <w:t>%；社会保障和就业支出</w:t>
      </w:r>
      <w:r>
        <w:rPr>
          <w:rFonts w:hint="eastAsia" w:ascii="仿宋_GB2312" w:eastAsia="仿宋_GB2312" w:cs="Times New Roman" w:hAnsiTheme="minorEastAsia"/>
          <w:sz w:val="32"/>
          <w:szCs w:val="32"/>
          <w:u w:color="000000"/>
          <w:lang w:val="en-US" w:eastAsia="zh-CN"/>
        </w:rPr>
        <w:t>79.04</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27.91</w:t>
      </w:r>
      <w:r>
        <w:rPr>
          <w:rFonts w:hint="eastAsia" w:ascii="仿宋_GB2312" w:eastAsia="仿宋_GB2312" w:cs="Times New Roman" w:hAnsiTheme="minorEastAsia"/>
          <w:sz w:val="32"/>
          <w:szCs w:val="32"/>
          <w:u w:color="000000"/>
        </w:rPr>
        <w:t>%；医疗卫生与计划教育支出</w:t>
      </w:r>
      <w:r>
        <w:rPr>
          <w:rFonts w:hint="eastAsia" w:ascii="仿宋_GB2312" w:eastAsia="仿宋_GB2312" w:cs="Times New Roman" w:hAnsiTheme="minorEastAsia"/>
          <w:sz w:val="32"/>
          <w:szCs w:val="32"/>
          <w:u w:color="000000"/>
          <w:lang w:val="en-US" w:eastAsia="zh-CN"/>
        </w:rPr>
        <w:t>5.69</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2.01</w:t>
      </w:r>
      <w:r>
        <w:rPr>
          <w:rFonts w:hint="eastAsia" w:ascii="仿宋_GB2312" w:eastAsia="仿宋_GB2312" w:cs="Times New Roman" w:hAnsiTheme="minorEastAsia"/>
          <w:sz w:val="32"/>
          <w:szCs w:val="32"/>
          <w:u w:color="000000"/>
        </w:rPr>
        <w:t>%；住房保障支出</w:t>
      </w:r>
      <w:r>
        <w:rPr>
          <w:rFonts w:hint="eastAsia" w:ascii="仿宋_GB2312" w:eastAsia="仿宋_GB2312" w:cs="Times New Roman" w:hAnsiTheme="minorEastAsia"/>
          <w:sz w:val="32"/>
          <w:szCs w:val="32"/>
          <w:u w:color="000000"/>
          <w:lang w:val="en-US" w:eastAsia="zh-CN"/>
        </w:rPr>
        <w:t>10.99</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3.88</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2019年度区</w:t>
      </w:r>
      <w:r>
        <w:rPr>
          <w:rFonts w:hint="eastAsia" w:ascii="仿宋_GB2312" w:eastAsia="仿宋_GB2312" w:cs="DengXian-Regular"/>
          <w:sz w:val="32"/>
          <w:szCs w:val="32"/>
          <w:lang w:val="en-US" w:eastAsia="zh-CN"/>
        </w:rPr>
        <w:t>委党校</w:t>
      </w:r>
      <w:r>
        <w:rPr>
          <w:rFonts w:hint="eastAsia" w:asciiTheme="minorEastAsia" w:hAnsiTheme="minorEastAsia" w:eastAsiaTheme="minorEastAsia" w:cstheme="minorEastAsia"/>
          <w:b/>
          <w:bCs/>
          <w:sz w:val="32"/>
          <w:szCs w:val="32"/>
          <w:u w:color="000000"/>
        </w:rPr>
        <w:t>决算支出结构图</w:t>
      </w:r>
    </w:p>
    <w:p>
      <w:pPr>
        <w:spacing w:after="0" w:line="360" w:lineRule="auto"/>
        <w:ind w:firstLine="440" w:firstLineChars="200"/>
        <w:jc w:val="both"/>
        <w:rPr>
          <w:rFonts w:hint="eastAsia" w:ascii="仿宋_GB2312" w:eastAsia="仿宋_GB2312" w:cs="DengXian-Regular"/>
          <w:sz w:val="32"/>
          <w:szCs w:val="32"/>
        </w:rPr>
      </w:pPr>
      <w:r>
        <w:drawing>
          <wp:inline distT="0" distB="0" distL="114300" distR="114300">
            <wp:extent cx="4572000" cy="2743200"/>
            <wp:effectExtent l="4445" t="4445" r="14605" b="14605"/>
            <wp:docPr id="1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w:t>
      </w:r>
      <w:r>
        <w:rPr>
          <w:rFonts w:hint="eastAsia" w:ascii="仿宋_GB2312" w:eastAsia="仿宋_GB2312" w:cs="DengXian-Regular"/>
          <w:sz w:val="32"/>
          <w:szCs w:val="32"/>
          <w:lang w:val="en-US" w:eastAsia="zh-CN"/>
        </w:rPr>
        <w:t>减少81.11</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77.34</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w:t>
      </w:r>
      <w:r>
        <w:rPr>
          <w:rFonts w:hint="eastAsia" w:ascii="仿宋_GB2312" w:eastAsia="仿宋_GB2312" w:cs="DengXian-Regular"/>
          <w:sz w:val="32"/>
          <w:szCs w:val="32"/>
          <w:lang w:val="en-US" w:eastAsia="zh-CN"/>
        </w:rPr>
        <w:t>一是退休人员去逝2人，人员经费减少。二是严格按照财政相关规定，厉行节约，缩减各项费用支出</w:t>
      </w:r>
      <w:r>
        <w:rPr>
          <w:rFonts w:hint="eastAsia" w:ascii="仿宋_GB2312" w:eastAsia="仿宋_GB2312" w:cs="DengXian-Regular"/>
          <w:sz w:val="32"/>
          <w:szCs w:val="32"/>
        </w:rPr>
        <w:t>。</w:t>
      </w:r>
      <w:r>
        <w:rPr>
          <w:rFonts w:hint="eastAsia" w:ascii="仿宋" w:hAnsi="仿宋" w:eastAsia="仿宋"/>
          <w:snapToGrid w:val="0"/>
          <w:sz w:val="32"/>
          <w:szCs w:val="32"/>
        </w:rPr>
        <w:t>预算支出与决算支出对比情况如图4。</w:t>
      </w:r>
    </w:p>
    <w:p>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2019年度</w:t>
      </w:r>
      <w:r>
        <w:rPr>
          <w:rFonts w:hint="eastAsia" w:asciiTheme="minorEastAsia" w:hAnsiTheme="minorEastAsia" w:eastAsiaTheme="minorEastAsia" w:cstheme="minorEastAsia"/>
          <w:b/>
          <w:sz w:val="32"/>
          <w:szCs w:val="32"/>
          <w:u w:color="000000"/>
        </w:rPr>
        <w:t>区</w:t>
      </w:r>
      <w:r>
        <w:rPr>
          <w:rFonts w:hint="eastAsia" w:asciiTheme="minorEastAsia" w:hAnsiTheme="minorEastAsia" w:eastAsiaTheme="minorEastAsia" w:cstheme="minorEastAsia"/>
          <w:b/>
          <w:sz w:val="32"/>
          <w:szCs w:val="32"/>
          <w:u w:color="000000"/>
          <w:lang w:val="en-US" w:eastAsia="zh-CN"/>
        </w:rPr>
        <w:t>委党校</w:t>
      </w:r>
      <w:r>
        <w:rPr>
          <w:rFonts w:hint="eastAsia" w:asciiTheme="minorEastAsia" w:hAnsiTheme="minorEastAsia" w:eastAsiaTheme="minorEastAsia" w:cstheme="minorEastAsia"/>
          <w:b/>
          <w:bCs/>
          <w:sz w:val="32"/>
          <w:szCs w:val="32"/>
        </w:rPr>
        <w:t>预算支出与决算支出对比图</w:t>
      </w: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440" w:firstLineChars="200"/>
        <w:jc w:val="both"/>
        <w:rPr>
          <w:rFonts w:hint="eastAsia" w:ascii="仿宋_GB2312" w:eastAsia="仿宋_GB2312" w:cs="DengXian-Regular"/>
          <w:sz w:val="32"/>
          <w:szCs w:val="32"/>
        </w:rP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2019年实际项目支出</w:t>
      </w:r>
      <w:r>
        <w:rPr>
          <w:rFonts w:hint="eastAsia" w:ascii="仿宋_GB2312" w:eastAsia="仿宋_GB2312" w:cs="DengXian-Regular"/>
          <w:sz w:val="32"/>
          <w:szCs w:val="32"/>
          <w:lang w:val="en-US" w:eastAsia="zh-CN"/>
        </w:rPr>
        <w:t>4.8</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万元，实际支出与决算报表差</w:t>
      </w:r>
      <w:r>
        <w:rPr>
          <w:rFonts w:hint="eastAsia" w:ascii="仿宋_GB2312" w:eastAsia="仿宋_GB2312" w:cs="DengXian-Regular"/>
          <w:sz w:val="32"/>
          <w:szCs w:val="32"/>
          <w:lang w:val="en-US" w:eastAsia="zh-CN"/>
        </w:rPr>
        <w:t>4.8</w:t>
      </w:r>
      <w:r>
        <w:rPr>
          <w:rFonts w:hint="eastAsia" w:ascii="仿宋_GB2312" w:eastAsia="仿宋_GB2312" w:cs="DengXian-Regular"/>
          <w:sz w:val="32"/>
          <w:szCs w:val="32"/>
        </w:rPr>
        <w:t>万元，是由于区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将保安</w:t>
      </w:r>
      <w:r>
        <w:rPr>
          <w:rFonts w:hint="eastAsia" w:ascii="仿宋_GB2312" w:eastAsia="仿宋_GB2312" w:cs="DengXian-Regular"/>
          <w:sz w:val="32"/>
          <w:szCs w:val="32"/>
          <w:lang w:val="en-US" w:eastAsia="zh-CN"/>
        </w:rPr>
        <w:t>服务</w:t>
      </w:r>
      <w:r>
        <w:rPr>
          <w:rFonts w:hint="eastAsia" w:ascii="仿宋_GB2312" w:eastAsia="仿宋_GB2312" w:cs="DengXian-Regular"/>
          <w:sz w:val="32"/>
          <w:szCs w:val="32"/>
        </w:rPr>
        <w:t>项目经费（</w:t>
      </w:r>
      <w:r>
        <w:rPr>
          <w:rFonts w:hint="eastAsia" w:ascii="仿宋_GB2312" w:eastAsia="仿宋_GB2312" w:cs="DengXian-Regular"/>
          <w:sz w:val="32"/>
          <w:szCs w:val="32"/>
          <w:lang w:val="en-US" w:eastAsia="zh-CN"/>
        </w:rPr>
        <w:t>4.8</w:t>
      </w:r>
      <w:r>
        <w:rPr>
          <w:rFonts w:hint="eastAsia" w:ascii="仿宋_GB2312" w:eastAsia="仿宋_GB2312" w:cs="DengXian-Regular"/>
          <w:sz w:val="32"/>
          <w:szCs w:val="32"/>
        </w:rPr>
        <w:t>万元）按照决算口径“项目支出”不能有“行政运行”科目要求，故调整入决算支出中的“基本支出”科目。</w:t>
      </w:r>
    </w:p>
    <w:p>
      <w:pPr>
        <w:pStyle w:val="4"/>
        <w:spacing w:before="0" w:after="0"/>
        <w:ind w:firstLine="643" w:firstLineChars="200"/>
        <w:jc w:val="both"/>
        <w:rPr>
          <w:rFonts w:ascii="仿宋_GB2312" w:hAnsi="Tahoma" w:cs="DengXian-Regular"/>
          <w:sz w:val="32"/>
        </w:rPr>
      </w:pPr>
      <w:bookmarkStart w:id="10" w:name="_Toc19291"/>
      <w:bookmarkStart w:id="11" w:name="_Toc465149503"/>
      <w:bookmarkStart w:id="12" w:name="_Toc492652769"/>
      <w:r>
        <w:rPr>
          <w:rFonts w:hint="eastAsia" w:ascii="仿宋_GB2312" w:hAnsi="Tahoma" w:cs="DengXian-Regular"/>
          <w:sz w:val="32"/>
        </w:rPr>
        <w:t>（五）“三公”经费预算安排及支出情况</w:t>
      </w:r>
      <w:bookmarkEnd w:id="10"/>
      <w:bookmarkEnd w:id="11"/>
      <w:bookmarkEnd w:id="12"/>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“三公”经费预算</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1.59</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1.59</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1.41</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47</w:t>
      </w:r>
      <w:r>
        <w:rPr>
          <w:rFonts w:hint="eastAsia" w:ascii="仿宋_GB2312" w:eastAsia="仿宋_GB2312" w:cs="DengXian-Regular"/>
          <w:sz w:val="32"/>
          <w:szCs w:val="32"/>
        </w:rPr>
        <w:t>%。2019年“三公”经费预算数与2018年预算数相比无变化，决算数与2018年实际支出相比，减少</w:t>
      </w:r>
      <w:r>
        <w:rPr>
          <w:rFonts w:hint="eastAsia" w:ascii="仿宋_GB2312" w:eastAsia="仿宋_GB2312" w:cs="DengXian-Regular"/>
          <w:sz w:val="32"/>
          <w:szCs w:val="32"/>
          <w:lang w:val="en-US" w:eastAsia="zh-CN"/>
        </w:rPr>
        <w:t>0.63</w:t>
      </w:r>
      <w:r>
        <w:rPr>
          <w:rFonts w:hint="eastAsia" w:ascii="仿宋_GB2312" w:eastAsia="仿宋_GB2312" w:cs="DengXian-Regular"/>
          <w:sz w:val="32"/>
          <w:szCs w:val="32"/>
        </w:rPr>
        <w:t>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Theme="minorEastAsia" w:hAnsiTheme="minorEastAsia" w:eastAsiaTheme="minorEastAsia" w:cstheme="minorEastAsia"/>
          <w:b/>
          <w:sz w:val="32"/>
          <w:szCs w:val="32"/>
          <w:u w:color="000000"/>
        </w:rPr>
        <w:t>区</w:t>
      </w:r>
      <w:r>
        <w:rPr>
          <w:rFonts w:hint="eastAsia" w:asciiTheme="minorEastAsia" w:hAnsiTheme="minorEastAsia" w:eastAsiaTheme="minorEastAsia" w:cstheme="minorEastAsia"/>
          <w:b/>
          <w:sz w:val="32"/>
          <w:szCs w:val="32"/>
          <w:u w:color="000000"/>
          <w:lang w:val="en-US" w:eastAsia="zh-CN"/>
        </w:rPr>
        <w:t>委党校</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2.22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0.63</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2.22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3</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1.59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0.63</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车辆合计</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辆，其中</w:t>
      </w:r>
      <w:r>
        <w:rPr>
          <w:rFonts w:hint="eastAsia" w:ascii="仿宋_GB2312" w:eastAsia="仿宋_GB2312" w:cs="DengXian-Regular"/>
          <w:sz w:val="32"/>
          <w:szCs w:val="32"/>
          <w:lang w:val="en-US" w:eastAsia="zh-CN"/>
        </w:rPr>
        <w:t>公务</w:t>
      </w:r>
      <w:r>
        <w:rPr>
          <w:rFonts w:hint="eastAsia" w:ascii="仿宋_GB2312" w:eastAsia="仿宋_GB2312" w:cs="DengXian-Regular"/>
          <w:sz w:val="32"/>
          <w:szCs w:val="32"/>
        </w:rPr>
        <w:t>用车</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辆，其他用车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辆。2019年公务用车购置及运维费年初预算</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万元，全部为公务用车运行维护费，实际支出</w:t>
      </w:r>
      <w:r>
        <w:rPr>
          <w:rFonts w:hint="eastAsia" w:ascii="仿宋_GB2312" w:eastAsia="仿宋_GB2312" w:cs="DengXian-Regular"/>
          <w:sz w:val="32"/>
          <w:szCs w:val="32"/>
          <w:lang w:val="en-US" w:eastAsia="zh-CN"/>
        </w:rPr>
        <w:t>1.59</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1.41</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47</w:t>
      </w:r>
      <w:r>
        <w:rPr>
          <w:rFonts w:hint="eastAsia" w:ascii="仿宋_GB2312" w:eastAsia="仿宋_GB2312" w:cs="DengXian-Regular"/>
          <w:sz w:val="32"/>
          <w:szCs w:val="32"/>
        </w:rPr>
        <w:t>%。2019年预算数与2018年预算相比无变化，决算数与2018年实际支出相比，减少</w:t>
      </w:r>
      <w:r>
        <w:rPr>
          <w:rFonts w:hint="eastAsia" w:ascii="仿宋_GB2312" w:eastAsia="仿宋_GB2312" w:cs="DengXian-Regular"/>
          <w:sz w:val="32"/>
          <w:szCs w:val="32"/>
          <w:lang w:val="en-US" w:eastAsia="zh-CN"/>
        </w:rPr>
        <w:t>0.63</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公务接待费年初预算</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万元。2019年预算数与2018年预算相比无变化，决算数与2018年实际支出相比，增加</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3" w:name="_Toc20454"/>
      <w:bookmarkStart w:id="14" w:name="_Toc492652770"/>
      <w:bookmarkStart w:id="15" w:name="_Toc465149504"/>
      <w:r>
        <w:rPr>
          <w:rFonts w:hint="eastAsia" w:ascii="黑体"/>
        </w:rPr>
        <w:t>二、部门整体支出绩效评价指标体系设定情况</w:t>
      </w:r>
      <w:bookmarkEnd w:id="13"/>
      <w:bookmarkEnd w:id="14"/>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6" w:name="_Toc492652771"/>
      <w:bookmarkStart w:id="17"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18" w:name="_Toc492652772"/>
      <w:bookmarkStart w:id="19" w:name="_Toc30221"/>
      <w:r>
        <w:rPr>
          <w:rFonts w:hint="eastAsia" w:ascii="楷体" w:hAnsi="楷体" w:eastAsia="楷体"/>
          <w:kern w:val="2"/>
          <w:sz w:val="32"/>
        </w:rPr>
        <w:t>（二）过程（48分）</w:t>
      </w:r>
      <w:bookmarkEnd w:id="18"/>
      <w:bookmarkEnd w:id="1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0" w:name="_Toc24932"/>
      <w:bookmarkStart w:id="21" w:name="_Toc492652773"/>
      <w:r>
        <w:rPr>
          <w:rFonts w:hint="eastAsia" w:ascii="楷体" w:hAnsi="楷体" w:eastAsia="楷体"/>
          <w:kern w:val="2"/>
          <w:sz w:val="32"/>
        </w:rPr>
        <w:t>（三）产出（25分）</w:t>
      </w:r>
      <w:bookmarkEnd w:id="20"/>
      <w:bookmarkEnd w:id="21"/>
    </w:p>
    <w:p>
      <w:pPr>
        <w:spacing w:after="0" w:line="360" w:lineRule="auto"/>
        <w:ind w:firstLine="640" w:firstLineChars="200"/>
        <w:jc w:val="both"/>
        <w:textAlignment w:val="baseline"/>
        <w:rPr>
          <w:rFonts w:hint="eastAsia" w:ascii="仿宋_GB2312" w:eastAsia="仿宋_GB2312" w:cs="DengXian-Regular"/>
          <w:sz w:val="32"/>
          <w:szCs w:val="32"/>
          <w:lang w:eastAsia="zh-CN"/>
        </w:rPr>
      </w:pPr>
      <w:bookmarkStart w:id="22" w:name="_Toc492652774"/>
      <w:r>
        <w:rPr>
          <w:rFonts w:hint="eastAsia" w:ascii="仿宋_GB2312" w:eastAsia="仿宋_GB2312" w:cs="DengXian-Regular"/>
          <w:sz w:val="32"/>
          <w:szCs w:val="32"/>
        </w:rPr>
        <w:t>主要反映结转结余率，项目资金使用率</w:t>
      </w:r>
      <w:bookmarkStart w:id="77" w:name="_GoBack"/>
      <w:bookmarkEnd w:id="77"/>
      <w:r>
        <w:rPr>
          <w:rFonts w:hint="eastAsia" w:ascii="仿宋_GB2312" w:eastAsia="仿宋_GB2312" w:cs="DengXian-Regular"/>
          <w:sz w:val="32"/>
          <w:szCs w:val="32"/>
          <w:lang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3" w:name="_Toc21821"/>
      <w:r>
        <w:rPr>
          <w:rFonts w:hint="eastAsia" w:ascii="楷体_GB2312" w:eastAsia="楷体_GB2312" w:hAnsiTheme="minorEastAsia"/>
          <w:kern w:val="2"/>
          <w:sz w:val="32"/>
        </w:rPr>
        <w:t>（四）效果（15分）</w:t>
      </w:r>
      <w:bookmarkEnd w:id="22"/>
      <w:bookmarkEnd w:id="23"/>
    </w:p>
    <w:p>
      <w:pPr>
        <w:spacing w:after="0" w:line="360" w:lineRule="auto"/>
        <w:ind w:firstLine="640" w:firstLineChars="200"/>
        <w:jc w:val="both"/>
        <w:textAlignment w:val="baseline"/>
        <w:rPr>
          <w:rFonts w:ascii="仿宋_GB2312" w:eastAsia="仿宋_GB2312" w:cs="DengXian-Regular"/>
          <w:sz w:val="32"/>
          <w:szCs w:val="32"/>
        </w:rPr>
      </w:pPr>
      <w:bookmarkStart w:id="24"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5" w:name="_Toc11842"/>
      <w:r>
        <w:rPr>
          <w:rFonts w:hint="eastAsia" w:ascii="黑体"/>
        </w:rPr>
        <w:t>三、综合绩效评价工作情况</w:t>
      </w:r>
      <w:bookmarkEnd w:id="15"/>
      <w:bookmarkEnd w:id="24"/>
      <w:bookmarkEnd w:id="25"/>
      <w:bookmarkStart w:id="26" w:name="_Toc465149505"/>
      <w:bookmarkStart w:id="27" w:name="_Toc492652776"/>
    </w:p>
    <w:p>
      <w:pPr>
        <w:pStyle w:val="4"/>
        <w:spacing w:before="0" w:after="0"/>
        <w:ind w:firstLine="643" w:firstLineChars="200"/>
        <w:jc w:val="both"/>
        <w:rPr>
          <w:rFonts w:ascii="楷体_GB2312" w:eastAsia="楷体_GB2312" w:hAnsiTheme="minorEastAsia"/>
          <w:sz w:val="32"/>
        </w:rPr>
      </w:pPr>
      <w:bookmarkStart w:id="28" w:name="_Toc17138"/>
      <w:r>
        <w:rPr>
          <w:rFonts w:hint="eastAsia" w:ascii="楷体_GB2312" w:eastAsia="楷体_GB2312" w:hAnsiTheme="minorEastAsia"/>
          <w:kern w:val="2"/>
          <w:sz w:val="32"/>
        </w:rPr>
        <w:t>（一）绩效评价目的</w:t>
      </w:r>
      <w:bookmarkEnd w:id="26"/>
      <w:bookmarkEnd w:id="27"/>
      <w:bookmarkEnd w:id="28"/>
    </w:p>
    <w:p>
      <w:pPr>
        <w:spacing w:after="0" w:line="360" w:lineRule="auto"/>
        <w:ind w:firstLine="640" w:firstLineChars="200"/>
        <w:jc w:val="both"/>
        <w:textAlignment w:val="baseline"/>
        <w:rPr>
          <w:rFonts w:ascii="仿宋_GB2312" w:eastAsia="仿宋_GB2312" w:cs="DengXian-Regular"/>
          <w:sz w:val="32"/>
          <w:szCs w:val="32"/>
        </w:rPr>
      </w:pPr>
      <w:bookmarkStart w:id="29" w:name="_Toc465149506"/>
      <w:bookmarkStart w:id="30" w:name="_Toc492652777"/>
      <w:r>
        <w:rPr>
          <w:rFonts w:hint="eastAsia" w:ascii="仿宋_GB2312" w:eastAsia="仿宋_GB2312" w:cs="DengXian-Regular"/>
          <w:sz w:val="32"/>
          <w:szCs w:val="32"/>
        </w:rPr>
        <w:t>通过对区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1" w:name="_Toc11607"/>
      <w:r>
        <w:rPr>
          <w:rFonts w:hint="eastAsia" w:ascii="楷体_GB2312" w:eastAsia="楷体_GB2312" w:hAnsiTheme="minorEastAsia"/>
          <w:kern w:val="2"/>
          <w:sz w:val="32"/>
        </w:rPr>
        <w:t>（二）绩效评价依据</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3" w:name="_Toc492652778"/>
    </w:p>
    <w:p>
      <w:pPr>
        <w:pStyle w:val="4"/>
        <w:spacing w:before="0" w:after="0"/>
        <w:ind w:firstLine="643" w:firstLineChars="200"/>
        <w:jc w:val="both"/>
        <w:rPr>
          <w:rFonts w:ascii="楷体_GB2312" w:eastAsia="楷体_GB2312" w:hAnsiTheme="minorEastAsia"/>
          <w:kern w:val="2"/>
          <w:sz w:val="32"/>
        </w:rPr>
      </w:pPr>
      <w:bookmarkStart w:id="34" w:name="_Toc7609"/>
      <w:r>
        <w:rPr>
          <w:rFonts w:hint="eastAsia" w:ascii="楷体_GB2312" w:eastAsia="楷体_GB2312" w:hAnsiTheme="minorEastAsia"/>
          <w:kern w:val="2"/>
          <w:sz w:val="32"/>
        </w:rPr>
        <w:t>（三）绩效评价</w:t>
      </w:r>
      <w:bookmarkEnd w:id="33"/>
      <w:r>
        <w:rPr>
          <w:rFonts w:hint="eastAsia" w:ascii="楷体_GB2312" w:eastAsia="楷体_GB2312" w:hAnsiTheme="minorEastAsia"/>
          <w:kern w:val="2"/>
          <w:sz w:val="32"/>
        </w:rPr>
        <w:t>内容</w:t>
      </w:r>
      <w:bookmarkEnd w:id="34"/>
    </w:p>
    <w:bookmarkEnd w:id="32"/>
    <w:p>
      <w:pPr>
        <w:spacing w:after="0" w:line="360" w:lineRule="auto"/>
        <w:ind w:firstLine="640" w:firstLineChars="200"/>
        <w:jc w:val="both"/>
        <w:textAlignment w:val="baseline"/>
        <w:rPr>
          <w:rFonts w:ascii="仿宋_GB2312" w:eastAsia="仿宋_GB2312" w:cs="DengXian-Regular"/>
          <w:sz w:val="32"/>
          <w:szCs w:val="32"/>
        </w:rPr>
      </w:pPr>
      <w:bookmarkStart w:id="35" w:name="_Toc465149508"/>
      <w:bookmarkStart w:id="36" w:name="_Toc492652779"/>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37" w:name="_Toc789"/>
      <w:r>
        <w:rPr>
          <w:rFonts w:hint="eastAsia" w:ascii="楷体_GB2312" w:eastAsia="楷体_GB2312" w:hAnsiTheme="minorEastAsia"/>
          <w:kern w:val="2"/>
          <w:sz w:val="32"/>
        </w:rPr>
        <w:t>（四）绩效评价原则</w:t>
      </w:r>
      <w:bookmarkEnd w:id="37"/>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38" w:name="_Toc8171"/>
      <w:r>
        <w:rPr>
          <w:rFonts w:hint="eastAsia" w:ascii="楷体_GB2312" w:eastAsia="楷体_GB2312" w:hAnsiTheme="minorEastAsia"/>
          <w:kern w:val="2"/>
          <w:sz w:val="32"/>
        </w:rPr>
        <w:t>（五）</w:t>
      </w:r>
      <w:bookmarkEnd w:id="35"/>
      <w:bookmarkStart w:id="39" w:name="_Toc465149509"/>
      <w:r>
        <w:rPr>
          <w:rFonts w:hint="eastAsia" w:ascii="楷体_GB2312" w:eastAsia="楷体_GB2312" w:hAnsiTheme="minorEastAsia"/>
          <w:kern w:val="2"/>
          <w:sz w:val="32"/>
        </w:rPr>
        <w:t>绩效评价方法</w:t>
      </w:r>
      <w:bookmarkEnd w:id="36"/>
      <w:bookmarkEnd w:id="38"/>
      <w:bookmarkEnd w:id="39"/>
    </w:p>
    <w:p>
      <w:pPr>
        <w:spacing w:after="0" w:line="360" w:lineRule="auto"/>
        <w:ind w:firstLine="640" w:firstLineChars="200"/>
        <w:jc w:val="both"/>
        <w:textAlignment w:val="baseline"/>
        <w:rPr>
          <w:rFonts w:ascii="仿宋_GB2312" w:eastAsia="仿宋_GB2312" w:cs="DengXian-Regular"/>
          <w:sz w:val="32"/>
          <w:szCs w:val="32"/>
        </w:rPr>
      </w:pPr>
      <w:bookmarkStart w:id="40" w:name="_Toc422314152"/>
      <w:bookmarkStart w:id="41" w:name="_Toc421623217"/>
      <w:bookmarkStart w:id="42" w:name="_Toc492652780"/>
      <w:bookmarkStart w:id="43"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0"/>
      <w:bookmarkEnd w:id="41"/>
    </w:p>
    <w:p>
      <w:pPr>
        <w:spacing w:after="0" w:line="360" w:lineRule="auto"/>
        <w:ind w:firstLine="640" w:firstLineChars="200"/>
        <w:jc w:val="both"/>
        <w:textAlignment w:val="baseline"/>
        <w:rPr>
          <w:rFonts w:ascii="仿宋_GB2312" w:eastAsia="仿宋_GB2312" w:cs="DengXian-Regular"/>
          <w:sz w:val="32"/>
          <w:szCs w:val="32"/>
        </w:rPr>
      </w:pPr>
      <w:bookmarkStart w:id="44" w:name="_Toc422314153"/>
      <w:bookmarkStart w:id="45"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4"/>
      <w:bookmarkEnd w:id="45"/>
    </w:p>
    <w:p>
      <w:pPr>
        <w:spacing w:after="0" w:line="360" w:lineRule="auto"/>
        <w:ind w:firstLine="640" w:firstLineChars="200"/>
        <w:jc w:val="both"/>
        <w:textAlignment w:val="baseline"/>
        <w:rPr>
          <w:rFonts w:ascii="仿宋_GB2312" w:eastAsia="仿宋_GB2312" w:cs="DengXian-Regular"/>
          <w:sz w:val="32"/>
          <w:szCs w:val="32"/>
        </w:rPr>
      </w:pPr>
      <w:bookmarkStart w:id="46" w:name="_Toc422314155"/>
      <w:bookmarkStart w:id="47"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6"/>
      <w:bookmarkEnd w:id="47"/>
    </w:p>
    <w:p>
      <w:pPr>
        <w:spacing w:after="0" w:line="360" w:lineRule="auto"/>
        <w:ind w:firstLine="640" w:firstLineChars="200"/>
        <w:jc w:val="both"/>
        <w:textAlignment w:val="baseline"/>
        <w:rPr>
          <w:rFonts w:ascii="仿宋_GB2312" w:eastAsia="仿宋_GB2312" w:cs="DengXian-Regular"/>
          <w:sz w:val="32"/>
          <w:szCs w:val="32"/>
        </w:rPr>
      </w:pPr>
      <w:bookmarkStart w:id="48" w:name="_Toc421623221"/>
      <w:bookmarkStart w:id="49"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48"/>
      <w:bookmarkEnd w:id="49"/>
      <w:bookmarkStart w:id="50"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2"/>
      <w:bookmarkEnd w:id="43"/>
      <w:bookmarkEnd w:id="5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1" w:name="_Toc492652781"/>
      <w:bookmarkStart w:id="52"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3" w:name="_Toc6467"/>
      <w:r>
        <w:rPr>
          <w:rFonts w:hint="eastAsia" w:ascii="黑体"/>
        </w:rPr>
        <w:t>四、</w:t>
      </w:r>
      <w:bookmarkEnd w:id="51"/>
      <w:bookmarkEnd w:id="52"/>
      <w:bookmarkStart w:id="54" w:name="_Toc492652782"/>
      <w:r>
        <w:rPr>
          <w:rFonts w:hint="eastAsia" w:ascii="黑体"/>
        </w:rPr>
        <w:t>绩效评价评分情况</w:t>
      </w:r>
      <w:bookmarkEnd w:id="53"/>
    </w:p>
    <w:bookmarkEnd w:id="54"/>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整体支出绩效评价总得分为</w:t>
      </w:r>
      <w:r>
        <w:rPr>
          <w:rFonts w:hint="eastAsia" w:ascii="仿宋_GB2312" w:eastAsia="仿宋_GB2312" w:cs="DengXian-Regular"/>
          <w:sz w:val="32"/>
          <w:szCs w:val="32"/>
          <w:lang w:val="en-US" w:eastAsia="zh-CN"/>
        </w:rPr>
        <w:t>95</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val="en-US"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5" w:name="_Toc492652783"/>
      <w:bookmarkStart w:id="56" w:name="_Toc4390"/>
      <w:r>
        <w:rPr>
          <w:rFonts w:hint="eastAsia" w:ascii="楷体_GB2312" w:eastAsia="楷体_GB2312" w:hAnsiTheme="minorEastAsia"/>
          <w:kern w:val="2"/>
          <w:sz w:val="32"/>
        </w:rPr>
        <w:t>（一）</w:t>
      </w:r>
      <w:bookmarkEnd w:id="55"/>
      <w:r>
        <w:rPr>
          <w:rFonts w:hint="eastAsia" w:ascii="楷体_GB2312" w:eastAsia="楷体_GB2312" w:hAnsiTheme="minorEastAsia"/>
          <w:kern w:val="2"/>
          <w:sz w:val="32"/>
        </w:rPr>
        <w:t>投入（12分）</w:t>
      </w:r>
      <w:bookmarkEnd w:id="56"/>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57" w:name="_Toc465149513"/>
      <w:bookmarkStart w:id="58" w:name="_Toc464638478"/>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2019年预算文本—部门职责工作活动绩效目标，评价工作组认为区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2019年预算文本—部门职责工作活动绩效目标,该指标实际得分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2019年预算文本及相关会计资料，区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w:t>
      </w:r>
      <w:r>
        <w:rPr>
          <w:rFonts w:hint="eastAsia" w:ascii="仿宋_GB2312" w:eastAsia="仿宋_GB2312" w:cs="DengXian-Regular"/>
          <w:sz w:val="32"/>
          <w:szCs w:val="32"/>
          <w:lang w:val="en-US" w:eastAsia="zh-CN"/>
        </w:rPr>
        <w:t>党校</w:t>
      </w:r>
      <w:r>
        <w:rPr>
          <w:rFonts w:hint="eastAsia" w:ascii="仿宋_GB2312" w:eastAsia="仿宋_GB2312" w:cs="DengXian-Regular"/>
          <w:sz w:val="32"/>
          <w:szCs w:val="32"/>
        </w:rPr>
        <w:t>2019年预算文本—部门项目支出预算表，</w:t>
      </w:r>
      <w:r>
        <w:rPr>
          <w:rFonts w:hint="eastAsia" w:ascii="仿宋_GB2312" w:eastAsia="仿宋_GB2312" w:cs="DengXian-Regular"/>
          <w:sz w:val="32"/>
          <w:szCs w:val="32"/>
          <w:lang w:val="en-US" w:eastAsia="zh-CN"/>
        </w:rPr>
        <w:t>区委党校</w:t>
      </w:r>
      <w:r>
        <w:rPr>
          <w:rFonts w:hint="eastAsia" w:ascii="仿宋_GB2312" w:eastAsia="仿宋_GB2312" w:cs="DengXian-Regular"/>
          <w:sz w:val="32"/>
          <w:szCs w:val="32"/>
        </w:rPr>
        <w:t>2019年预算项目共</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个（详见附件2-2-2），涉及资金</w:t>
      </w:r>
      <w:r>
        <w:rPr>
          <w:rFonts w:hint="eastAsia" w:ascii="仿宋_GB2312" w:eastAsia="仿宋_GB2312" w:cs="DengXian-Regular"/>
          <w:sz w:val="32"/>
          <w:szCs w:val="32"/>
          <w:lang w:val="en-US" w:eastAsia="zh-CN"/>
        </w:rPr>
        <w:t>4.8</w:t>
      </w:r>
      <w:r>
        <w:rPr>
          <w:rFonts w:hint="eastAsia" w:ascii="仿宋_GB2312" w:eastAsia="仿宋_GB2312" w:cs="DengXian-Regular"/>
          <w:sz w:val="32"/>
          <w:szCs w:val="32"/>
        </w:rPr>
        <w:t>万元，所有项目均细化到具体用款单位及项目资金额度。项目预算细化率=（</w:t>
      </w:r>
      <w:r>
        <w:rPr>
          <w:rFonts w:hint="eastAsia" w:ascii="仿宋_GB2312" w:eastAsia="仿宋_GB2312" w:cs="DengXian-Regular"/>
          <w:sz w:val="32"/>
          <w:szCs w:val="32"/>
          <w:lang w:val="en-US" w:eastAsia="zh-CN"/>
        </w:rPr>
        <w:t>4.8</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4.8</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w:t>
      </w:r>
      <w:r>
        <w:rPr>
          <w:rFonts w:hint="eastAsia" w:ascii="仿宋_GB2312" w:eastAsia="仿宋_GB2312" w:cs="DengXian-Regular"/>
          <w:sz w:val="32"/>
          <w:szCs w:val="32"/>
          <w:lang w:eastAsia="zh-CN"/>
        </w:rPr>
        <w:t>区委</w:t>
      </w:r>
      <w:r>
        <w:rPr>
          <w:rFonts w:hint="eastAsia" w:ascii="仿宋_GB2312" w:eastAsia="仿宋_GB2312" w:cs="DengXian-Regular"/>
          <w:sz w:val="32"/>
          <w:szCs w:val="32"/>
          <w:lang w:val="en-US" w:eastAsia="zh-CN"/>
        </w:rPr>
        <w:t>党校</w:t>
      </w:r>
      <w:r>
        <w:rPr>
          <w:rFonts w:hint="eastAsia" w:ascii="仿宋_GB2312" w:eastAsia="仿宋_GB2312" w:cs="DengXian-Regular"/>
          <w:sz w:val="32"/>
          <w:szCs w:val="32"/>
        </w:rPr>
        <w:t>职能配置内设机构和人员编制规定》的通知，徐水区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20</w:t>
      </w:r>
      <w:r>
        <w:rPr>
          <w:rFonts w:hint="eastAsia" w:ascii="仿宋_GB2312" w:eastAsia="仿宋_GB2312" w:cs="DengXian-Regular"/>
          <w:sz w:val="32"/>
          <w:szCs w:val="32"/>
        </w:rPr>
        <w:t>人，根据区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单位2019年决算文本-部门基本情况表，截至2019年底，在职人员</w:t>
      </w:r>
      <w:r>
        <w:rPr>
          <w:rFonts w:hint="eastAsia" w:ascii="仿宋_GB2312" w:eastAsia="仿宋_GB2312" w:cs="DengXian-Regular"/>
          <w:sz w:val="32"/>
          <w:szCs w:val="32"/>
          <w:lang w:val="en-US" w:eastAsia="zh-CN"/>
        </w:rPr>
        <w:t>13</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13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20</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65</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bookmarkEnd w:id="57"/>
    <w:bookmarkEnd w:id="58"/>
    <w:p>
      <w:pPr>
        <w:pStyle w:val="4"/>
        <w:spacing w:before="0" w:after="0"/>
        <w:ind w:firstLine="643" w:firstLineChars="200"/>
        <w:jc w:val="both"/>
        <w:rPr>
          <w:rFonts w:ascii="楷体" w:hAnsi="楷体" w:eastAsia="楷体"/>
          <w:sz w:val="32"/>
        </w:rPr>
      </w:pPr>
      <w:bookmarkStart w:id="59" w:name="_Toc19940"/>
      <w:r>
        <w:rPr>
          <w:rFonts w:hint="eastAsia" w:ascii="楷体" w:hAnsi="楷体" w:eastAsia="楷体"/>
          <w:sz w:val="32"/>
        </w:rPr>
        <w:t>（二）过程（48分）</w:t>
      </w:r>
      <w:bookmarkEnd w:id="59"/>
    </w:p>
    <w:p>
      <w:pPr>
        <w:spacing w:after="0" w:line="360" w:lineRule="auto"/>
        <w:ind w:firstLine="640" w:firstLineChars="200"/>
        <w:jc w:val="both"/>
        <w:textAlignment w:val="baseline"/>
        <w:rPr>
          <w:rFonts w:ascii="仿宋_GB2312" w:eastAsia="仿宋_GB2312" w:cs="DengXian-Regular"/>
          <w:sz w:val="32"/>
          <w:szCs w:val="32"/>
        </w:rPr>
      </w:pPr>
      <w:bookmarkStart w:id="60"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46</w:t>
            </w:r>
          </w:p>
        </w:tc>
      </w:tr>
      <w:bookmarkEnd w:id="60"/>
    </w:tbl>
    <w:p>
      <w:pPr>
        <w:spacing w:after="0" w:line="360" w:lineRule="auto"/>
        <w:ind w:firstLine="640" w:firstLineChars="200"/>
        <w:jc w:val="both"/>
        <w:textAlignment w:val="baseline"/>
        <w:rPr>
          <w:rFonts w:ascii="仿宋_GB2312" w:eastAsia="仿宋_GB2312" w:cs="DengXian-Regular"/>
          <w:sz w:val="32"/>
          <w:szCs w:val="32"/>
        </w:rPr>
      </w:pPr>
      <w:bookmarkStart w:id="61" w:name="_Toc464638487"/>
      <w:bookmarkStart w:id="62" w:name="_Toc465149514"/>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的预算指标文件，其中：年初预算数为</w:t>
      </w:r>
      <w:r>
        <w:rPr>
          <w:rFonts w:hint="eastAsia" w:ascii="仿宋_GB2312" w:eastAsia="仿宋_GB2312" w:cs="DengXian-Regular"/>
          <w:sz w:val="32"/>
          <w:szCs w:val="32"/>
          <w:lang w:val="en-US" w:eastAsia="zh-CN"/>
        </w:rPr>
        <w:t>364.28</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调整预算收入为281.02万元，调整减少</w:t>
      </w:r>
      <w:r>
        <w:rPr>
          <w:rFonts w:hint="eastAsia" w:ascii="仿宋_GB2312" w:eastAsia="仿宋_GB2312" w:cs="DengXian-Regular"/>
          <w:sz w:val="32"/>
          <w:szCs w:val="32"/>
        </w:rPr>
        <w:t>预算收入</w:t>
      </w:r>
      <w:r>
        <w:rPr>
          <w:rFonts w:hint="eastAsia" w:ascii="仿宋_GB2312" w:eastAsia="仿宋_GB2312" w:cs="DengXian-Regular"/>
          <w:sz w:val="32"/>
          <w:szCs w:val="32"/>
          <w:lang w:val="en-US" w:eastAsia="zh-CN"/>
        </w:rPr>
        <w:t>83.26万元</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2019年预算文本、决算文本，2019年收入预算数</w:t>
      </w:r>
      <w:r>
        <w:rPr>
          <w:rFonts w:hint="eastAsia" w:ascii="仿宋_GB2312" w:eastAsia="仿宋_GB2312" w:cs="DengXian-Regular"/>
          <w:sz w:val="32"/>
          <w:szCs w:val="32"/>
          <w:lang w:val="en-US" w:eastAsia="zh-CN"/>
        </w:rPr>
        <w:t>364.28</w:t>
      </w:r>
      <w:r>
        <w:rPr>
          <w:rFonts w:hint="eastAsia" w:ascii="仿宋_GB2312" w:eastAsia="仿宋_GB2312" w:cs="DengXian-Regular"/>
          <w:sz w:val="32"/>
          <w:szCs w:val="32"/>
        </w:rPr>
        <w:t>万元，收入决算数</w:t>
      </w:r>
      <w:r>
        <w:rPr>
          <w:rFonts w:hint="eastAsia" w:ascii="仿宋_GB2312" w:eastAsia="仿宋_GB2312" w:cs="DengXian-Regular"/>
          <w:sz w:val="32"/>
          <w:szCs w:val="32"/>
          <w:lang w:val="en-US" w:eastAsia="zh-CN"/>
        </w:rPr>
        <w:t>281.02</w:t>
      </w:r>
      <w:r>
        <w:rPr>
          <w:rFonts w:hint="eastAsia" w:ascii="仿宋_GB2312" w:eastAsia="仿宋_GB2312" w:cs="DengXian-Regular"/>
          <w:sz w:val="32"/>
          <w:szCs w:val="32"/>
        </w:rPr>
        <w:t>万元，收入完成率=（</w:t>
      </w:r>
      <w:r>
        <w:rPr>
          <w:rFonts w:hint="eastAsia" w:ascii="仿宋_GB2312" w:eastAsia="仿宋_GB2312" w:cs="DengXian-Regular"/>
          <w:sz w:val="32"/>
          <w:szCs w:val="32"/>
          <w:lang w:val="en-US" w:eastAsia="zh-CN"/>
        </w:rPr>
        <w:t>281.02</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364.28</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77.14</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提供的保定市财政局下发的预算指标文件，年初预算数为</w:t>
      </w:r>
      <w:r>
        <w:rPr>
          <w:rFonts w:hint="eastAsia" w:ascii="仿宋_GB2312" w:eastAsia="仿宋_GB2312" w:cs="DengXian-Regular"/>
          <w:sz w:val="32"/>
          <w:szCs w:val="32"/>
          <w:lang w:val="en-US" w:eastAsia="zh-CN"/>
        </w:rPr>
        <w:t>364.28</w:t>
      </w:r>
      <w:r>
        <w:rPr>
          <w:rFonts w:hint="eastAsia" w:ascii="仿宋_GB2312" w:eastAsia="仿宋_GB2312" w:cs="DengXian-Regular"/>
          <w:sz w:val="32"/>
          <w:szCs w:val="32"/>
        </w:rPr>
        <w:t>万元，预算支出调整率为</w:t>
      </w:r>
      <w:r>
        <w:rPr>
          <w:rFonts w:hint="eastAsia" w:ascii="仿宋_GB2312" w:eastAsia="仿宋_GB2312" w:cs="DengXian-Regular"/>
          <w:sz w:val="32"/>
          <w:szCs w:val="32"/>
          <w:lang w:val="en-US" w:eastAsia="zh-CN"/>
        </w:rPr>
        <w:t>77.14</w:t>
      </w:r>
      <w:r>
        <w:rPr>
          <w:rFonts w:hint="eastAsia" w:ascii="仿宋_GB2312" w:eastAsia="仿宋_GB2312" w:cs="DengXian-Regular"/>
          <w:sz w:val="32"/>
          <w:szCs w:val="32"/>
        </w:rPr>
        <w:t>%，预算调整减少</w:t>
      </w:r>
      <w:r>
        <w:rPr>
          <w:rFonts w:hint="eastAsia" w:ascii="仿宋_GB2312" w:eastAsia="仿宋_GB2312" w:cs="DengXian-Regular"/>
          <w:sz w:val="32"/>
          <w:szCs w:val="32"/>
          <w:lang w:val="en-US" w:eastAsia="zh-CN"/>
        </w:rPr>
        <w:t>22.86</w:t>
      </w:r>
      <w:r>
        <w:rPr>
          <w:rFonts w:hint="eastAsia" w:ascii="仿宋_GB2312" w:eastAsia="仿宋_GB2312" w:cs="DengXian-Regular"/>
          <w:sz w:val="32"/>
          <w:szCs w:val="32"/>
        </w:rPr>
        <w:t>个百分点。</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提供的2019年决算文本，部门决算财政拨款支出数</w:t>
      </w:r>
      <w:r>
        <w:rPr>
          <w:rFonts w:hint="eastAsia" w:ascii="仿宋_GB2312" w:eastAsia="仿宋_GB2312" w:cs="DengXian-Regular"/>
          <w:sz w:val="32"/>
          <w:szCs w:val="32"/>
          <w:lang w:val="en-US" w:eastAsia="zh-CN"/>
        </w:rPr>
        <w:t>283.12</w:t>
      </w:r>
      <w:r>
        <w:rPr>
          <w:rFonts w:hint="eastAsia" w:ascii="仿宋_GB2312" w:eastAsia="仿宋_GB2312" w:cs="DengXian-Regular"/>
          <w:sz w:val="32"/>
          <w:szCs w:val="32"/>
        </w:rPr>
        <w:t>万元，财政拨款收入数</w:t>
      </w:r>
      <w:r>
        <w:rPr>
          <w:rFonts w:hint="eastAsia" w:ascii="仿宋_GB2312" w:eastAsia="仿宋_GB2312" w:cs="DengXian-Regular"/>
          <w:sz w:val="32"/>
          <w:szCs w:val="32"/>
          <w:lang w:val="en-US" w:eastAsia="zh-CN"/>
        </w:rPr>
        <w:t>281.02</w:t>
      </w:r>
      <w:r>
        <w:rPr>
          <w:rFonts w:hint="eastAsia" w:ascii="仿宋_GB2312" w:eastAsia="仿宋_GB2312" w:cs="DengXian-Regular"/>
          <w:sz w:val="32"/>
          <w:szCs w:val="32"/>
        </w:rPr>
        <w:t>万元，财政拨款支出率=（财政拨款支出数/财政拨款收入数）*100%=</w:t>
      </w:r>
      <w:r>
        <w:rPr>
          <w:rFonts w:hint="eastAsia" w:ascii="仿宋_GB2312" w:eastAsia="仿宋_GB2312" w:cs="DengXian-Regular"/>
          <w:sz w:val="32"/>
          <w:szCs w:val="32"/>
          <w:lang w:val="en-US" w:eastAsia="zh-CN"/>
        </w:rPr>
        <w:t>100.74</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2019年年初结转</w:t>
      </w:r>
      <w:r>
        <w:rPr>
          <w:rFonts w:hint="eastAsia" w:ascii="仿宋_GB2312" w:eastAsia="仿宋_GB2312" w:cs="DengXian-Regular"/>
          <w:sz w:val="32"/>
          <w:szCs w:val="32"/>
          <w:lang w:val="en-US" w:eastAsia="zh-CN"/>
        </w:rPr>
        <w:t>3.12</w:t>
      </w:r>
      <w:r>
        <w:rPr>
          <w:rFonts w:hint="eastAsia" w:ascii="仿宋_GB2312" w:eastAsia="仿宋_GB2312" w:cs="DengXian-Regular"/>
          <w:sz w:val="32"/>
          <w:szCs w:val="32"/>
        </w:rPr>
        <w:t>和结余</w:t>
      </w:r>
      <w:r>
        <w:rPr>
          <w:rFonts w:hint="eastAsia" w:ascii="仿宋_GB2312" w:eastAsia="仿宋_GB2312" w:cs="DengXian-Regular"/>
          <w:sz w:val="32"/>
          <w:szCs w:val="32"/>
          <w:lang w:val="en-US" w:eastAsia="zh-CN"/>
        </w:rPr>
        <w:t>1.02</w:t>
      </w:r>
      <w:r>
        <w:rPr>
          <w:rFonts w:hint="eastAsia" w:ascii="仿宋_GB2312" w:eastAsia="仿宋_GB2312" w:cs="DengXian-Regular"/>
          <w:sz w:val="32"/>
          <w:szCs w:val="32"/>
        </w:rPr>
        <w:t>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2019年预算文本及决算文本，“三公”经费年初预算数</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1.59</w:t>
      </w:r>
      <w:r>
        <w:rPr>
          <w:rFonts w:hint="eastAsia" w:ascii="仿宋_GB2312" w:eastAsia="仿宋_GB2312" w:cs="DengXian-Regular"/>
          <w:sz w:val="32"/>
          <w:szCs w:val="32"/>
        </w:rPr>
        <w:t>万元，“三公”经费控制率=（年末决算数/年初预算数）*100%=</w:t>
      </w:r>
      <w:r>
        <w:rPr>
          <w:rFonts w:hint="eastAsia" w:ascii="仿宋_GB2312" w:eastAsia="仿宋_GB2312" w:cs="DengXian-Regular"/>
          <w:sz w:val="32"/>
          <w:szCs w:val="32"/>
          <w:lang w:val="en-US" w:eastAsia="zh-CN"/>
        </w:rPr>
        <w:t>53</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2019年预算文本及决算文本，政府采购年初预算数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2019年明细账、会计凭证等相关资料，区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2019年决算文本、明细账及总账，区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工作制度涵盖了财务制度、公务用车制度等相关制度，经检查区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付款流程审批、资产盘点表等资料，区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已按照相关管理制度的规定执行</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该单位内部控制处于建立阶段，暂未绘制政府采购管理内部控制流程图、建设项目管理内部控制流程图、合同管理内部控制流程图、其他业务管理内部控制流程图。</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2019年按政府信息公开的有关要求在保定市徐水区人民政府网公开了2019年的预决算情况、部门责任清单、行政监督清单等相关信息。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提供的会计账簿、凭证及其他相关资料，区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建立了固定资产台账、无形资产台账，资产保存完整，2019年新增资产</w:t>
      </w:r>
      <w:r>
        <w:rPr>
          <w:rFonts w:hint="eastAsia" w:ascii="仿宋_GB2312" w:eastAsia="仿宋_GB2312" w:cs="DengXian-Regular"/>
          <w:sz w:val="32"/>
          <w:szCs w:val="32"/>
          <w:lang w:val="en-US" w:eastAsia="zh-CN"/>
        </w:rPr>
        <w:t>1.06</w:t>
      </w:r>
      <w:r>
        <w:rPr>
          <w:rFonts w:hint="eastAsia" w:ascii="仿宋_GB2312" w:eastAsia="仿宋_GB2312" w:cs="DengXian-Regular"/>
          <w:sz w:val="32"/>
          <w:szCs w:val="32"/>
        </w:rPr>
        <w:t>万元，包含：</w:t>
      </w:r>
      <w:r>
        <w:rPr>
          <w:rFonts w:hint="eastAsia" w:ascii="仿宋_GB2312" w:eastAsia="仿宋_GB2312" w:cs="DengXian-Regular"/>
          <w:sz w:val="32"/>
          <w:szCs w:val="32"/>
          <w:lang w:val="en-US" w:eastAsia="zh-CN"/>
        </w:rPr>
        <w:t>复印机1台</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0.16</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笔记本</w:t>
      </w:r>
      <w:r>
        <w:rPr>
          <w:rFonts w:hint="eastAsia" w:ascii="仿宋_GB2312" w:eastAsia="仿宋_GB2312" w:cs="DengXian-Regular"/>
          <w:sz w:val="32"/>
          <w:szCs w:val="32"/>
        </w:rPr>
        <w:t>电脑</w:t>
      </w:r>
      <w:r>
        <w:rPr>
          <w:rFonts w:hint="eastAsia" w:ascii="仿宋_GB2312" w:eastAsia="仿宋_GB2312" w:cs="DengXian-Regular"/>
          <w:sz w:val="32"/>
          <w:szCs w:val="32"/>
          <w:lang w:val="en-US" w:eastAsia="zh-CN"/>
        </w:rPr>
        <w:t>1台0.45</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空调2个</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0.45</w:t>
      </w:r>
      <w:r>
        <w:rPr>
          <w:rFonts w:hint="eastAsia" w:ascii="仿宋_GB2312" w:eastAsia="仿宋_GB2312" w:cs="DengXian-Regular"/>
          <w:sz w:val="32"/>
          <w:szCs w:val="32"/>
        </w:rPr>
        <w:t>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2019年一般项目部门绩效自评表，区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2019年开展绩效自评的项目数为</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个，年初预算文本项目数</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个，要求自评项目个数</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 xml:space="preserve">个，自评覆盖率为 </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2019年参评数量</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个，绩效评价结果达到优等的数量</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个，绩效评价优等率为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bookmarkEnd w:id="61"/>
      <w:bookmarkEnd w:id="62"/>
    </w:p>
    <w:p>
      <w:pPr>
        <w:pStyle w:val="4"/>
        <w:spacing w:before="0" w:after="0"/>
        <w:ind w:firstLine="643" w:firstLineChars="200"/>
        <w:jc w:val="both"/>
        <w:rPr>
          <w:rFonts w:ascii="楷体" w:hAnsi="楷体" w:eastAsia="楷体"/>
          <w:sz w:val="32"/>
        </w:rPr>
      </w:pPr>
      <w:bookmarkStart w:id="63" w:name="_Toc12330"/>
      <w:r>
        <w:rPr>
          <w:rFonts w:hint="eastAsia" w:ascii="楷体" w:hAnsi="楷体" w:eastAsia="楷体"/>
          <w:sz w:val="32"/>
        </w:rPr>
        <w:t>（三）产出（25分）</w:t>
      </w:r>
      <w:bookmarkEnd w:id="6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w:t>
      </w:r>
      <w:r>
        <w:rPr>
          <w:rFonts w:hint="eastAsia" w:ascii="仿宋_GB2312" w:eastAsia="仿宋_GB2312" w:cs="DengXian-Regular"/>
          <w:sz w:val="32"/>
          <w:szCs w:val="32"/>
          <w:lang w:val="en-US" w:eastAsia="zh-CN"/>
        </w:rPr>
        <w:t>培训</w:t>
      </w:r>
      <w:r>
        <w:rPr>
          <w:rFonts w:hint="eastAsia" w:ascii="仿宋_GB2312" w:eastAsia="仿宋_GB2312" w:cs="DengXian-Regular"/>
          <w:sz w:val="32"/>
          <w:szCs w:val="32"/>
        </w:rPr>
        <w:t>人数，</w:t>
      </w:r>
      <w:r>
        <w:rPr>
          <w:rFonts w:hint="eastAsia" w:ascii="仿宋_GB2312" w:eastAsia="仿宋_GB2312" w:cs="DengXian-Regular"/>
          <w:sz w:val="32"/>
          <w:szCs w:val="32"/>
          <w:lang w:val="en-US" w:eastAsia="zh-CN"/>
        </w:rPr>
        <w:t>参加培训满意</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安保服务项目公共财物完好率</w:t>
      </w:r>
      <w:r>
        <w:rPr>
          <w:rFonts w:hint="eastAsia" w:ascii="仿宋_GB2312" w:eastAsia="仿宋_GB2312" w:cs="DengXian-Regular"/>
          <w:sz w:val="32"/>
          <w:szCs w:val="32"/>
        </w:rPr>
        <w:t>。</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培训</w:t>
            </w:r>
            <w:r>
              <w:rPr>
                <w:rFonts w:hint="eastAsia" w:cs="宋体" w:asciiTheme="minorEastAsia" w:hAnsiTheme="minorEastAsia" w:eastAsiaTheme="minorEastAsia"/>
                <w:sz w:val="21"/>
                <w:szCs w:val="21"/>
              </w:rPr>
              <w:t>人数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参加培训人员满意度</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81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安保服务项目公共财物完好率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25</w:t>
            </w:r>
          </w:p>
        </w:tc>
      </w:tr>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5"/>
      <w:bookmarkStart w:id="65"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2019年决算文本及相关资料，区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2019年结转结余资金</w:t>
      </w:r>
      <w:r>
        <w:rPr>
          <w:rFonts w:hint="eastAsia" w:ascii="仿宋_GB2312" w:eastAsia="仿宋_GB2312" w:cs="DengXian-Regular"/>
          <w:sz w:val="32"/>
          <w:szCs w:val="32"/>
          <w:lang w:val="en-US" w:eastAsia="zh-CN"/>
        </w:rPr>
        <w:t>1.05</w:t>
      </w:r>
      <w:r>
        <w:rPr>
          <w:rFonts w:hint="eastAsia" w:ascii="仿宋_GB2312" w:eastAsia="仿宋_GB2312" w:cs="DengXian-Regular"/>
          <w:sz w:val="32"/>
          <w:szCs w:val="32"/>
        </w:rPr>
        <w:t>万元，决算收入</w:t>
      </w:r>
      <w:r>
        <w:rPr>
          <w:rFonts w:hint="eastAsia" w:ascii="仿宋_GB2312" w:eastAsia="仿宋_GB2312" w:cs="DengXian-Regular"/>
          <w:sz w:val="32"/>
          <w:szCs w:val="32"/>
          <w:lang w:val="en-US" w:eastAsia="zh-CN"/>
        </w:rPr>
        <w:t>281.02</w:t>
      </w:r>
      <w:r>
        <w:rPr>
          <w:rFonts w:hint="eastAsia" w:ascii="仿宋_GB2312" w:eastAsia="仿宋_GB2312" w:cs="DengXian-Regular"/>
          <w:sz w:val="32"/>
          <w:szCs w:val="32"/>
        </w:rPr>
        <w:t>万元，结转结余率</w:t>
      </w:r>
      <w:r>
        <w:rPr>
          <w:rFonts w:hint="eastAsia" w:ascii="仿宋_GB2312" w:eastAsia="仿宋_GB2312" w:cs="DengXian-Regular"/>
          <w:sz w:val="32"/>
          <w:szCs w:val="32"/>
          <w:lang w:val="en-US" w:eastAsia="zh-CN"/>
        </w:rPr>
        <w:t>0.37</w:t>
      </w:r>
      <w:r>
        <w:rPr>
          <w:rFonts w:hint="eastAsia" w:ascii="仿宋_GB2312" w:eastAsia="仿宋_GB2312" w:cs="DengXian-Regular"/>
          <w:sz w:val="32"/>
          <w:szCs w:val="32"/>
        </w:rPr>
        <w:t>%，小于5%。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2019年实际支出项目资金总额</w:t>
      </w:r>
      <w:r>
        <w:rPr>
          <w:rFonts w:hint="eastAsia" w:ascii="仿宋_GB2312" w:eastAsia="仿宋_GB2312" w:cs="DengXian-Regular"/>
          <w:sz w:val="32"/>
          <w:szCs w:val="32"/>
          <w:lang w:val="en-US" w:eastAsia="zh-CN"/>
        </w:rPr>
        <w:t>4.8</w:t>
      </w:r>
      <w:r>
        <w:rPr>
          <w:rFonts w:hint="eastAsia" w:ascii="仿宋_GB2312" w:eastAsia="仿宋_GB2312" w:cs="DengXian-Regular"/>
          <w:sz w:val="32"/>
          <w:szCs w:val="32"/>
        </w:rPr>
        <w:t>万元，年初预算共</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个项目，预算数</w:t>
      </w:r>
      <w:r>
        <w:rPr>
          <w:rFonts w:hint="eastAsia" w:ascii="仿宋_GB2312" w:eastAsia="仿宋_GB2312" w:cs="DengXian-Regular"/>
          <w:sz w:val="32"/>
          <w:szCs w:val="32"/>
          <w:lang w:val="en-US" w:eastAsia="zh-CN"/>
        </w:rPr>
        <w:t>4.8</w:t>
      </w:r>
      <w:r>
        <w:rPr>
          <w:rFonts w:hint="eastAsia" w:ascii="仿宋_GB2312" w:eastAsia="仿宋_GB2312" w:cs="DengXian-Regular"/>
          <w:sz w:val="32"/>
          <w:szCs w:val="32"/>
        </w:rPr>
        <w:t>万元，年中追加项目资金</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万元，项目资金使用率为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6" w:name="_Toc28363"/>
      <w:r>
        <w:rPr>
          <w:rFonts w:hint="eastAsia" w:ascii="楷体" w:hAnsi="楷体" w:eastAsia="楷体"/>
          <w:sz w:val="32"/>
        </w:rPr>
        <w:t>（四）效果</w:t>
      </w:r>
      <w:bookmarkEnd w:id="64"/>
      <w:bookmarkEnd w:id="65"/>
      <w:r>
        <w:rPr>
          <w:rFonts w:hint="eastAsia" w:ascii="楷体" w:hAnsi="楷体" w:eastAsia="楷体"/>
          <w:sz w:val="32"/>
        </w:rPr>
        <w:t>（15分）</w:t>
      </w:r>
      <w:bookmarkEnd w:id="66"/>
    </w:p>
    <w:p>
      <w:pPr>
        <w:spacing w:after="0" w:line="360" w:lineRule="auto"/>
        <w:ind w:firstLine="640" w:firstLineChars="200"/>
        <w:jc w:val="both"/>
        <w:textAlignment w:val="baseline"/>
        <w:rPr>
          <w:rFonts w:ascii="仿宋_GB2312" w:eastAsia="仿宋_GB2312" w:cs="DengXian-Regular"/>
          <w:sz w:val="32"/>
          <w:szCs w:val="32"/>
        </w:rPr>
      </w:pPr>
      <w:bookmarkStart w:id="67"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15</w:t>
            </w:r>
          </w:p>
        </w:tc>
      </w:tr>
      <w:bookmarkEnd w:id="67"/>
    </w:tbl>
    <w:p>
      <w:pPr>
        <w:spacing w:after="0" w:line="360" w:lineRule="auto"/>
        <w:ind w:firstLine="640" w:firstLineChars="200"/>
        <w:jc w:val="both"/>
        <w:textAlignment w:val="baseline"/>
        <w:rPr>
          <w:rFonts w:ascii="仿宋_GB2312" w:eastAsia="仿宋_GB2312" w:cs="DengXian-Regular"/>
          <w:sz w:val="32"/>
          <w:szCs w:val="32"/>
        </w:rPr>
      </w:pPr>
      <w:bookmarkStart w:id="68" w:name="_Toc464638561"/>
      <w:bookmarkStart w:id="69" w:name="_Toc492652784"/>
      <w:bookmarkStart w:id="70" w:name="_Toc465149516"/>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hint="eastAsia" w:ascii="仿宋_GB2312" w:hAnsi="仿宋" w:eastAsia="仿宋_GB2312"/>
          <w:sz w:val="30"/>
          <w:szCs w:val="30"/>
        </w:rPr>
      </w:pPr>
      <w:r>
        <w:rPr>
          <w:rFonts w:hint="eastAsia" w:ascii="仿宋_GB2312" w:eastAsia="仿宋_GB2312" w:cs="DengXian-Regular"/>
          <w:sz w:val="32"/>
          <w:szCs w:val="32"/>
        </w:rPr>
        <w:t>经查看区</w:t>
      </w:r>
      <w:r>
        <w:rPr>
          <w:rFonts w:hint="eastAsia" w:ascii="仿宋_GB2312" w:eastAsia="仿宋_GB2312" w:cs="DengXian-Regular"/>
          <w:sz w:val="32"/>
          <w:szCs w:val="32"/>
          <w:lang w:val="en-US" w:eastAsia="zh-CN"/>
        </w:rPr>
        <w:t>委党校</w:t>
      </w:r>
      <w:r>
        <w:rPr>
          <w:rFonts w:hint="eastAsia" w:ascii="仿宋_GB2312" w:eastAsia="仿宋_GB2312" w:cs="DengXian-Regular"/>
          <w:sz w:val="32"/>
          <w:szCs w:val="32"/>
        </w:rPr>
        <w:t>提供的相关资料，2019年</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区委党校通过对区直各机关、各乡（镇）干部、农村“两委”干部进行长、中、短期培训、轮训，</w:t>
      </w:r>
      <w:r>
        <w:rPr>
          <w:rFonts w:hint="eastAsia" w:ascii="仿宋_GB2312" w:eastAsia="仿宋_GB2312" w:cs="DengXian-Regular"/>
          <w:sz w:val="32"/>
          <w:szCs w:val="32"/>
        </w:rPr>
        <w:t>有效的提高了</w:t>
      </w:r>
      <w:r>
        <w:rPr>
          <w:rFonts w:hint="eastAsia" w:ascii="仿宋_GB2312" w:eastAsia="仿宋_GB2312" w:cs="DengXian-Regular"/>
          <w:sz w:val="32"/>
          <w:szCs w:val="32"/>
          <w:lang w:val="en-US" w:eastAsia="zh-CN"/>
        </w:rPr>
        <w:t>领导干部政治素质，</w:t>
      </w:r>
      <w:r>
        <w:rPr>
          <w:rFonts w:hint="eastAsia" w:ascii="仿宋_GB2312" w:eastAsia="仿宋_GB2312" w:cs="DengXian-Regular"/>
          <w:sz w:val="32"/>
          <w:szCs w:val="32"/>
        </w:rPr>
        <w:t>社会效益较显著。</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w:t>
      </w:r>
      <w:r>
        <w:rPr>
          <w:rFonts w:hint="eastAsia" w:ascii="仿宋_GB2312" w:eastAsia="仿宋_GB2312" w:cs="Times New Roman" w:hAnsiTheme="minorEastAsia"/>
          <w:sz w:val="32"/>
          <w:szCs w:val="32"/>
          <w:u w:color="000000"/>
          <w:lang w:val="en-US" w:eastAsia="zh-CN"/>
        </w:rPr>
        <w:t>30</w:t>
      </w:r>
      <w:r>
        <w:rPr>
          <w:rFonts w:hint="eastAsia" w:ascii="仿宋_GB2312" w:eastAsia="仿宋_GB2312" w:cs="Times New Roman" w:hAnsiTheme="minorEastAsia"/>
          <w:sz w:val="32"/>
          <w:szCs w:val="32"/>
          <w:u w:color="000000"/>
        </w:rPr>
        <w:t>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892" w:type="dxa"/>
        <w:jc w:val="center"/>
        <w:tblLayout w:type="fixed"/>
        <w:tblCellMar>
          <w:top w:w="15" w:type="dxa"/>
          <w:left w:w="15" w:type="dxa"/>
          <w:bottom w:w="15" w:type="dxa"/>
          <w:right w:w="15" w:type="dxa"/>
        </w:tblCellMar>
      </w:tblPr>
      <w:tblGrid>
        <w:gridCol w:w="2778"/>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77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77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干部教育培训效果是否满意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100</w:t>
            </w:r>
          </w:p>
        </w:tc>
      </w:tr>
      <w:tr>
        <w:tblPrEx>
          <w:tblCellMar>
            <w:top w:w="15" w:type="dxa"/>
            <w:left w:w="15" w:type="dxa"/>
            <w:bottom w:w="15" w:type="dxa"/>
            <w:right w:w="15" w:type="dxa"/>
          </w:tblCellMar>
        </w:tblPrEx>
        <w:trPr>
          <w:trHeight w:val="510" w:hRule="atLeast"/>
          <w:jc w:val="center"/>
        </w:trPr>
        <w:tc>
          <w:tcPr>
            <w:tcW w:w="277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lang w:val="en-US" w:eastAsia="zh-CN"/>
              </w:rPr>
              <w:t>保安服务工作</w:t>
            </w:r>
            <w:r>
              <w:rPr>
                <w:rFonts w:hint="eastAsia" w:cs="Times New Roman" w:asciiTheme="minorEastAsia" w:hAnsiTheme="minorEastAsia" w:eastAsiaTheme="minorEastAsia"/>
                <w:sz w:val="21"/>
                <w:szCs w:val="21"/>
                <w:u w:color="000000"/>
              </w:rPr>
              <w:t>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27</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3</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95</w:t>
            </w:r>
          </w:p>
        </w:tc>
      </w:tr>
      <w:tr>
        <w:tblPrEx>
          <w:tblCellMar>
            <w:top w:w="15" w:type="dxa"/>
            <w:left w:w="15" w:type="dxa"/>
            <w:bottom w:w="15" w:type="dxa"/>
            <w:right w:w="15" w:type="dxa"/>
          </w:tblCellMar>
        </w:tblPrEx>
        <w:trPr>
          <w:trHeight w:val="585" w:hRule="atLeast"/>
          <w:jc w:val="center"/>
        </w:trPr>
        <w:tc>
          <w:tcPr>
            <w:tcW w:w="277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r>
    </w:tbl>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Times New Roman" w:hAnsiTheme="minorEastAsia"/>
          <w:sz w:val="32"/>
          <w:szCs w:val="32"/>
          <w:u w:color="000000"/>
        </w:rPr>
        <w:t>调查问卷共分为</w:t>
      </w:r>
      <w:r>
        <w:rPr>
          <w:rFonts w:hint="eastAsia" w:ascii="仿宋_GB2312" w:eastAsia="仿宋_GB2312" w:cs="Times New Roman" w:hAnsiTheme="minorEastAsia"/>
          <w:sz w:val="32"/>
          <w:szCs w:val="32"/>
          <w:u w:color="000000"/>
          <w:lang w:val="en-US" w:eastAsia="zh-CN"/>
        </w:rPr>
        <w:t>2</w:t>
      </w:r>
      <w:r>
        <w:rPr>
          <w:rFonts w:hint="eastAsia" w:ascii="仿宋_GB2312" w:eastAsia="仿宋_GB2312" w:cs="Times New Roman" w:hAnsiTheme="minorEastAsia"/>
          <w:sz w:val="32"/>
          <w:szCs w:val="32"/>
          <w:u w:color="000000"/>
        </w:rPr>
        <w:t>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eastAsia" w:ascii="仿宋_GB2312" w:eastAsia="仿宋_GB2312" w:cs="Times New Roman" w:hAnsiTheme="minorEastAsia"/>
          <w:sz w:val="32"/>
          <w:szCs w:val="32"/>
          <w:u w:color="000000"/>
          <w:lang w:val="en-US" w:eastAsia="zh-CN"/>
        </w:rPr>
        <w:t>97.5</w:t>
      </w:r>
      <w:r>
        <w:rPr>
          <w:rFonts w:hint="eastAsia" w:ascii="仿宋_GB2312" w:eastAsia="仿宋_GB2312" w:cs="Times New Roman" w:hAnsiTheme="minorEastAsia"/>
          <w:sz w:val="32"/>
          <w:szCs w:val="32"/>
          <w:u w:color="000000"/>
        </w:rPr>
        <w:t>分，大于90分，评价等级为“</w:t>
      </w:r>
      <w:r>
        <w:rPr>
          <w:rFonts w:hint="eastAsia" w:ascii="仿宋_GB2312" w:eastAsia="仿宋_GB2312" w:cs="Times New Roman" w:hAnsiTheme="minorEastAsia"/>
          <w:sz w:val="32"/>
          <w:szCs w:val="32"/>
          <w:u w:color="000000"/>
          <w:lang w:val="en-US" w:eastAsia="zh-CN"/>
        </w:rPr>
        <w:t>优</w:t>
      </w:r>
      <w:r>
        <w:rPr>
          <w:rFonts w:hint="eastAsia" w:ascii="仿宋_GB2312" w:eastAsia="仿宋_GB2312" w:cs="Times New Roman" w:hAnsiTheme="minorEastAsia"/>
          <w:sz w:val="32"/>
          <w:szCs w:val="32"/>
          <w:u w:color="000000"/>
        </w:rPr>
        <w:t>”。</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eastAsia" w:ascii="仿宋_GB2312" w:eastAsia="仿宋_GB2312" w:cs="Times New Roman" w:hAnsiTheme="minorEastAsia"/>
          <w:sz w:val="32"/>
          <w:szCs w:val="32"/>
          <w:u w:color="000000"/>
          <w:lang w:val="en-US" w:eastAsia="zh-CN"/>
        </w:rPr>
        <w:t>5</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3" w:firstLineChars="200"/>
        <w:rPr>
          <w:rFonts w:ascii="黑体"/>
        </w:rPr>
      </w:pPr>
      <w:bookmarkStart w:id="71" w:name="_Toc13757"/>
      <w:r>
        <w:rPr>
          <w:rFonts w:hint="eastAsia" w:ascii="黑体"/>
        </w:rPr>
        <w:t>五、绩效评价发现的问题</w:t>
      </w:r>
      <w:bookmarkEnd w:id="68"/>
      <w:bookmarkEnd w:id="69"/>
      <w:bookmarkEnd w:id="70"/>
      <w:bookmarkEnd w:id="71"/>
      <w:bookmarkStart w:id="72"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3" w:name="_Toc20723"/>
    </w:p>
    <w:p>
      <w:pPr>
        <w:spacing w:after="0" w:line="360" w:lineRule="auto"/>
        <w:ind w:firstLine="640" w:firstLineChars="200"/>
        <w:jc w:val="both"/>
        <w:textAlignment w:val="baseline"/>
        <w:rPr>
          <w:rFonts w:hint="default" w:ascii="仿宋_GB2312" w:eastAsia="仿宋_GB2312" w:cs="Times New Roman" w:hAnsiTheme="minorEastAsia"/>
          <w:sz w:val="32"/>
          <w:szCs w:val="32"/>
          <w:u w:color="000000"/>
          <w:lang w:val="en-US" w:eastAsia="zh-CN"/>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Times New Roman" w:hAnsiTheme="minorEastAsia"/>
          <w:sz w:val="32"/>
          <w:szCs w:val="32"/>
          <w:u w:color="000000"/>
          <w:lang w:val="en-US" w:eastAsia="zh-CN"/>
        </w:rPr>
        <w:t>党校职能比转单一，绩效指标需进一步细化。</w:t>
      </w:r>
    </w:p>
    <w:p>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Times New Roman" w:hAnsiTheme="minorEastAsia"/>
          <w:sz w:val="32"/>
          <w:szCs w:val="32"/>
          <w:u w:color="000000"/>
        </w:rPr>
        <w:t>2</w:t>
      </w:r>
      <w:r>
        <w:rPr>
          <w:rFonts w:hint="eastAsia" w:ascii="仿宋_GB2312" w:eastAsia="仿宋_GB2312" w:cs="Times New Roman" w:hAnsiTheme="minorEastAsia"/>
          <w:sz w:val="32"/>
          <w:szCs w:val="32"/>
          <w:u w:color="000000"/>
          <w:lang w:eastAsia="zh-CN"/>
        </w:rPr>
        <w:t>.</w:t>
      </w:r>
      <w:r>
        <w:rPr>
          <w:rFonts w:hint="eastAsia" w:ascii="仿宋_GB2312" w:eastAsia="仿宋_GB2312" w:cs="DengXian-Regular"/>
          <w:sz w:val="32"/>
          <w:szCs w:val="32"/>
        </w:rPr>
        <w:t>管理制度健全性</w:t>
      </w:r>
      <w:r>
        <w:rPr>
          <w:rFonts w:hint="eastAsia" w:ascii="仿宋_GB2312" w:eastAsia="仿宋_GB2312" w:cs="DengXian-Regular"/>
          <w:sz w:val="32"/>
          <w:szCs w:val="32"/>
          <w:lang w:val="en-US" w:eastAsia="zh-CN"/>
        </w:rPr>
        <w:t>方面。管理制度需进一步细化完善</w:t>
      </w:r>
      <w:r>
        <w:rPr>
          <w:rFonts w:hint="eastAsia" w:ascii="仿宋_GB2312" w:eastAsia="仿宋_GB2312" w:cs="Times New Roman" w:hAnsiTheme="minorEastAsia"/>
          <w:sz w:val="32"/>
          <w:szCs w:val="32"/>
          <w:u w:color="000000"/>
        </w:rPr>
        <w:t>。</w:t>
      </w:r>
      <w:r>
        <w:rPr>
          <w:rFonts w:hint="eastAsia" w:ascii="仿宋_GB2312" w:eastAsia="仿宋_GB2312" w:cs="DengXian-Regular"/>
          <w:sz w:val="32"/>
          <w:szCs w:val="32"/>
        </w:rPr>
        <w:t>部门预算编制工作要全面反映和体现部门职责，根据具体情况及时调整预算的编制，缩小预算与决算差额</w:t>
      </w:r>
      <w:r>
        <w:rPr>
          <w:rFonts w:hint="eastAsia" w:ascii="仿宋_GB2312" w:eastAsia="仿宋_GB2312" w:cs="DengXian-Regular"/>
          <w:sz w:val="32"/>
          <w:szCs w:val="32"/>
          <w:lang w:eastAsia="zh-CN"/>
        </w:rPr>
        <w:t>。</w:t>
      </w:r>
    </w:p>
    <w:bookmarkEnd w:id="72"/>
    <w:bookmarkEnd w:id="73"/>
    <w:p>
      <w:pPr>
        <w:spacing w:after="0" w:line="360" w:lineRule="auto"/>
        <w:jc w:val="both"/>
        <w:textAlignment w:val="baseline"/>
        <w:rPr>
          <w:rFonts w:ascii="仿宋_GB2312" w:eastAsia="仿宋_GB2312" w:cs="Times New Roman" w:hAnsiTheme="minorEastAsia"/>
          <w:sz w:val="32"/>
          <w:szCs w:val="32"/>
          <w:u w:color="000000"/>
        </w:rPr>
      </w:pPr>
      <w:bookmarkStart w:id="74" w:name="_Toc465149521"/>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w:t>
      </w:r>
      <w:r>
        <w:rPr>
          <w:rFonts w:hint="eastAsia" w:ascii="仿宋_GB2312" w:eastAsia="仿宋_GB2312" w:cs="Times New Roman" w:hAnsiTheme="minorEastAsia"/>
          <w:sz w:val="32"/>
          <w:szCs w:val="32"/>
          <w:u w:color="000000"/>
          <w:lang w:val="en-US" w:eastAsia="zh-CN"/>
        </w:rPr>
        <w:t>中共</w:t>
      </w:r>
      <w:r>
        <w:rPr>
          <w:rFonts w:hint="eastAsia" w:ascii="仿宋_GB2312" w:eastAsia="仿宋_GB2312" w:cs="Times New Roman" w:hAnsiTheme="minorEastAsia"/>
          <w:sz w:val="32"/>
          <w:szCs w:val="32"/>
          <w:u w:color="000000"/>
        </w:rPr>
        <w:t>保定市徐水</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委党校</w:t>
      </w:r>
      <w:r>
        <w:rPr>
          <w:rFonts w:hint="eastAsia" w:ascii="仿宋_GB2312" w:eastAsia="仿宋_GB2312" w:cs="Times New Roman" w:hAnsiTheme="minorEastAsia"/>
          <w:sz w:val="32"/>
          <w:szCs w:val="32"/>
          <w:u w:color="000000"/>
        </w:rPr>
        <w:t>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w:t>
      </w:r>
      <w:r>
        <w:rPr>
          <w:rFonts w:hint="eastAsia" w:ascii="仿宋_GB2312" w:eastAsia="仿宋_GB2312" w:cs="Times New Roman" w:hAnsiTheme="minorEastAsia"/>
          <w:sz w:val="32"/>
          <w:szCs w:val="32"/>
          <w:u w:color="000000"/>
          <w:lang w:val="en-US" w:eastAsia="zh-CN"/>
        </w:rPr>
        <w:t>中共</w:t>
      </w:r>
      <w:r>
        <w:rPr>
          <w:rFonts w:hint="eastAsia" w:ascii="仿宋_GB2312" w:eastAsia="仿宋_GB2312" w:cs="Times New Roman" w:hAnsiTheme="minorEastAsia"/>
          <w:sz w:val="32"/>
          <w:szCs w:val="32"/>
          <w:u w:color="000000"/>
        </w:rPr>
        <w:t>保定市徐水区</w:t>
      </w:r>
      <w:r>
        <w:rPr>
          <w:rFonts w:hint="eastAsia" w:ascii="仿宋_GB2312" w:eastAsia="仿宋_GB2312" w:cs="DengXian-Regular"/>
          <w:sz w:val="32"/>
          <w:szCs w:val="32"/>
          <w:lang w:val="en-US" w:eastAsia="zh-CN"/>
        </w:rPr>
        <w:t>委党校</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5" w:name="_Toc465149534"/>
      <w:r>
        <w:rPr>
          <w:rFonts w:hint="eastAsia" w:ascii="仿宋_GB2312" w:eastAsia="仿宋_GB2312" w:cs="Times New Roman" w:hAnsiTheme="minorEastAsia"/>
          <w:sz w:val="32"/>
          <w:szCs w:val="32"/>
          <w:u w:color="000000"/>
        </w:rPr>
        <w:t>3.</w:t>
      </w:r>
      <w:bookmarkEnd w:id="75"/>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6" w:name="_Toc465149544"/>
      <w:r>
        <w:rPr>
          <w:rFonts w:hint="eastAsia" w:ascii="仿宋_GB2312" w:eastAsia="仿宋_GB2312" w:cs="Times New Roman" w:hAnsiTheme="minorEastAsia"/>
          <w:sz w:val="32"/>
          <w:szCs w:val="32"/>
          <w:u w:color="000000"/>
        </w:rPr>
        <w:t>4.</w:t>
      </w:r>
      <w:bookmarkEnd w:id="76"/>
      <w:r>
        <w:rPr>
          <w:rFonts w:hint="eastAsia" w:ascii="仿宋_GB2312" w:eastAsia="仿宋_GB2312" w:cs="Times New Roman" w:hAnsiTheme="minorEastAsia"/>
          <w:sz w:val="32"/>
          <w:szCs w:val="32"/>
          <w:u w:color="000000"/>
        </w:rPr>
        <w:t>2019年</w:t>
      </w:r>
      <w:r>
        <w:rPr>
          <w:rFonts w:hint="eastAsia" w:ascii="仿宋_GB2312" w:eastAsia="仿宋_GB2312" w:cs="Times New Roman" w:hAnsiTheme="minorEastAsia"/>
          <w:sz w:val="32"/>
          <w:szCs w:val="32"/>
          <w:u w:color="000000"/>
          <w:lang w:val="en-US" w:eastAsia="zh-CN"/>
        </w:rPr>
        <w:t>中共保定市</w:t>
      </w:r>
      <w:r>
        <w:rPr>
          <w:rFonts w:hint="eastAsia" w:ascii="仿宋_GB2312" w:eastAsia="仿宋_GB2312" w:cs="Times New Roman" w:hAnsiTheme="minorEastAsia"/>
          <w:sz w:val="32"/>
          <w:szCs w:val="32"/>
          <w:u w:color="000000"/>
        </w:rPr>
        <w:t>徐水区</w:t>
      </w:r>
      <w:r>
        <w:rPr>
          <w:rFonts w:hint="eastAsia" w:ascii="仿宋_GB2312" w:eastAsia="仿宋_GB2312" w:cs="DengXian-Regular"/>
          <w:sz w:val="32"/>
          <w:szCs w:val="32"/>
          <w:lang w:val="en-US" w:eastAsia="zh-CN"/>
        </w:rPr>
        <w:t>徐水区委党校</w:t>
      </w:r>
      <w:r>
        <w:rPr>
          <w:rFonts w:hint="eastAsia" w:ascii="仿宋_GB2312" w:eastAsia="仿宋_GB2312" w:cs="Times New Roman" w:hAnsiTheme="minorEastAsia"/>
          <w:sz w:val="32"/>
          <w:szCs w:val="32"/>
          <w:u w:color="000000"/>
        </w:rPr>
        <w:t>工作活动绩效目标、绩效指标一览表</w:t>
      </w:r>
      <w:bookmarkEnd w:id="74"/>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4F4310"/>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503214"/>
    <w:rsid w:val="0DCB2021"/>
    <w:rsid w:val="0E3A01CC"/>
    <w:rsid w:val="0E9172D3"/>
    <w:rsid w:val="0EF1422C"/>
    <w:rsid w:val="0F3B23D4"/>
    <w:rsid w:val="0F3B3DD7"/>
    <w:rsid w:val="106D3B43"/>
    <w:rsid w:val="107B6AE8"/>
    <w:rsid w:val="11195DC6"/>
    <w:rsid w:val="115A70AD"/>
    <w:rsid w:val="116421D6"/>
    <w:rsid w:val="11EA1B00"/>
    <w:rsid w:val="121F5AC5"/>
    <w:rsid w:val="125037BB"/>
    <w:rsid w:val="12521250"/>
    <w:rsid w:val="12524B60"/>
    <w:rsid w:val="128958F5"/>
    <w:rsid w:val="12E866AF"/>
    <w:rsid w:val="130C55D8"/>
    <w:rsid w:val="13244A23"/>
    <w:rsid w:val="13EE6B6B"/>
    <w:rsid w:val="140D097E"/>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1F35D78"/>
    <w:rsid w:val="22E872F2"/>
    <w:rsid w:val="24DA6297"/>
    <w:rsid w:val="252F3CBE"/>
    <w:rsid w:val="26694CDB"/>
    <w:rsid w:val="26F31483"/>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4D1F11"/>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66497F"/>
    <w:rsid w:val="4278675D"/>
    <w:rsid w:val="431F105C"/>
    <w:rsid w:val="43B13117"/>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A347D5"/>
    <w:rsid w:val="4ECB455C"/>
    <w:rsid w:val="4EF16D21"/>
    <w:rsid w:val="4F4E6BEF"/>
    <w:rsid w:val="4F6745C5"/>
    <w:rsid w:val="4F751E54"/>
    <w:rsid w:val="4FA9510C"/>
    <w:rsid w:val="50891C17"/>
    <w:rsid w:val="520E7D39"/>
    <w:rsid w:val="5271716B"/>
    <w:rsid w:val="527310FD"/>
    <w:rsid w:val="52C145B3"/>
    <w:rsid w:val="532C19FA"/>
    <w:rsid w:val="536C046F"/>
    <w:rsid w:val="53777260"/>
    <w:rsid w:val="53BD324D"/>
    <w:rsid w:val="53DA3FDB"/>
    <w:rsid w:val="548E0DE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A23115"/>
    <w:rsid w:val="5CFF5AEE"/>
    <w:rsid w:val="5D5260D6"/>
    <w:rsid w:val="5E1753C5"/>
    <w:rsid w:val="5E4106DA"/>
    <w:rsid w:val="5E4B362D"/>
    <w:rsid w:val="5E4B3828"/>
    <w:rsid w:val="5E675569"/>
    <w:rsid w:val="5EC1143D"/>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A1667D"/>
    <w:rsid w:val="64D27A6F"/>
    <w:rsid w:val="65765688"/>
    <w:rsid w:val="65A40D91"/>
    <w:rsid w:val="66F55A6B"/>
    <w:rsid w:val="67327F2E"/>
    <w:rsid w:val="674609A7"/>
    <w:rsid w:val="67465B30"/>
    <w:rsid w:val="68082611"/>
    <w:rsid w:val="688C533B"/>
    <w:rsid w:val="69194539"/>
    <w:rsid w:val="692F0DD2"/>
    <w:rsid w:val="692F6DB1"/>
    <w:rsid w:val="696B16A5"/>
    <w:rsid w:val="69772905"/>
    <w:rsid w:val="69EF014B"/>
    <w:rsid w:val="6A360EF4"/>
    <w:rsid w:val="6A736A2C"/>
    <w:rsid w:val="6AC4173D"/>
    <w:rsid w:val="6B3F6E7C"/>
    <w:rsid w:val="6B4F76A1"/>
    <w:rsid w:val="6BB6746F"/>
    <w:rsid w:val="6BFD03AE"/>
    <w:rsid w:val="6BFF6077"/>
    <w:rsid w:val="6C2308EC"/>
    <w:rsid w:val="6C867767"/>
    <w:rsid w:val="6CA34648"/>
    <w:rsid w:val="6D031FFE"/>
    <w:rsid w:val="6D0A0705"/>
    <w:rsid w:val="6D870368"/>
    <w:rsid w:val="6DEF74D5"/>
    <w:rsid w:val="6E9856D0"/>
    <w:rsid w:val="6EB840FC"/>
    <w:rsid w:val="6EE920DC"/>
    <w:rsid w:val="6F377C99"/>
    <w:rsid w:val="6F4C5228"/>
    <w:rsid w:val="6F7E7DE2"/>
    <w:rsid w:val="6FAA433E"/>
    <w:rsid w:val="704F1D50"/>
    <w:rsid w:val="7062369D"/>
    <w:rsid w:val="70D8666D"/>
    <w:rsid w:val="70F82977"/>
    <w:rsid w:val="711203ED"/>
    <w:rsid w:val="712A76BE"/>
    <w:rsid w:val="716D6D00"/>
    <w:rsid w:val="719901C6"/>
    <w:rsid w:val="71B131C3"/>
    <w:rsid w:val="71CC5821"/>
    <w:rsid w:val="71F26BCA"/>
    <w:rsid w:val="720542F1"/>
    <w:rsid w:val="72146958"/>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16F80"/>
    <w:rsid w:val="774B42DA"/>
    <w:rsid w:val="77CC2AC5"/>
    <w:rsid w:val="78AC0F28"/>
    <w:rsid w:val="78AD7E4B"/>
    <w:rsid w:val="7922758B"/>
    <w:rsid w:val="796F5F61"/>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1.xml"/><Relationship Id="rId1" Type="http://schemas.openxmlformats.org/officeDocument/2006/relationships/oleObject" Target="file:///D:\&#33647;&#21697;&#37319;&#36141;&#21488;&#36134;\&#24464;&#27700;&#21306;4+7&#31532;&#19968;&#20010;&#37319;&#36141;&#21608;&#26399;&#31614;&#32422;&#37329;&#39069;&#19982;&#39044;&#20184;&#36164;&#37329;&#26126;&#32454;&#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33647;&#21697;&#37319;&#36141;&#21488;&#36134;\&#24464;&#27700;&#21306;4+7&#31532;&#19968;&#20010;&#37319;&#36141;&#21608;&#26399;&#31614;&#32422;&#37329;&#39069;&#19982;&#39044;&#20184;&#36164;&#37329;&#26126;&#32454;&#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3647;&#21697;&#37319;&#36141;&#21488;&#36134;\&#24464;&#27700;&#21306;4+7&#31532;&#19968;&#20010;&#37319;&#36141;&#21608;&#26399;&#31614;&#32422;&#37329;&#39069;&#19982;&#39044;&#20184;&#36164;&#37329;&#26126;&#32454;&#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3647;&#21697;&#37319;&#36141;&#21488;&#36134;\&#24464;&#27700;&#21306;4+7&#31532;&#19968;&#20010;&#37319;&#36141;&#21608;&#26399;&#31614;&#32422;&#37329;&#39069;&#19982;&#39044;&#20184;&#36164;&#37329;&#26126;&#32454;&#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a:t>
            </a:r>
            <a:r>
              <a:rPr sz="1600" b="1"/>
              <a:t>决算</a:t>
            </a:r>
            <a:endParaRPr sz="1600" b="1"/>
          </a:p>
        </c:rich>
      </c:tx>
      <c:layout/>
      <c:overlay val="0"/>
      <c:spPr>
        <a:noFill/>
        <a:ln>
          <a:noFill/>
        </a:ln>
        <a:effectLst/>
      </c:spPr>
    </c:title>
    <c:autoTitleDeleted val="0"/>
    <c:plotArea>
      <c:layout/>
      <c:pieChart>
        <c:varyColors val="1"/>
        <c:ser>
          <c:idx val="0"/>
          <c:order val="0"/>
          <c:tx>
            <c:strRef>
              <c:f>'[徐水区4+7第一个采购周期签约金额与预付资金明细表.xls]Sheet2'!$B$1:$B$2</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'[徐水区4+7第一个采购周期签约金额与预付资金明细表.xls]Sheet2'!$A$3:$A$6</c:f>
              <c:strCache>
                <c:ptCount val="4"/>
                <c:pt idx="0">
                  <c:v>教育支出</c:v>
                </c:pt>
                <c:pt idx="1">
                  <c:v>社会保障和就业支出</c:v>
                </c:pt>
                <c:pt idx="2">
                  <c:v>医疗卫生与计划生育支出</c:v>
                </c:pt>
                <c:pt idx="3">
                  <c:v>住房保障支出</c:v>
                </c:pt>
              </c:strCache>
            </c:strRef>
          </c:cat>
          <c:val>
            <c:numRef>
              <c:f>'[徐水区4+7第一个采购周期签约金额与预付资金明细表.xls]Sheet2'!$B$3:$B$6</c:f>
              <c:numCache>
                <c:formatCode>General</c:formatCode>
                <c:ptCount val="4"/>
                <c:pt idx="0">
                  <c:v>185.84</c:v>
                </c:pt>
                <c:pt idx="1">
                  <c:v>79.04</c:v>
                </c:pt>
                <c:pt idx="2">
                  <c:v>5.69</c:v>
                </c:pt>
                <c:pt idx="3">
                  <c:v>10.99</c:v>
                </c:pt>
              </c:numCache>
            </c:numRef>
          </c:val>
        </c:ser>
        <c:ser>
          <c:idx val="1"/>
          <c:order val="1"/>
          <c:tx>
            <c:strRef>
              <c:f>'[徐水区4+7第一个采购周期签约金额与预付资金明细表.xls]Sheet2'!$B$2</c:f>
              <c:strCache>
                <c:ptCount val="1"/>
                <c:pt idx="0">
                  <c:v>单位：万元</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'[徐水区4+7第一个采购周期签约金额与预付资金明细表.xls]Sheet2'!$A$3:$A$6</c:f>
              <c:strCache>
                <c:ptCount val="4"/>
                <c:pt idx="0">
                  <c:v>教育支出</c:v>
                </c:pt>
                <c:pt idx="1">
                  <c:v>社会保障和就业支出</c:v>
                </c:pt>
                <c:pt idx="2">
                  <c:v>医疗卫生与计划生育支出</c:v>
                </c:pt>
                <c:pt idx="3">
                  <c:v>住房保障支出</c:v>
                </c:pt>
              </c:strCache>
            </c:strRef>
          </c:cat>
          <c:val>
            <c:numRef>
              <c:f>{1}</c:f>
              <c:numCache>
                <c:formatCode>General</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2019年度预算收入与决算收入对比图</a:t>
            </a:r>
            <a:endParaRPr altLang="en-US"/>
          </a:p>
        </c:rich>
      </c:tx>
      <c:layout/>
      <c:overlay val="0"/>
      <c:spPr>
        <a:noFill/>
        <a:ln>
          <a:noFill/>
        </a:ln>
        <a:effectLst/>
      </c:spPr>
    </c:title>
    <c:autoTitleDeleted val="0"/>
    <c:plotArea>
      <c:layout/>
      <c:barChart>
        <c:barDir val="col"/>
        <c:grouping val="clustered"/>
        <c:varyColors val="0"/>
        <c:ser>
          <c:idx val="0"/>
          <c:order val="0"/>
          <c:tx>
            <c:strRef>
              <c:f>'[徐水区4+7第一个采购周期签约金额与预付资金明细表.xls]Sheet2'!$B$1</c:f>
              <c:strCache>
                <c:ptCount val="1"/>
                <c:pt idx="0">
                  <c:v>决算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'[徐水区4+7第一个采购周期签约金额与预付资金明细表.xls]Sheet2'!$A$2:$A$5</c:f>
              <c:strCache>
                <c:ptCount val="4"/>
                <c:pt idx="0">
                  <c:v>教育支出</c:v>
                </c:pt>
                <c:pt idx="1">
                  <c:v>社会保障和就业支出</c:v>
                </c:pt>
                <c:pt idx="2">
                  <c:v>医疗卫生与计划生育支出</c:v>
                </c:pt>
                <c:pt idx="3">
                  <c:v>住房保障支出</c:v>
                </c:pt>
              </c:strCache>
            </c:strRef>
          </c:cat>
          <c:val>
            <c:numRef>
              <c:f>'[徐水区4+7第一个采购周期签约金额与预付资金明细表.xls]Sheet2'!$B$2:$B$5</c:f>
              <c:numCache>
                <c:formatCode>General</c:formatCode>
                <c:ptCount val="4"/>
                <c:pt idx="0">
                  <c:v>185.84</c:v>
                </c:pt>
                <c:pt idx="1">
                  <c:v>79.04</c:v>
                </c:pt>
                <c:pt idx="2">
                  <c:v>5.69</c:v>
                </c:pt>
                <c:pt idx="3">
                  <c:v>10.99</c:v>
                </c:pt>
              </c:numCache>
            </c:numRef>
          </c:val>
        </c:ser>
        <c:ser>
          <c:idx val="1"/>
          <c:order val="1"/>
          <c:tx>
            <c:strRef>
              <c:f>'[徐水区4+7第一个采购周期签约金额与预付资金明细表.xls]Sheet2'!$C$1</c:f>
              <c:strCache>
                <c:ptCount val="1"/>
                <c:pt idx="0">
                  <c:v>预算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'[徐水区4+7第一个采购周期签约金额与预付资金明细表.xls]Sheet2'!$A$2:$A$5</c:f>
              <c:strCache>
                <c:ptCount val="4"/>
                <c:pt idx="0">
                  <c:v>教育支出</c:v>
                </c:pt>
                <c:pt idx="1">
                  <c:v>社会保障和就业支出</c:v>
                </c:pt>
                <c:pt idx="2">
                  <c:v>医疗卫生与计划生育支出</c:v>
                </c:pt>
                <c:pt idx="3">
                  <c:v>住房保障支出</c:v>
                </c:pt>
              </c:strCache>
            </c:strRef>
          </c:cat>
          <c:val>
            <c:numRef>
              <c:f>'[徐水区4+7第一个采购周期签约金额与预付资金明细表.xls]Sheet2'!$C$2:$C$5</c:f>
              <c:numCache>
                <c:formatCode>General</c:formatCode>
                <c:ptCount val="4"/>
                <c:pt idx="0">
                  <c:v>254.25</c:v>
                </c:pt>
                <c:pt idx="1">
                  <c:v>85.2</c:v>
                </c:pt>
                <c:pt idx="2">
                  <c:v>13.84</c:v>
                </c:pt>
                <c:pt idx="3">
                  <c:v>10.99</c:v>
                </c:pt>
              </c:numCache>
            </c:numRef>
          </c:val>
        </c:ser>
        <c:dLbls>
          <c:showLegendKey val="0"/>
          <c:showVal val="1"/>
          <c:showCatName val="0"/>
          <c:showSerName val="0"/>
          <c:showPercent val="0"/>
          <c:showBubbleSize val="0"/>
        </c:dLbls>
        <c:gapWidth val="150"/>
        <c:overlap val="0"/>
        <c:axId val="20032705"/>
        <c:axId val="970756994"/>
      </c:barChart>
      <c:catAx>
        <c:axId val="2003270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756994"/>
        <c:crosses val="autoZero"/>
        <c:auto val="1"/>
        <c:lblAlgn val="ctr"/>
        <c:lblOffset val="100"/>
        <c:noMultiLvlLbl val="0"/>
      </c:catAx>
      <c:valAx>
        <c:axId val="970756994"/>
        <c:scaling>
          <c:orientation val="minMax"/>
        </c:scaling>
        <c:delete val="0"/>
        <c:axPos val="l"/>
        <c:majorGridlines>
          <c:spPr>
            <a:ln w="9525" cap="flat" cmpd="sng" algn="ctr">
              <a:solidFill>
                <a:schemeClr val="accent1"/>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32705"/>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年度决算支出结构图</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'[徐水区4+7第一个采购周期签约金额与预付资金明细表.xls]Sheet2'!$A$2:$A$5</c:f>
              <c:strCache>
                <c:ptCount val="4"/>
                <c:pt idx="0">
                  <c:v>教育支出</c:v>
                </c:pt>
                <c:pt idx="1">
                  <c:v>社会保障和就业支出</c:v>
                </c:pt>
                <c:pt idx="2">
                  <c:v>医疗卫生与计划生育支出</c:v>
                </c:pt>
                <c:pt idx="3">
                  <c:v>住房保障支出</c:v>
                </c:pt>
              </c:strCache>
            </c:strRef>
          </c:cat>
          <c:val>
            <c:numRef>
              <c:f>'[徐水区4+7第一个采购周期签约金额与预付资金明细表.xls]Sheet2'!$B$2:$B$5</c:f>
              <c:numCache>
                <c:formatCode>General</c:formatCode>
                <c:ptCount val="4"/>
                <c:pt idx="0">
                  <c:v>187.45</c:v>
                </c:pt>
                <c:pt idx="1">
                  <c:v>79.04</c:v>
                </c:pt>
                <c:pt idx="2">
                  <c:v>5.69</c:v>
                </c:pt>
                <c:pt idx="3">
                  <c:v>10.99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2019年度预算支出与决算支出对比图</a:t>
            </a:r>
          </a:p>
        </c:rich>
      </c:tx>
      <c:layout/>
      <c:overlay val="0"/>
      <c:spPr>
        <a:noFill/>
        <a:ln>
          <a:noFill/>
        </a:ln>
        <a:effectLst/>
      </c:spPr>
    </c:title>
    <c:autoTitleDeleted val="0"/>
    <c:plotArea>
      <c:layout/>
      <c:barChart>
        <c:barDir val="col"/>
        <c:grouping val="clustered"/>
        <c:varyColors val="0"/>
        <c:ser>
          <c:idx val="0"/>
          <c:order val="0"/>
          <c:tx>
            <c:strRef>
              <c:f>'[徐水区4+7第一个采购周期签约金额与预付资金明细表.xls]Sheet2'!$B$1</c:f>
              <c:strCache>
                <c:ptCount val="1"/>
                <c:pt idx="0">
                  <c:v>决算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'[徐水区4+7第一个采购周期签约金额与预付资金明细表.xls]Sheet2'!$A$2:$A$5</c:f>
              <c:strCache>
                <c:ptCount val="4"/>
                <c:pt idx="0">
                  <c:v>教育支出</c:v>
                </c:pt>
                <c:pt idx="1">
                  <c:v>社会保障和就业支出</c:v>
                </c:pt>
                <c:pt idx="2">
                  <c:v>医疗卫生与计划生育支出</c:v>
                </c:pt>
                <c:pt idx="3">
                  <c:v>住房保障支出</c:v>
                </c:pt>
              </c:strCache>
            </c:strRef>
          </c:cat>
          <c:val>
            <c:numRef>
              <c:f>'[徐水区4+7第一个采购周期签约金额与预付资金明细表.xls]Sheet2'!$B$2:$B$5</c:f>
              <c:numCache>
                <c:formatCode>General</c:formatCode>
                <c:ptCount val="4"/>
                <c:pt idx="0">
                  <c:v>187.45</c:v>
                </c:pt>
                <c:pt idx="1">
                  <c:v>79.04</c:v>
                </c:pt>
                <c:pt idx="2">
                  <c:v>5.69</c:v>
                </c:pt>
                <c:pt idx="3">
                  <c:v>10.99</c:v>
                </c:pt>
              </c:numCache>
            </c:numRef>
          </c:val>
        </c:ser>
        <c:ser>
          <c:idx val="1"/>
          <c:order val="1"/>
          <c:tx>
            <c:strRef>
              <c:f>'[徐水区4+7第一个采购周期签约金额与预付资金明细表.xls]Sheet2'!$C$1</c:f>
              <c:strCache>
                <c:ptCount val="1"/>
                <c:pt idx="0">
                  <c:v>预算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'[徐水区4+7第一个采购周期签约金额与预付资金明细表.xls]Sheet2'!$A$2:$A$5</c:f>
              <c:strCache>
                <c:ptCount val="4"/>
                <c:pt idx="0">
                  <c:v>教育支出</c:v>
                </c:pt>
                <c:pt idx="1">
                  <c:v>社会保障和就业支出</c:v>
                </c:pt>
                <c:pt idx="2">
                  <c:v>医疗卫生与计划生育支出</c:v>
                </c:pt>
                <c:pt idx="3">
                  <c:v>住房保障支出</c:v>
                </c:pt>
              </c:strCache>
            </c:strRef>
          </c:cat>
          <c:val>
            <c:numRef>
              <c:f>'[徐水区4+7第一个采购周期签约金额与预付资金明细表.xls]Sheet2'!$C$2:$C$5</c:f>
              <c:numCache>
                <c:formatCode>General</c:formatCode>
                <c:ptCount val="4"/>
                <c:pt idx="0">
                  <c:v>254.25</c:v>
                </c:pt>
                <c:pt idx="1">
                  <c:v>85.2</c:v>
                </c:pt>
                <c:pt idx="2">
                  <c:v>13.84</c:v>
                </c:pt>
                <c:pt idx="3">
                  <c:v>10.99</c:v>
                </c:pt>
              </c:numCache>
            </c:numRef>
          </c:val>
        </c:ser>
        <c:dLbls>
          <c:showLegendKey val="0"/>
          <c:showVal val="1"/>
          <c:showCatName val="0"/>
          <c:showSerName val="0"/>
          <c:showPercent val="0"/>
          <c:showBubbleSize val="0"/>
        </c:dLbls>
        <c:gapWidth val="150"/>
        <c:overlap val="0"/>
        <c:axId val="785614612"/>
        <c:axId val="564854224"/>
      </c:barChart>
      <c:catAx>
        <c:axId val="7856146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854224"/>
        <c:crosses val="autoZero"/>
        <c:auto val="1"/>
        <c:lblAlgn val="ctr"/>
        <c:lblOffset val="100"/>
        <c:noMultiLvlLbl val="0"/>
      </c:catAx>
      <c:valAx>
        <c:axId val="56485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61461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0.809722222222222</cdr:x>
      <cdr:y>0.216435185185185</cdr:y>
    </cdr:from>
    <cdr:to>
      <cdr:x>1</cdr:x>
      <cdr:y>0.549768518518518</cdr:y>
    </cdr:to>
    <cdr:sp>
      <cdr:nvSpPr>
        <cdr:cNvPr id="2" name="矩形 1"/>
        <cdr:cNvSpPr/>
      </cdr:nvSpPr>
      <cdr:spPr xmlns:a="http://schemas.openxmlformats.org/drawingml/2006/main">
        <a:xfrm xmlns:a="http://schemas.openxmlformats.org/drawingml/2006/main">
          <a:off x="3702050" y="593725"/>
          <a:ext cx="869950" cy="914400"/>
        </a:xfrm>
        <a:prstGeom xmlns:a="http://schemas.openxmlformats.org/drawingml/2006/main" prst="rect">
          <a:avLst/>
        </a:prstGeom>
      </cdr:spPr>
      <cdr:txBody xmlns:a="http://schemas.openxmlformats.org/drawingml/2006/main">
        <a:bodyPr vert="horz" wrap="none" lIns="45720" tIns="45720" rIns="45720" bIns="45720" anchor="t" anchorCtr="0">
          <a:sp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3367A3-686C-4496-AC06-FD8CF16A91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2140</Words>
  <Characters>12198</Characters>
  <Lines>101</Lines>
  <Paragraphs>28</Paragraphs>
  <TotalTime>1</TotalTime>
  <ScaleCrop>false</ScaleCrop>
  <LinksUpToDate>false</LinksUpToDate>
  <CharactersWithSpaces>14310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2020-08-10T02:34:00Z</cp:lastPrinted>
  <dcterms:modified xsi:type="dcterms:W3CDTF">2025-05-12T07:11:32Z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