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CA4A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E7C3CB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CF79440">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人民法院</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14:paraId="61356E8A">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14:paraId="3817574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4B90D5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4B3D5C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CC01EE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A6DC0F9">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7C269C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57E910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CB5246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0C1925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CC7CFD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2EAC83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DB388B9">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17164D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3D15BD7">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11</w:t>
      </w:r>
      <w:r>
        <w:rPr>
          <w:rFonts w:hint="eastAsia" w:cs="Times New Roman" w:asciiTheme="minorEastAsia" w:hAnsiTheme="minorEastAsia" w:eastAsiaTheme="minorEastAsia"/>
          <w:bCs/>
          <w:kern w:val="2"/>
          <w:sz w:val="36"/>
          <w:szCs w:val="36"/>
        </w:rPr>
        <w:t>月</w:t>
      </w:r>
    </w:p>
    <w:p w14:paraId="24284CE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898EA6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B3407E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1B4BCC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CE8F2C9">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sdtPr>
      <w:sdtEndPr>
        <w:rPr>
          <w:rFonts w:ascii="Tahoma" w:hAnsi="Tahoma" w:eastAsia="微软雅黑" w:cstheme="minorBidi"/>
          <w:b w:val="0"/>
          <w:bCs w:val="0"/>
          <w:color w:val="auto"/>
          <w:sz w:val="22"/>
          <w:szCs w:val="22"/>
          <w:lang w:val="en-US"/>
        </w:rPr>
      </w:sdtEndPr>
      <w:sdtContent>
        <w:p w14:paraId="27CD7083">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3E8338E2">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A102FF5">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635F1E3">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人民法院</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AB8FF7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26B36D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8EF901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647BDE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B17211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DD4B3B6">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A7D91B9">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DAC7A9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3C865A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1D9D4F9">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76F68C7">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EEDD20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DB37A9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8E06C9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8258A1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3FDBA5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32AB7B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5401E70">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2383AA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339DDC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AA756D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9FBED5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7F75B09">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30D85B2">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72D6986">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57B89DCA">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2030DF59">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14:paraId="03287388">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保定市徐水区人民法院为正科级行政单位，经费保障形式为财政拨款，下设9个股室，分别为综合办公室、政治部、刑事审判庭、民事审判庭、审判管理办公室（研究室）、行政审判庭（综合审判庭）、立案庭（诉讼服务中心）、执行局、司法警察大队。主要职责是：</w:t>
      </w:r>
    </w:p>
    <w:p w14:paraId="0387CC96">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1、深切贯彻习近平新时代中国特色社会主义思想，深切贯彻党的路线方针政策和决策部署，坚持党对法院工作的绝对领导，坚决维护习近平总书记的核心地位，坚决维护党中央权威和集中统一领导。</w:t>
      </w:r>
    </w:p>
    <w:p w14:paraId="20CFE029">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2、依法审判法律规定由徐水区人民法院管辖的刑事、民事、行政等第一审案件。</w:t>
      </w:r>
    </w:p>
    <w:p w14:paraId="20637AC7">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3、依法审判上级人民法院指定、同级人民法院移送的刑事、民事、行政等第一审案件。</w:t>
      </w:r>
    </w:p>
    <w:p w14:paraId="5037DE25">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4、审查和受理各类申诉案件，审判各类再审案件，处理来信来访。</w:t>
      </w:r>
    </w:p>
    <w:p w14:paraId="3E80C7D1">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5、依法办理发生法律效力的民事、行政案件判决和裁定执行事项及刑事案件判决和裁定中关于财产部分的执行事项；办理法律规定由基层人民法院执行的其他法律文书的执行事项。</w:t>
      </w:r>
    </w:p>
    <w:p w14:paraId="0330F3F0">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6、负责审判工作的调查研究，总结审判工作经验。</w:t>
      </w:r>
    </w:p>
    <w:p w14:paraId="1111E4FB">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7、负责干警思想政治教育和业务培训工作；按照权限管理法官和其他工作人员。</w:t>
      </w:r>
    </w:p>
    <w:p w14:paraId="76557AF1">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8、管理有关经费及物资装备。</w:t>
      </w:r>
    </w:p>
    <w:p w14:paraId="423D3B44">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9、赌注司法技术鉴定、通讯、计算机等技术管理工作。</w:t>
      </w:r>
    </w:p>
    <w:p w14:paraId="38053C3B">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10、负责审判工作中的法制宣传，教育公民忠于祖国，自觉遵守宪法、法律和社会公德。</w:t>
      </w:r>
    </w:p>
    <w:p w14:paraId="00E7D65F">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11、完成其他应由徐水区人民法院负责工作。</w:t>
      </w:r>
    </w:p>
    <w:p w14:paraId="4B7E83BF">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 xml:space="preserve">    </w:t>
      </w: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60F13D9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4AFB9E7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14:paraId="3D04EC43">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年部门整体支出绩效评价指标体系共设置4个一级指标、7个二级指标、27个三级指标，从投入、过程、产出、效果四个方面对区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部门整体支出情况评分定级。指标体系设定满分为100分，绩效评价分值≥90为“优”；80≤分值＜90为“良”；60≤分值＜80为“合格”；60分以下为“差”。</w:t>
      </w:r>
    </w:p>
    <w:p w14:paraId="201545C7">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年部门整体支出综合评价得分为</w:t>
      </w:r>
      <w:r>
        <w:rPr>
          <w:rFonts w:hint="eastAsia" w:ascii="仿宋_GB2312" w:eastAsia="仿宋_GB2312" w:cs="DengXian-Regular"/>
          <w:sz w:val="32"/>
          <w:szCs w:val="32"/>
          <w:highlight w:val="none"/>
          <w:lang w:val="en-US" w:eastAsia="zh-CN"/>
        </w:rPr>
        <w:t>95.25</w:t>
      </w:r>
      <w:r>
        <w:rPr>
          <w:rFonts w:hint="eastAsia" w:ascii="仿宋_GB2312" w:eastAsia="仿宋_GB2312" w:cs="DengXian-Regular"/>
          <w:sz w:val="32"/>
          <w:szCs w:val="32"/>
          <w:highlight w:val="none"/>
        </w:rPr>
        <w:t>分，评价等级为“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highlight w:val="none"/>
        </w:rPr>
        <w:t>”。</w:t>
      </w:r>
    </w:p>
    <w:p w14:paraId="00F9D56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03A69B3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18953BF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。绩效指标制定还需大力结合各部门工作实际情况开展此项工作的绩效目标制定。做到绩效指标的可行性更加贴近一线办案实际。</w:t>
      </w:r>
    </w:p>
    <w:p w14:paraId="117E890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.项目资金使用率</w:t>
      </w:r>
      <w:r>
        <w:rPr>
          <w:rFonts w:hint="eastAsia" w:ascii="仿宋_GB2312" w:eastAsia="仿宋_GB2312" w:cs="DengXian-Regular"/>
          <w:sz w:val="32"/>
          <w:szCs w:val="32"/>
          <w:lang w:eastAsia="zh-CN"/>
        </w:rPr>
        <w:t>。在资金使用情况上严格按照有收有支、专款专用，加大力度开展办案和执行工作，确保资金充分使用。</w:t>
      </w:r>
    </w:p>
    <w:p w14:paraId="0E0FCDA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.部分基础数据信息方面</w:t>
      </w:r>
      <w:r>
        <w:rPr>
          <w:rFonts w:hint="eastAsia" w:ascii="仿宋_GB2312" w:eastAsia="仿宋_GB2312" w:cs="DengXian-Regular"/>
          <w:sz w:val="32"/>
          <w:szCs w:val="32"/>
          <w:lang w:eastAsia="zh-CN"/>
        </w:rPr>
        <w:t>。资料的完整性还有待整理，归纳。</w:t>
      </w:r>
    </w:p>
    <w:p w14:paraId="7DE290F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7C1ABD8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19594EF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4831F7E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06D23FB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5B25658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14:paraId="6E8F9EB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14:paraId="18B3D89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14:paraId="46B9FD0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Times New Roman" w:hAnsiTheme="minorEastAsia"/>
          <w:sz w:val="32"/>
          <w:szCs w:val="32"/>
          <w:u w:color="000000"/>
          <w:lang w:eastAsia="zh-CN"/>
        </w:rPr>
        <w:t>我</w:t>
      </w:r>
      <w:r>
        <w:rPr>
          <w:rFonts w:hint="eastAsia" w:ascii="仿宋_GB2312" w:eastAsia="仿宋_GB2312" w:cs="Times New Roman" w:hAnsiTheme="minorEastAsia"/>
          <w:sz w:val="32"/>
          <w:szCs w:val="32"/>
          <w:u w:color="000000"/>
        </w:rPr>
        <w:t>单位对项目资金进行梳理，督促项目进度和资金拨付进度，应拨付的资金及时拨付，不具备条件的资金及时收回，同时，对于按规定可以结转至下年的中央及省级项目资金，在下年的项目安排时优先考虑。</w:t>
      </w:r>
    </w:p>
    <w:p w14:paraId="6045992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14:paraId="13D92A58">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14:paraId="5D6BF6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14:paraId="24040054">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人员经费方面：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lang w:val="en-US" w:eastAsia="zh-CN"/>
        </w:rPr>
        <w:t>1</w:t>
      </w:r>
      <w:r>
        <w:rPr>
          <w:rFonts w:ascii="仿宋_GB2312" w:eastAsia="仿宋_GB2312" w:cs="DengXian-Regular"/>
          <w:sz w:val="32"/>
          <w:szCs w:val="32"/>
          <w:highlight w:val="none"/>
        </w:rPr>
        <w:t>年基本支出决算数较预算数增加比例较大，主要原因为增加人员经费支出，建议202</w:t>
      </w:r>
      <w:r>
        <w:rPr>
          <w:rFonts w:hint="eastAsia" w:ascii="仿宋_GB2312" w:eastAsia="仿宋_GB2312" w:cs="DengXian-Regular"/>
          <w:sz w:val="32"/>
          <w:szCs w:val="32"/>
          <w:highlight w:val="none"/>
          <w:lang w:val="en-US" w:eastAsia="zh-CN"/>
        </w:rPr>
        <w:t>2</w:t>
      </w:r>
      <w:r>
        <w:rPr>
          <w:rFonts w:ascii="仿宋_GB2312" w:eastAsia="仿宋_GB2312" w:cs="DengXian-Regular"/>
          <w:sz w:val="32"/>
          <w:szCs w:val="32"/>
          <w:highlight w:val="none"/>
        </w:rPr>
        <w:t>年预算根据</w:t>
      </w:r>
      <w:r>
        <w:rPr>
          <w:rFonts w:hint="eastAsia"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1</w:t>
      </w:r>
      <w:r>
        <w:rPr>
          <w:rFonts w:hint="eastAsia" w:ascii="仿宋_GB2312" w:eastAsia="仿宋_GB2312" w:cs="DengXian-Regular"/>
          <w:sz w:val="32"/>
          <w:szCs w:val="32"/>
          <w:highlight w:val="none"/>
        </w:rPr>
        <w:t>年实际发生人员经费支出、人员数量和工资标准适当安排人员经费预算。</w:t>
      </w:r>
    </w:p>
    <w:p w14:paraId="3EEA7C2B">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项目资金方面：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lang w:val="en-US" w:eastAsia="zh-CN"/>
        </w:rPr>
        <w:t>1</w:t>
      </w:r>
      <w:r>
        <w:rPr>
          <w:rFonts w:ascii="仿宋_GB2312" w:eastAsia="仿宋_GB2312" w:cs="DengXian-Regular"/>
          <w:sz w:val="32"/>
          <w:szCs w:val="32"/>
          <w:highlight w:val="none"/>
        </w:rPr>
        <w:t>年项目支出资金使用率较低，</w:t>
      </w:r>
      <w:r>
        <w:rPr>
          <w:rFonts w:hint="eastAsia" w:ascii="仿宋_GB2312" w:eastAsia="仿宋_GB2312" w:cs="DengXian-Regular"/>
          <w:sz w:val="32"/>
          <w:szCs w:val="32"/>
          <w:highlight w:val="none"/>
        </w:rPr>
        <w:t>针对</w:t>
      </w:r>
      <w:r>
        <w:rPr>
          <w:rFonts w:ascii="仿宋_GB2312" w:eastAsia="仿宋_GB2312" w:cs="DengXian-Regular"/>
          <w:sz w:val="32"/>
          <w:szCs w:val="32"/>
          <w:highlight w:val="none"/>
        </w:rPr>
        <w:t>部分未实施项目资金结转至下一年度</w:t>
      </w:r>
      <w:r>
        <w:rPr>
          <w:rFonts w:hint="eastAsia" w:ascii="仿宋_GB2312" w:eastAsia="仿宋_GB2312" w:cs="DengXian-Regular"/>
          <w:sz w:val="32"/>
          <w:szCs w:val="32"/>
          <w:highlight w:val="none"/>
        </w:rPr>
        <w:t>的，建议</w:t>
      </w:r>
      <w:r>
        <w:rPr>
          <w:rFonts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ascii="仿宋_GB2312" w:eastAsia="仿宋_GB2312" w:cs="DengXian-Regular"/>
          <w:sz w:val="32"/>
          <w:szCs w:val="32"/>
          <w:highlight w:val="none"/>
        </w:rPr>
        <w:t>年预算不增加</w:t>
      </w:r>
      <w:r>
        <w:rPr>
          <w:rFonts w:hint="eastAsia" w:ascii="仿宋_GB2312" w:eastAsia="仿宋_GB2312" w:cs="DengXian-Regular"/>
          <w:sz w:val="32"/>
          <w:szCs w:val="32"/>
          <w:highlight w:val="none"/>
        </w:rPr>
        <w:t>该部分</w:t>
      </w:r>
      <w:r>
        <w:rPr>
          <w:rFonts w:ascii="仿宋_GB2312" w:eastAsia="仿宋_GB2312" w:cs="DengXian-Regular"/>
          <w:sz w:val="32"/>
          <w:szCs w:val="32"/>
          <w:highlight w:val="none"/>
        </w:rPr>
        <w:t>项目资金预算</w:t>
      </w:r>
      <w:r>
        <w:rPr>
          <w:rFonts w:hint="eastAsia" w:ascii="仿宋_GB2312" w:eastAsia="仿宋_GB2312" w:cs="DengXian-Regular"/>
          <w:sz w:val="32"/>
          <w:szCs w:val="32"/>
          <w:highlight w:val="none"/>
        </w:rPr>
        <w:t>；</w:t>
      </w:r>
      <w:r>
        <w:rPr>
          <w:rFonts w:ascii="仿宋_GB2312" w:eastAsia="仿宋_GB2312" w:cs="DengXian-Regular"/>
          <w:sz w:val="32"/>
          <w:szCs w:val="32"/>
          <w:highlight w:val="none"/>
        </w:rPr>
        <w:t>其他项目资金根据实际情况予以保持或适当</w:t>
      </w:r>
      <w:r>
        <w:rPr>
          <w:rFonts w:hint="eastAsia" w:ascii="仿宋_GB2312" w:eastAsia="仿宋_GB2312" w:cs="DengXian-Regular"/>
          <w:sz w:val="32"/>
          <w:szCs w:val="32"/>
          <w:highlight w:val="none"/>
        </w:rPr>
        <w:t>增减</w:t>
      </w:r>
      <w:r>
        <w:rPr>
          <w:rFonts w:ascii="仿宋_GB2312" w:eastAsia="仿宋_GB2312" w:cs="DengXian-Regular"/>
          <w:sz w:val="32"/>
          <w:szCs w:val="32"/>
          <w:highlight w:val="none"/>
        </w:rPr>
        <w:t>。</w:t>
      </w:r>
    </w:p>
    <w:p w14:paraId="4B539C8F">
      <w:pPr>
        <w:pStyle w:val="3"/>
        <w:spacing w:line="540" w:lineRule="exact"/>
        <w:jc w:val="center"/>
        <w:rPr>
          <w:rFonts w:ascii="黑体" w:hAnsi="黑体"/>
          <w:b w:val="0"/>
        </w:rPr>
      </w:pPr>
      <w:r>
        <w:rPr>
          <w:rFonts w:hint="eastAsia" w:ascii="黑体" w:hAnsi="黑体"/>
          <w:b w:val="0"/>
        </w:rPr>
        <w:t>第二部分   绩效评价报告</w:t>
      </w:r>
      <w:bookmarkEnd w:id="1"/>
    </w:p>
    <w:p w14:paraId="62BEC6A7">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人民法院</w:t>
      </w:r>
      <w:r>
        <w:rPr>
          <w:rFonts w:hint="eastAsia" w:ascii="楷体" w:hAnsi="楷体" w:eastAsia="楷体" w:cs="楷体"/>
        </w:rPr>
        <w:t>基本情况</w:t>
      </w:r>
      <w:bookmarkEnd w:id="2"/>
      <w:bookmarkEnd w:id="3"/>
      <w:bookmarkStart w:id="4" w:name="_Toc492652764"/>
    </w:p>
    <w:p w14:paraId="5C29920C">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32AA2D7D">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中华人民共和国宪法》《中华人民共和国人民法院组织法》和中央机构编制委员会办公室、最高人民法院《关于积极推进省以下人民法院内设机构改革工作的通知》（法发{2018}8号）,我院为区政法工作部门，正科级单位，下设9个股室。我院根据绩效预算管理改革的相关要求，按照“部门职责—工作活动绩效目标”的层级设立了绩效预算架构，职责活动包括案件审判管理和执行、司法救助和国家赔偿、法院事务管理共3部分。</w:t>
      </w:r>
    </w:p>
    <w:p w14:paraId="033B8071">
      <w:pPr>
        <w:spacing w:after="0" w:line="360" w:lineRule="auto"/>
        <w:ind w:firstLine="640" w:firstLineChars="200"/>
        <w:jc w:val="both"/>
        <w:textAlignment w:val="baseline"/>
        <w:rPr>
          <w:rFonts w:hint="eastAsia" w:ascii="仿宋_GB2312" w:eastAsia="仿宋_GB2312" w:cs="DengXian-Regular"/>
          <w:sz w:val="32"/>
          <w:szCs w:val="32"/>
        </w:rPr>
      </w:pPr>
    </w:p>
    <w:p w14:paraId="1C31E378">
      <w:pPr>
        <w:pStyle w:val="4"/>
        <w:spacing w:before="0" w:after="0"/>
        <w:ind w:firstLine="643" w:firstLineChars="200"/>
        <w:jc w:val="both"/>
        <w:rPr>
          <w:rFonts w:ascii="仿宋_GB2312" w:hAnsi="Tahoma" w:cs="DengXian-Regular"/>
          <w:sz w:val="32"/>
        </w:rPr>
      </w:pPr>
      <w:bookmarkStart w:id="6" w:name="_Toc465149499"/>
      <w:bookmarkStart w:id="7" w:name="_Toc492652765"/>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5D4332BA">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设置的年度发展规划总体目标为：</w:t>
      </w:r>
    </w:p>
    <w:p w14:paraId="1849693B">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以习近平新时代中国特色社会主义思想为指导，深入学习贯彻党的十九届四中全会和省委九届九次全会精神，紧紧围绕“努力让人民群众在每一个司法案件中感受到公平正义”的目标，充分发挥人民法院在国家治理体系和治理能力现代化中的职能作用，在狠抓执法办案上有新作为，在维护国家政治安全和社会稳定上有新作为，在依法服务保障大局上有新作为，在加强民生司法保障上有新作为，在司法改革和智慧法院建设上有新作为，在加强法院队伍建设上有新作为，重点在深入推进扫黑除恶专项斗争、产权司法保护、一乡一法庭建设、执行长效机制建设工作上更加有力，为新时代建设、经济发展提供坚强有力的司法服务和保障。职责分类绩效目标为：</w:t>
      </w:r>
    </w:p>
    <w:p w14:paraId="7D1EFAAA">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开展案件审判管理和执行工作。依法审判法律规定由区级人民法院管辖的刑事、民事、行政等一审案件，依法办理发生法律效力判决、其他法律文书的执行，做好审判管理工作。妥善审理经济转型过程中引发的各类矛盾纠纷，依法维护国家安全和社会稳定，严惩各类严重刑事犯罪，积极推进平安徐水建设，营造良好的法治环境。</w:t>
      </w:r>
    </w:p>
    <w:p w14:paraId="0469C6AE">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开展司法救助和国家赔偿工作。完成涉法涉诉类案件的息诉罢访工作，依法办理国家赔偿案件。改革涉诉信访工作，推动涉诉信访问题在法治轨道内解决；落实司法为民措施，保护被侵权人合法利益，促进国家机关依法行使职权。</w:t>
      </w:r>
    </w:p>
    <w:p w14:paraId="6C0FE53D">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3.开展法院事务管理工作。系统综合业务管理和综合事务管理。提高队伍素质和执法能力，高质高效完成各项工作。</w:t>
      </w:r>
    </w:p>
    <w:p w14:paraId="4FB97A1D">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（三）部门预算收入及决算收入</w:t>
      </w:r>
      <w:bookmarkEnd w:id="9"/>
    </w:p>
    <w:p w14:paraId="0209BC5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2055.38</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2055.38</w:t>
      </w:r>
      <w:r>
        <w:rPr>
          <w:rFonts w:hint="eastAsia" w:ascii="仿宋_GB2312" w:eastAsia="仿宋_GB2312" w:cs="DengXian-Regular"/>
          <w:sz w:val="32"/>
          <w:szCs w:val="32"/>
        </w:rPr>
        <w:t>万元，中央财政提前通知转移支付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万元。预算收入按功能分类包含：公共安全支出</w:t>
      </w:r>
      <w:r>
        <w:rPr>
          <w:rFonts w:hint="eastAsia" w:ascii="仿宋_GB2312" w:eastAsia="仿宋_GB2312" w:cs="DengXian-Regular"/>
          <w:sz w:val="32"/>
          <w:szCs w:val="32"/>
          <w:lang w:val="en-US" w:eastAsia="zh-CN"/>
        </w:rPr>
        <w:t>1771.29</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154.54</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56.51</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73.04</w:t>
      </w:r>
      <w:r>
        <w:rPr>
          <w:rFonts w:hint="eastAsia" w:ascii="仿宋_GB2312" w:eastAsia="仿宋_GB2312" w:cs="DengXian-Regular"/>
          <w:sz w:val="32"/>
          <w:szCs w:val="32"/>
        </w:rPr>
        <w:t>万元。具体预算收入详见附件2。</w:t>
      </w:r>
    </w:p>
    <w:p w14:paraId="7D3EAAE3">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2410.3</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2409.6</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0.7</w:t>
      </w:r>
      <w:r>
        <w:rPr>
          <w:rFonts w:hint="eastAsia" w:ascii="仿宋_GB2312" w:eastAsia="仿宋_GB2312" w:cs="DengXian-Regular"/>
          <w:sz w:val="32"/>
          <w:szCs w:val="32"/>
        </w:rPr>
        <w:t>万元（全部为利息收入）。</w:t>
      </w:r>
      <w:r>
        <w:rPr>
          <w:rFonts w:hint="eastAsia" w:ascii="仿宋_GB2312" w:eastAsia="仿宋_GB2312" w:cs="DengXian-Regular"/>
          <w:sz w:val="32"/>
          <w:szCs w:val="32"/>
          <w:highlight w:val="none"/>
        </w:rPr>
        <w:t>决算收入按功能分类包含：公共安全支出</w:t>
      </w:r>
      <w:r>
        <w:rPr>
          <w:rFonts w:hint="eastAsia" w:ascii="仿宋_GB2312" w:eastAsia="仿宋_GB2312" w:cs="DengXian-Regular"/>
          <w:sz w:val="32"/>
          <w:szCs w:val="32"/>
          <w:highlight w:val="none"/>
          <w:lang w:val="en-US" w:eastAsia="zh-CN"/>
        </w:rPr>
        <w:t>2180.32</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90.46</w:t>
      </w:r>
      <w:r>
        <w:rPr>
          <w:rFonts w:hint="eastAsia" w:ascii="仿宋_GB2312" w:eastAsia="仿宋_GB2312" w:cs="DengXian-Regular"/>
          <w:sz w:val="32"/>
          <w:szCs w:val="32"/>
          <w:highlight w:val="none"/>
        </w:rPr>
        <w:t>%；社会保障和就业支出</w:t>
      </w:r>
      <w:r>
        <w:rPr>
          <w:rFonts w:hint="eastAsia" w:ascii="仿宋_GB2312" w:eastAsia="仿宋_GB2312" w:cs="DengXian-Regular"/>
          <w:sz w:val="32"/>
          <w:szCs w:val="32"/>
          <w:highlight w:val="none"/>
          <w:lang w:val="en-US" w:eastAsia="zh-CN"/>
        </w:rPr>
        <w:t>100.43</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4.17</w:t>
      </w:r>
      <w:r>
        <w:rPr>
          <w:rFonts w:hint="eastAsia" w:ascii="仿宋_GB2312" w:eastAsia="仿宋_GB2312" w:cs="DengXian-Regular"/>
          <w:sz w:val="32"/>
          <w:szCs w:val="32"/>
          <w:highlight w:val="none"/>
        </w:rPr>
        <w:t>%；医疗卫生与计划生育支出</w:t>
      </w:r>
      <w:r>
        <w:rPr>
          <w:rFonts w:hint="eastAsia" w:ascii="仿宋_GB2312" w:eastAsia="仿宋_GB2312" w:cs="DengXian-Regular"/>
          <w:sz w:val="32"/>
          <w:szCs w:val="32"/>
          <w:highlight w:val="none"/>
          <w:lang w:val="en-US" w:eastAsia="zh-CN"/>
        </w:rPr>
        <w:t>56.51</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2.34</w:t>
      </w:r>
      <w:r>
        <w:rPr>
          <w:rFonts w:hint="eastAsia" w:ascii="仿宋_GB2312" w:eastAsia="仿宋_GB2312" w:cs="DengXian-Regular"/>
          <w:sz w:val="32"/>
          <w:szCs w:val="32"/>
          <w:highlight w:val="none"/>
        </w:rPr>
        <w:t>%；住房保障支出</w:t>
      </w:r>
      <w:r>
        <w:rPr>
          <w:rFonts w:hint="eastAsia" w:ascii="仿宋_GB2312" w:eastAsia="仿宋_GB2312" w:cs="DengXian-Regular"/>
          <w:sz w:val="32"/>
          <w:szCs w:val="32"/>
          <w:highlight w:val="none"/>
          <w:lang w:val="en-US" w:eastAsia="zh-CN"/>
        </w:rPr>
        <w:t>73.04</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3.03</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具体决算收入详见附件</w:t>
      </w:r>
    </w:p>
    <w:p w14:paraId="46E209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1D9D87CA">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eastAsia="zh-CN"/>
        </w:rPr>
        <w:t>法院</w:t>
      </w:r>
      <w:r>
        <w:rPr>
          <w:rFonts w:hint="eastAsia" w:asciiTheme="minorEastAsia" w:hAnsiTheme="minorEastAsia" w:eastAsiaTheme="minorEastAsia" w:cstheme="minorEastAsia"/>
          <w:b/>
          <w:bCs/>
          <w:sz w:val="32"/>
          <w:szCs w:val="32"/>
        </w:rPr>
        <w:t>决算收入结构图</w:t>
      </w:r>
    </w:p>
    <w:p w14:paraId="1D132821">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C5AB82A">
      <w:pPr>
        <w:spacing w:after="0" w:line="540" w:lineRule="exact"/>
        <w:ind w:firstLine="640" w:firstLineChars="200"/>
        <w:jc w:val="both"/>
        <w:rPr>
          <w:rFonts w:ascii="仿宋_GB2312" w:eastAsia="仿宋_GB2312" w:cs="Times New Roman" w:hAnsiTheme="minorEastAsia"/>
          <w:sz w:val="32"/>
          <w:szCs w:val="32"/>
          <w:u w:color="000000"/>
        </w:rPr>
      </w:pPr>
    </w:p>
    <w:p w14:paraId="75191670">
      <w:pPr>
        <w:spacing w:after="0" w:line="540" w:lineRule="exact"/>
        <w:ind w:firstLine="640" w:firstLineChars="200"/>
        <w:jc w:val="both"/>
        <w:rPr>
          <w:rFonts w:ascii="仿宋_GB2312" w:eastAsia="仿宋_GB2312" w:cs="DengXian-Regular"/>
          <w:sz w:val="32"/>
          <w:szCs w:val="32"/>
        </w:rPr>
      </w:pPr>
    </w:p>
    <w:p w14:paraId="2F791D0E">
      <w:pPr>
        <w:spacing w:after="0" w:line="540" w:lineRule="exact"/>
        <w:ind w:firstLine="640" w:firstLineChars="200"/>
        <w:jc w:val="both"/>
        <w:rPr>
          <w:rFonts w:ascii="仿宋_GB2312" w:eastAsia="仿宋_GB2312" w:cs="DengXian-Regular"/>
          <w:sz w:val="32"/>
          <w:szCs w:val="32"/>
        </w:rPr>
      </w:pPr>
    </w:p>
    <w:p w14:paraId="79ACECB3">
      <w:pPr>
        <w:spacing w:after="0" w:line="540" w:lineRule="exact"/>
        <w:ind w:firstLine="640" w:firstLineChars="200"/>
        <w:jc w:val="both"/>
        <w:rPr>
          <w:rFonts w:ascii="仿宋_GB2312" w:eastAsia="仿宋_GB2312" w:cs="DengXian-Regular"/>
          <w:sz w:val="32"/>
          <w:szCs w:val="32"/>
        </w:rPr>
      </w:pPr>
    </w:p>
    <w:p w14:paraId="0E17CC99">
      <w:pPr>
        <w:spacing w:after="0" w:line="540" w:lineRule="exact"/>
        <w:ind w:firstLine="640" w:firstLineChars="200"/>
        <w:jc w:val="both"/>
        <w:rPr>
          <w:rFonts w:ascii="仿宋_GB2312" w:eastAsia="仿宋_GB2312" w:cs="DengXian-Regular"/>
          <w:sz w:val="32"/>
          <w:szCs w:val="32"/>
        </w:rPr>
      </w:pPr>
    </w:p>
    <w:p w14:paraId="244AD454">
      <w:pPr>
        <w:spacing w:after="0" w:line="540" w:lineRule="exact"/>
        <w:ind w:firstLine="640" w:firstLineChars="200"/>
        <w:jc w:val="both"/>
        <w:rPr>
          <w:rFonts w:ascii="仿宋_GB2312" w:eastAsia="仿宋_GB2312" w:cs="DengXian-Regular"/>
          <w:sz w:val="32"/>
          <w:szCs w:val="32"/>
        </w:rPr>
      </w:pPr>
    </w:p>
    <w:p w14:paraId="16685F92">
      <w:pPr>
        <w:spacing w:after="0" w:line="540" w:lineRule="exact"/>
        <w:ind w:firstLine="640" w:firstLineChars="200"/>
        <w:jc w:val="both"/>
        <w:rPr>
          <w:rFonts w:ascii="仿宋_GB2312" w:eastAsia="仿宋_GB2312" w:cs="DengXian-Regular"/>
          <w:sz w:val="32"/>
          <w:szCs w:val="32"/>
        </w:rPr>
      </w:pPr>
    </w:p>
    <w:p w14:paraId="693F39AF">
      <w:pPr>
        <w:spacing w:after="0" w:line="540" w:lineRule="exact"/>
        <w:ind w:firstLine="640" w:firstLineChars="200"/>
        <w:jc w:val="both"/>
        <w:rPr>
          <w:rFonts w:ascii="仿宋_GB2312" w:eastAsia="仿宋_GB2312" w:cs="DengXian-Regular"/>
          <w:sz w:val="32"/>
          <w:szCs w:val="32"/>
        </w:rPr>
      </w:pPr>
    </w:p>
    <w:p w14:paraId="052493B0">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一般公共预算财政拨款决算收入比年初预算增加</w:t>
      </w:r>
      <w:r>
        <w:rPr>
          <w:rFonts w:hint="eastAsia" w:ascii="仿宋_GB2312" w:eastAsia="仿宋_GB2312" w:cs="DengXian-Regular"/>
          <w:sz w:val="32"/>
          <w:szCs w:val="32"/>
          <w:lang w:val="en-US" w:eastAsia="zh-CN"/>
        </w:rPr>
        <w:t>354.22</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117.23</w:t>
      </w:r>
      <w:r>
        <w:rPr>
          <w:rFonts w:hint="eastAsia" w:ascii="仿宋_GB2312" w:eastAsia="仿宋_GB2312" w:cs="DengXian-Regular"/>
          <w:sz w:val="32"/>
          <w:szCs w:val="32"/>
        </w:rPr>
        <w:t>%。决算收入大于预算收入的主要原因为202</w:t>
      </w:r>
      <w:r>
        <w:rPr>
          <w:rFonts w:hint="eastAsia" w:ascii="仿宋_GB2312" w:eastAsia="仿宋_GB2312" w:cs="DengXian-Regular"/>
          <w:sz w:val="32"/>
          <w:szCs w:val="32"/>
          <w:lang w:val="en-US"/>
        </w:rPr>
        <w:t>1</w:t>
      </w:r>
      <w:r>
        <w:rPr>
          <w:rFonts w:hint="eastAsia" w:ascii="仿宋_GB2312" w:eastAsia="仿宋_GB2312" w:cs="DengXian-Regular"/>
          <w:sz w:val="32"/>
          <w:szCs w:val="32"/>
        </w:rPr>
        <w:t>年度人员经费增加及年中追加项目金额增加。预算收入与决算收入对比情况见图2。</w:t>
      </w:r>
    </w:p>
    <w:p w14:paraId="3E219ECD">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年度区</w:t>
      </w:r>
      <w:r>
        <w:rPr>
          <w:rFonts w:hint="eastAsia" w:asciiTheme="minorEastAsia" w:hAnsiTheme="minorEastAsia" w:eastAsiaTheme="minorEastAsia" w:cstheme="minorEastAsia"/>
          <w:b/>
          <w:sz w:val="32"/>
          <w:szCs w:val="32"/>
          <w:u w:color="000000"/>
          <w:lang w:eastAsia="zh-CN"/>
        </w:rPr>
        <w:t>法院</w:t>
      </w:r>
      <w:r>
        <w:rPr>
          <w:rFonts w:hint="eastAsia" w:asciiTheme="minorEastAsia" w:hAnsiTheme="minorEastAsia" w:eastAsiaTheme="minorEastAsia" w:cstheme="minorEastAsia"/>
          <w:b/>
          <w:sz w:val="32"/>
          <w:szCs w:val="32"/>
          <w:u w:color="000000"/>
        </w:rPr>
        <w:t>预算收入与决算收入对比图</w:t>
      </w:r>
    </w:p>
    <w:p w14:paraId="626AAF1D">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60288" behindDoc="0" locked="0" layoutInCell="1" allowOverlap="1">
            <wp:simplePos x="0" y="0"/>
            <wp:positionH relativeFrom="column">
              <wp:posOffset>77470</wp:posOffset>
            </wp:positionH>
            <wp:positionV relativeFrom="paragraph">
              <wp:posOffset>126365</wp:posOffset>
            </wp:positionV>
            <wp:extent cx="5122545" cy="2747010"/>
            <wp:effectExtent l="0" t="0" r="0" b="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644D09E9">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法院</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2055.38</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1504.94</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550.44</w:t>
      </w:r>
      <w:r>
        <w:rPr>
          <w:rFonts w:hint="eastAsia" w:ascii="仿宋_GB2312" w:eastAsia="仿宋_GB2312" w:cs="Times New Roman" w:hAnsiTheme="minorEastAsia"/>
          <w:sz w:val="32"/>
          <w:szCs w:val="32"/>
          <w:u w:color="000000"/>
        </w:rPr>
        <w:t>万元。预算支出按功能分类包含：公共安全支出</w:t>
      </w:r>
      <w:r>
        <w:rPr>
          <w:rFonts w:hint="eastAsia" w:ascii="仿宋_GB2312" w:eastAsia="仿宋_GB2312" w:cs="Times New Roman" w:hAnsiTheme="minorEastAsia"/>
          <w:sz w:val="32"/>
          <w:szCs w:val="32"/>
          <w:u w:color="000000"/>
          <w:lang w:val="en-US" w:eastAsia="zh-CN"/>
        </w:rPr>
        <w:t>1825.4</w:t>
      </w:r>
      <w:r>
        <w:rPr>
          <w:rFonts w:hint="eastAsia" w:ascii="仿宋_GB2312" w:eastAsia="仿宋_GB2312" w:cs="Times New Roman" w:hAnsiTheme="minorEastAsia"/>
          <w:sz w:val="32"/>
          <w:szCs w:val="32"/>
          <w:u w:color="000000"/>
        </w:rPr>
        <w:t>万元，社会保障和就业支出</w:t>
      </w:r>
      <w:r>
        <w:rPr>
          <w:rFonts w:hint="eastAsia" w:ascii="仿宋_GB2312" w:eastAsia="仿宋_GB2312" w:cs="Times New Roman" w:hAnsiTheme="minorEastAsia"/>
          <w:sz w:val="32"/>
          <w:szCs w:val="32"/>
          <w:u w:color="000000"/>
          <w:lang w:val="en-US" w:eastAsia="zh-CN"/>
        </w:rPr>
        <w:t>100.43</w:t>
      </w:r>
      <w:r>
        <w:rPr>
          <w:rFonts w:hint="eastAsia" w:ascii="仿宋_GB2312" w:eastAsia="仿宋_GB2312" w:cs="Times New Roman" w:hAnsiTheme="minorEastAsia"/>
          <w:sz w:val="32"/>
          <w:szCs w:val="32"/>
          <w:u w:color="000000"/>
        </w:rPr>
        <w:t>万元，医疗卫生与计划教育支出</w:t>
      </w:r>
      <w:r>
        <w:rPr>
          <w:rFonts w:hint="eastAsia" w:ascii="仿宋_GB2312" w:eastAsia="仿宋_GB2312" w:cs="Times New Roman" w:hAnsiTheme="minorEastAsia"/>
          <w:sz w:val="32"/>
          <w:szCs w:val="32"/>
          <w:u w:color="000000"/>
          <w:lang w:val="en-US" w:eastAsia="zh-CN"/>
        </w:rPr>
        <w:t>56.51</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eastAsia="zh-CN"/>
        </w:rPr>
        <w:t>73.04</w:t>
      </w:r>
      <w:r>
        <w:rPr>
          <w:rFonts w:hint="eastAsia" w:ascii="仿宋_GB2312" w:eastAsia="仿宋_GB2312" w:cs="Times New Roman" w:hAnsiTheme="minorEastAsia"/>
          <w:sz w:val="32"/>
          <w:szCs w:val="32"/>
          <w:u w:color="000000"/>
        </w:rPr>
        <w:t>万元。具体预算支出详见附件2。</w:t>
      </w:r>
    </w:p>
    <w:p w14:paraId="2982CF39">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法院</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2600.76</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1516.42</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1084.34</w:t>
      </w:r>
      <w:r>
        <w:rPr>
          <w:rFonts w:hint="eastAsia" w:ascii="仿宋_GB2312" w:eastAsia="仿宋_GB2312" w:cs="Times New Roman" w:hAnsiTheme="minorEastAsia"/>
          <w:sz w:val="32"/>
          <w:szCs w:val="32"/>
          <w:u w:color="000000"/>
        </w:rPr>
        <w:t>万元。决算支出按功能分类包含：公共安全支出</w:t>
      </w:r>
      <w:r>
        <w:rPr>
          <w:rFonts w:hint="eastAsia" w:ascii="仿宋_GB2312" w:eastAsia="仿宋_GB2312" w:cs="Times New Roman" w:hAnsiTheme="minorEastAsia"/>
          <w:sz w:val="32"/>
          <w:szCs w:val="32"/>
          <w:u w:color="000000"/>
          <w:lang w:val="en-US" w:eastAsia="zh-CN"/>
        </w:rPr>
        <w:t>2263.21</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87.02</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202.44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7.78</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41.28</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1.59</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76.93</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3.19</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；节能环保支出16.90万元，占0.</w:t>
      </w:r>
      <w:r>
        <w:rPr>
          <w:rFonts w:hint="eastAsia" w:ascii="仿宋_GB2312" w:eastAsia="仿宋_GB2312" w:cs="Times New Roman" w:hAnsiTheme="minorEastAsia"/>
          <w:sz w:val="32"/>
          <w:szCs w:val="32"/>
          <w:u w:color="000000"/>
          <w:lang w:val="en-US" w:eastAsia="zh-CN"/>
        </w:rPr>
        <w:t>7</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。具体决算支出详见附件2。</w:t>
      </w:r>
    </w:p>
    <w:p w14:paraId="4B8358B4">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34A33241">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b/>
          <w:bCs/>
          <w:sz w:val="32"/>
          <w:szCs w:val="32"/>
        </w:rPr>
        <w:t>202</w:t>
      </w:r>
      <w:r>
        <w:rPr>
          <w:rFonts w:hint="default" w:ascii="仿宋_GB2312" w:eastAsia="仿宋_GB2312" w:cs="DengXian-Regular"/>
          <w:b/>
          <w:bCs/>
          <w:sz w:val="32"/>
          <w:szCs w:val="32"/>
          <w:lang w:val="en-US"/>
        </w:rPr>
        <w:t>1</w:t>
      </w:r>
      <w:r>
        <w:rPr>
          <w:rFonts w:hint="eastAsia" w:ascii="仿宋_GB2312" w:eastAsia="仿宋_GB2312" w:cs="DengXian-Regular"/>
          <w:b/>
          <w:bCs/>
          <w:sz w:val="32"/>
          <w:szCs w:val="32"/>
        </w:rPr>
        <w:t>年度区</w:t>
      </w:r>
      <w:r>
        <w:rPr>
          <w:rFonts w:hint="eastAsia" w:ascii="仿宋_GB2312" w:eastAsia="仿宋_GB2312" w:cs="DengXian-Regular"/>
          <w:b/>
          <w:bCs/>
          <w:sz w:val="32"/>
          <w:szCs w:val="32"/>
          <w:lang w:eastAsia="zh-CN"/>
        </w:rPr>
        <w:t>法院</w:t>
      </w:r>
      <w:r>
        <w:rPr>
          <w:rFonts w:hint="eastAsia" w:asciiTheme="minorEastAsia" w:hAnsiTheme="minorEastAsia" w:eastAsiaTheme="minorEastAsia" w:cstheme="minorEastAsia"/>
          <w:b/>
          <w:bCs/>
          <w:sz w:val="32"/>
          <w:szCs w:val="32"/>
          <w:u w:color="000000"/>
        </w:rPr>
        <w:t>决算支出结构图</w:t>
      </w:r>
    </w:p>
    <w:p w14:paraId="1679C271">
      <w:pPr>
        <w:spacing w:after="0" w:line="360" w:lineRule="auto"/>
        <w:ind w:firstLine="440" w:firstLineChars="200"/>
        <w:jc w:val="both"/>
        <w:rPr>
          <w:rFonts w:ascii="仿宋" w:hAnsi="仿宋" w:eastAsia="仿宋"/>
          <w:snapToGrid w:val="0"/>
          <w:sz w:val="32"/>
          <w:szCs w:val="32"/>
        </w:rPr>
      </w:pPr>
      <w: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财政拨款决算支出比年初预算增加</w:t>
      </w:r>
      <w:r>
        <w:rPr>
          <w:rFonts w:hint="eastAsia" w:ascii="仿宋_GB2312" w:eastAsia="仿宋_GB2312" w:cs="DengXian-Regular"/>
          <w:sz w:val="32"/>
          <w:szCs w:val="32"/>
          <w:lang w:val="en-US" w:eastAsia="zh-CN"/>
        </w:rPr>
        <w:t>545.38</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126.53</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主要原因为人员经费增加及年中追加项目金额增加</w:t>
      </w:r>
      <w:r>
        <w:rPr>
          <w:rFonts w:hint="eastAsia" w:ascii="仿宋" w:hAnsi="仿宋" w:eastAsia="仿宋"/>
          <w:snapToGrid w:val="0"/>
          <w:sz w:val="32"/>
          <w:szCs w:val="32"/>
        </w:rPr>
        <w:t>。预算支出与决算支出对比情况如图4。</w:t>
      </w:r>
    </w:p>
    <w:p w14:paraId="1DF194B1">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anchor distT="0" distB="0" distL="114300" distR="114300" simplePos="0" relativeHeight="251662336" behindDoc="0" locked="0" layoutInCell="1" allowOverlap="1">
            <wp:simplePos x="0" y="0"/>
            <wp:positionH relativeFrom="column">
              <wp:posOffset>144145</wp:posOffset>
            </wp:positionH>
            <wp:positionV relativeFrom="paragraph">
              <wp:posOffset>499745</wp:posOffset>
            </wp:positionV>
            <wp:extent cx="5102225" cy="2717165"/>
            <wp:effectExtent l="0" t="0" r="0" b="0"/>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b/>
          <w:bCs/>
          <w:sz w:val="32"/>
          <w:szCs w:val="32"/>
        </w:rPr>
        <w:t>年度区</w:t>
      </w:r>
      <w:r>
        <w:rPr>
          <w:rFonts w:hint="eastAsia" w:ascii="仿宋_GB2312" w:eastAsia="仿宋_GB2312" w:cs="DengXian-Regular"/>
          <w:b/>
          <w:bCs/>
          <w:sz w:val="32"/>
          <w:szCs w:val="32"/>
          <w:lang w:eastAsia="zh-CN"/>
        </w:rPr>
        <w:t>法院</w:t>
      </w:r>
      <w:r>
        <w:rPr>
          <w:rFonts w:hint="eastAsia" w:asciiTheme="minorEastAsia" w:hAnsiTheme="minorEastAsia" w:eastAsiaTheme="minorEastAsia" w:cstheme="minorEastAsia"/>
          <w:b/>
          <w:bCs/>
          <w:sz w:val="32"/>
          <w:szCs w:val="32"/>
        </w:rPr>
        <w:t>预算支出与决算支出对比图</w:t>
      </w:r>
    </w:p>
    <w:p w14:paraId="11D45351">
      <w:pPr>
        <w:spacing w:after="0" w:line="360" w:lineRule="auto"/>
        <w:ind w:firstLine="640" w:firstLineChars="200"/>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年实际项目支出</w:t>
      </w:r>
      <w:r>
        <w:rPr>
          <w:rFonts w:hint="eastAsia" w:ascii="仿宋_GB2312" w:eastAsia="仿宋_GB2312" w:cs="DengXian-Regular"/>
          <w:sz w:val="32"/>
          <w:szCs w:val="32"/>
          <w:highlight w:val="none"/>
          <w:lang w:val="en-US" w:eastAsia="zh-CN"/>
        </w:rPr>
        <w:t>1084.34</w:t>
      </w:r>
      <w:r>
        <w:rPr>
          <w:rFonts w:hint="eastAsia" w:ascii="仿宋_GB2312" w:eastAsia="仿宋_GB2312" w:cs="DengXian-Regular"/>
          <w:sz w:val="32"/>
          <w:szCs w:val="32"/>
          <w:highlight w:val="none"/>
        </w:rPr>
        <w:t>万元，决算报表中项目支出</w:t>
      </w:r>
      <w:r>
        <w:rPr>
          <w:rFonts w:hint="eastAsia" w:ascii="仿宋_GB2312" w:eastAsia="仿宋_GB2312" w:cs="DengXian-Regular"/>
          <w:sz w:val="32"/>
          <w:szCs w:val="32"/>
          <w:highlight w:val="none"/>
          <w:lang w:val="en-US" w:eastAsia="zh-CN"/>
        </w:rPr>
        <w:t>1084.34</w:t>
      </w:r>
      <w:r>
        <w:rPr>
          <w:rFonts w:hint="eastAsia" w:ascii="仿宋_GB2312" w:eastAsia="仿宋_GB2312" w:cs="DengXian-Regular"/>
          <w:sz w:val="32"/>
          <w:szCs w:val="32"/>
          <w:highlight w:val="none"/>
        </w:rPr>
        <w:t>万元，实际支出与决算报表差</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p>
    <w:p w14:paraId="658F2D95">
      <w:pPr>
        <w:pStyle w:val="4"/>
        <w:spacing w:before="0" w:after="0"/>
        <w:ind w:firstLine="643" w:firstLineChars="200"/>
        <w:jc w:val="both"/>
        <w:rPr>
          <w:rFonts w:ascii="仿宋_GB2312" w:hAnsi="Tahoma" w:cs="DengXian-Regular"/>
          <w:sz w:val="32"/>
        </w:rPr>
      </w:pPr>
      <w:bookmarkStart w:id="13" w:name="_Toc465149503"/>
      <w:bookmarkStart w:id="14" w:name="_Toc492652769"/>
      <w:bookmarkStart w:id="15" w:name="_Toc19291"/>
      <w:r>
        <w:rPr>
          <w:rFonts w:hint="eastAsia" w:ascii="仿宋_GB2312" w:hAnsi="Tahoma" w:cs="DengXian-Regular"/>
          <w:sz w:val="32"/>
        </w:rPr>
        <w:t>（五）“三公”经费预算安排及支出情况</w:t>
      </w:r>
      <w:bookmarkEnd w:id="13"/>
      <w:bookmarkEnd w:id="14"/>
      <w:bookmarkEnd w:id="15"/>
    </w:p>
    <w:p w14:paraId="3A0A8965">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46.1</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42</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32.97</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32.97</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13.13</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28.48</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9.62</w:t>
      </w:r>
      <w:r>
        <w:rPr>
          <w:rFonts w:hint="eastAsia" w:ascii="仿宋_GB2312" w:eastAsia="仿宋_GB2312" w:cs="DengXian-Regular"/>
          <w:sz w:val="32"/>
          <w:szCs w:val="32"/>
        </w:rPr>
        <w:t>万元。具体详见表1。</w:t>
      </w:r>
    </w:p>
    <w:p w14:paraId="14DDC3C7">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b/>
          <w:bCs/>
          <w:sz w:val="32"/>
          <w:szCs w:val="32"/>
        </w:rPr>
        <w:t>区</w:t>
      </w:r>
      <w:r>
        <w:rPr>
          <w:rFonts w:hint="eastAsia" w:ascii="仿宋_GB2312" w:eastAsia="仿宋_GB2312" w:cs="DengXian-Regular"/>
          <w:b/>
          <w:bCs/>
          <w:sz w:val="32"/>
          <w:szCs w:val="32"/>
          <w:lang w:eastAsia="zh-CN"/>
        </w:rPr>
        <w:t>法院</w:t>
      </w:r>
      <w:r>
        <w:rPr>
          <w:rFonts w:hint="eastAsia" w:asciiTheme="minorEastAsia" w:hAnsiTheme="minorEastAsia" w:eastAsiaTheme="minorEastAsia" w:cstheme="minorEastAsia"/>
          <w:b/>
          <w:bCs/>
          <w:sz w:val="32"/>
          <w:szCs w:val="32"/>
        </w:rPr>
        <w:t>“三公”经费预算及决算明细表</w:t>
      </w:r>
    </w:p>
    <w:p w14:paraId="43111269">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0931492C">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AE3BC">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AB3CF">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5DBFB">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54F635C7">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8B054">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59D03FA7">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B473E">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63AB25">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F85DD">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773C47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158B9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FD8B69">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98FBD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12685A">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6B28E54B">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C44D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3293DC4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552F8">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4B71">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41CE">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0C567">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CA3F9">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B905C">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14:paraId="1B96D24C">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5B0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59A7D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1AC8E">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7AF5">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23.30</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B437">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36905">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32.97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CEA7A">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BA888">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9.67</w:t>
            </w:r>
          </w:p>
        </w:tc>
      </w:tr>
      <w:tr w14:paraId="1DBB5F80">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DFF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0DF0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53EF">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C9561">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0.05</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65216">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4.1</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B316">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E5635">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A19AB">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-0.05</w:t>
            </w:r>
          </w:p>
        </w:tc>
      </w:tr>
      <w:tr w14:paraId="42F22E06">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A1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C85D6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AF0F">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46.1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E264">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23.35</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084EA">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46.1</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788E9">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32.97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B7970">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B3D99">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9.62</w:t>
            </w:r>
          </w:p>
        </w:tc>
      </w:tr>
    </w:tbl>
    <w:p w14:paraId="34660EF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车辆合计</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应急机要通信</w:t>
      </w:r>
      <w:r>
        <w:rPr>
          <w:rFonts w:hint="eastAsia" w:ascii="仿宋_GB2312" w:eastAsia="仿宋_GB2312" w:cs="DengXian-Regular"/>
          <w:sz w:val="32"/>
          <w:szCs w:val="32"/>
        </w:rPr>
        <w:t>用车</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42</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32.97</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9.03</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21.5</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9.62</w:t>
      </w:r>
      <w:r>
        <w:rPr>
          <w:rFonts w:hint="eastAsia" w:ascii="仿宋_GB2312" w:eastAsia="仿宋_GB2312" w:cs="DengXian-Regular"/>
          <w:sz w:val="32"/>
          <w:szCs w:val="32"/>
        </w:rPr>
        <w:t>万元。</w:t>
      </w:r>
    </w:p>
    <w:p w14:paraId="0DDABFBD">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公务接待费年初预算</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万元。</w:t>
      </w:r>
    </w:p>
    <w:p w14:paraId="1F39BAE5">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14:paraId="324B3BF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14:paraId="4D5DEEE7">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14:paraId="118DEBA7">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3FE46E31">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781CE7BE">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09F45BE4">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14:paraId="19B3F6F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59EE189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4CBE7EA4">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14:paraId="1D90D1CB">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bookmarkStart w:id="78" w:name="_GoBack"/>
      <w:bookmarkEnd w:id="78"/>
      <w:r>
        <w:rPr>
          <w:rFonts w:hint="eastAsia" w:ascii="仿宋_GB2312" w:eastAsia="仿宋_GB2312" w:cs="DengXian-Regular"/>
          <w:sz w:val="32"/>
          <w:szCs w:val="32"/>
        </w:rPr>
        <w:t>。</w:t>
      </w:r>
    </w:p>
    <w:p w14:paraId="00531D8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14:paraId="663B1CF5">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14:paraId="17302E45">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33DFC32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6F882511">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14:paraId="27B5BB9C">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7F0BEA17">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4D58C44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2076D237">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1A2AB94C">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517CBF5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0049840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2AB6265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58D2D6F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5A33B74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392380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14:paraId="43A0EB6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14:paraId="196127AC">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700C0686">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14:paraId="45C5A3A2">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4066EF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7C75E2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3D8E570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41189AE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7FBD081B">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1BC1FA6B">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15E3B373">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212F7191">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59BABD11">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7F5374E7">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339F485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57B829B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1CB8C23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14:paraId="5F8471D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6B4A032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相关资料的收集，制定绩效评价实施方案和体系,确定最终方案。</w:t>
      </w:r>
    </w:p>
    <w:p w14:paraId="1991079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7C156C2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2B5CFA4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14:paraId="012A90D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64706956">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027E4E43">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部门整体支出绩效评价总得分为</w:t>
      </w:r>
      <w:r>
        <w:rPr>
          <w:rFonts w:hint="eastAsia" w:ascii="仿宋_GB2312" w:eastAsia="仿宋_GB2312" w:cs="DengXian-Regular"/>
          <w:sz w:val="32"/>
          <w:szCs w:val="32"/>
          <w:highlight w:val="none"/>
          <w:lang w:val="en-US" w:eastAsia="zh-CN"/>
        </w:rPr>
        <w:t>95.25</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0B59125B">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368AF77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77CCC787">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50422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611B3101">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47EDF7A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5EE716A5">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6018C5AF">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570A6872">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0615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2BEBCC6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11A2FA59">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33FA4097">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14:paraId="5C6F7E1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7147E4C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0B18F68C">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51E7E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5646949">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634D3FB4">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09ECEE8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14:paraId="6063D06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606A54A2">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695A8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4D39E3F8">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33B86BC7">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41312F2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6A3C217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69D3801">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3EADA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1B0F1CC">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5A7C5CD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567D362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14:paraId="73C96E6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14:paraId="2303D7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0C546A9A">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6768D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B255956">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367FD999">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7B8D26A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14:paraId="7B55D20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4C1C9BE2">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13D6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DDE8A7F">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04BAA710">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73CD8D2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0E1F8FF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121929B">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14:paraId="2808F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434155E2">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040051F2">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18FC874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3DB7580E">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12</w:t>
            </w:r>
          </w:p>
        </w:tc>
      </w:tr>
    </w:tbl>
    <w:p w14:paraId="46DAF765">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14:paraId="5AC2DDF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14:paraId="2C845B1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43B59EF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14:paraId="2C7B3EF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0CBD196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14:paraId="40F2FF9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4884149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14:paraId="426BAF1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14:paraId="1CAED7E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14:paraId="3CD3304A">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3CDED48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14:paraId="6A7EDB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206CFC3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14:paraId="2E4C69F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14:paraId="19A4847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所有收入均已纳入部门预算，部门支出按基本支出、项目支出分别编制。</w:t>
      </w:r>
    </w:p>
    <w:p w14:paraId="0B81CD3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14:paraId="632452C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14:paraId="5069C03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14:paraId="5146B82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14:paraId="0772034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法院部门</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年预算项目共</w:t>
      </w:r>
      <w:r>
        <w:rPr>
          <w:rFonts w:hint="eastAsia" w:ascii="仿宋_GB2312" w:eastAsia="仿宋_GB2312" w:cs="DengXian-Regular"/>
          <w:sz w:val="32"/>
          <w:szCs w:val="32"/>
          <w:highlight w:val="none"/>
          <w:lang w:val="en-US" w:eastAsia="zh-CN"/>
        </w:rPr>
        <w:t>5</w:t>
      </w:r>
      <w:r>
        <w:rPr>
          <w:rFonts w:hint="eastAsia" w:ascii="仿宋_GB2312" w:eastAsia="仿宋_GB2312" w:cs="DengXian-Regular"/>
          <w:sz w:val="32"/>
          <w:szCs w:val="32"/>
        </w:rPr>
        <w:t>个（详见附件2-2-2），涉及资金</w:t>
      </w:r>
      <w:r>
        <w:rPr>
          <w:rFonts w:hint="eastAsia" w:ascii="仿宋_GB2312" w:eastAsia="仿宋_GB2312" w:cs="DengXian-Regular"/>
          <w:sz w:val="32"/>
          <w:szCs w:val="32"/>
          <w:highlight w:val="none"/>
          <w:lang w:val="en-US" w:eastAsia="zh-CN"/>
        </w:rPr>
        <w:t>509.31</w:t>
      </w:r>
      <w:r>
        <w:rPr>
          <w:rFonts w:hint="eastAsia" w:ascii="仿宋_GB2312" w:eastAsia="仿宋_GB2312" w:cs="DengXian-Regular"/>
          <w:sz w:val="32"/>
          <w:szCs w:val="32"/>
        </w:rPr>
        <w:t>万元，所有项目均细化到具体用款单位及项目资金额度。项目预算细化率=（</w:t>
      </w:r>
      <w:r>
        <w:rPr>
          <w:rFonts w:hint="eastAsia" w:ascii="仿宋_GB2312" w:eastAsia="仿宋_GB2312" w:cs="DengXian-Regular"/>
          <w:sz w:val="32"/>
          <w:szCs w:val="32"/>
          <w:highlight w:val="none"/>
          <w:lang w:val="en-US" w:eastAsia="zh-CN"/>
        </w:rPr>
        <w:t>509.31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509.31</w:t>
      </w:r>
      <w:r>
        <w:rPr>
          <w:rFonts w:hint="eastAsia" w:ascii="仿宋_GB2312" w:eastAsia="仿宋_GB2312" w:cs="DengXian-Regular"/>
          <w:sz w:val="32"/>
          <w:szCs w:val="32"/>
        </w:rPr>
        <w:t>）*100%=100%</w:t>
      </w:r>
    </w:p>
    <w:p w14:paraId="5244699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14:paraId="33488A7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14:paraId="4332BB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在职人员控制情况，通过在职人员控制率衡量。</w:t>
      </w:r>
    </w:p>
    <w:p w14:paraId="2BEA5E6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0A82E4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法院</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84</w:t>
      </w:r>
      <w:r>
        <w:rPr>
          <w:rFonts w:hint="eastAsia" w:ascii="仿宋_GB2312" w:eastAsia="仿宋_GB2312" w:cs="DengXian-Regular"/>
          <w:sz w:val="32"/>
          <w:szCs w:val="32"/>
        </w:rPr>
        <w:t>人，根据区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83</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83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84</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98.81</w:t>
      </w:r>
      <w:r>
        <w:rPr>
          <w:rFonts w:hint="eastAsia" w:ascii="仿宋_GB2312" w:eastAsia="仿宋_GB2312" w:cs="DengXian-Regular"/>
          <w:sz w:val="32"/>
          <w:szCs w:val="32"/>
        </w:rPr>
        <w:t>%。</w:t>
      </w:r>
    </w:p>
    <w:p w14:paraId="3079710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bookmarkEnd w:id="60"/>
    <w:bookmarkEnd w:id="61"/>
    <w:p w14:paraId="24C85274">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44338A4D">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570D1452">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1688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7CB9EBBB">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7FE6BBD3">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285F062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07E771A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65D60B8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1BEA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5713835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021C769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37E6183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540CE2A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14:paraId="10E2FC4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7FA5ED95">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0</w:t>
            </w:r>
          </w:p>
        </w:tc>
      </w:tr>
      <w:tr w14:paraId="3AB0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FAB5D5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64933B6">
            <w:pPr>
              <w:spacing w:line="420" w:lineRule="exact"/>
              <w:jc w:val="center"/>
              <w:rPr>
                <w:rFonts w:cs="宋体" w:asciiTheme="minorEastAsia" w:hAnsiTheme="minorEastAsia" w:eastAsiaTheme="minorEastAsia"/>
                <w:sz w:val="21"/>
                <w:szCs w:val="21"/>
              </w:rPr>
            </w:pPr>
          </w:p>
        </w:tc>
        <w:tc>
          <w:tcPr>
            <w:tcW w:w="2277" w:type="dxa"/>
            <w:vAlign w:val="center"/>
          </w:tcPr>
          <w:p w14:paraId="5CECDDE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14:paraId="01A1BC4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31E266C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047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649E81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202FC4B">
            <w:pPr>
              <w:spacing w:line="420" w:lineRule="exact"/>
              <w:jc w:val="center"/>
              <w:rPr>
                <w:rFonts w:cs="宋体" w:asciiTheme="minorEastAsia" w:hAnsiTheme="minorEastAsia" w:eastAsiaTheme="minorEastAsia"/>
                <w:sz w:val="21"/>
                <w:szCs w:val="21"/>
              </w:rPr>
            </w:pPr>
          </w:p>
        </w:tc>
        <w:tc>
          <w:tcPr>
            <w:tcW w:w="2277" w:type="dxa"/>
            <w:vAlign w:val="center"/>
          </w:tcPr>
          <w:p w14:paraId="68DBD93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14:paraId="73F200A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4B22837F">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0</w:t>
            </w:r>
          </w:p>
        </w:tc>
      </w:tr>
      <w:tr w14:paraId="506E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67760B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9B2F4D5">
            <w:pPr>
              <w:spacing w:line="420" w:lineRule="exact"/>
              <w:jc w:val="center"/>
              <w:rPr>
                <w:rFonts w:cs="宋体" w:asciiTheme="minorEastAsia" w:hAnsiTheme="minorEastAsia" w:eastAsiaTheme="minorEastAsia"/>
                <w:sz w:val="21"/>
                <w:szCs w:val="21"/>
              </w:rPr>
            </w:pPr>
          </w:p>
        </w:tc>
        <w:tc>
          <w:tcPr>
            <w:tcW w:w="2277" w:type="dxa"/>
            <w:vAlign w:val="center"/>
          </w:tcPr>
          <w:p w14:paraId="37DEC66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14:paraId="5C0ED40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4D6F8E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3BB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AA01C17">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A9063B5">
            <w:pPr>
              <w:spacing w:line="420" w:lineRule="exact"/>
              <w:jc w:val="center"/>
              <w:rPr>
                <w:rFonts w:cs="宋体" w:asciiTheme="minorEastAsia" w:hAnsiTheme="minorEastAsia" w:eastAsiaTheme="minorEastAsia"/>
                <w:sz w:val="21"/>
                <w:szCs w:val="21"/>
              </w:rPr>
            </w:pPr>
          </w:p>
        </w:tc>
        <w:tc>
          <w:tcPr>
            <w:tcW w:w="2277" w:type="dxa"/>
            <w:vAlign w:val="center"/>
          </w:tcPr>
          <w:p w14:paraId="66BBC61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2F3AA80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63B096B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6654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E4CCF39">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86529BF">
            <w:pPr>
              <w:spacing w:line="420" w:lineRule="exact"/>
              <w:jc w:val="center"/>
              <w:rPr>
                <w:rFonts w:cs="宋体" w:asciiTheme="minorEastAsia" w:hAnsiTheme="minorEastAsia" w:eastAsiaTheme="minorEastAsia"/>
                <w:sz w:val="21"/>
                <w:szCs w:val="21"/>
              </w:rPr>
            </w:pPr>
          </w:p>
        </w:tc>
        <w:tc>
          <w:tcPr>
            <w:tcW w:w="2277" w:type="dxa"/>
            <w:vAlign w:val="center"/>
          </w:tcPr>
          <w:p w14:paraId="506B29D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14:paraId="1E60992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4D8CA62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29C9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C58E3EA">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9AB97F8">
            <w:pPr>
              <w:spacing w:line="420" w:lineRule="exact"/>
              <w:jc w:val="center"/>
              <w:rPr>
                <w:rFonts w:cs="宋体" w:asciiTheme="minorEastAsia" w:hAnsiTheme="minorEastAsia" w:eastAsiaTheme="minorEastAsia"/>
                <w:sz w:val="21"/>
                <w:szCs w:val="21"/>
              </w:rPr>
            </w:pPr>
          </w:p>
        </w:tc>
        <w:tc>
          <w:tcPr>
            <w:tcW w:w="2277" w:type="dxa"/>
            <w:vAlign w:val="center"/>
          </w:tcPr>
          <w:p w14:paraId="0C7FB37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14:paraId="0469F4C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244A968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2850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D748961">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708B6B9">
            <w:pPr>
              <w:spacing w:line="420" w:lineRule="exact"/>
              <w:jc w:val="center"/>
              <w:rPr>
                <w:rFonts w:cs="宋体" w:asciiTheme="minorEastAsia" w:hAnsiTheme="minorEastAsia" w:eastAsiaTheme="minorEastAsia"/>
                <w:sz w:val="21"/>
                <w:szCs w:val="21"/>
              </w:rPr>
            </w:pPr>
          </w:p>
        </w:tc>
        <w:tc>
          <w:tcPr>
            <w:tcW w:w="2277" w:type="dxa"/>
            <w:vAlign w:val="center"/>
          </w:tcPr>
          <w:p w14:paraId="7697932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14:paraId="4227CBC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2B3D35B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2C42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DAF037D">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39EEEA0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0747CA6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07D02E1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7A0E903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BDC70B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6A61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3919DA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F4A203D">
            <w:pPr>
              <w:spacing w:line="420" w:lineRule="exact"/>
              <w:jc w:val="center"/>
              <w:rPr>
                <w:rFonts w:cs="宋体" w:asciiTheme="minorEastAsia" w:hAnsiTheme="minorEastAsia" w:eastAsiaTheme="minorEastAsia"/>
                <w:sz w:val="21"/>
                <w:szCs w:val="21"/>
              </w:rPr>
            </w:pPr>
          </w:p>
        </w:tc>
        <w:tc>
          <w:tcPr>
            <w:tcW w:w="2277" w:type="dxa"/>
            <w:vAlign w:val="center"/>
          </w:tcPr>
          <w:p w14:paraId="124BCBD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019CA78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0286599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2849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FF0A87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3F8C68A">
            <w:pPr>
              <w:spacing w:line="420" w:lineRule="exact"/>
              <w:jc w:val="center"/>
              <w:rPr>
                <w:rFonts w:cs="宋体" w:asciiTheme="minorEastAsia" w:hAnsiTheme="minorEastAsia" w:eastAsiaTheme="minorEastAsia"/>
                <w:sz w:val="21"/>
                <w:szCs w:val="21"/>
              </w:rPr>
            </w:pPr>
          </w:p>
        </w:tc>
        <w:tc>
          <w:tcPr>
            <w:tcW w:w="2277" w:type="dxa"/>
            <w:vAlign w:val="center"/>
          </w:tcPr>
          <w:p w14:paraId="0AE14B7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5F92337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B31281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2354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D9113CC">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77F81F0">
            <w:pPr>
              <w:spacing w:line="420" w:lineRule="exact"/>
              <w:jc w:val="center"/>
              <w:rPr>
                <w:rFonts w:cs="宋体" w:asciiTheme="minorEastAsia" w:hAnsiTheme="minorEastAsia" w:eastAsiaTheme="minorEastAsia"/>
                <w:sz w:val="21"/>
                <w:szCs w:val="21"/>
              </w:rPr>
            </w:pPr>
          </w:p>
        </w:tc>
        <w:tc>
          <w:tcPr>
            <w:tcW w:w="2277" w:type="dxa"/>
            <w:vAlign w:val="center"/>
          </w:tcPr>
          <w:p w14:paraId="681F370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14:paraId="35101C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02C8D31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76CE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265B220B">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6E64DB6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14:paraId="73FE0E6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4D13BF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14:paraId="63CE10E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DA7278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17A0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44C70E9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435BA36">
            <w:pPr>
              <w:spacing w:line="420" w:lineRule="exact"/>
              <w:jc w:val="center"/>
              <w:rPr>
                <w:rFonts w:cs="宋体" w:asciiTheme="minorEastAsia" w:hAnsiTheme="minorEastAsia" w:eastAsiaTheme="minorEastAsia"/>
                <w:sz w:val="21"/>
                <w:szCs w:val="21"/>
              </w:rPr>
            </w:pPr>
          </w:p>
        </w:tc>
        <w:tc>
          <w:tcPr>
            <w:tcW w:w="2277" w:type="dxa"/>
            <w:vAlign w:val="center"/>
          </w:tcPr>
          <w:p w14:paraId="49E76DA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14:paraId="51A1002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7EA3AB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4949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55DEF8E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0D974909">
            <w:pPr>
              <w:spacing w:line="420" w:lineRule="exact"/>
              <w:jc w:val="center"/>
              <w:rPr>
                <w:rFonts w:cs="宋体" w:asciiTheme="minorEastAsia" w:hAnsiTheme="minorEastAsia" w:eastAsiaTheme="minorEastAsia"/>
                <w:sz w:val="21"/>
                <w:szCs w:val="21"/>
              </w:rPr>
            </w:pPr>
          </w:p>
        </w:tc>
        <w:tc>
          <w:tcPr>
            <w:tcW w:w="1155" w:type="dxa"/>
            <w:vAlign w:val="center"/>
          </w:tcPr>
          <w:p w14:paraId="537B4BC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2CA9B605">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44</w:t>
            </w:r>
          </w:p>
        </w:tc>
      </w:tr>
      <w:bookmarkEnd w:id="63"/>
    </w:tbl>
    <w:p w14:paraId="42FE2123">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14:paraId="1F9C51D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14:paraId="461914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14:paraId="226BB4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14:paraId="04B0A74F">
      <w:pPr>
        <w:spacing w:after="0" w:line="360" w:lineRule="auto"/>
        <w:ind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的预算指标文件，其中：徐财预指[</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1-1384</w:t>
      </w:r>
      <w:r>
        <w:rPr>
          <w:rFonts w:hint="eastAsia" w:ascii="仿宋_GB2312" w:eastAsia="仿宋_GB2312" w:cs="DengXian-Regular"/>
          <w:sz w:val="32"/>
          <w:szCs w:val="32"/>
          <w:highlight w:val="none"/>
        </w:rPr>
        <w:t>号追加</w:t>
      </w:r>
      <w:r>
        <w:rPr>
          <w:rFonts w:hint="eastAsia" w:ascii="仿宋_GB2312" w:eastAsia="仿宋_GB2312" w:cs="DengXian-Regular"/>
          <w:sz w:val="32"/>
          <w:szCs w:val="32"/>
          <w:highlight w:val="none"/>
          <w:lang w:eastAsia="zh-CN"/>
        </w:rPr>
        <w:t>锅炉低氮改造资金</w:t>
      </w:r>
      <w:r>
        <w:rPr>
          <w:rFonts w:hint="eastAsia" w:ascii="仿宋_GB2312" w:eastAsia="仿宋_GB2312" w:cs="DengXian-Regular"/>
          <w:sz w:val="32"/>
          <w:szCs w:val="32"/>
          <w:highlight w:val="none"/>
          <w:lang w:val="en-US" w:eastAsia="zh-CN"/>
        </w:rPr>
        <w:t>16.9</w:t>
      </w:r>
      <w:r>
        <w:rPr>
          <w:rFonts w:hint="eastAsia" w:ascii="仿宋_GB2312" w:eastAsia="仿宋_GB2312" w:cs="DengXian-Regular"/>
          <w:sz w:val="32"/>
          <w:szCs w:val="32"/>
          <w:highlight w:val="none"/>
        </w:rPr>
        <w:t>万元；徐财预指[</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3-1100</w:t>
      </w:r>
      <w:r>
        <w:rPr>
          <w:rFonts w:hint="eastAsia" w:ascii="仿宋_GB2312" w:eastAsia="仿宋_GB2312" w:cs="DengXian-Regular"/>
          <w:sz w:val="32"/>
          <w:szCs w:val="32"/>
          <w:highlight w:val="none"/>
        </w:rPr>
        <w:t>号追加</w:t>
      </w:r>
      <w:r>
        <w:rPr>
          <w:rFonts w:hint="eastAsia" w:ascii="仿宋_GB2312" w:eastAsia="仿宋_GB2312" w:cs="DengXian-Regular"/>
          <w:sz w:val="32"/>
          <w:szCs w:val="32"/>
          <w:highlight w:val="none"/>
          <w:lang w:eastAsia="zh-CN"/>
        </w:rPr>
        <w:t>第四季度政法稳定工作经费</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万元；徐财预指[</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1-1442</w:t>
      </w:r>
      <w:r>
        <w:rPr>
          <w:rFonts w:hint="eastAsia" w:ascii="仿宋_GB2312" w:eastAsia="仿宋_GB2312" w:cs="DengXian-Regular"/>
          <w:sz w:val="32"/>
          <w:szCs w:val="32"/>
          <w:highlight w:val="none"/>
        </w:rPr>
        <w:t>号追加</w:t>
      </w:r>
      <w:r>
        <w:rPr>
          <w:rFonts w:hint="eastAsia" w:ascii="仿宋_GB2312" w:eastAsia="仿宋_GB2312" w:cs="DengXian-Regular"/>
          <w:sz w:val="32"/>
          <w:szCs w:val="32"/>
          <w:highlight w:val="none"/>
          <w:lang w:eastAsia="zh-CN"/>
        </w:rPr>
        <w:t>政法稳定工作经费</w:t>
      </w:r>
      <w:r>
        <w:rPr>
          <w:rFonts w:hint="eastAsia" w:ascii="仿宋_GB2312" w:eastAsia="仿宋_GB2312" w:cs="DengXian-Regular"/>
          <w:sz w:val="32"/>
          <w:szCs w:val="32"/>
          <w:highlight w:val="none"/>
          <w:lang w:val="en-US" w:eastAsia="zh-CN"/>
        </w:rPr>
        <w:t>8</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年度预算收入的追加数为</w:t>
      </w:r>
      <w:r>
        <w:rPr>
          <w:rFonts w:hint="eastAsia" w:ascii="仿宋_GB2312" w:eastAsia="仿宋_GB2312" w:cs="DengXian-Regular"/>
          <w:sz w:val="32"/>
          <w:szCs w:val="32"/>
          <w:highlight w:val="none"/>
          <w:lang w:val="en-US" w:eastAsia="zh-CN"/>
        </w:rPr>
        <w:t>354.92</w:t>
      </w:r>
      <w:r>
        <w:rPr>
          <w:rFonts w:hint="eastAsia" w:ascii="仿宋_GB2312" w:eastAsia="仿宋_GB2312" w:cs="DengXian-Regular"/>
          <w:sz w:val="32"/>
          <w:szCs w:val="32"/>
          <w:highlight w:val="none"/>
        </w:rPr>
        <w:t>万元，年初预算数为</w:t>
      </w:r>
      <w:r>
        <w:rPr>
          <w:rFonts w:hint="eastAsia" w:ascii="仿宋_GB2312" w:eastAsia="仿宋_GB2312" w:cs="DengXian-Regular"/>
          <w:sz w:val="32"/>
          <w:szCs w:val="32"/>
          <w:highlight w:val="none"/>
          <w:lang w:val="en-US" w:eastAsia="zh-CN"/>
        </w:rPr>
        <w:t>2055.38</w:t>
      </w:r>
      <w:r>
        <w:rPr>
          <w:rFonts w:hint="eastAsia" w:ascii="仿宋_GB2312" w:eastAsia="仿宋_GB2312" w:cs="DengXian-Regular"/>
          <w:sz w:val="32"/>
          <w:szCs w:val="32"/>
          <w:highlight w:val="none"/>
        </w:rPr>
        <w:t>万元，预算收入调整率为</w:t>
      </w:r>
      <w:r>
        <w:rPr>
          <w:rFonts w:hint="eastAsia" w:ascii="仿宋_GB2312" w:eastAsia="仿宋_GB2312" w:cs="DengXian-Regular"/>
          <w:sz w:val="32"/>
          <w:szCs w:val="32"/>
          <w:highlight w:val="none"/>
          <w:lang w:val="en-US" w:eastAsia="zh-CN"/>
        </w:rPr>
        <w:t>82.73</w:t>
      </w:r>
      <w:r>
        <w:rPr>
          <w:rFonts w:hint="eastAsia" w:ascii="仿宋_GB2312" w:eastAsia="仿宋_GB2312" w:cs="DengXian-Regular"/>
          <w:sz w:val="32"/>
          <w:szCs w:val="32"/>
          <w:highlight w:val="none"/>
        </w:rPr>
        <w:t>%，扣</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分。</w:t>
      </w:r>
    </w:p>
    <w:p w14:paraId="22BFF5CD">
      <w:pPr>
        <w:spacing w:after="0" w:line="360" w:lineRule="auto"/>
        <w:ind w:firstLine="640" w:firstLineChars="200"/>
        <w:jc w:val="both"/>
        <w:textAlignment w:val="baseline"/>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highlight w:val="none"/>
        </w:rPr>
        <w:t>预算调整增加了</w:t>
      </w:r>
      <w:r>
        <w:rPr>
          <w:rFonts w:hint="eastAsia" w:ascii="仿宋_GB2312" w:eastAsia="仿宋_GB2312" w:cs="DengXian-Regular"/>
          <w:sz w:val="32"/>
          <w:szCs w:val="32"/>
          <w:highlight w:val="none"/>
          <w:lang w:val="en-US" w:eastAsia="zh-CN"/>
        </w:rPr>
        <w:t>17.3</w:t>
      </w:r>
      <w:r>
        <w:rPr>
          <w:rFonts w:hint="eastAsia" w:ascii="仿宋_GB2312" w:eastAsia="仿宋_GB2312" w:cs="DengXian-Regular"/>
          <w:sz w:val="32"/>
          <w:szCs w:val="32"/>
          <w:highlight w:val="none"/>
        </w:rPr>
        <w:t>个百分点</w:t>
      </w:r>
      <w:r>
        <w:rPr>
          <w:rFonts w:hint="eastAsia" w:ascii="仿宋_GB2312" w:eastAsia="仿宋_GB2312" w:cs="DengXian-Regular"/>
          <w:sz w:val="32"/>
          <w:szCs w:val="32"/>
          <w:highlight w:val="none"/>
          <w:lang w:eastAsia="zh-CN"/>
        </w:rPr>
        <w:t>。</w:t>
      </w:r>
    </w:p>
    <w:p w14:paraId="505193EB">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eastAsia" w:ascii="仿宋_GB2312" w:eastAsia="仿宋_GB2312" w:cs="DengXian-Regular"/>
          <w:color w:val="auto"/>
          <w:sz w:val="32"/>
          <w:szCs w:val="32"/>
          <w:highlight w:val="none"/>
          <w:lang w:val="en-US" w:eastAsia="zh-CN"/>
        </w:rPr>
        <w:t>0</w:t>
      </w:r>
      <w:r>
        <w:rPr>
          <w:rFonts w:hint="eastAsia" w:ascii="仿宋_GB2312" w:eastAsia="仿宋_GB2312" w:cs="DengXian-Regular"/>
          <w:color w:val="auto"/>
          <w:sz w:val="32"/>
          <w:szCs w:val="32"/>
          <w:highlight w:val="none"/>
        </w:rPr>
        <w:t>分。</w:t>
      </w:r>
    </w:p>
    <w:p w14:paraId="55DCF39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14:paraId="14B60FC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14:paraId="1CAC0D2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14:paraId="00129FB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年收入预算数</w:t>
      </w:r>
      <w:r>
        <w:rPr>
          <w:rFonts w:hint="eastAsia" w:ascii="仿宋_GB2312" w:eastAsia="仿宋_GB2312" w:cs="DengXian-Regular"/>
          <w:sz w:val="32"/>
          <w:szCs w:val="32"/>
          <w:lang w:val="en-US" w:eastAsia="zh-CN"/>
        </w:rPr>
        <w:t>2055.38</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2410.3</w:t>
      </w:r>
      <w:r>
        <w:rPr>
          <w:rFonts w:hint="eastAsia" w:ascii="仿宋_GB2312" w:eastAsia="仿宋_GB2312" w:cs="DengXian-Regular"/>
          <w:sz w:val="32"/>
          <w:szCs w:val="32"/>
        </w:rPr>
        <w:t>万元，收入完成率=（决算数/预算数）*100%=</w:t>
      </w:r>
      <w:r>
        <w:rPr>
          <w:rFonts w:hint="eastAsia" w:ascii="仿宋_GB2312" w:eastAsia="仿宋_GB2312" w:cs="DengXian-Regular"/>
          <w:sz w:val="32"/>
          <w:szCs w:val="32"/>
          <w:lang w:val="en-US" w:eastAsia="zh-CN"/>
        </w:rPr>
        <w:t>117.27</w:t>
      </w:r>
      <w:r>
        <w:rPr>
          <w:rFonts w:hint="eastAsia" w:ascii="仿宋_GB2312" w:eastAsia="仿宋_GB2312" w:cs="DengXian-Regular"/>
          <w:sz w:val="32"/>
          <w:szCs w:val="32"/>
        </w:rPr>
        <w:t>%。</w:t>
      </w:r>
    </w:p>
    <w:p w14:paraId="0DBF7413">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该指标实际得分</w:t>
      </w:r>
      <w:r>
        <w:rPr>
          <w:rFonts w:hint="eastAsia" w:ascii="仿宋_GB2312" w:eastAsia="仿宋_GB2312" w:cs="DengXian-Regular"/>
          <w:color w:val="auto"/>
          <w:sz w:val="32"/>
          <w:szCs w:val="32"/>
          <w:lang w:val="en-US" w:eastAsia="zh-CN"/>
        </w:rPr>
        <w:t>4</w:t>
      </w:r>
      <w:r>
        <w:rPr>
          <w:rFonts w:hint="eastAsia" w:ascii="仿宋_GB2312" w:eastAsia="仿宋_GB2312" w:cs="DengXian-Regular"/>
          <w:color w:val="auto"/>
          <w:sz w:val="32"/>
          <w:szCs w:val="32"/>
        </w:rPr>
        <w:t>分。</w:t>
      </w:r>
    </w:p>
    <w:p w14:paraId="52CAFFE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14:paraId="4B3970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14:paraId="2281462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14:paraId="79E0181D">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提供的保定市财政局下发的预算指标文件，其中：徐财预指[202</w:t>
      </w:r>
      <w:r>
        <w:rPr>
          <w:rFonts w:hint="eastAsia"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1-1384</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锅炉低氮改造资金</w:t>
      </w:r>
      <w:r>
        <w:rPr>
          <w:rFonts w:hint="eastAsia" w:ascii="仿宋_GB2312" w:eastAsia="仿宋_GB2312" w:cs="DengXian-Regular"/>
          <w:sz w:val="32"/>
          <w:szCs w:val="32"/>
          <w:lang w:val="en-US" w:eastAsia="zh-CN"/>
        </w:rPr>
        <w:t>16.9</w:t>
      </w:r>
      <w:r>
        <w:rPr>
          <w:rFonts w:hint="eastAsia" w:ascii="仿宋_GB2312" w:eastAsia="仿宋_GB2312" w:cs="DengXian-Regular"/>
          <w:sz w:val="32"/>
          <w:szCs w:val="32"/>
        </w:rPr>
        <w:t>万元；徐财预指[202</w:t>
      </w:r>
      <w:r>
        <w:rPr>
          <w:rFonts w:hint="eastAsia"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3-1100</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第四季度政法稳定工作经费</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万元；徐财预指[202</w:t>
      </w:r>
      <w:r>
        <w:rPr>
          <w:rFonts w:hint="eastAsia"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1-1442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政法稳定工作经费</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万元，区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年度预算支出的追加数合计</w:t>
      </w:r>
      <w:r>
        <w:rPr>
          <w:rFonts w:hint="eastAsia" w:ascii="仿宋_GB2312" w:eastAsia="仿宋_GB2312" w:cs="DengXian-Regular"/>
          <w:sz w:val="32"/>
          <w:szCs w:val="32"/>
          <w:lang w:val="en-US" w:eastAsia="zh-CN"/>
        </w:rPr>
        <w:t>545.38</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2055.38</w:t>
      </w:r>
      <w:r>
        <w:rPr>
          <w:rFonts w:hint="eastAsia" w:ascii="仿宋_GB2312" w:eastAsia="仿宋_GB2312" w:cs="DengXian-Regular"/>
          <w:sz w:val="32"/>
          <w:szCs w:val="32"/>
        </w:rPr>
        <w:t>万元，预算支出调整率为</w:t>
      </w:r>
      <w:r>
        <w:rPr>
          <w:rFonts w:hint="eastAsia" w:ascii="仿宋_GB2312" w:eastAsia="仿宋_GB2312" w:cs="DengXian-Regular"/>
          <w:sz w:val="32"/>
          <w:szCs w:val="32"/>
          <w:lang w:val="en-US" w:eastAsia="zh-CN"/>
        </w:rPr>
        <w:t>73.47</w:t>
      </w:r>
      <w:r>
        <w:rPr>
          <w:rFonts w:hint="eastAsia" w:ascii="仿宋_GB2312" w:eastAsia="仿宋_GB2312" w:cs="DengXian-Regular"/>
          <w:sz w:val="32"/>
          <w:szCs w:val="32"/>
        </w:rPr>
        <w:t>%，预算调整增加了</w:t>
      </w:r>
      <w:r>
        <w:rPr>
          <w:rFonts w:hint="eastAsia" w:ascii="仿宋_GB2312" w:eastAsia="仿宋_GB2312" w:cs="DengXian-Regular"/>
          <w:sz w:val="32"/>
          <w:szCs w:val="32"/>
          <w:lang w:val="en-US" w:eastAsia="zh-CN"/>
        </w:rPr>
        <w:t>26.53</w:t>
      </w:r>
      <w:r>
        <w:rPr>
          <w:rFonts w:hint="eastAsia" w:ascii="仿宋_GB2312" w:eastAsia="仿宋_GB2312" w:cs="DengXian-Regular"/>
          <w:sz w:val="32"/>
          <w:szCs w:val="32"/>
        </w:rPr>
        <w:t>个百分点，</w:t>
      </w:r>
      <w:r>
        <w:rPr>
          <w:rFonts w:hint="eastAsia" w:ascii="仿宋_GB2312" w:eastAsia="仿宋_GB2312" w:cs="DengXian-Regular"/>
          <w:color w:val="auto"/>
          <w:sz w:val="32"/>
          <w:szCs w:val="32"/>
        </w:rPr>
        <w:t>扣</w:t>
      </w:r>
      <w:r>
        <w:rPr>
          <w:rFonts w:hint="eastAsia" w:ascii="仿宋_GB2312" w:eastAsia="仿宋_GB2312" w:cs="DengXian-Regular"/>
          <w:color w:val="auto"/>
          <w:sz w:val="32"/>
          <w:szCs w:val="32"/>
          <w:lang w:val="en-US" w:eastAsia="zh-CN"/>
        </w:rPr>
        <w:t>2</w:t>
      </w:r>
      <w:r>
        <w:rPr>
          <w:rFonts w:hint="eastAsia" w:ascii="仿宋_GB2312" w:eastAsia="仿宋_GB2312" w:cs="DengXian-Regular"/>
          <w:color w:val="auto"/>
          <w:sz w:val="32"/>
          <w:szCs w:val="32"/>
        </w:rPr>
        <w:t>分。</w:t>
      </w:r>
    </w:p>
    <w:p w14:paraId="66FA775E">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该指标实际得分</w:t>
      </w:r>
      <w:r>
        <w:rPr>
          <w:rFonts w:hint="eastAsia" w:ascii="仿宋_GB2312" w:eastAsia="仿宋_GB2312" w:cs="DengXian-Regular"/>
          <w:color w:val="auto"/>
          <w:sz w:val="32"/>
          <w:szCs w:val="32"/>
          <w:lang w:val="en-US" w:eastAsia="zh-CN"/>
        </w:rPr>
        <w:t>0</w:t>
      </w:r>
      <w:r>
        <w:rPr>
          <w:rFonts w:hint="eastAsia" w:ascii="仿宋_GB2312" w:eastAsia="仿宋_GB2312" w:cs="DengXian-Regular"/>
          <w:color w:val="auto"/>
          <w:sz w:val="32"/>
          <w:szCs w:val="32"/>
        </w:rPr>
        <w:t>分。</w:t>
      </w:r>
    </w:p>
    <w:p w14:paraId="1C0E01A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14:paraId="785BFD8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14:paraId="4F40252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14:paraId="50DFE75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提供的202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年决算文本，部门决算财政拨款支出数</w:t>
      </w:r>
      <w:r>
        <w:rPr>
          <w:rFonts w:hint="eastAsia" w:ascii="仿宋_GB2312" w:eastAsia="仿宋_GB2312" w:cs="DengXian-Regular"/>
          <w:sz w:val="32"/>
          <w:szCs w:val="32"/>
          <w:lang w:val="en-US" w:eastAsia="zh-CN"/>
        </w:rPr>
        <w:t>2600.76</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2409.6</w:t>
      </w:r>
      <w:r>
        <w:rPr>
          <w:rFonts w:hint="eastAsia" w:ascii="仿宋_GB2312" w:eastAsia="仿宋_GB2312" w:cs="DengXian-Regular"/>
          <w:sz w:val="32"/>
          <w:szCs w:val="32"/>
        </w:rPr>
        <w:t>万元，财政拨款支出率=（财政拨款支出数/财政拨款收入数）*100%=</w:t>
      </w:r>
      <w:r>
        <w:rPr>
          <w:rFonts w:hint="eastAsia" w:ascii="仿宋_GB2312" w:eastAsia="仿宋_GB2312" w:cs="DengXian-Regular"/>
          <w:sz w:val="32"/>
          <w:szCs w:val="32"/>
          <w:lang w:val="en-US" w:eastAsia="zh-CN"/>
        </w:rPr>
        <w:t>107.93</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年年初结转和结余</w:t>
      </w:r>
      <w:r>
        <w:rPr>
          <w:rFonts w:hint="eastAsia" w:ascii="仿宋_GB2312" w:eastAsia="仿宋_GB2312" w:cs="DengXian-Regular"/>
          <w:sz w:val="32"/>
          <w:szCs w:val="32"/>
          <w:lang w:val="en-US" w:eastAsia="zh-CN"/>
        </w:rPr>
        <w:t>191.16</w:t>
      </w:r>
      <w:r>
        <w:rPr>
          <w:rFonts w:hint="eastAsia" w:ascii="仿宋_GB2312" w:eastAsia="仿宋_GB2312" w:cs="DengXian-Regular"/>
          <w:sz w:val="32"/>
          <w:szCs w:val="32"/>
        </w:rPr>
        <w:t>万元，故支出数大于收入数。</w:t>
      </w:r>
    </w:p>
    <w:p w14:paraId="7930EC58">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该指标实际得分</w:t>
      </w:r>
      <w:r>
        <w:rPr>
          <w:rFonts w:hint="eastAsia" w:ascii="仿宋_GB2312" w:eastAsia="仿宋_GB2312" w:cs="DengXian-Regular"/>
          <w:color w:val="auto"/>
          <w:sz w:val="32"/>
          <w:szCs w:val="32"/>
          <w:lang w:val="en-US" w:eastAsia="zh-CN"/>
        </w:rPr>
        <w:t>4</w:t>
      </w:r>
      <w:r>
        <w:rPr>
          <w:rFonts w:hint="eastAsia" w:ascii="仿宋_GB2312" w:eastAsia="仿宋_GB2312" w:cs="DengXian-Regular"/>
          <w:color w:val="auto"/>
          <w:sz w:val="32"/>
          <w:szCs w:val="32"/>
        </w:rPr>
        <w:t>分。</w:t>
      </w:r>
    </w:p>
    <w:p w14:paraId="1EA786F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14:paraId="38627AB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7772987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7F0AD95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hint="eastAsia" w:ascii="仿宋_GB2312" w:eastAsia="仿宋_GB2312" w:cs="DengXian-Regular"/>
          <w:sz w:val="32"/>
          <w:szCs w:val="32"/>
          <w:lang w:val="en-US" w:eastAsia="zh-CN"/>
        </w:rPr>
        <w:t>46.1</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32.97</w:t>
      </w:r>
      <w:r>
        <w:rPr>
          <w:rFonts w:hint="eastAsia" w:ascii="仿宋_GB2312" w:eastAsia="仿宋_GB2312" w:cs="DengXian-Regular"/>
          <w:sz w:val="32"/>
          <w:szCs w:val="32"/>
        </w:rPr>
        <w:t>万元，“三公”经费控制率=（年末决算数/年初预算数）*100%=</w:t>
      </w:r>
      <w:r>
        <w:rPr>
          <w:rFonts w:hint="eastAsia" w:ascii="仿宋_GB2312" w:eastAsia="仿宋_GB2312" w:cs="DengXian-Regular"/>
          <w:sz w:val="32"/>
          <w:szCs w:val="32"/>
          <w:lang w:val="en-US" w:eastAsia="zh-CN"/>
        </w:rPr>
        <w:t>71.52</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14:paraId="75BE26F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14:paraId="4DD445B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14:paraId="198D6DE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48590E4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429DB37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17.7</w:t>
      </w:r>
      <w:r>
        <w:rPr>
          <w:rFonts w:hint="eastAsia" w:ascii="仿宋_GB2312" w:eastAsia="仿宋_GB2312" w:cs="DengXian-Regular"/>
          <w:sz w:val="32"/>
          <w:szCs w:val="32"/>
        </w:rPr>
        <w:t>万元，政府采购执行率为</w:t>
      </w:r>
      <w:r>
        <w:rPr>
          <w:rFonts w:hint="eastAsia" w:ascii="仿宋_GB2312" w:eastAsia="仿宋_GB2312" w:cs="DengXian-Regular"/>
          <w:sz w:val="32"/>
          <w:szCs w:val="32"/>
          <w:lang w:val="en-US" w:eastAsia="zh-CN"/>
        </w:rPr>
        <w:t>177%</w:t>
      </w:r>
      <w:r>
        <w:rPr>
          <w:rFonts w:hint="eastAsia" w:ascii="仿宋_GB2312" w:eastAsia="仿宋_GB2312" w:cs="DengXian-Regular"/>
          <w:sz w:val="32"/>
          <w:szCs w:val="32"/>
        </w:rPr>
        <w:t>。</w:t>
      </w:r>
    </w:p>
    <w:p w14:paraId="24D022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14:paraId="6BF1048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14:paraId="45937D9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2FE3E50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14:paraId="2387B1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14:paraId="327092D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14:paraId="7341628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14:paraId="67DDC5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决算文本数据均与明细账、总账一致。</w:t>
      </w:r>
    </w:p>
    <w:p w14:paraId="54BA52D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14:paraId="658956B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48519A5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409B2F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7C5142C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已按照相关管理制度的规定执行。</w:t>
      </w:r>
    </w:p>
    <w:p w14:paraId="0A70684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295FF53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14:paraId="787A81F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6749C08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14:paraId="1AD625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195041B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14:paraId="6EC0F11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0290868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会计信息资料真实完整，</w:t>
      </w:r>
    </w:p>
    <w:p w14:paraId="5130BEF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5E3C5D3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14:paraId="410DF33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14:paraId="784605A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建立了固定资产台账、无形资产台账，资产保存完整，202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年新增资产</w:t>
      </w:r>
      <w:r>
        <w:rPr>
          <w:rFonts w:hint="eastAsia" w:ascii="仿宋_GB2312" w:eastAsia="仿宋_GB2312" w:cs="DengXian-Regular"/>
          <w:sz w:val="32"/>
          <w:szCs w:val="32"/>
          <w:lang w:val="en-US" w:eastAsia="zh-CN"/>
        </w:rPr>
        <w:t>29.79</w:t>
      </w:r>
      <w:r>
        <w:rPr>
          <w:rFonts w:hint="eastAsia" w:ascii="仿宋_GB2312" w:eastAsia="仿宋_GB2312" w:cs="DengXian-Regular"/>
          <w:sz w:val="32"/>
          <w:szCs w:val="32"/>
        </w:rPr>
        <w:t>万元，包含：</w:t>
      </w:r>
      <w:r>
        <w:rPr>
          <w:rFonts w:hint="eastAsia" w:ascii="仿宋_GB2312" w:eastAsia="仿宋_GB2312" w:cs="DengXian-Regular"/>
          <w:sz w:val="32"/>
          <w:szCs w:val="32"/>
          <w:lang w:eastAsia="zh-CN"/>
        </w:rPr>
        <w:t>庭审设备</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万元）、电脑及计算机设备（</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桌椅等家具</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0.79</w:t>
      </w:r>
      <w:r>
        <w:rPr>
          <w:rFonts w:hint="eastAsia" w:ascii="仿宋_GB2312" w:eastAsia="仿宋_GB2312" w:cs="DengXian-Regular"/>
          <w:sz w:val="32"/>
          <w:szCs w:val="32"/>
        </w:rPr>
        <w:t>万元），资产购置手续完备，配置符合要求，资产管理整体较规范。</w:t>
      </w:r>
    </w:p>
    <w:p w14:paraId="7CBE5B1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7ACDA0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14:paraId="18C6A99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14:paraId="3E03E4A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14:paraId="657C2B7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14:paraId="4B5572CA">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年一般项目部门绩效自评表，</w:t>
      </w: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年开展绩效自评的项目数为</w:t>
      </w:r>
      <w:r>
        <w:rPr>
          <w:rFonts w:hint="eastAsia" w:ascii="仿宋_GB2312" w:eastAsia="仿宋_GB2312" w:cs="DengXian-Regular"/>
          <w:sz w:val="32"/>
          <w:szCs w:val="32"/>
          <w:highlight w:val="none"/>
          <w:lang w:val="en-US" w:eastAsia="zh-CN"/>
        </w:rPr>
        <w:t>16</w:t>
      </w:r>
      <w:r>
        <w:rPr>
          <w:rFonts w:hint="eastAsia" w:ascii="仿宋_GB2312" w:eastAsia="仿宋_GB2312" w:cs="DengXian-Regular"/>
          <w:sz w:val="32"/>
          <w:szCs w:val="32"/>
          <w:highlight w:val="none"/>
        </w:rPr>
        <w:t>个，年初预算文本项目数</w:t>
      </w:r>
      <w:r>
        <w:rPr>
          <w:rFonts w:hint="eastAsia" w:ascii="仿宋_GB2312" w:eastAsia="仿宋_GB2312" w:cs="DengXian-Regular"/>
          <w:sz w:val="32"/>
          <w:szCs w:val="32"/>
          <w:highlight w:val="none"/>
          <w:lang w:val="en-US" w:eastAsia="zh-CN"/>
        </w:rPr>
        <w:t>6</w:t>
      </w:r>
      <w:r>
        <w:rPr>
          <w:rFonts w:hint="eastAsia" w:ascii="仿宋_GB2312" w:eastAsia="仿宋_GB2312" w:cs="DengXian-Regular"/>
          <w:sz w:val="32"/>
          <w:szCs w:val="32"/>
          <w:highlight w:val="none"/>
        </w:rPr>
        <w:t>个，要求自评项目个数</w:t>
      </w:r>
      <w:r>
        <w:rPr>
          <w:rFonts w:hint="eastAsia" w:ascii="仿宋_GB2312" w:eastAsia="仿宋_GB2312" w:cs="DengXian-Regular"/>
          <w:sz w:val="32"/>
          <w:szCs w:val="32"/>
          <w:highlight w:val="none"/>
          <w:lang w:val="en-US" w:eastAsia="zh-CN"/>
        </w:rPr>
        <w:t>16</w:t>
      </w:r>
      <w:r>
        <w:rPr>
          <w:rFonts w:hint="eastAsia" w:ascii="仿宋_GB2312" w:eastAsia="仿宋_GB2312" w:cs="DengXian-Regular"/>
          <w:sz w:val="32"/>
          <w:szCs w:val="32"/>
          <w:highlight w:val="none"/>
        </w:rPr>
        <w:t xml:space="preserve">个，自评覆盖率为 </w:t>
      </w:r>
      <w:r>
        <w:rPr>
          <w:rFonts w:hint="eastAsia" w:ascii="仿宋_GB2312" w:eastAsia="仿宋_GB2312" w:cs="DengXian-Regular"/>
          <w:sz w:val="32"/>
          <w:szCs w:val="32"/>
          <w:highlight w:val="none"/>
          <w:lang w:val="en-US" w:eastAsia="zh-CN"/>
        </w:rPr>
        <w:t>100</w:t>
      </w:r>
      <w:r>
        <w:rPr>
          <w:rFonts w:hint="eastAsia" w:ascii="仿宋_GB2312" w:eastAsia="仿宋_GB2312" w:cs="DengXian-Regular"/>
          <w:sz w:val="32"/>
          <w:szCs w:val="32"/>
          <w:highlight w:val="none"/>
        </w:rPr>
        <w:t>%。</w:t>
      </w:r>
    </w:p>
    <w:p w14:paraId="54FF153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14:paraId="4EDB673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14:paraId="25EB2F5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14:paraId="50B997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14:paraId="65D17A9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年参评数量</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14:paraId="770707C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4"/>
      <w:bookmarkEnd w:id="65"/>
    </w:p>
    <w:p w14:paraId="7FFF6132">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14:paraId="352A65E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该一级指标包含责任履行一个二级指标，主要反映结转结余率，项目资金使用率，案件办结率。</w:t>
      </w:r>
    </w:p>
    <w:p w14:paraId="5F174F9B">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7095" w:type="dxa"/>
        <w:jc w:val="center"/>
        <w:tblLayout w:type="fixed"/>
        <w:tblCellMar>
          <w:top w:w="15" w:type="dxa"/>
          <w:left w:w="15" w:type="dxa"/>
          <w:bottom w:w="15" w:type="dxa"/>
          <w:right w:w="15" w:type="dxa"/>
        </w:tblCellMar>
      </w:tblPr>
      <w:tblGrid>
        <w:gridCol w:w="1577"/>
        <w:gridCol w:w="1004"/>
        <w:gridCol w:w="2536"/>
        <w:gridCol w:w="1125"/>
        <w:gridCol w:w="853"/>
      </w:tblGrid>
      <w:tr w14:paraId="4F7E79A3">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6AE962A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14E5F11F">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01C82A8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5A351F2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42E9294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3F4A9324">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0801F47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320E463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14:paraId="3E2ADB9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05CFDE6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437B550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75BC0BA8">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4.25</w:t>
            </w:r>
          </w:p>
        </w:tc>
      </w:tr>
      <w:tr w14:paraId="40CA1526">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5B1DB861">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6759F645">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60CBA04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6196013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615E0ECE">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53E498AB">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0E725E59">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5FE8C8F5">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1654B773">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保洁打扫次数</w:t>
            </w:r>
          </w:p>
        </w:tc>
        <w:tc>
          <w:tcPr>
            <w:tcW w:w="1125" w:type="dxa"/>
            <w:tcBorders>
              <w:top w:val="single" w:color="000000" w:sz="4" w:space="0"/>
              <w:left w:val="single" w:color="000000" w:sz="4" w:space="0"/>
              <w:bottom w:val="single" w:color="000000" w:sz="4" w:space="0"/>
              <w:right w:val="single" w:color="000000" w:sz="4" w:space="0"/>
            </w:tcBorders>
            <w:vAlign w:val="center"/>
          </w:tcPr>
          <w:p w14:paraId="40BC6DA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6CA24CF4">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6A91E603">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131C521C">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702FBE82">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245904AF">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聘用制人员工资发放率（分）</w:t>
            </w:r>
          </w:p>
        </w:tc>
        <w:tc>
          <w:tcPr>
            <w:tcW w:w="1125" w:type="dxa"/>
            <w:tcBorders>
              <w:top w:val="single" w:color="000000" w:sz="4" w:space="0"/>
              <w:left w:val="single" w:color="000000" w:sz="4" w:space="0"/>
              <w:bottom w:val="single" w:color="000000" w:sz="4" w:space="0"/>
              <w:right w:val="single" w:color="000000" w:sz="4" w:space="0"/>
            </w:tcBorders>
            <w:vAlign w:val="center"/>
          </w:tcPr>
          <w:p w14:paraId="79852E7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092AE3D8">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1192770B">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79B80C36">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3745AD73">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6C6EC5C0">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刑事案件办结率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601E37E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7623A4C1">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01FB875D">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7F3351F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1CDFD54D">
            <w:pPr>
              <w:keepNext w:val="0"/>
              <w:keepLines w:val="0"/>
              <w:widowControl/>
              <w:suppressLineNumbers w:val="0"/>
              <w:jc w:val="left"/>
              <w:textAlignment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D47B91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2FEF">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24.25</w:t>
            </w:r>
          </w:p>
        </w:tc>
      </w:tr>
      <w:tr w14:paraId="7BE1296A">
        <w:tblPrEx>
          <w:tblCellMar>
            <w:top w:w="15" w:type="dxa"/>
            <w:left w:w="15" w:type="dxa"/>
            <w:bottom w:w="15" w:type="dxa"/>
            <w:right w:w="15" w:type="dxa"/>
          </w:tblCellMar>
        </w:tblPrEx>
        <w:trPr>
          <w:trHeight w:val="397" w:hRule="exact"/>
          <w:jc w:val="center"/>
        </w:trPr>
        <w:tc>
          <w:tcPr>
            <w:tcW w:w="2581" w:type="dxa"/>
            <w:gridSpan w:val="2"/>
          </w:tcPr>
          <w:p w14:paraId="4A00EA06">
            <w:pPr>
              <w:spacing w:line="420" w:lineRule="exact"/>
              <w:jc w:val="center"/>
              <w:rPr>
                <w:rFonts w:cs="宋体" w:asciiTheme="minorEastAsia" w:hAnsiTheme="minorEastAsia" w:eastAsiaTheme="minorEastAsia"/>
                <w:sz w:val="21"/>
                <w:szCs w:val="21"/>
              </w:rPr>
            </w:pPr>
            <w:bookmarkStart w:id="67" w:name="_Toc464638518"/>
            <w:bookmarkStart w:id="68" w:name="_Toc465149515"/>
          </w:p>
        </w:tc>
        <w:tc>
          <w:tcPr>
            <w:tcW w:w="2536" w:type="dxa"/>
            <w:vAlign w:val="center"/>
          </w:tcPr>
          <w:p w14:paraId="22664FA9">
            <w:pPr>
              <w:keepNext w:val="0"/>
              <w:keepLines w:val="0"/>
              <w:widowControl/>
              <w:suppressLineNumbers w:val="0"/>
              <w:jc w:val="left"/>
              <w:textAlignment w:val="center"/>
              <w:rPr>
                <w:rFonts w:cs="宋体" w:asciiTheme="minorEastAsia" w:hAnsiTheme="minorEastAsia" w:eastAsiaTheme="minorEastAsia"/>
                <w:sz w:val="21"/>
                <w:szCs w:val="21"/>
              </w:rPr>
            </w:pPr>
          </w:p>
        </w:tc>
        <w:tc>
          <w:tcPr>
            <w:tcW w:w="1125" w:type="dxa"/>
          </w:tcPr>
          <w:p w14:paraId="5A0FDBA6">
            <w:pPr>
              <w:spacing w:line="420" w:lineRule="exact"/>
              <w:jc w:val="center"/>
              <w:rPr>
                <w:rFonts w:cs="宋体" w:asciiTheme="minorEastAsia" w:hAnsiTheme="minorEastAsia" w:eastAsiaTheme="minorEastAsia"/>
                <w:sz w:val="21"/>
                <w:szCs w:val="21"/>
              </w:rPr>
            </w:pPr>
          </w:p>
        </w:tc>
        <w:tc>
          <w:tcPr>
            <w:tcW w:w="853" w:type="dxa"/>
          </w:tcPr>
          <w:p w14:paraId="6C9F1BC2">
            <w:pPr>
              <w:spacing w:line="420" w:lineRule="exact"/>
              <w:jc w:val="center"/>
              <w:rPr>
                <w:rFonts w:cs="宋体" w:asciiTheme="minorEastAsia" w:hAnsiTheme="minorEastAsia" w:eastAsiaTheme="minorEastAsia"/>
                <w:sz w:val="21"/>
                <w:szCs w:val="21"/>
              </w:rPr>
            </w:pPr>
          </w:p>
        </w:tc>
      </w:tr>
    </w:tbl>
    <w:p w14:paraId="72DE9FD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1.结转结余率（5分）</w:t>
      </w:r>
    </w:p>
    <w:p w14:paraId="33A0F1C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14:paraId="1ED2D6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14:paraId="48AA6AC4">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w:t>
      </w:r>
      <w:r>
        <w:rPr>
          <w:rFonts w:hint="eastAsia" w:ascii="仿宋_GB2312" w:eastAsia="仿宋_GB2312" w:cs="DengXian-Regular"/>
          <w:sz w:val="32"/>
          <w:szCs w:val="32"/>
          <w:lang w:val="en-US" w:eastAsia="zh-CN"/>
        </w:rPr>
        <w:t>157</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2410.3</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6.51</w:t>
      </w:r>
      <w:r>
        <w:rPr>
          <w:rFonts w:hint="eastAsia" w:ascii="仿宋_GB2312" w:eastAsia="仿宋_GB2312" w:cs="DengXian-Regular"/>
          <w:sz w:val="32"/>
          <w:szCs w:val="32"/>
        </w:rPr>
        <w:t>%，</w:t>
      </w:r>
      <w:r>
        <w:rPr>
          <w:rFonts w:hint="eastAsia" w:ascii="仿宋_GB2312" w:eastAsia="仿宋_GB2312" w:cs="DengXian-Regular"/>
          <w:color w:val="auto"/>
          <w:sz w:val="32"/>
          <w:szCs w:val="32"/>
        </w:rPr>
        <w:t>大于5%。</w:t>
      </w:r>
    </w:p>
    <w:p w14:paraId="0911E72A">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该项指标实际得分</w:t>
      </w:r>
      <w:r>
        <w:rPr>
          <w:rFonts w:hint="eastAsia" w:ascii="仿宋_GB2312" w:eastAsia="仿宋_GB2312" w:cs="DengXian-Regular"/>
          <w:color w:val="auto"/>
          <w:sz w:val="32"/>
          <w:szCs w:val="32"/>
          <w:lang w:val="en-US" w:eastAsia="zh-CN"/>
        </w:rPr>
        <w:t>4.25</w:t>
      </w:r>
      <w:r>
        <w:rPr>
          <w:rFonts w:hint="eastAsia" w:ascii="仿宋_GB2312" w:eastAsia="仿宋_GB2312" w:cs="DengXian-Regular"/>
          <w:color w:val="auto"/>
          <w:sz w:val="32"/>
          <w:szCs w:val="32"/>
        </w:rPr>
        <w:t>分。</w:t>
      </w:r>
    </w:p>
    <w:p w14:paraId="59C3A74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14:paraId="6B7BC16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14:paraId="716BA80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14:paraId="139D0A7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年实际支出项目资金总额</w:t>
      </w:r>
      <w:r>
        <w:rPr>
          <w:rFonts w:hint="eastAsia" w:ascii="仿宋_GB2312" w:eastAsia="仿宋_GB2312" w:cs="DengXian-Regular"/>
          <w:sz w:val="32"/>
          <w:szCs w:val="32"/>
          <w:lang w:val="en-US" w:eastAsia="zh-CN"/>
        </w:rPr>
        <w:t>1084.34</w:t>
      </w:r>
      <w:r>
        <w:rPr>
          <w:rFonts w:hint="eastAsia" w:ascii="仿宋_GB2312" w:eastAsia="仿宋_GB2312" w:cs="DengXian-Regular"/>
          <w:sz w:val="32"/>
          <w:szCs w:val="32"/>
        </w:rPr>
        <w:t>万元，年初预算共</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550.44</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533.9</w:t>
      </w:r>
      <w:r>
        <w:rPr>
          <w:rFonts w:hint="eastAsia" w:ascii="仿宋_GB2312" w:eastAsia="仿宋_GB2312" w:cs="DengXian-Regular"/>
          <w:sz w:val="32"/>
          <w:szCs w:val="32"/>
        </w:rPr>
        <w:t>万元，项目资金使用率为</w:t>
      </w:r>
      <w:r>
        <w:rPr>
          <w:rFonts w:hint="eastAsia" w:ascii="仿宋_GB2312" w:eastAsia="仿宋_GB2312" w:cs="DengXian-Regular"/>
          <w:sz w:val="32"/>
          <w:szCs w:val="32"/>
          <w:lang w:val="en-US" w:eastAsia="zh-CN"/>
        </w:rPr>
        <w:t>197</w:t>
      </w:r>
      <w:r>
        <w:rPr>
          <w:rFonts w:hint="eastAsia" w:ascii="仿宋_GB2312" w:eastAsia="仿宋_GB2312" w:cs="DengXian-Regular"/>
          <w:sz w:val="32"/>
          <w:szCs w:val="32"/>
        </w:rPr>
        <w:t>%。</w:t>
      </w:r>
    </w:p>
    <w:p w14:paraId="22EA57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14:paraId="49C14BB8">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14:paraId="3877F6EC">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3771132C">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6998" w:type="dxa"/>
        <w:jc w:val="center"/>
        <w:tblLayout w:type="fixed"/>
        <w:tblCellMar>
          <w:top w:w="15" w:type="dxa"/>
          <w:left w:w="15" w:type="dxa"/>
          <w:bottom w:w="15" w:type="dxa"/>
          <w:right w:w="15" w:type="dxa"/>
        </w:tblCellMar>
      </w:tblPr>
      <w:tblGrid>
        <w:gridCol w:w="1468"/>
        <w:gridCol w:w="1155"/>
        <w:gridCol w:w="2130"/>
        <w:gridCol w:w="1200"/>
        <w:gridCol w:w="1045"/>
      </w:tblGrid>
      <w:tr w14:paraId="4D466A53">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0835FD2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48A5752C">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493BF5D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0713DB4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3980B03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13B39D49">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160B003C">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6B4B221E">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347560F8">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5A3D5EC3">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36683B7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3DB8D9A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05DF17D0">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14:paraId="62CDD6C1">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52380D28">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753D1954">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2F9056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0E509E5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72C7C091">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14:paraId="07B7C2A8">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2327780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4C199706">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6E4F888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4EC6078D">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15</w:t>
            </w:r>
          </w:p>
        </w:tc>
      </w:tr>
      <w:bookmarkEnd w:id="70"/>
    </w:tbl>
    <w:p w14:paraId="685172FB">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64638561"/>
      <w:bookmarkStart w:id="73" w:name="_Toc492652784"/>
      <w:r>
        <w:rPr>
          <w:rFonts w:hint="eastAsia" w:ascii="仿宋_GB2312" w:eastAsia="仿宋_GB2312" w:cs="DengXian-Regular"/>
          <w:sz w:val="32"/>
          <w:szCs w:val="32"/>
        </w:rPr>
        <w:t>1.部门整体效益（10分）</w:t>
      </w:r>
    </w:p>
    <w:p w14:paraId="01815EE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1BFEC25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履行职责对社会发展所带来的社会效益较显著，有效的提高了社会公众的</w:t>
      </w:r>
      <w:r>
        <w:rPr>
          <w:rFonts w:hint="eastAsia" w:ascii="仿宋_GB2312" w:eastAsia="仿宋_GB2312" w:cs="DengXian-Regular"/>
          <w:sz w:val="32"/>
          <w:szCs w:val="32"/>
          <w:lang w:eastAsia="zh-CN"/>
        </w:rPr>
        <w:t>法律</w:t>
      </w:r>
      <w:r>
        <w:rPr>
          <w:rFonts w:hint="eastAsia" w:ascii="仿宋_GB2312" w:eastAsia="仿宋_GB2312" w:cs="DengXian-Regular"/>
          <w:sz w:val="32"/>
          <w:szCs w:val="32"/>
        </w:rPr>
        <w:t>意识，减少了社会</w:t>
      </w:r>
      <w:r>
        <w:rPr>
          <w:rFonts w:hint="eastAsia" w:ascii="仿宋_GB2312" w:eastAsia="仿宋_GB2312" w:cs="DengXian-Regular"/>
          <w:sz w:val="32"/>
          <w:szCs w:val="32"/>
          <w:lang w:eastAsia="zh-CN"/>
        </w:rPr>
        <w:t>信访</w:t>
      </w:r>
      <w:r>
        <w:rPr>
          <w:rFonts w:hint="eastAsia" w:ascii="仿宋_GB2312" w:eastAsia="仿宋_GB2312" w:cs="DengXian-Regular"/>
          <w:sz w:val="32"/>
          <w:szCs w:val="32"/>
        </w:rPr>
        <w:t>因素。</w:t>
      </w:r>
    </w:p>
    <w:p w14:paraId="4D88402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分。</w:t>
      </w:r>
    </w:p>
    <w:p w14:paraId="664149C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1D13149A">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490ED74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0DFADB13">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25849C84">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7D06498D">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087E08EB">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37D7C215">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49F45F11">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6D240D92">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67B90F5A">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55E2D22C">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4849E378">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1CEB007D">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14:paraId="62DC5782">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64F3D2F9">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41868C49">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2883472A">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3C944312">
            <w:pPr>
              <w:spacing w:after="0" w:line="360" w:lineRule="auto"/>
              <w:jc w:val="center"/>
              <w:textAlignment w:val="baseline"/>
              <w:rPr>
                <w:rFonts w:hint="eastAsia"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100</w:t>
            </w:r>
          </w:p>
        </w:tc>
      </w:tr>
      <w:tr w14:paraId="15AE934F">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5EC3F730">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4D674A6E">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454AC6A0">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177390EB">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52ADCBCA">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78DA63B0">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100</w:t>
            </w:r>
          </w:p>
        </w:tc>
      </w:tr>
      <w:tr w14:paraId="168D65E3">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4CB7FA81">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19F321CE">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0DC80F86">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14:paraId="3E82518D">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2D42ED2D">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358CEC4">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100</w:t>
            </w:r>
          </w:p>
        </w:tc>
      </w:tr>
    </w:tbl>
    <w:p w14:paraId="2EDF53E2">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3E531B9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3D8D3CD3">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55B53981">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100</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eastAsia="zh-CN"/>
        </w:rPr>
        <w:t>优</w:t>
      </w:r>
      <w:r>
        <w:rPr>
          <w:rFonts w:hint="eastAsia" w:ascii="仿宋_GB2312" w:eastAsia="仿宋_GB2312" w:cs="Times New Roman" w:hAnsiTheme="minorEastAsia"/>
          <w:sz w:val="32"/>
          <w:szCs w:val="32"/>
          <w:u w:color="000000"/>
        </w:rPr>
        <w:t>”。</w:t>
      </w:r>
    </w:p>
    <w:p w14:paraId="43D24732">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p>
    <w:p w14:paraId="13DBD3D4">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14:paraId="258CDC49">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14:paraId="336BDBF1">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1</w:t>
      </w:r>
      <w:r>
        <w:rPr>
          <w:rFonts w:hint="eastAsia" w:ascii="仿宋_GB2312" w:eastAsia="仿宋_GB2312" w:cs="Times New Roman" w:hAnsiTheme="minorEastAsia"/>
          <w:sz w:val="32"/>
          <w:szCs w:val="32"/>
          <w:u w:color="000000"/>
        </w:rPr>
        <w:t>.政府采购方面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lang w:val="en-US" w:eastAsia="zh-CN"/>
        </w:rPr>
        <w:t>采购手续完整，但采购预算安排数额与实际采购金额存在较大差距，今后应在采购物资方面进行充足的调研，合理安排预算资金。</w:t>
      </w:r>
    </w:p>
    <w:p w14:paraId="0017C9FD">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14:paraId="57701CA9">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eastAsia="zh-CN"/>
        </w:rPr>
      </w:pP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.项目资金使用率方面</w:t>
      </w:r>
      <w:r>
        <w:rPr>
          <w:rFonts w:hint="eastAsia" w:ascii="仿宋_GB2312" w:eastAsia="仿宋_GB2312" w:cs="Times New Roman" w:hAnsiTheme="minorEastAsia"/>
          <w:sz w:val="32"/>
          <w:szCs w:val="32"/>
          <w:u w:color="000000"/>
          <w:lang w:eastAsia="zh-CN"/>
        </w:rPr>
        <w:t>。存在上级专款资金和部分本级资金使用率较低的问题，在今后的工作中集思广益、加大支持力度，提高资金使用率。</w:t>
      </w:r>
    </w:p>
    <w:p w14:paraId="49407D09">
      <w:pPr>
        <w:spacing w:after="0" w:line="360" w:lineRule="auto"/>
        <w:ind w:firstLine="640" w:firstLineChars="200"/>
        <w:jc w:val="both"/>
        <w:textAlignment w:val="baseline"/>
        <w:rPr>
          <w:rFonts w:ascii="仿宋_GB2312" w:eastAsia="仿宋_GB2312" w:cs="Times New Roman" w:hAnsiTheme="minorEastAsia"/>
          <w:sz w:val="32"/>
          <w:szCs w:val="32"/>
          <w:u w:color="000000"/>
        </w:rPr>
      </w:pPr>
    </w:p>
    <w:bookmarkEnd w:id="75"/>
    <w:bookmarkEnd w:id="76"/>
    <w:p w14:paraId="5B0D2DC9">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bookmarkEnd w:id="77"/>
    <w:p w14:paraId="1317D351">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13149A13">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73A801B1">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673C575A">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3925E8EB">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E464">
    <w:pPr>
      <w:pStyle w:val="14"/>
      <w:jc w:val="center"/>
    </w:pPr>
  </w:p>
  <w:p w14:paraId="7075F49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C560">
    <w:pPr>
      <w:pStyle w:val="14"/>
      <w:jc w:val="center"/>
    </w:pPr>
    <w:r>
      <w:fldChar w:fldCharType="begin"/>
    </w:r>
    <w:r>
      <w:instrText xml:space="preserve"> PAGE   \* MERGEFORMAT </w:instrText>
    </w:r>
    <w:r>
      <w:fldChar w:fldCharType="separate"/>
    </w:r>
    <w:r>
      <w:rPr>
        <w:lang w:val="zh-CN"/>
      </w:rPr>
      <w:t>4</w:t>
    </w:r>
    <w:r>
      <w:rPr>
        <w:lang w:val="zh-CN"/>
      </w:rPr>
      <w:fldChar w:fldCharType="end"/>
    </w:r>
  </w:p>
  <w:p w14:paraId="74FC6C9A">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GMzMjViZWZkNDlhZjQxODJmYTEyODg1Zjg0ZDU5OWY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39376A1"/>
    <w:rsid w:val="03AB3D79"/>
    <w:rsid w:val="04260169"/>
    <w:rsid w:val="04CC4830"/>
    <w:rsid w:val="04DE1FFF"/>
    <w:rsid w:val="050945F2"/>
    <w:rsid w:val="050E4034"/>
    <w:rsid w:val="056F4DC0"/>
    <w:rsid w:val="05F86FA8"/>
    <w:rsid w:val="06174B4A"/>
    <w:rsid w:val="06342461"/>
    <w:rsid w:val="065C2670"/>
    <w:rsid w:val="06677EA2"/>
    <w:rsid w:val="06F06056"/>
    <w:rsid w:val="07021FF9"/>
    <w:rsid w:val="071C7BC7"/>
    <w:rsid w:val="075A67A2"/>
    <w:rsid w:val="077C4726"/>
    <w:rsid w:val="07983E03"/>
    <w:rsid w:val="0817350B"/>
    <w:rsid w:val="08201513"/>
    <w:rsid w:val="0840050B"/>
    <w:rsid w:val="08405ED8"/>
    <w:rsid w:val="086D38AF"/>
    <w:rsid w:val="086E157A"/>
    <w:rsid w:val="08C44882"/>
    <w:rsid w:val="08C94E4D"/>
    <w:rsid w:val="08E91C28"/>
    <w:rsid w:val="0915227D"/>
    <w:rsid w:val="09164C3B"/>
    <w:rsid w:val="09486932"/>
    <w:rsid w:val="099842FD"/>
    <w:rsid w:val="0A3A2559"/>
    <w:rsid w:val="0A805158"/>
    <w:rsid w:val="0AF87126"/>
    <w:rsid w:val="0B114A03"/>
    <w:rsid w:val="0B4B1CD9"/>
    <w:rsid w:val="0B9B2EBC"/>
    <w:rsid w:val="0B9C2D36"/>
    <w:rsid w:val="0BA309DB"/>
    <w:rsid w:val="0BC90D6D"/>
    <w:rsid w:val="0BCB508B"/>
    <w:rsid w:val="0C070B14"/>
    <w:rsid w:val="0C1A22A8"/>
    <w:rsid w:val="0C26236E"/>
    <w:rsid w:val="0C9306BE"/>
    <w:rsid w:val="0CB05CD1"/>
    <w:rsid w:val="0D1B39E9"/>
    <w:rsid w:val="0DCB2021"/>
    <w:rsid w:val="0E3A01CC"/>
    <w:rsid w:val="0E5E176C"/>
    <w:rsid w:val="0E9172D3"/>
    <w:rsid w:val="0EF1422C"/>
    <w:rsid w:val="0F2F630F"/>
    <w:rsid w:val="0F3B23D4"/>
    <w:rsid w:val="0F3B3DD7"/>
    <w:rsid w:val="100B6032"/>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095BD7"/>
    <w:rsid w:val="151600A7"/>
    <w:rsid w:val="159F345A"/>
    <w:rsid w:val="15E43EF8"/>
    <w:rsid w:val="165C14AB"/>
    <w:rsid w:val="16A81136"/>
    <w:rsid w:val="16AC4207"/>
    <w:rsid w:val="175B6022"/>
    <w:rsid w:val="178A56FB"/>
    <w:rsid w:val="17A8647B"/>
    <w:rsid w:val="17FF0BE2"/>
    <w:rsid w:val="18076020"/>
    <w:rsid w:val="18253B4C"/>
    <w:rsid w:val="18E06BDB"/>
    <w:rsid w:val="190F1674"/>
    <w:rsid w:val="19132D2F"/>
    <w:rsid w:val="19210747"/>
    <w:rsid w:val="1960754E"/>
    <w:rsid w:val="196E7CB2"/>
    <w:rsid w:val="198759D2"/>
    <w:rsid w:val="19D72BB5"/>
    <w:rsid w:val="1AD212BF"/>
    <w:rsid w:val="1AF900F3"/>
    <w:rsid w:val="1AFC6A2C"/>
    <w:rsid w:val="1BE0351A"/>
    <w:rsid w:val="1C120302"/>
    <w:rsid w:val="1C442FCB"/>
    <w:rsid w:val="1C532B00"/>
    <w:rsid w:val="1C797596"/>
    <w:rsid w:val="1CCC12C5"/>
    <w:rsid w:val="1D1B1BAD"/>
    <w:rsid w:val="1D401A6B"/>
    <w:rsid w:val="1DCC5DA5"/>
    <w:rsid w:val="1DCE1A41"/>
    <w:rsid w:val="1E8A015B"/>
    <w:rsid w:val="1EA00E4A"/>
    <w:rsid w:val="1F136ADB"/>
    <w:rsid w:val="1F4F1109"/>
    <w:rsid w:val="1F6A0646"/>
    <w:rsid w:val="206A0332"/>
    <w:rsid w:val="2091595B"/>
    <w:rsid w:val="20F51AC3"/>
    <w:rsid w:val="214F796A"/>
    <w:rsid w:val="21554B12"/>
    <w:rsid w:val="21AE6D2F"/>
    <w:rsid w:val="21C21552"/>
    <w:rsid w:val="21C3713A"/>
    <w:rsid w:val="23866A82"/>
    <w:rsid w:val="23B143E2"/>
    <w:rsid w:val="24DA6297"/>
    <w:rsid w:val="252F3CBE"/>
    <w:rsid w:val="261872B8"/>
    <w:rsid w:val="26694CDB"/>
    <w:rsid w:val="282C171E"/>
    <w:rsid w:val="2849297F"/>
    <w:rsid w:val="2936596A"/>
    <w:rsid w:val="2997006D"/>
    <w:rsid w:val="29A22576"/>
    <w:rsid w:val="29AC5EF0"/>
    <w:rsid w:val="2B040631"/>
    <w:rsid w:val="2B0B5AF1"/>
    <w:rsid w:val="2B726E38"/>
    <w:rsid w:val="2B793244"/>
    <w:rsid w:val="2C094BA0"/>
    <w:rsid w:val="2C60205D"/>
    <w:rsid w:val="2C8F5C68"/>
    <w:rsid w:val="2CAD317E"/>
    <w:rsid w:val="2CC97424"/>
    <w:rsid w:val="2D2725F0"/>
    <w:rsid w:val="2D345768"/>
    <w:rsid w:val="2D73679B"/>
    <w:rsid w:val="2E994608"/>
    <w:rsid w:val="2E9C375A"/>
    <w:rsid w:val="2EA60EE0"/>
    <w:rsid w:val="2ED8262F"/>
    <w:rsid w:val="2F242CBD"/>
    <w:rsid w:val="2F6E7EC4"/>
    <w:rsid w:val="2FB34058"/>
    <w:rsid w:val="300C74C4"/>
    <w:rsid w:val="30477EBC"/>
    <w:rsid w:val="304B3830"/>
    <w:rsid w:val="307D5A91"/>
    <w:rsid w:val="30D51094"/>
    <w:rsid w:val="31163F47"/>
    <w:rsid w:val="317B20C5"/>
    <w:rsid w:val="32A33E31"/>
    <w:rsid w:val="32D048D8"/>
    <w:rsid w:val="32D3622F"/>
    <w:rsid w:val="32D63CF2"/>
    <w:rsid w:val="32F26097"/>
    <w:rsid w:val="3341799D"/>
    <w:rsid w:val="33465D43"/>
    <w:rsid w:val="337A399F"/>
    <w:rsid w:val="337F2EFA"/>
    <w:rsid w:val="339029A7"/>
    <w:rsid w:val="33CC5FD9"/>
    <w:rsid w:val="33D249DA"/>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53985"/>
    <w:rsid w:val="3A096C45"/>
    <w:rsid w:val="3AB624B9"/>
    <w:rsid w:val="3B3315C9"/>
    <w:rsid w:val="3B3666AA"/>
    <w:rsid w:val="3B5D03F9"/>
    <w:rsid w:val="3B9C69ED"/>
    <w:rsid w:val="3BC2397F"/>
    <w:rsid w:val="3C075E40"/>
    <w:rsid w:val="3C0F314C"/>
    <w:rsid w:val="3C8400FD"/>
    <w:rsid w:val="3C8D5215"/>
    <w:rsid w:val="3C8F76FC"/>
    <w:rsid w:val="3CB96E1E"/>
    <w:rsid w:val="3E2A5A13"/>
    <w:rsid w:val="3E6A5C1B"/>
    <w:rsid w:val="3E734EA2"/>
    <w:rsid w:val="3E951BD3"/>
    <w:rsid w:val="3EB91E59"/>
    <w:rsid w:val="3FA23A80"/>
    <w:rsid w:val="3FB46130"/>
    <w:rsid w:val="3FB75DF9"/>
    <w:rsid w:val="418368ED"/>
    <w:rsid w:val="425C64FC"/>
    <w:rsid w:val="4278675D"/>
    <w:rsid w:val="42C61F0E"/>
    <w:rsid w:val="431F105C"/>
    <w:rsid w:val="43ED26B1"/>
    <w:rsid w:val="43F003B4"/>
    <w:rsid w:val="446458DA"/>
    <w:rsid w:val="446645C4"/>
    <w:rsid w:val="44E00C2F"/>
    <w:rsid w:val="44F12828"/>
    <w:rsid w:val="453F4EE8"/>
    <w:rsid w:val="457E0C0E"/>
    <w:rsid w:val="45A27895"/>
    <w:rsid w:val="4654463C"/>
    <w:rsid w:val="469D1E1F"/>
    <w:rsid w:val="4703453A"/>
    <w:rsid w:val="472C2680"/>
    <w:rsid w:val="47401AE3"/>
    <w:rsid w:val="47847F9B"/>
    <w:rsid w:val="47B6276E"/>
    <w:rsid w:val="47D7714D"/>
    <w:rsid w:val="487E3190"/>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395D6B"/>
    <w:rsid w:val="4E512AB0"/>
    <w:rsid w:val="4E5D3275"/>
    <w:rsid w:val="4E61428A"/>
    <w:rsid w:val="4E7B705D"/>
    <w:rsid w:val="4ECB455C"/>
    <w:rsid w:val="4EF16D21"/>
    <w:rsid w:val="4F4E6BEF"/>
    <w:rsid w:val="4F6745C5"/>
    <w:rsid w:val="4F751E54"/>
    <w:rsid w:val="4FA9510C"/>
    <w:rsid w:val="50891C17"/>
    <w:rsid w:val="5106286B"/>
    <w:rsid w:val="520E7D39"/>
    <w:rsid w:val="527310FD"/>
    <w:rsid w:val="52C145B3"/>
    <w:rsid w:val="532C19FA"/>
    <w:rsid w:val="536C046F"/>
    <w:rsid w:val="53777260"/>
    <w:rsid w:val="538840E6"/>
    <w:rsid w:val="53BD324D"/>
    <w:rsid w:val="53DA3FDB"/>
    <w:rsid w:val="547264CF"/>
    <w:rsid w:val="54B52F23"/>
    <w:rsid w:val="559025B5"/>
    <w:rsid w:val="55BE6F35"/>
    <w:rsid w:val="562F4A45"/>
    <w:rsid w:val="56AB5747"/>
    <w:rsid w:val="57466A30"/>
    <w:rsid w:val="57783EFC"/>
    <w:rsid w:val="57C44AE5"/>
    <w:rsid w:val="57E7750E"/>
    <w:rsid w:val="582C3304"/>
    <w:rsid w:val="583E683E"/>
    <w:rsid w:val="584263FC"/>
    <w:rsid w:val="58AA248A"/>
    <w:rsid w:val="592757C1"/>
    <w:rsid w:val="59D743C7"/>
    <w:rsid w:val="5A097D45"/>
    <w:rsid w:val="5A232744"/>
    <w:rsid w:val="5A7221AB"/>
    <w:rsid w:val="5A8E433F"/>
    <w:rsid w:val="5ACC5639"/>
    <w:rsid w:val="5ADB0B5B"/>
    <w:rsid w:val="5AFE0937"/>
    <w:rsid w:val="5B022AFF"/>
    <w:rsid w:val="5B1C238B"/>
    <w:rsid w:val="5BB72396"/>
    <w:rsid w:val="5BDA2541"/>
    <w:rsid w:val="5C76131E"/>
    <w:rsid w:val="5C8E70AE"/>
    <w:rsid w:val="5C9700DF"/>
    <w:rsid w:val="5CFF5AEE"/>
    <w:rsid w:val="5D5260D6"/>
    <w:rsid w:val="5E4106DA"/>
    <w:rsid w:val="5E4B362D"/>
    <w:rsid w:val="5E4B3828"/>
    <w:rsid w:val="5EC32979"/>
    <w:rsid w:val="5EFC5263"/>
    <w:rsid w:val="5F2B51D9"/>
    <w:rsid w:val="5F37440C"/>
    <w:rsid w:val="5F9B75C4"/>
    <w:rsid w:val="609E7926"/>
    <w:rsid w:val="60CC769A"/>
    <w:rsid w:val="60F3280A"/>
    <w:rsid w:val="61567366"/>
    <w:rsid w:val="615A0826"/>
    <w:rsid w:val="616E5025"/>
    <w:rsid w:val="62117B48"/>
    <w:rsid w:val="62195E42"/>
    <w:rsid w:val="622D71E5"/>
    <w:rsid w:val="6233066F"/>
    <w:rsid w:val="625714F8"/>
    <w:rsid w:val="62AF2B34"/>
    <w:rsid w:val="62B903DF"/>
    <w:rsid w:val="62D7081D"/>
    <w:rsid w:val="63392230"/>
    <w:rsid w:val="63687194"/>
    <w:rsid w:val="638E50BC"/>
    <w:rsid w:val="643C05EA"/>
    <w:rsid w:val="64A22554"/>
    <w:rsid w:val="64D27A6F"/>
    <w:rsid w:val="64DA27B0"/>
    <w:rsid w:val="65765688"/>
    <w:rsid w:val="65A40D91"/>
    <w:rsid w:val="66F55A6B"/>
    <w:rsid w:val="67327F2E"/>
    <w:rsid w:val="674609A7"/>
    <w:rsid w:val="67465B30"/>
    <w:rsid w:val="68082611"/>
    <w:rsid w:val="688C533B"/>
    <w:rsid w:val="69007FD7"/>
    <w:rsid w:val="692F0DD2"/>
    <w:rsid w:val="692F6DB1"/>
    <w:rsid w:val="696B16A5"/>
    <w:rsid w:val="69772905"/>
    <w:rsid w:val="6A360EF4"/>
    <w:rsid w:val="6A736A2C"/>
    <w:rsid w:val="6A741AB9"/>
    <w:rsid w:val="6AC4173D"/>
    <w:rsid w:val="6AE313EA"/>
    <w:rsid w:val="6B3F6E7C"/>
    <w:rsid w:val="6B4F76A1"/>
    <w:rsid w:val="6BB6746F"/>
    <w:rsid w:val="6BBE2522"/>
    <w:rsid w:val="6BFD03AE"/>
    <w:rsid w:val="6BFF6077"/>
    <w:rsid w:val="6C2308EC"/>
    <w:rsid w:val="6C867767"/>
    <w:rsid w:val="6CA34648"/>
    <w:rsid w:val="6D031FFE"/>
    <w:rsid w:val="6D3A2622"/>
    <w:rsid w:val="6D870368"/>
    <w:rsid w:val="6DEF74D5"/>
    <w:rsid w:val="6E9856D0"/>
    <w:rsid w:val="6EB840FC"/>
    <w:rsid w:val="6EE920DC"/>
    <w:rsid w:val="6F377C99"/>
    <w:rsid w:val="6F7E7DE2"/>
    <w:rsid w:val="6FAA433E"/>
    <w:rsid w:val="70192448"/>
    <w:rsid w:val="704F1D50"/>
    <w:rsid w:val="7062369D"/>
    <w:rsid w:val="70D8666D"/>
    <w:rsid w:val="70F82977"/>
    <w:rsid w:val="711203ED"/>
    <w:rsid w:val="712A76BE"/>
    <w:rsid w:val="716D6D00"/>
    <w:rsid w:val="719901C6"/>
    <w:rsid w:val="71B131C3"/>
    <w:rsid w:val="71C85278"/>
    <w:rsid w:val="71CC5821"/>
    <w:rsid w:val="71F26BCA"/>
    <w:rsid w:val="71F331D2"/>
    <w:rsid w:val="720542F1"/>
    <w:rsid w:val="72380013"/>
    <w:rsid w:val="72540D30"/>
    <w:rsid w:val="73426C39"/>
    <w:rsid w:val="73594771"/>
    <w:rsid w:val="740F0E4D"/>
    <w:rsid w:val="7469799F"/>
    <w:rsid w:val="74A66F51"/>
    <w:rsid w:val="74E24705"/>
    <w:rsid w:val="750506F3"/>
    <w:rsid w:val="756C6403"/>
    <w:rsid w:val="758944AE"/>
    <w:rsid w:val="758C4507"/>
    <w:rsid w:val="75AA1A6C"/>
    <w:rsid w:val="76C0735A"/>
    <w:rsid w:val="76DE39EB"/>
    <w:rsid w:val="774B42DA"/>
    <w:rsid w:val="77CC2AC5"/>
    <w:rsid w:val="78282051"/>
    <w:rsid w:val="783B7564"/>
    <w:rsid w:val="78710242"/>
    <w:rsid w:val="789C198D"/>
    <w:rsid w:val="78AC0F28"/>
    <w:rsid w:val="78AD7E4B"/>
    <w:rsid w:val="7922758B"/>
    <w:rsid w:val="79306CDE"/>
    <w:rsid w:val="79766799"/>
    <w:rsid w:val="79B255D2"/>
    <w:rsid w:val="79B45BBB"/>
    <w:rsid w:val="79B97B2E"/>
    <w:rsid w:val="79D0307E"/>
    <w:rsid w:val="79D03F65"/>
    <w:rsid w:val="79DE121D"/>
    <w:rsid w:val="79E249A2"/>
    <w:rsid w:val="79F0387A"/>
    <w:rsid w:val="7A483A79"/>
    <w:rsid w:val="7A5C7B4D"/>
    <w:rsid w:val="7B1F1C18"/>
    <w:rsid w:val="7B387938"/>
    <w:rsid w:val="7B6732C7"/>
    <w:rsid w:val="7C341C52"/>
    <w:rsid w:val="7D033238"/>
    <w:rsid w:val="7D176643"/>
    <w:rsid w:val="7D2F6ABF"/>
    <w:rsid w:val="7D50024E"/>
    <w:rsid w:val="7D637EF4"/>
    <w:rsid w:val="7D6B2293"/>
    <w:rsid w:val="7D792082"/>
    <w:rsid w:val="7DB36C8A"/>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customStyle="1"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年决算收入结构图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2180.32</a:t>
                    </a:r>
                    <a:r>
                      <a:t>, </a:t>
                    </a:r>
                    <a:r>
                      <a:rPr lang="en-US" altLang="zh-CN"/>
                      <a:t>90.46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100.43</a:t>
                    </a:r>
                    <a:r>
                      <a:t>, </a:t>
                    </a:r>
                    <a:r>
                      <a:rPr lang="en-US" altLang="zh-CN"/>
                      <a:t>4.17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56.51</a:t>
                    </a:r>
                    <a:r>
                      <a:t>, </a:t>
                    </a:r>
                    <a:r>
                      <a:rPr lang="en-US" altLang="zh-CN"/>
                      <a:t>2.34</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73.04</a:t>
                    </a:r>
                    <a:r>
                      <a:t>, </a:t>
                    </a:r>
                    <a:r>
                      <a:rPr lang="en-US" altLang="zh-CN"/>
                      <a:t>3.03</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79e57ff-4727-413b-ae9b-5cfa34fa0ce9}"/>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rPr>
              <a:t>2021</a:t>
            </a:r>
            <a:r>
              <a:rPr lang="zh-CN" altLang="en-US" sz="1400" b="0" i="0" u="none" strike="noStrike" kern="120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rPr>
              <a:t>年</a:t>
            </a:r>
            <a:r>
              <a:rPr lang="zh-CN" altLang="en-US" sz="1400" b="0">
                <a:latin typeface="仿宋" panose="02010609060101010101" pitchFamily="3" charset="-122"/>
                <a:ea typeface="仿宋" panose="02010609060101010101" pitchFamily="3" charset="-122"/>
                <a:cs typeface="仿宋" panose="02010609060101010101" pitchFamily="3" charset="-122"/>
              </a:rPr>
              <a:t>度预算收入与决算收入对比图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14900210735"/>
          <c:y val="0.156033287101248"/>
          <c:w val="0.70658237262923"/>
          <c:h val="0.388349514563107"/>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1825.4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10</a:t>
                    </a:r>
                    <a:r>
                      <a:rPr lang="en-US" altLang="zh-CN"/>
                      <a:t>0.43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73.04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2072.75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202.44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41.28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76.93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4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84ccece5-3014-451a-bf10-a213e5582c27}"/>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年度决算支出结构图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2263.21</a:t>
                    </a:r>
                    <a:r>
                      <a:t>, 87</a:t>
                    </a:r>
                    <a:r>
                      <a:rPr lang="en-US" altLang="zh-CN"/>
                      <a:t>.02</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202.44</a:t>
                    </a:r>
                    <a:r>
                      <a:t>, </a:t>
                    </a:r>
                    <a:r>
                      <a:rPr lang="en-US" altLang="zh-CN"/>
                      <a:t>7.78</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41.28</a:t>
                    </a:r>
                    <a:r>
                      <a:t>, </a:t>
                    </a:r>
                    <a:r>
                      <a:rPr lang="en-US" altLang="zh-CN"/>
                      <a:t>1.71</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76.93</a:t>
                    </a:r>
                    <a:r>
                      <a:t>, 3</a:t>
                    </a:r>
                    <a:r>
                      <a:rPr lang="en-US" altLang="zh-CN"/>
                      <a:t>.19</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63104325699746"/>
          <c:y val="0.397952218430034"/>
          <c:w val="0.321628498727735"/>
          <c:h val="0.4284414106939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564776f1-bb0a-451f-a376-429569c07f87}"/>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年预算支出与决算支出对比图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12023186761504"/>
          <c:y val="0.00789265982636148"/>
        </c:manualLayout>
      </c:layout>
      <c:overlay val="0"/>
    </c:title>
    <c:autoTitleDeleted val="0"/>
    <c:plotArea>
      <c:layout>
        <c:manualLayout>
          <c:layoutTarget val="inner"/>
          <c:xMode val="edge"/>
          <c:yMode val="edge"/>
          <c:x val="0.176327804291726"/>
          <c:y val="0.151059495972789"/>
          <c:w val="0.677196941205967"/>
          <c:h val="0.388318863456989"/>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1825.4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10</a:t>
                    </a:r>
                    <a:r>
                      <a:rPr lang="en-US" altLang="zh-CN"/>
                      <a:t>0.43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73.04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2263.21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202.44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41.28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40540977835618"/>
                  <c:y val="0.0128205128205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76.93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0"/>
          <c:showBubbleSize val="0"/>
        </c:dLbls>
        <c:gapWidth val="150"/>
        <c:axId val="165905536"/>
        <c:axId val="174944640"/>
      </c:barChart>
      <c:catAx>
        <c:axId val="1659055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4944640"/>
        <c:crosses val="autoZero"/>
        <c:auto val="1"/>
        <c:lblAlgn val="ctr"/>
        <c:lblOffset val="100"/>
        <c:noMultiLvlLbl val="0"/>
      </c:catAx>
      <c:valAx>
        <c:axId val="17494464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0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c6d2c80-e742-443c-a0f9-9c2502c24038}"/>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9736</Words>
  <Characters>10585</Characters>
  <Lines>102</Lines>
  <Paragraphs>28</Paragraphs>
  <TotalTime>2</TotalTime>
  <ScaleCrop>false</ScaleCrop>
  <LinksUpToDate>false</LinksUpToDate>
  <CharactersWithSpaces>10749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2021-07-09T01:47:00Z</cp:lastPrinted>
  <dcterms:modified xsi:type="dcterms:W3CDTF">2025-05-12T07:41:02Z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7E7588654FC244E380CF99C244D2BB12</vt:lpwstr>
  </property>
  <property fmtid="{D5CDD505-2E9C-101B-9397-08002B2CF9AE}" pid="4" name="KSOTemplateDocerSaveRecord">
    <vt:lpwstr>eyJoZGlkIjoiN2RjMjA2ZThhNTU5NTQ1NzMzYzBkYjU0ODU5YjliMDUifQ==</vt:lpwstr>
  </property>
</Properties>
</file>