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第一部分  执法局部门</w:t>
      </w:r>
      <w:r>
        <w:rPr>
          <w:b/>
          <w:sz w:val="44"/>
          <w:szCs w:val="44"/>
        </w:rPr>
        <w:t>概况</w:t>
      </w:r>
    </w:p>
    <w:p>
      <w:pPr>
        <w:pStyle w:val="8"/>
        <w:numPr>
          <w:ilvl w:val="0"/>
          <w:numId w:val="1"/>
        </w:numPr>
        <w:ind w:firstLineChars="0"/>
        <w:jc w:val="left"/>
        <w:rPr>
          <w:rFonts w:ascii="黑体" w:hAnsi="黑体" w:eastAsia="黑体"/>
          <w:snapToGrid w:val="0"/>
          <w:kern w:val="0"/>
          <w:sz w:val="28"/>
          <w:szCs w:val="28"/>
        </w:rPr>
      </w:pPr>
      <w:r>
        <w:rPr>
          <w:rFonts w:ascii="黑体" w:hAnsi="黑体" w:eastAsia="黑体"/>
          <w:snapToGrid w:val="0"/>
          <w:kern w:val="0"/>
          <w:sz w:val="28"/>
          <w:szCs w:val="28"/>
        </w:rPr>
        <w:t>部门职责</w:t>
      </w:r>
    </w:p>
    <w:p>
      <w:pPr>
        <w:ind w:firstLine="560" w:firstLineChars="200"/>
        <w:jc w:val="left"/>
        <w:rPr>
          <w:snapToGrid w:val="0"/>
          <w:kern w:val="0"/>
          <w:sz w:val="28"/>
          <w:szCs w:val="28"/>
        </w:rPr>
      </w:pPr>
      <w:r>
        <w:rPr>
          <w:rFonts w:hint="eastAsia"/>
          <w:snapToGrid w:val="0"/>
          <w:kern w:val="0"/>
          <w:sz w:val="28"/>
          <w:szCs w:val="28"/>
        </w:rPr>
        <w:t>（一）我单位主要职责如下：</w:t>
      </w:r>
    </w:p>
    <w:p>
      <w:pPr>
        <w:ind w:firstLine="560" w:firstLineChars="200"/>
        <w:jc w:val="left"/>
        <w:rPr>
          <w:snapToGrid w:val="0"/>
          <w:kern w:val="0"/>
          <w:sz w:val="28"/>
          <w:szCs w:val="28"/>
        </w:rPr>
      </w:pPr>
      <w:r>
        <w:rPr>
          <w:snapToGrid w:val="0"/>
          <w:kern w:val="0"/>
          <w:sz w:val="28"/>
          <w:szCs w:val="28"/>
        </w:rPr>
        <w:t>1、行使市容环境卫生管理方面法律、法规、规章规定的行政处罚权，强制拆除不符合城市容貌标准、环境卫生标准的建筑物或设施。</w:t>
      </w:r>
    </w:p>
    <w:p>
      <w:pPr>
        <w:ind w:firstLine="560" w:firstLineChars="200"/>
        <w:jc w:val="left"/>
        <w:rPr>
          <w:snapToGrid w:val="0"/>
          <w:kern w:val="0"/>
          <w:sz w:val="28"/>
          <w:szCs w:val="28"/>
        </w:rPr>
      </w:pPr>
      <w:r>
        <w:rPr>
          <w:snapToGrid w:val="0"/>
          <w:kern w:val="0"/>
          <w:sz w:val="28"/>
          <w:szCs w:val="28"/>
        </w:rPr>
        <w:t>2、行使城市规划管理方面法律、法规、规章规定的行政处罚权，对未取得《建设工程规划许可证》或者违反《建设工程规划许可证》规定进行建设，严重影响城市规划行为的行政处罚权。</w:t>
      </w:r>
    </w:p>
    <w:p>
      <w:pPr>
        <w:ind w:firstLine="560" w:firstLineChars="200"/>
        <w:jc w:val="left"/>
        <w:rPr>
          <w:snapToGrid w:val="0"/>
          <w:kern w:val="0"/>
          <w:sz w:val="28"/>
          <w:szCs w:val="28"/>
        </w:rPr>
      </w:pPr>
      <w:r>
        <w:rPr>
          <w:snapToGrid w:val="0"/>
          <w:kern w:val="0"/>
          <w:sz w:val="28"/>
          <w:szCs w:val="28"/>
        </w:rPr>
        <w:t>3、行使城市绿化管理方面法律、法规、规章规定的行政处罚权。</w:t>
      </w:r>
    </w:p>
    <w:p>
      <w:pPr>
        <w:ind w:firstLine="560" w:firstLineChars="200"/>
        <w:jc w:val="left"/>
        <w:rPr>
          <w:snapToGrid w:val="0"/>
          <w:kern w:val="0"/>
          <w:sz w:val="28"/>
          <w:szCs w:val="28"/>
        </w:rPr>
      </w:pPr>
      <w:r>
        <w:rPr>
          <w:snapToGrid w:val="0"/>
          <w:kern w:val="0"/>
          <w:sz w:val="28"/>
          <w:szCs w:val="28"/>
        </w:rPr>
        <w:t>4、行使市政公用设施管理方面法律、法规、规章规定的行政处罚权。</w:t>
      </w:r>
    </w:p>
    <w:p>
      <w:pPr>
        <w:ind w:firstLine="560" w:firstLineChars="200"/>
        <w:jc w:val="left"/>
        <w:rPr>
          <w:snapToGrid w:val="0"/>
          <w:kern w:val="0"/>
          <w:sz w:val="28"/>
          <w:szCs w:val="28"/>
        </w:rPr>
      </w:pPr>
      <w:r>
        <w:rPr>
          <w:snapToGrid w:val="0"/>
          <w:kern w:val="0"/>
          <w:sz w:val="28"/>
          <w:szCs w:val="28"/>
        </w:rPr>
        <w:t>5、行使环境保护管理方面法律、法规、规章规定的对产生社会生活噪</w:t>
      </w:r>
      <w:r>
        <w:rPr>
          <w:rFonts w:hint="eastAsia"/>
          <w:snapToGrid w:val="0"/>
          <w:kern w:val="0"/>
          <w:sz w:val="28"/>
          <w:szCs w:val="28"/>
          <w:lang w:val="en-US" w:eastAsia="zh-CN"/>
        </w:rPr>
        <w:t>声</w:t>
      </w:r>
      <w:r>
        <w:rPr>
          <w:snapToGrid w:val="0"/>
          <w:kern w:val="0"/>
          <w:sz w:val="28"/>
          <w:szCs w:val="28"/>
        </w:rPr>
        <w:t>污染、建筑施工</w:t>
      </w:r>
      <w:r>
        <w:rPr>
          <w:rFonts w:hint="eastAsia"/>
          <w:snapToGrid w:val="0"/>
          <w:kern w:val="0"/>
          <w:sz w:val="28"/>
          <w:szCs w:val="28"/>
          <w:lang w:val="en-US" w:eastAsia="zh-CN"/>
        </w:rPr>
        <w:t>噪声</w:t>
      </w:r>
      <w:bookmarkStart w:id="0" w:name="_GoBack"/>
      <w:bookmarkEnd w:id="0"/>
      <w:r>
        <w:rPr>
          <w:snapToGrid w:val="0"/>
          <w:kern w:val="0"/>
          <w:sz w:val="28"/>
          <w:szCs w:val="28"/>
        </w:rPr>
        <w:t>污染行为的行政处罚权；对城市饮食服务业超标排污行为的行政处罚权；对城区范围内露天烧烤行为的行政处罚权；对向城市规划范围内排水管网、河道、水面排污、倾倒工业废渣、城市垃圾和其他废弃物行为的行政处罚权。</w:t>
      </w:r>
    </w:p>
    <w:p>
      <w:pPr>
        <w:ind w:firstLine="560" w:firstLineChars="200"/>
        <w:jc w:val="left"/>
        <w:rPr>
          <w:snapToGrid w:val="0"/>
          <w:kern w:val="0"/>
          <w:sz w:val="28"/>
          <w:szCs w:val="28"/>
        </w:rPr>
      </w:pPr>
      <w:r>
        <w:rPr>
          <w:snapToGrid w:val="0"/>
          <w:kern w:val="0"/>
          <w:sz w:val="28"/>
          <w:szCs w:val="28"/>
        </w:rPr>
        <w:t>6、行使工商行政管理方面法律、法规、规章规定的对城区范围内店外或专业市场外经营、无照商贩的行政处罚权。</w:t>
      </w:r>
    </w:p>
    <w:p>
      <w:pPr>
        <w:ind w:firstLine="560" w:firstLineChars="200"/>
        <w:jc w:val="left"/>
        <w:rPr>
          <w:snapToGrid w:val="0"/>
          <w:kern w:val="0"/>
          <w:sz w:val="28"/>
          <w:szCs w:val="28"/>
        </w:rPr>
      </w:pPr>
      <w:r>
        <w:rPr>
          <w:snapToGrid w:val="0"/>
          <w:kern w:val="0"/>
          <w:sz w:val="28"/>
          <w:szCs w:val="28"/>
        </w:rPr>
        <w:t>7、行使公安交通管理方面法律、法规、规章规定的对侵占城市道路两侧人行道行为的行政处罚权。</w:t>
      </w:r>
    </w:p>
    <w:p>
      <w:pPr>
        <w:ind w:firstLine="560" w:firstLineChars="200"/>
        <w:jc w:val="left"/>
        <w:rPr>
          <w:snapToGrid w:val="0"/>
          <w:kern w:val="0"/>
          <w:sz w:val="28"/>
          <w:szCs w:val="28"/>
        </w:rPr>
      </w:pPr>
      <w:r>
        <w:rPr>
          <w:snapToGrid w:val="0"/>
          <w:kern w:val="0"/>
          <w:sz w:val="28"/>
          <w:szCs w:val="28"/>
        </w:rPr>
        <w:t>8、行使文化市场管理方面法律、法规、规章规定的行政处罚权，对未领取《文化经营许可证》，擅自从事文化娱乐经营行为的行政处罚权。</w:t>
      </w:r>
    </w:p>
    <w:p>
      <w:pPr>
        <w:ind w:firstLine="560" w:firstLineChars="200"/>
        <w:jc w:val="left"/>
        <w:rPr>
          <w:snapToGrid w:val="0"/>
          <w:kern w:val="0"/>
          <w:sz w:val="28"/>
          <w:szCs w:val="28"/>
        </w:rPr>
      </w:pPr>
      <w:r>
        <w:rPr>
          <w:snapToGrid w:val="0"/>
          <w:kern w:val="0"/>
          <w:sz w:val="28"/>
          <w:szCs w:val="28"/>
        </w:rPr>
        <w:t>9、行使河道、水资源管理方面法律、法规、规章规定的对在城区河道水面阻碍行洪、破坏堤防行为的行政处罚权；对未办理《取水许可证》或者不按《取水许可证》规定进行取水行为的行政处罚权。</w:t>
      </w:r>
    </w:p>
    <w:p>
      <w:pPr>
        <w:ind w:left="560"/>
        <w:jc w:val="left"/>
        <w:rPr>
          <w:rFonts w:ascii="黑体" w:hAnsi="黑体" w:eastAsia="黑体"/>
          <w:snapToGrid w:val="0"/>
          <w:kern w:val="0"/>
          <w:sz w:val="28"/>
          <w:szCs w:val="28"/>
        </w:rPr>
      </w:pPr>
      <w:r>
        <w:rPr>
          <w:snapToGrid w:val="0"/>
          <w:kern w:val="0"/>
          <w:sz w:val="28"/>
          <w:szCs w:val="28"/>
        </w:rPr>
        <w:t>10、行使省政府决定调整的城市管理领域的其他行政处罚权。</w:t>
      </w:r>
    </w:p>
    <w:p>
      <w:pPr>
        <w:ind w:firstLine="560" w:firstLineChars="200"/>
        <w:jc w:val="left"/>
        <w:rPr>
          <w:rFonts w:ascii="黑体" w:hAnsi="黑体" w:eastAsia="黑体"/>
          <w:snapToGrid w:val="0"/>
          <w:kern w:val="0"/>
          <w:sz w:val="28"/>
          <w:szCs w:val="28"/>
        </w:rPr>
      </w:pPr>
      <w:r>
        <w:rPr>
          <w:rFonts w:hint="eastAsia" w:ascii="黑体" w:hAnsi="黑体" w:eastAsia="黑体"/>
          <w:snapToGrid w:val="0"/>
          <w:kern w:val="0"/>
          <w:sz w:val="28"/>
          <w:szCs w:val="28"/>
        </w:rPr>
        <w:t>二</w:t>
      </w:r>
      <w:r>
        <w:rPr>
          <w:rFonts w:ascii="黑体" w:hAnsi="黑体" w:eastAsia="黑体"/>
          <w:snapToGrid w:val="0"/>
          <w:kern w:val="0"/>
          <w:sz w:val="28"/>
          <w:szCs w:val="28"/>
        </w:rPr>
        <w:t>、部门决算单位构成</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根据</w:t>
      </w:r>
      <w:r>
        <w:rPr>
          <w:snapToGrid w:val="0"/>
          <w:kern w:val="0"/>
          <w:sz w:val="28"/>
          <w:szCs w:val="28"/>
        </w:rPr>
        <w:t>上述职责</w:t>
      </w:r>
      <w:r>
        <w:rPr>
          <w:rFonts w:hint="eastAsia"/>
          <w:snapToGrid w:val="0"/>
          <w:kern w:val="0"/>
          <w:sz w:val="28"/>
          <w:szCs w:val="28"/>
        </w:rPr>
        <w:t>，</w:t>
      </w:r>
      <w:r>
        <w:rPr>
          <w:snapToGrid w:val="0"/>
          <w:kern w:val="0"/>
          <w:sz w:val="28"/>
          <w:szCs w:val="28"/>
        </w:rPr>
        <w:t>我单位独立核算机构</w:t>
      </w:r>
      <w:r>
        <w:rPr>
          <w:rFonts w:hint="eastAsia"/>
          <w:snapToGrid w:val="0"/>
          <w:kern w:val="0"/>
          <w:sz w:val="28"/>
          <w:szCs w:val="28"/>
        </w:rPr>
        <w:t>1个，本单位设3个</w:t>
      </w:r>
      <w:r>
        <w:rPr>
          <w:snapToGrid w:val="0"/>
          <w:kern w:val="0"/>
          <w:sz w:val="28"/>
          <w:szCs w:val="28"/>
        </w:rPr>
        <w:t>内设机构：</w:t>
      </w:r>
      <w:r>
        <w:rPr>
          <w:rFonts w:hint="eastAsia"/>
          <w:snapToGrid w:val="0"/>
          <w:kern w:val="0"/>
          <w:sz w:val="28"/>
          <w:szCs w:val="28"/>
        </w:rPr>
        <w:t>综合股、监察股和法规股 。有下属</w:t>
      </w:r>
      <w:r>
        <w:rPr>
          <w:snapToGrid w:val="0"/>
          <w:kern w:val="0"/>
          <w:sz w:val="28"/>
          <w:szCs w:val="28"/>
        </w:rPr>
        <w:t>事业单位。</w:t>
      </w:r>
    </w:p>
    <w:p>
      <w:pPr>
        <w:adjustRightInd w:val="0"/>
        <w:snapToGrid w:val="0"/>
        <w:spacing w:line="600" w:lineRule="exact"/>
        <w:ind w:firstLine="560" w:firstLineChars="200"/>
        <w:rPr>
          <w:snapToGrid w:val="0"/>
          <w:kern w:val="0"/>
          <w:sz w:val="28"/>
          <w:szCs w:val="28"/>
        </w:rPr>
      </w:pPr>
      <w:r>
        <w:rPr>
          <w:snapToGrid w:val="0"/>
          <w:kern w:val="0"/>
          <w:sz w:val="28"/>
          <w:szCs w:val="28"/>
        </w:rPr>
        <w:t>年末</w:t>
      </w:r>
      <w:r>
        <w:rPr>
          <w:rFonts w:hint="eastAsia"/>
          <w:snapToGrid w:val="0"/>
          <w:kern w:val="0"/>
          <w:sz w:val="28"/>
          <w:szCs w:val="28"/>
        </w:rPr>
        <w:t>实</w:t>
      </w:r>
      <w:r>
        <w:rPr>
          <w:snapToGrid w:val="0"/>
          <w:kern w:val="0"/>
          <w:sz w:val="28"/>
          <w:szCs w:val="28"/>
        </w:rPr>
        <w:t>有人数</w:t>
      </w:r>
      <w:r>
        <w:rPr>
          <w:rFonts w:hint="eastAsia"/>
          <w:snapToGrid w:val="0"/>
          <w:kern w:val="0"/>
          <w:sz w:val="28"/>
          <w:szCs w:val="28"/>
        </w:rPr>
        <w:t>174人</w:t>
      </w:r>
      <w:r>
        <w:rPr>
          <w:snapToGrid w:val="0"/>
          <w:kern w:val="0"/>
          <w:sz w:val="28"/>
          <w:szCs w:val="28"/>
        </w:rPr>
        <w:t>，</w:t>
      </w:r>
      <w:r>
        <w:rPr>
          <w:rFonts w:hint="eastAsia"/>
          <w:snapToGrid w:val="0"/>
          <w:kern w:val="0"/>
          <w:sz w:val="28"/>
          <w:szCs w:val="28"/>
        </w:rPr>
        <w:t>其中</w:t>
      </w:r>
      <w:r>
        <w:rPr>
          <w:snapToGrid w:val="0"/>
          <w:kern w:val="0"/>
          <w:sz w:val="28"/>
          <w:szCs w:val="28"/>
        </w:rPr>
        <w:t>在职人员</w:t>
      </w:r>
      <w:r>
        <w:rPr>
          <w:rFonts w:hint="eastAsia"/>
          <w:snapToGrid w:val="0"/>
          <w:kern w:val="0"/>
          <w:sz w:val="28"/>
          <w:szCs w:val="28"/>
        </w:rPr>
        <w:t>174人</w:t>
      </w:r>
      <w:r>
        <w:rPr>
          <w:snapToGrid w:val="0"/>
          <w:kern w:val="0"/>
          <w:sz w:val="28"/>
          <w:szCs w:val="28"/>
        </w:rPr>
        <w:t>，离休人员</w:t>
      </w:r>
      <w:r>
        <w:rPr>
          <w:rFonts w:hint="eastAsia"/>
          <w:snapToGrid w:val="0"/>
          <w:kern w:val="0"/>
          <w:sz w:val="28"/>
          <w:szCs w:val="28"/>
        </w:rPr>
        <w:t>0人</w:t>
      </w:r>
      <w:r>
        <w:rPr>
          <w:snapToGrid w:val="0"/>
          <w:kern w:val="0"/>
          <w:sz w:val="28"/>
          <w:szCs w:val="28"/>
        </w:rPr>
        <w:t>，退休人员</w:t>
      </w:r>
      <w:r>
        <w:rPr>
          <w:rFonts w:hint="eastAsia"/>
          <w:snapToGrid w:val="0"/>
          <w:kern w:val="0"/>
          <w:sz w:val="28"/>
          <w:szCs w:val="28"/>
        </w:rPr>
        <w:t>0人</w:t>
      </w:r>
      <w:r>
        <w:rPr>
          <w:snapToGrid w:val="0"/>
          <w:kern w:val="0"/>
          <w:sz w:val="28"/>
          <w:szCs w:val="28"/>
        </w:rPr>
        <w:t>。</w:t>
      </w:r>
    </w:p>
    <w:p>
      <w:pPr>
        <w:jc w:val="center"/>
        <w:rPr>
          <w:b/>
          <w:sz w:val="44"/>
          <w:szCs w:val="44"/>
        </w:rPr>
      </w:pPr>
      <w:r>
        <w:rPr>
          <w:rFonts w:hint="eastAsia"/>
          <w:b/>
          <w:sz w:val="44"/>
          <w:szCs w:val="44"/>
        </w:rPr>
        <w:t>第二部分  执法局部门2017年</w:t>
      </w:r>
      <w:r>
        <w:rPr>
          <w:b/>
          <w:sz w:val="44"/>
          <w:szCs w:val="44"/>
        </w:rPr>
        <w:t>部门决算</w:t>
      </w:r>
    </w:p>
    <w:p>
      <w:pPr>
        <w:jc w:val="center"/>
        <w:rPr>
          <w:b/>
          <w:sz w:val="44"/>
          <w:szCs w:val="44"/>
        </w:rPr>
      </w:pPr>
      <w:r>
        <w:rPr>
          <w:rFonts w:hint="eastAsia"/>
          <w:b/>
          <w:sz w:val="44"/>
          <w:szCs w:val="44"/>
        </w:rPr>
        <w:t xml:space="preserve">       </w:t>
      </w:r>
      <w:r>
        <w:rPr>
          <w:b/>
          <w:sz w:val="44"/>
          <w:szCs w:val="44"/>
        </w:rPr>
        <w:t>情况说明</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一、</w:t>
      </w:r>
      <w:r>
        <w:rPr>
          <w:rFonts w:ascii="黑体" w:hAnsi="黑体" w:eastAsia="黑体"/>
          <w:snapToGrid w:val="0"/>
          <w:kern w:val="0"/>
          <w:sz w:val="28"/>
          <w:szCs w:val="28"/>
        </w:rPr>
        <w:t>收入支出决算总体情况说明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本部门2017年本</w:t>
      </w:r>
      <w:r>
        <w:rPr>
          <w:snapToGrid w:val="0"/>
          <w:kern w:val="0"/>
          <w:sz w:val="28"/>
          <w:szCs w:val="28"/>
        </w:rPr>
        <w:t>年收入总计</w:t>
      </w:r>
      <w:r>
        <w:rPr>
          <w:rFonts w:hint="eastAsia"/>
          <w:snapToGrid w:val="0"/>
          <w:kern w:val="0"/>
          <w:sz w:val="28"/>
          <w:szCs w:val="28"/>
        </w:rPr>
        <w:t>6132.15万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44.62</w:t>
      </w:r>
      <w:r>
        <w:rPr>
          <w:snapToGrid w:val="0"/>
          <w:kern w:val="0"/>
          <w:sz w:val="28"/>
          <w:szCs w:val="28"/>
        </w:rPr>
        <w:t>%，增</w:t>
      </w:r>
      <w:r>
        <w:rPr>
          <w:rFonts w:hint="eastAsia"/>
          <w:snapToGrid w:val="0"/>
          <w:kern w:val="0"/>
          <w:sz w:val="28"/>
          <w:szCs w:val="28"/>
        </w:rPr>
        <w:t>收 1891.94万</w:t>
      </w:r>
      <w:r>
        <w:rPr>
          <w:snapToGrid w:val="0"/>
          <w:kern w:val="0"/>
          <w:sz w:val="28"/>
          <w:szCs w:val="28"/>
        </w:rPr>
        <w:t>元</w:t>
      </w:r>
      <w:r>
        <w:rPr>
          <w:rFonts w:hint="eastAsia"/>
          <w:snapToGrid w:val="0"/>
          <w:kern w:val="0"/>
          <w:sz w:val="28"/>
          <w:szCs w:val="28"/>
        </w:rPr>
        <w:t>，</w:t>
      </w:r>
      <w:r>
        <w:rPr>
          <w:snapToGrid w:val="0"/>
          <w:kern w:val="0"/>
          <w:sz w:val="28"/>
          <w:szCs w:val="28"/>
        </w:rPr>
        <w:t>原因：</w:t>
      </w:r>
      <w:r>
        <w:rPr>
          <w:rFonts w:hint="eastAsia"/>
          <w:snapToGrid w:val="0"/>
          <w:kern w:val="0"/>
          <w:sz w:val="28"/>
          <w:szCs w:val="28"/>
        </w:rPr>
        <w:t>有日常的新增项目和创城经费</w:t>
      </w:r>
      <w:r>
        <w:rPr>
          <w:snapToGrid w:val="0"/>
          <w:kern w:val="0"/>
          <w:sz w:val="28"/>
          <w:szCs w:val="28"/>
        </w:rPr>
        <w:t>；</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4891.34万</w:t>
      </w:r>
      <w:r>
        <w:rPr>
          <w:snapToGrid w:val="0"/>
          <w:kern w:val="0"/>
          <w:sz w:val="28"/>
          <w:szCs w:val="28"/>
        </w:rPr>
        <w:t>元，较上年增长</w:t>
      </w:r>
      <w:r>
        <w:rPr>
          <w:rFonts w:hint="eastAsia"/>
          <w:snapToGrid w:val="0"/>
          <w:kern w:val="0"/>
          <w:sz w:val="28"/>
          <w:szCs w:val="28"/>
        </w:rPr>
        <w:t>16.10</w:t>
      </w:r>
      <w:r>
        <w:rPr>
          <w:snapToGrid w:val="0"/>
          <w:kern w:val="0"/>
          <w:sz w:val="28"/>
          <w:szCs w:val="28"/>
        </w:rPr>
        <w:t>%，增支</w:t>
      </w:r>
      <w:r>
        <w:rPr>
          <w:rFonts w:hint="eastAsia"/>
          <w:snapToGrid w:val="0"/>
          <w:kern w:val="0"/>
          <w:sz w:val="28"/>
          <w:szCs w:val="28"/>
        </w:rPr>
        <w:t>678.29万</w:t>
      </w:r>
      <w:r>
        <w:rPr>
          <w:snapToGrid w:val="0"/>
          <w:kern w:val="0"/>
          <w:sz w:val="28"/>
          <w:szCs w:val="28"/>
        </w:rPr>
        <w:t>元</w:t>
      </w:r>
      <w:r>
        <w:rPr>
          <w:rFonts w:hint="eastAsia"/>
          <w:snapToGrid w:val="0"/>
          <w:kern w:val="0"/>
          <w:sz w:val="28"/>
          <w:szCs w:val="28"/>
        </w:rPr>
        <w:t>，原因</w:t>
      </w:r>
      <w:r>
        <w:rPr>
          <w:snapToGrid w:val="0"/>
          <w:kern w:val="0"/>
          <w:sz w:val="28"/>
          <w:szCs w:val="28"/>
        </w:rPr>
        <w:t>：</w:t>
      </w:r>
      <w:r>
        <w:rPr>
          <w:rFonts w:hint="eastAsia"/>
          <w:snapToGrid w:val="0"/>
          <w:kern w:val="0"/>
          <w:sz w:val="28"/>
          <w:szCs w:val="28"/>
        </w:rPr>
        <w:t>有日常的新增项目和创城经费；</w:t>
      </w:r>
      <w:r>
        <w:rPr>
          <w:snapToGrid w:val="0"/>
          <w:kern w:val="0"/>
          <w:sz w:val="28"/>
          <w:szCs w:val="28"/>
        </w:rPr>
        <w:t>年末结转结余</w:t>
      </w:r>
      <w:r>
        <w:rPr>
          <w:rFonts w:hint="eastAsia"/>
          <w:snapToGrid w:val="0"/>
          <w:kern w:val="0"/>
          <w:sz w:val="28"/>
          <w:szCs w:val="28"/>
        </w:rPr>
        <w:t>1481.15万</w:t>
      </w:r>
      <w:r>
        <w:rPr>
          <w:snapToGrid w:val="0"/>
          <w:kern w:val="0"/>
          <w:sz w:val="28"/>
          <w:szCs w:val="28"/>
        </w:rPr>
        <w:t>元。</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二</w:t>
      </w:r>
      <w:r>
        <w:rPr>
          <w:rFonts w:ascii="黑体" w:hAnsi="黑体" w:eastAsia="黑体"/>
          <w:snapToGrid w:val="0"/>
          <w:kern w:val="0"/>
          <w:sz w:val="28"/>
          <w:szCs w:val="28"/>
        </w:rPr>
        <w:t>、</w:t>
      </w:r>
      <w:r>
        <w:rPr>
          <w:rFonts w:hint="eastAsia" w:ascii="黑体" w:hAnsi="黑体" w:eastAsia="黑体"/>
          <w:snapToGrid w:val="0"/>
          <w:kern w:val="0"/>
          <w:sz w:val="28"/>
          <w:szCs w:val="28"/>
        </w:rPr>
        <w:t>收入</w:t>
      </w:r>
      <w:r>
        <w:rPr>
          <w:rFonts w:ascii="黑体" w:hAnsi="黑体" w:eastAsia="黑体"/>
          <w:snapToGrid w:val="0"/>
          <w:kern w:val="0"/>
          <w:sz w:val="28"/>
          <w:szCs w:val="28"/>
        </w:rPr>
        <w:t>决算情况说明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2017年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6132.15万元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6031.12万元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hint="eastAsia"/>
          <w:snapToGrid w:val="0"/>
          <w:kern w:val="0"/>
          <w:sz w:val="28"/>
          <w:szCs w:val="28"/>
        </w:rPr>
        <w:t>47.24</w:t>
      </w:r>
      <w:r>
        <w:rPr>
          <w:snapToGrid w:val="0"/>
          <w:kern w:val="0"/>
          <w:sz w:val="28"/>
          <w:szCs w:val="28"/>
        </w:rPr>
        <w:t>%，增收</w:t>
      </w:r>
      <w:r>
        <w:rPr>
          <w:rFonts w:hint="eastAsia"/>
          <w:snapToGrid w:val="0"/>
          <w:kern w:val="0"/>
          <w:sz w:val="28"/>
          <w:szCs w:val="28"/>
        </w:rPr>
        <w:t>1935.08万元，</w:t>
      </w:r>
      <w:r>
        <w:rPr>
          <w:snapToGrid w:val="0"/>
          <w:kern w:val="0"/>
          <w:sz w:val="28"/>
          <w:szCs w:val="28"/>
        </w:rPr>
        <w:t>主要原因</w:t>
      </w:r>
      <w:r>
        <w:rPr>
          <w:rFonts w:hint="eastAsia"/>
          <w:snapToGrid w:val="0"/>
          <w:kern w:val="0"/>
          <w:sz w:val="28"/>
          <w:szCs w:val="28"/>
        </w:rPr>
        <w:t>：有日常的新增项目和创城经费；上</w:t>
      </w:r>
      <w:r>
        <w:rPr>
          <w:snapToGrid w:val="0"/>
          <w:kern w:val="0"/>
          <w:sz w:val="28"/>
          <w:szCs w:val="28"/>
        </w:rPr>
        <w:t>级补助收入</w:t>
      </w:r>
      <w:r>
        <w:rPr>
          <w:rFonts w:hint="eastAsia"/>
          <w:snapToGrid w:val="0"/>
          <w:kern w:val="0"/>
          <w:sz w:val="28"/>
          <w:szCs w:val="28"/>
        </w:rPr>
        <w:t>0万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减少100</w:t>
      </w:r>
      <w:r>
        <w:rPr>
          <w:snapToGrid w:val="0"/>
          <w:kern w:val="0"/>
          <w:sz w:val="28"/>
          <w:szCs w:val="28"/>
        </w:rPr>
        <w:t>%，</w:t>
      </w:r>
      <w:r>
        <w:rPr>
          <w:rFonts w:hint="eastAsia"/>
          <w:snapToGrid w:val="0"/>
          <w:kern w:val="0"/>
          <w:sz w:val="28"/>
          <w:szCs w:val="28"/>
        </w:rPr>
        <w:t>减少40万元，</w:t>
      </w:r>
      <w:r>
        <w:rPr>
          <w:snapToGrid w:val="0"/>
          <w:kern w:val="0"/>
          <w:sz w:val="28"/>
          <w:szCs w:val="28"/>
        </w:rPr>
        <w:t>主要原因</w:t>
      </w:r>
      <w:r>
        <w:rPr>
          <w:rFonts w:hint="eastAsia"/>
          <w:snapToGrid w:val="0"/>
          <w:kern w:val="0"/>
          <w:sz w:val="28"/>
          <w:szCs w:val="28"/>
        </w:rPr>
        <w:t>：2016年市局要求记上级补助收入2017年要求往来结算；事业</w:t>
      </w:r>
      <w:r>
        <w:rPr>
          <w:snapToGrid w:val="0"/>
          <w:kern w:val="0"/>
          <w:sz w:val="28"/>
          <w:szCs w:val="28"/>
        </w:rPr>
        <w:t>收入</w:t>
      </w:r>
      <w:r>
        <w:rPr>
          <w:rFonts w:hint="eastAsia"/>
          <w:snapToGrid w:val="0"/>
          <w:kern w:val="0"/>
          <w:sz w:val="28"/>
          <w:szCs w:val="28"/>
        </w:rPr>
        <w:t>0万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0</w:t>
      </w:r>
      <w:r>
        <w:rPr>
          <w:snapToGrid w:val="0"/>
          <w:kern w:val="0"/>
          <w:sz w:val="28"/>
          <w:szCs w:val="28"/>
        </w:rPr>
        <w:t>%，增收</w:t>
      </w:r>
      <w:r>
        <w:rPr>
          <w:rFonts w:hint="eastAsia"/>
          <w:snapToGrid w:val="0"/>
          <w:kern w:val="0"/>
          <w:sz w:val="28"/>
          <w:szCs w:val="28"/>
        </w:rPr>
        <w:t>0万元，</w:t>
      </w:r>
      <w:r>
        <w:rPr>
          <w:snapToGrid w:val="0"/>
          <w:kern w:val="0"/>
          <w:sz w:val="28"/>
          <w:szCs w:val="28"/>
        </w:rPr>
        <w:t>主要原因</w:t>
      </w:r>
      <w:r>
        <w:rPr>
          <w:rFonts w:hint="eastAsia"/>
          <w:snapToGrid w:val="0"/>
          <w:kern w:val="0"/>
          <w:sz w:val="28"/>
          <w:szCs w:val="28"/>
        </w:rPr>
        <w:t xml:space="preserve">：无  </w:t>
      </w:r>
      <w:r>
        <w:rPr>
          <w:snapToGrid w:val="0"/>
          <w:kern w:val="0"/>
          <w:sz w:val="28"/>
          <w:szCs w:val="28"/>
        </w:rPr>
        <w:t>其他收入</w:t>
      </w:r>
      <w:r>
        <w:rPr>
          <w:rFonts w:hint="eastAsia"/>
          <w:snapToGrid w:val="0"/>
          <w:kern w:val="0"/>
          <w:sz w:val="28"/>
          <w:szCs w:val="28"/>
        </w:rPr>
        <w:t>101.03万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减少3</w:t>
      </w:r>
      <w:r>
        <w:rPr>
          <w:snapToGrid w:val="0"/>
          <w:kern w:val="0"/>
          <w:sz w:val="28"/>
          <w:szCs w:val="28"/>
        </w:rPr>
        <w:t>%，</w:t>
      </w:r>
      <w:r>
        <w:rPr>
          <w:rFonts w:hint="eastAsia"/>
          <w:snapToGrid w:val="0"/>
          <w:kern w:val="0"/>
          <w:sz w:val="28"/>
          <w:szCs w:val="28"/>
        </w:rPr>
        <w:t>减少3.14 万元，</w:t>
      </w:r>
      <w:r>
        <w:rPr>
          <w:snapToGrid w:val="0"/>
          <w:kern w:val="0"/>
          <w:sz w:val="28"/>
          <w:szCs w:val="28"/>
        </w:rPr>
        <w:t>主要原因</w:t>
      </w:r>
      <w:r>
        <w:rPr>
          <w:rFonts w:hint="eastAsia"/>
          <w:snapToGrid w:val="0"/>
          <w:kern w:val="0"/>
          <w:sz w:val="28"/>
          <w:szCs w:val="28"/>
        </w:rPr>
        <w:t>：工作重心从收费转移到创建文明城市工作中。</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三</w:t>
      </w:r>
      <w:r>
        <w:rPr>
          <w:rFonts w:ascii="黑体" w:hAnsi="黑体" w:eastAsia="黑体"/>
          <w:snapToGrid w:val="0"/>
          <w:kern w:val="0"/>
          <w:sz w:val="28"/>
          <w:szCs w:val="28"/>
        </w:rPr>
        <w:t>、支出决算情况说明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2017年</w:t>
      </w:r>
      <w:r>
        <w:rPr>
          <w:snapToGrid w:val="0"/>
          <w:kern w:val="0"/>
          <w:sz w:val="28"/>
          <w:szCs w:val="28"/>
        </w:rPr>
        <w:t>度支出总计</w:t>
      </w:r>
      <w:r>
        <w:rPr>
          <w:rFonts w:hint="eastAsia"/>
          <w:snapToGrid w:val="0"/>
          <w:kern w:val="0"/>
          <w:sz w:val="28"/>
          <w:szCs w:val="28"/>
        </w:rPr>
        <w:t>4891.34万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1713.68万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35.03</w:t>
      </w:r>
      <w:r>
        <w:rPr>
          <w:snapToGrid w:val="0"/>
          <w:kern w:val="0"/>
          <w:sz w:val="28"/>
          <w:szCs w:val="28"/>
        </w:rPr>
        <w:t>%</w:t>
      </w:r>
      <w:r>
        <w:rPr>
          <w:rFonts w:hint="eastAsia"/>
          <w:snapToGrid w:val="0"/>
          <w:kern w:val="0"/>
          <w:sz w:val="28"/>
          <w:szCs w:val="28"/>
        </w:rPr>
        <w:t>；</w:t>
      </w:r>
      <w:r>
        <w:rPr>
          <w:snapToGrid w:val="0"/>
          <w:kern w:val="0"/>
          <w:sz w:val="28"/>
          <w:szCs w:val="28"/>
        </w:rPr>
        <w:t>项目支出</w:t>
      </w:r>
      <w:r>
        <w:rPr>
          <w:rFonts w:hint="eastAsia"/>
          <w:snapToGrid w:val="0"/>
          <w:kern w:val="0"/>
          <w:sz w:val="28"/>
          <w:szCs w:val="28"/>
        </w:rPr>
        <w:t>3177.66万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64.97</w:t>
      </w:r>
      <w:r>
        <w:rPr>
          <w:snapToGrid w:val="0"/>
          <w:kern w:val="0"/>
          <w:sz w:val="28"/>
          <w:szCs w:val="28"/>
        </w:rPr>
        <w:t>%</w:t>
      </w:r>
      <w:r>
        <w:rPr>
          <w:rFonts w:hint="eastAsia"/>
          <w:snapToGrid w:val="0"/>
          <w:kern w:val="0"/>
          <w:sz w:val="28"/>
          <w:szCs w:val="28"/>
        </w:rPr>
        <w:t>。</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四</w:t>
      </w:r>
      <w:r>
        <w:rPr>
          <w:rFonts w:ascii="黑体" w:hAnsi="黑体" w:eastAsia="黑体"/>
          <w:snapToGrid w:val="0"/>
          <w:kern w:val="0"/>
          <w:sz w:val="28"/>
          <w:szCs w:val="28"/>
        </w:rPr>
        <w:t>、财政拨款收入支出</w:t>
      </w:r>
      <w:r>
        <w:rPr>
          <w:rFonts w:hint="eastAsia" w:ascii="黑体" w:hAnsi="黑体" w:eastAsia="黑体"/>
          <w:snapToGrid w:val="0"/>
          <w:kern w:val="0"/>
          <w:sz w:val="28"/>
          <w:szCs w:val="28"/>
        </w:rPr>
        <w:t>决算</w:t>
      </w:r>
      <w:r>
        <w:rPr>
          <w:rFonts w:ascii="黑体" w:hAnsi="黑体" w:eastAsia="黑体"/>
          <w:snapToGrid w:val="0"/>
          <w:kern w:val="0"/>
          <w:sz w:val="28"/>
          <w:szCs w:val="28"/>
        </w:rPr>
        <w:t>总体情况说明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部门2017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rFonts w:hint="eastAsia"/>
          <w:snapToGrid w:val="0"/>
          <w:kern w:val="0"/>
          <w:sz w:val="28"/>
          <w:szCs w:val="28"/>
        </w:rPr>
        <w:t>6031.12万</w:t>
      </w:r>
      <w:r>
        <w:rPr>
          <w:snapToGrid w:val="0"/>
          <w:kern w:val="0"/>
          <w:sz w:val="28"/>
          <w:szCs w:val="28"/>
        </w:rPr>
        <w:t>元，较上年增长</w:t>
      </w:r>
      <w:r>
        <w:rPr>
          <w:rFonts w:hint="eastAsia"/>
          <w:snapToGrid w:val="0"/>
          <w:kern w:val="0"/>
          <w:sz w:val="28"/>
          <w:szCs w:val="28"/>
        </w:rPr>
        <w:t>47.24</w:t>
      </w:r>
      <w:r>
        <w:rPr>
          <w:snapToGrid w:val="0"/>
          <w:kern w:val="0"/>
          <w:sz w:val="28"/>
          <w:szCs w:val="28"/>
        </w:rPr>
        <w:t>%，增收</w:t>
      </w:r>
      <w:r>
        <w:rPr>
          <w:rFonts w:hint="eastAsia"/>
          <w:snapToGrid w:val="0"/>
          <w:kern w:val="0"/>
          <w:sz w:val="28"/>
          <w:szCs w:val="28"/>
        </w:rPr>
        <w:t>1935.08万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Pr>
          <w:rFonts w:hint="eastAsia"/>
          <w:snapToGrid w:val="0"/>
          <w:kern w:val="0"/>
          <w:sz w:val="28"/>
          <w:szCs w:val="28"/>
        </w:rPr>
        <w:t>4865.26万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Pr>
          <w:rFonts w:hint="eastAsia"/>
          <w:snapToGrid w:val="0"/>
          <w:kern w:val="0"/>
          <w:sz w:val="28"/>
          <w:szCs w:val="28"/>
        </w:rPr>
        <w:t>19.52</w:t>
      </w:r>
      <w:r>
        <w:rPr>
          <w:snapToGrid w:val="0"/>
          <w:kern w:val="0"/>
          <w:sz w:val="28"/>
          <w:szCs w:val="28"/>
        </w:rPr>
        <w:t>%，增支</w:t>
      </w:r>
      <w:r>
        <w:rPr>
          <w:rFonts w:hint="eastAsia"/>
          <w:snapToGrid w:val="0"/>
          <w:kern w:val="0"/>
          <w:sz w:val="28"/>
          <w:szCs w:val="28"/>
        </w:rPr>
        <w:t>794.45万</w:t>
      </w:r>
      <w:r>
        <w:rPr>
          <w:snapToGrid w:val="0"/>
          <w:kern w:val="0"/>
          <w:sz w:val="28"/>
          <w:szCs w:val="28"/>
        </w:rPr>
        <w:t>元，</w:t>
      </w:r>
      <w:r>
        <w:rPr>
          <w:rFonts w:hint="eastAsia"/>
          <w:snapToGrid w:val="0"/>
          <w:kern w:val="0"/>
          <w:sz w:val="28"/>
          <w:szCs w:val="28"/>
        </w:rPr>
        <w:t>主要</w:t>
      </w:r>
      <w:r>
        <w:rPr>
          <w:snapToGrid w:val="0"/>
          <w:kern w:val="0"/>
          <w:sz w:val="28"/>
          <w:szCs w:val="28"/>
        </w:rPr>
        <w:t>原因是：</w:t>
      </w:r>
      <w:r>
        <w:rPr>
          <w:rFonts w:hint="eastAsia"/>
          <w:snapToGrid w:val="0"/>
          <w:kern w:val="0"/>
          <w:sz w:val="28"/>
          <w:szCs w:val="28"/>
        </w:rPr>
        <w:t>有日常的新增项目和创城经费；年</w:t>
      </w:r>
      <w:r>
        <w:rPr>
          <w:snapToGrid w:val="0"/>
          <w:kern w:val="0"/>
          <w:sz w:val="28"/>
          <w:szCs w:val="28"/>
        </w:rPr>
        <w:t>末财政拨款结转结余</w:t>
      </w:r>
      <w:r>
        <w:rPr>
          <w:rFonts w:hint="eastAsia"/>
          <w:snapToGrid w:val="0"/>
          <w:kern w:val="0"/>
          <w:sz w:val="28"/>
          <w:szCs w:val="28"/>
        </w:rPr>
        <w:t>1308.70万</w:t>
      </w:r>
      <w:r>
        <w:rPr>
          <w:snapToGrid w:val="0"/>
          <w:kern w:val="0"/>
          <w:sz w:val="28"/>
          <w:szCs w:val="28"/>
        </w:rPr>
        <w:t>元。</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 xml:space="preserve"> </w:t>
      </w:r>
      <w:r>
        <w:rPr>
          <w:snapToGrid w:val="0"/>
          <w:kern w:val="0"/>
          <w:sz w:val="28"/>
          <w:szCs w:val="28"/>
        </w:rPr>
        <w:t>2017</w:t>
      </w:r>
      <w:r>
        <w:rPr>
          <w:rFonts w:hint="eastAsia"/>
          <w:snapToGrid w:val="0"/>
          <w:kern w:val="0"/>
          <w:sz w:val="28"/>
          <w:szCs w:val="28"/>
        </w:rPr>
        <w:t>年财政</w:t>
      </w:r>
      <w:r>
        <w:rPr>
          <w:snapToGrid w:val="0"/>
          <w:kern w:val="0"/>
          <w:sz w:val="28"/>
          <w:szCs w:val="28"/>
        </w:rPr>
        <w:t>拨款支出年初预算数为</w:t>
      </w:r>
      <w:r>
        <w:rPr>
          <w:rFonts w:hint="eastAsia"/>
          <w:snapToGrid w:val="0"/>
          <w:kern w:val="0"/>
          <w:sz w:val="28"/>
          <w:szCs w:val="28"/>
        </w:rPr>
        <w:t>4535.54万元</w:t>
      </w:r>
      <w:r>
        <w:rPr>
          <w:snapToGrid w:val="0"/>
          <w:kern w:val="0"/>
          <w:sz w:val="28"/>
          <w:szCs w:val="28"/>
        </w:rPr>
        <w:t>，本年支出决算数</w:t>
      </w:r>
      <w:r>
        <w:rPr>
          <w:rFonts w:hint="eastAsia"/>
          <w:snapToGrid w:val="0"/>
          <w:kern w:val="0"/>
          <w:sz w:val="28"/>
          <w:szCs w:val="28"/>
        </w:rPr>
        <w:t>为4865.26万元</w:t>
      </w:r>
      <w:r>
        <w:rPr>
          <w:snapToGrid w:val="0"/>
          <w:kern w:val="0"/>
          <w:sz w:val="28"/>
          <w:szCs w:val="28"/>
        </w:rPr>
        <w:t>，占年初预算数的</w:t>
      </w:r>
      <w:r>
        <w:rPr>
          <w:rFonts w:hint="eastAsia"/>
          <w:snapToGrid w:val="0"/>
          <w:kern w:val="0"/>
          <w:sz w:val="28"/>
          <w:szCs w:val="28"/>
        </w:rPr>
        <w:t>107.27%，</w:t>
      </w:r>
      <w:r>
        <w:rPr>
          <w:snapToGrid w:val="0"/>
          <w:kern w:val="0"/>
          <w:sz w:val="28"/>
          <w:szCs w:val="28"/>
        </w:rPr>
        <w:t>主要原因：</w:t>
      </w:r>
      <w:r>
        <w:rPr>
          <w:rFonts w:hint="eastAsia"/>
          <w:snapToGrid w:val="0"/>
          <w:kern w:val="0"/>
          <w:sz w:val="28"/>
          <w:szCs w:val="28"/>
        </w:rPr>
        <w:t>有新增的创城经费。</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我单位无国有资本经营预算收支。</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五</w:t>
      </w:r>
      <w:r>
        <w:rPr>
          <w:rFonts w:ascii="黑体" w:hAnsi="黑体" w:eastAsia="黑体"/>
          <w:snapToGrid w:val="0"/>
          <w:kern w:val="0"/>
          <w:sz w:val="28"/>
          <w:szCs w:val="28"/>
        </w:rPr>
        <w:t>、一般公共预算财政拨款“三公”经费支出决算情况说明</w:t>
      </w:r>
    </w:p>
    <w:p>
      <w:pPr>
        <w:adjustRightInd w:val="0"/>
        <w:snapToGrid w:val="0"/>
        <w:spacing w:line="560" w:lineRule="exact"/>
        <w:ind w:firstLine="560" w:firstLineChars="200"/>
        <w:rPr>
          <w:snapToGrid w:val="0"/>
          <w:kern w:val="0"/>
          <w:sz w:val="28"/>
          <w:szCs w:val="28"/>
        </w:rPr>
      </w:pPr>
      <w:r>
        <w:rPr>
          <w:rFonts w:hint="eastAsia"/>
          <w:snapToGrid w:val="0"/>
          <w:kern w:val="0"/>
          <w:sz w:val="28"/>
          <w:szCs w:val="28"/>
        </w:rPr>
        <w:t>2017年</w:t>
      </w:r>
      <w:r>
        <w:rPr>
          <w:snapToGrid w:val="0"/>
          <w:kern w:val="0"/>
          <w:sz w:val="28"/>
          <w:szCs w:val="28"/>
        </w:rPr>
        <w:t>，在做好各项工作的前提下，节省各项开支，尤其严格控制</w:t>
      </w:r>
      <w:r>
        <w:rPr>
          <w:rFonts w:hint="eastAsia"/>
          <w:snapToGrid w:val="0"/>
          <w:kern w:val="0"/>
          <w:sz w:val="28"/>
          <w:szCs w:val="28"/>
        </w:rPr>
        <w:t>“三公”经费</w:t>
      </w:r>
      <w:r>
        <w:rPr>
          <w:snapToGrid w:val="0"/>
          <w:kern w:val="0"/>
          <w:sz w:val="28"/>
          <w:szCs w:val="28"/>
        </w:rPr>
        <w:t>的支出，全年一般公共预算财政拨款</w:t>
      </w:r>
      <w:r>
        <w:rPr>
          <w:rFonts w:hint="eastAsia"/>
          <w:snapToGrid w:val="0"/>
          <w:kern w:val="0"/>
          <w:sz w:val="28"/>
          <w:szCs w:val="28"/>
        </w:rPr>
        <w:t>“三公”经费</w:t>
      </w:r>
      <w:r>
        <w:rPr>
          <w:snapToGrid w:val="0"/>
          <w:kern w:val="0"/>
          <w:sz w:val="28"/>
          <w:szCs w:val="28"/>
        </w:rPr>
        <w:t>支出合计</w:t>
      </w:r>
      <w:r>
        <w:rPr>
          <w:rFonts w:hint="eastAsia"/>
          <w:snapToGrid w:val="0"/>
          <w:kern w:val="0"/>
          <w:sz w:val="28"/>
          <w:szCs w:val="28"/>
        </w:rPr>
        <w:t>222.65万元</w:t>
      </w:r>
      <w:r>
        <w:rPr>
          <w:snapToGrid w:val="0"/>
          <w:kern w:val="0"/>
          <w:sz w:val="28"/>
          <w:szCs w:val="28"/>
        </w:rPr>
        <w:t>，较</w:t>
      </w:r>
      <w:r>
        <w:rPr>
          <w:rFonts w:hint="eastAsia"/>
          <w:snapToGrid w:val="0"/>
          <w:kern w:val="0"/>
          <w:sz w:val="28"/>
          <w:szCs w:val="28"/>
        </w:rPr>
        <w:t>2016年增加82.04万元，增加58.35</w:t>
      </w:r>
      <w:r>
        <w:rPr>
          <w:snapToGrid w:val="0"/>
          <w:kern w:val="0"/>
          <w:sz w:val="28"/>
          <w:szCs w:val="28"/>
        </w:rPr>
        <w:t>%</w:t>
      </w:r>
      <w:r>
        <w:rPr>
          <w:rFonts w:hint="eastAsia"/>
          <w:snapToGrid w:val="0"/>
          <w:kern w:val="0"/>
          <w:sz w:val="28"/>
          <w:szCs w:val="28"/>
        </w:rPr>
        <w:t>。</w:t>
      </w:r>
    </w:p>
    <w:p>
      <w:pPr>
        <w:adjustRightInd w:val="0"/>
        <w:snapToGrid w:val="0"/>
        <w:spacing w:line="560" w:lineRule="exact"/>
        <w:ind w:firstLine="560" w:firstLineChars="200"/>
        <w:rPr>
          <w:snapToGrid w:val="0"/>
          <w:kern w:val="0"/>
          <w:sz w:val="28"/>
          <w:szCs w:val="28"/>
        </w:rPr>
      </w:pPr>
      <w:r>
        <w:rPr>
          <w:rFonts w:hint="eastAsia"/>
          <w:snapToGrid w:val="0"/>
          <w:kern w:val="0"/>
          <w:sz w:val="28"/>
          <w:szCs w:val="28"/>
        </w:rPr>
        <w:t>1、</w:t>
      </w:r>
      <w:r>
        <w:rPr>
          <w:snapToGrid w:val="0"/>
          <w:kern w:val="0"/>
          <w:sz w:val="28"/>
          <w:szCs w:val="28"/>
        </w:rPr>
        <w:t>本部门</w:t>
      </w:r>
      <w:r>
        <w:rPr>
          <w:rFonts w:hint="eastAsia"/>
          <w:snapToGrid w:val="0"/>
          <w:kern w:val="0"/>
          <w:sz w:val="28"/>
          <w:szCs w:val="28"/>
        </w:rPr>
        <w:t>2017年因公出国（境）费本年支出0万元</w:t>
      </w:r>
      <w:r>
        <w:rPr>
          <w:snapToGrid w:val="0"/>
          <w:kern w:val="0"/>
          <w:sz w:val="28"/>
          <w:szCs w:val="28"/>
        </w:rPr>
        <w:t>，较</w:t>
      </w:r>
      <w:r>
        <w:rPr>
          <w:rFonts w:hint="eastAsia"/>
          <w:snapToGrid w:val="0"/>
          <w:kern w:val="0"/>
          <w:sz w:val="28"/>
          <w:szCs w:val="28"/>
        </w:rPr>
        <w:t>2016年无变化。</w:t>
      </w:r>
      <w:r>
        <w:rPr>
          <w:snapToGrid w:val="0"/>
          <w:kern w:val="0"/>
          <w:sz w:val="28"/>
          <w:szCs w:val="28"/>
        </w:rPr>
        <w:t>因公出国（</w:t>
      </w:r>
      <w:r>
        <w:rPr>
          <w:rFonts w:hint="eastAsia"/>
          <w:snapToGrid w:val="0"/>
          <w:kern w:val="0"/>
          <w:sz w:val="28"/>
          <w:szCs w:val="28"/>
        </w:rPr>
        <w:t>境</w:t>
      </w:r>
      <w:r>
        <w:rPr>
          <w:snapToGrid w:val="0"/>
          <w:kern w:val="0"/>
          <w:sz w:val="28"/>
          <w:szCs w:val="28"/>
        </w:rPr>
        <w:t>）</w:t>
      </w:r>
      <w:r>
        <w:rPr>
          <w:rFonts w:hint="eastAsia"/>
          <w:snapToGrid w:val="0"/>
          <w:kern w:val="0"/>
          <w:sz w:val="28"/>
          <w:szCs w:val="28"/>
        </w:rPr>
        <w:t>团</w:t>
      </w:r>
      <w:r>
        <w:rPr>
          <w:snapToGrid w:val="0"/>
          <w:kern w:val="0"/>
          <w:sz w:val="28"/>
          <w:szCs w:val="28"/>
        </w:rPr>
        <w:t>组</w:t>
      </w:r>
      <w:r>
        <w:rPr>
          <w:rFonts w:hint="eastAsia"/>
          <w:snapToGrid w:val="0"/>
          <w:kern w:val="0"/>
          <w:sz w:val="28"/>
          <w:szCs w:val="28"/>
        </w:rPr>
        <w:t>0个</w:t>
      </w:r>
      <w:r>
        <w:rPr>
          <w:snapToGrid w:val="0"/>
          <w:kern w:val="0"/>
          <w:sz w:val="28"/>
          <w:szCs w:val="28"/>
        </w:rPr>
        <w:t>，因公出国（</w:t>
      </w:r>
      <w:r>
        <w:rPr>
          <w:rFonts w:hint="eastAsia"/>
          <w:snapToGrid w:val="0"/>
          <w:kern w:val="0"/>
          <w:sz w:val="28"/>
          <w:szCs w:val="28"/>
        </w:rPr>
        <w:t>境</w:t>
      </w:r>
      <w:r>
        <w:rPr>
          <w:snapToGrid w:val="0"/>
          <w:kern w:val="0"/>
          <w:sz w:val="28"/>
          <w:szCs w:val="28"/>
        </w:rPr>
        <w:t>）</w:t>
      </w:r>
      <w:r>
        <w:rPr>
          <w:rFonts w:hint="eastAsia"/>
          <w:snapToGrid w:val="0"/>
          <w:kern w:val="0"/>
          <w:sz w:val="28"/>
          <w:szCs w:val="28"/>
        </w:rPr>
        <w:t>人次</w:t>
      </w:r>
      <w:r>
        <w:rPr>
          <w:snapToGrid w:val="0"/>
          <w:kern w:val="0"/>
          <w:sz w:val="28"/>
          <w:szCs w:val="28"/>
        </w:rPr>
        <w:t>数</w:t>
      </w:r>
      <w:r>
        <w:rPr>
          <w:rFonts w:hint="eastAsia"/>
          <w:snapToGrid w:val="0"/>
          <w:kern w:val="0"/>
          <w:sz w:val="28"/>
          <w:szCs w:val="28"/>
        </w:rPr>
        <w:t>0人</w:t>
      </w:r>
      <w:r>
        <w:rPr>
          <w:snapToGrid w:val="0"/>
          <w:kern w:val="0"/>
          <w:sz w:val="28"/>
          <w:szCs w:val="28"/>
        </w:rPr>
        <w:t>。</w:t>
      </w:r>
    </w:p>
    <w:p>
      <w:pPr>
        <w:adjustRightInd w:val="0"/>
        <w:snapToGrid w:val="0"/>
        <w:spacing w:line="600" w:lineRule="exact"/>
        <w:ind w:left="105" w:leftChars="50" w:firstLine="560" w:firstLineChars="200"/>
        <w:rPr>
          <w:snapToGrid w:val="0"/>
          <w:kern w:val="0"/>
          <w:sz w:val="28"/>
          <w:szCs w:val="28"/>
        </w:rPr>
      </w:pPr>
      <w:r>
        <w:rPr>
          <w:snapToGrid w:val="0"/>
          <w:kern w:val="0"/>
          <w:sz w:val="28"/>
          <w:szCs w:val="28"/>
        </w:rPr>
        <w:t>2</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2017年</w:t>
      </w:r>
      <w:r>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及运行维护费本年</w:t>
      </w:r>
      <w:r>
        <w:rPr>
          <w:snapToGrid w:val="0"/>
          <w:kern w:val="0"/>
          <w:sz w:val="28"/>
          <w:szCs w:val="28"/>
        </w:rPr>
        <w:t>支出</w:t>
      </w:r>
      <w:r>
        <w:rPr>
          <w:rFonts w:hint="eastAsia"/>
          <w:snapToGrid w:val="0"/>
          <w:kern w:val="0"/>
          <w:sz w:val="28"/>
          <w:szCs w:val="28"/>
        </w:rPr>
        <w:t>222.65万元。（2017年</w:t>
      </w:r>
      <w:r>
        <w:rPr>
          <w:snapToGrid w:val="0"/>
          <w:kern w:val="0"/>
          <w:sz w:val="28"/>
          <w:szCs w:val="28"/>
        </w:rPr>
        <w:t>度</w:t>
      </w:r>
      <w:r>
        <w:rPr>
          <w:rFonts w:hint="eastAsia"/>
          <w:snapToGrid w:val="0"/>
          <w:kern w:val="0"/>
          <w:sz w:val="28"/>
          <w:szCs w:val="28"/>
        </w:rPr>
        <w:t>末</w:t>
      </w:r>
      <w:r>
        <w:rPr>
          <w:snapToGrid w:val="0"/>
          <w:kern w:val="0"/>
          <w:sz w:val="28"/>
          <w:szCs w:val="28"/>
        </w:rPr>
        <w:t>购置公务用车</w:t>
      </w:r>
      <w:r>
        <w:rPr>
          <w:rFonts w:hint="eastAsia"/>
          <w:snapToGrid w:val="0"/>
          <w:kern w:val="0"/>
          <w:sz w:val="28"/>
          <w:szCs w:val="28"/>
        </w:rPr>
        <w:t>0辆</w:t>
      </w:r>
      <w:r>
        <w:rPr>
          <w:snapToGrid w:val="0"/>
          <w:kern w:val="0"/>
          <w:sz w:val="28"/>
          <w:szCs w:val="28"/>
        </w:rPr>
        <w:t>，年末公务用车保有量</w:t>
      </w:r>
      <w:r>
        <w:rPr>
          <w:rFonts w:hint="eastAsia"/>
          <w:snapToGrid w:val="0"/>
          <w:kern w:val="0"/>
          <w:sz w:val="28"/>
          <w:szCs w:val="28"/>
        </w:rPr>
        <w:t>67辆</w:t>
      </w:r>
      <w:r>
        <w:rPr>
          <w:snapToGrid w:val="0"/>
          <w:kern w:val="0"/>
          <w:sz w:val="28"/>
          <w:szCs w:val="28"/>
        </w:rPr>
        <w:t>。</w:t>
      </w:r>
      <w:r>
        <w:rPr>
          <w:rFonts w:hint="eastAsia"/>
          <w:snapToGrid w:val="0"/>
          <w:kern w:val="0"/>
          <w:sz w:val="28"/>
          <w:szCs w:val="28"/>
        </w:rPr>
        <w:t>）</w:t>
      </w:r>
    </w:p>
    <w:p>
      <w:pPr>
        <w:pStyle w:val="7"/>
        <w:adjustRightInd w:val="0"/>
        <w:snapToGrid w:val="0"/>
        <w:spacing w:line="600" w:lineRule="exact"/>
        <w:ind w:left="210" w:leftChars="100" w:firstLineChars="150"/>
        <w:rPr>
          <w:snapToGrid w:val="0"/>
          <w:kern w:val="0"/>
          <w:sz w:val="28"/>
          <w:szCs w:val="28"/>
        </w:rPr>
      </w:pPr>
      <w:r>
        <w:rPr>
          <w:rFonts w:hint="eastAsia"/>
          <w:snapToGrid w:val="0"/>
          <w:kern w:val="0"/>
          <w:sz w:val="28"/>
          <w:szCs w:val="28"/>
        </w:rPr>
        <w:t>公务用车购置费本年支出0万</w:t>
      </w:r>
      <w:r>
        <w:rPr>
          <w:snapToGrid w:val="0"/>
          <w:kern w:val="0"/>
          <w:sz w:val="28"/>
          <w:szCs w:val="28"/>
        </w:rPr>
        <w:t>元</w:t>
      </w:r>
      <w:r>
        <w:rPr>
          <w:rFonts w:hint="eastAsia"/>
          <w:snapToGrid w:val="0"/>
          <w:kern w:val="0"/>
          <w:sz w:val="28"/>
          <w:szCs w:val="28"/>
        </w:rPr>
        <w:t>；较201</w:t>
      </w:r>
      <w:r>
        <w:rPr>
          <w:snapToGrid w:val="0"/>
          <w:kern w:val="0"/>
          <w:sz w:val="28"/>
          <w:szCs w:val="28"/>
        </w:rPr>
        <w:t>6</w:t>
      </w:r>
      <w:r>
        <w:rPr>
          <w:rFonts w:hint="eastAsia"/>
          <w:snapToGrid w:val="0"/>
          <w:kern w:val="0"/>
          <w:sz w:val="28"/>
          <w:szCs w:val="28"/>
        </w:rPr>
        <w:t>年无变化。</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公务用车运行维护费本年支出222.65万</w:t>
      </w:r>
      <w:r>
        <w:rPr>
          <w:snapToGrid w:val="0"/>
          <w:kern w:val="0"/>
          <w:sz w:val="28"/>
          <w:szCs w:val="28"/>
        </w:rPr>
        <w:t>元</w:t>
      </w:r>
      <w:r>
        <w:rPr>
          <w:rFonts w:hint="eastAsia"/>
          <w:snapToGrid w:val="0"/>
          <w:kern w:val="0"/>
          <w:sz w:val="28"/>
          <w:szCs w:val="28"/>
        </w:rPr>
        <w:t>；较预算增加53.19万元</w:t>
      </w:r>
      <w:r>
        <w:rPr>
          <w:snapToGrid w:val="0"/>
          <w:kern w:val="0"/>
          <w:sz w:val="28"/>
          <w:szCs w:val="28"/>
        </w:rPr>
        <w:t>，</w:t>
      </w:r>
      <w:r>
        <w:rPr>
          <w:rFonts w:hint="eastAsia"/>
          <w:snapToGrid w:val="0"/>
          <w:kern w:val="0"/>
          <w:sz w:val="28"/>
          <w:szCs w:val="28"/>
        </w:rPr>
        <w:t>增加31.39</w:t>
      </w:r>
      <w:r>
        <w:rPr>
          <w:snapToGrid w:val="0"/>
          <w:kern w:val="0"/>
          <w:sz w:val="28"/>
          <w:szCs w:val="28"/>
        </w:rPr>
        <w:t>%；</w:t>
      </w:r>
      <w:r>
        <w:rPr>
          <w:rFonts w:hint="eastAsia"/>
          <w:snapToGrid w:val="0"/>
          <w:kern w:val="0"/>
          <w:sz w:val="28"/>
          <w:szCs w:val="28"/>
        </w:rPr>
        <w:t>较201</w:t>
      </w:r>
      <w:r>
        <w:rPr>
          <w:snapToGrid w:val="0"/>
          <w:kern w:val="0"/>
          <w:sz w:val="28"/>
          <w:szCs w:val="28"/>
        </w:rPr>
        <w:t>6</w:t>
      </w:r>
      <w:r>
        <w:rPr>
          <w:rFonts w:hint="eastAsia"/>
          <w:snapToGrid w:val="0"/>
          <w:kern w:val="0"/>
          <w:sz w:val="28"/>
          <w:szCs w:val="28"/>
        </w:rPr>
        <w:t>年增加82.04万元，增加58.35</w:t>
      </w:r>
      <w:r>
        <w:rPr>
          <w:snapToGrid w:val="0"/>
          <w:kern w:val="0"/>
          <w:sz w:val="28"/>
          <w:szCs w:val="28"/>
        </w:rPr>
        <w:t>%</w:t>
      </w:r>
      <w:r>
        <w:rPr>
          <w:rFonts w:hint="eastAsia"/>
          <w:snapToGrid w:val="0"/>
          <w:kern w:val="0"/>
          <w:sz w:val="28"/>
          <w:szCs w:val="28"/>
        </w:rPr>
        <w:t>。主要原因：新增创城经费。</w:t>
      </w:r>
    </w:p>
    <w:p>
      <w:pPr>
        <w:adjustRightInd w:val="0"/>
        <w:snapToGrid w:val="0"/>
        <w:spacing w:line="600" w:lineRule="exact"/>
        <w:ind w:left="105" w:leftChars="50" w:firstLine="560" w:firstLineChars="200"/>
        <w:rPr>
          <w:snapToGrid w:val="0"/>
          <w:kern w:val="0"/>
          <w:sz w:val="28"/>
          <w:szCs w:val="28"/>
        </w:rPr>
      </w:pPr>
      <w:r>
        <w:rPr>
          <w:snapToGrid w:val="0"/>
          <w:kern w:val="0"/>
          <w:sz w:val="28"/>
          <w:szCs w:val="28"/>
        </w:rPr>
        <w:t>3</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2017年公务接待费全年支出0万元，较201</w:t>
      </w:r>
      <w:r>
        <w:rPr>
          <w:snapToGrid w:val="0"/>
          <w:kern w:val="0"/>
          <w:sz w:val="28"/>
          <w:szCs w:val="28"/>
        </w:rPr>
        <w:t>6</w:t>
      </w:r>
      <w:r>
        <w:rPr>
          <w:rFonts w:hint="eastAsia"/>
          <w:snapToGrid w:val="0"/>
          <w:kern w:val="0"/>
          <w:sz w:val="28"/>
          <w:szCs w:val="28"/>
        </w:rPr>
        <w:t>年无变化。</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国内公务接待批次0个，国内公务接待人次0人；国外公务接待批次0个，国外公务接待人次0人。</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六</w:t>
      </w:r>
      <w:r>
        <w:rPr>
          <w:snapToGrid w:val="0"/>
          <w:kern w:val="0"/>
          <w:sz w:val="28"/>
          <w:szCs w:val="28"/>
        </w:rPr>
        <w:t>、</w:t>
      </w:r>
      <w:r>
        <w:rPr>
          <w:rFonts w:hint="eastAsia"/>
          <w:snapToGrid w:val="0"/>
          <w:kern w:val="0"/>
          <w:sz w:val="28"/>
          <w:szCs w:val="28"/>
        </w:rPr>
        <w:t>预算</w:t>
      </w:r>
      <w:r>
        <w:rPr>
          <w:snapToGrid w:val="0"/>
          <w:kern w:val="0"/>
          <w:sz w:val="28"/>
          <w:szCs w:val="28"/>
        </w:rPr>
        <w:t>绩效管理工作开展情况说明</w:t>
      </w:r>
    </w:p>
    <w:p>
      <w:pPr>
        <w:adjustRightInd w:val="0"/>
        <w:snapToGrid w:val="0"/>
        <w:spacing w:line="600" w:lineRule="exact"/>
        <w:ind w:left="105" w:leftChars="50" w:firstLine="560" w:firstLineChars="200"/>
        <w:rPr>
          <w:snapToGrid w:val="0"/>
          <w:kern w:val="0"/>
          <w:sz w:val="28"/>
          <w:szCs w:val="28"/>
        </w:rPr>
      </w:pPr>
      <w:r>
        <w:rPr>
          <w:rFonts w:hint="eastAsia" w:ascii="黑体" w:hAnsi="黑体" w:eastAsia="黑体"/>
          <w:snapToGrid w:val="0"/>
          <w:kern w:val="0"/>
          <w:sz w:val="28"/>
          <w:szCs w:val="28"/>
        </w:rPr>
        <w:t>（</w:t>
      </w:r>
      <w:r>
        <w:rPr>
          <w:rFonts w:hint="eastAsia"/>
          <w:snapToGrid w:val="0"/>
          <w:kern w:val="0"/>
          <w:sz w:val="28"/>
          <w:szCs w:val="28"/>
        </w:rPr>
        <w:t>一）预算绩效管理工作开展情况</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根据区财政预算绩效管理要求，我单位部门以“部门职责—工作活动”为依据，确定部门预算项目和预算额度，清晰描述预算项目开支范围和内容，确定预算项目的绩效目标、绩效指标和评价标准，为预算绩效控制、绩效分析、绩效评价打下好的基础。</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（二） 预算项目绩效评价开展情况</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按照区财政预算绩效管理要求，我单位对 2017 年初确定的部门一般公共预算支出项目全面开展了绩效自评。我单位部门决算项目24项，共涉及预算资金3115.57万元，绩效自评覆盖率达到 100%。较好的完成了各项绩效指标，年底通过绩效评价。</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 三 ） 预算项目绩效自评选例</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我单位</w:t>
      </w:r>
      <w:r>
        <w:rPr>
          <w:snapToGrid w:val="0"/>
          <w:kern w:val="0"/>
          <w:sz w:val="28"/>
          <w:szCs w:val="28"/>
        </w:rPr>
        <w:t>依托河北省政府财政管理信息系统，</w:t>
      </w:r>
      <w:r>
        <w:rPr>
          <w:rFonts w:hint="eastAsia"/>
          <w:snapToGrid w:val="0"/>
          <w:kern w:val="0"/>
          <w:sz w:val="28"/>
          <w:szCs w:val="28"/>
        </w:rPr>
        <w:t>确定</w:t>
      </w:r>
      <w:r>
        <w:rPr>
          <w:snapToGrid w:val="0"/>
          <w:kern w:val="0"/>
          <w:sz w:val="28"/>
          <w:szCs w:val="28"/>
        </w:rPr>
        <w:t>部门预算项目和预算额度，清晰描述预算项目开支范围和内容，确定预算项目的绩效目标</w:t>
      </w:r>
      <w:r>
        <w:rPr>
          <w:rFonts w:hint="eastAsia"/>
          <w:snapToGrid w:val="0"/>
          <w:kern w:val="0"/>
          <w:sz w:val="28"/>
          <w:szCs w:val="28"/>
        </w:rPr>
        <w:t>。如我单位</w:t>
      </w:r>
      <w:r>
        <w:rPr>
          <w:snapToGrid w:val="0"/>
          <w:kern w:val="0"/>
          <w:sz w:val="28"/>
          <w:szCs w:val="28"/>
        </w:rPr>
        <w:t>的</w:t>
      </w:r>
      <w:r>
        <w:rPr>
          <w:rFonts w:hint="eastAsia"/>
          <w:snapToGrid w:val="0"/>
          <w:kern w:val="0"/>
          <w:sz w:val="28"/>
          <w:szCs w:val="28"/>
        </w:rPr>
        <w:t>巡逻保障经费项目</w:t>
      </w:r>
      <w:r>
        <w:rPr>
          <w:snapToGrid w:val="0"/>
          <w:kern w:val="0"/>
          <w:sz w:val="28"/>
          <w:szCs w:val="28"/>
        </w:rPr>
        <w:t>，</w:t>
      </w:r>
      <w:r>
        <w:rPr>
          <w:rFonts w:hint="eastAsia"/>
          <w:snapToGrid w:val="0"/>
          <w:kern w:val="0"/>
          <w:sz w:val="28"/>
          <w:szCs w:val="28"/>
        </w:rPr>
        <w:t>该项目</w:t>
      </w:r>
      <w:r>
        <w:rPr>
          <w:snapToGrid w:val="0"/>
          <w:kern w:val="0"/>
          <w:sz w:val="28"/>
          <w:szCs w:val="28"/>
        </w:rPr>
        <w:t>年初预算安排</w:t>
      </w:r>
      <w:r>
        <w:rPr>
          <w:rFonts w:hint="eastAsia"/>
          <w:snapToGrid w:val="0"/>
          <w:kern w:val="0"/>
          <w:sz w:val="28"/>
          <w:szCs w:val="28"/>
        </w:rPr>
        <w:t>81万元</w:t>
      </w:r>
      <w:r>
        <w:rPr>
          <w:snapToGrid w:val="0"/>
          <w:kern w:val="0"/>
          <w:sz w:val="28"/>
          <w:szCs w:val="28"/>
        </w:rPr>
        <w:t>，</w:t>
      </w:r>
      <w:r>
        <w:rPr>
          <w:rFonts w:hint="eastAsia"/>
          <w:snapToGrid w:val="0"/>
          <w:kern w:val="0"/>
          <w:sz w:val="28"/>
          <w:szCs w:val="28"/>
        </w:rPr>
        <w:t>截至年末</w:t>
      </w:r>
      <w:r>
        <w:rPr>
          <w:snapToGrid w:val="0"/>
          <w:kern w:val="0"/>
          <w:sz w:val="28"/>
          <w:szCs w:val="28"/>
        </w:rPr>
        <w:t>实际支出</w:t>
      </w:r>
      <w:r>
        <w:rPr>
          <w:rFonts w:hint="eastAsia"/>
          <w:snapToGrid w:val="0"/>
          <w:kern w:val="0"/>
          <w:sz w:val="28"/>
          <w:szCs w:val="28"/>
        </w:rPr>
        <w:t>81万元</w:t>
      </w:r>
      <w:r>
        <w:rPr>
          <w:snapToGrid w:val="0"/>
          <w:kern w:val="0"/>
          <w:sz w:val="28"/>
          <w:szCs w:val="28"/>
        </w:rPr>
        <w:t>。</w:t>
      </w:r>
      <w:r>
        <w:rPr>
          <w:rFonts w:hint="eastAsia"/>
          <w:snapToGrid w:val="0"/>
          <w:kern w:val="0"/>
          <w:sz w:val="28"/>
          <w:szCs w:val="28"/>
        </w:rPr>
        <w:t>设立效果指标为保障城区内的公共安全，</w:t>
      </w:r>
      <w:r>
        <w:rPr>
          <w:snapToGrid w:val="0"/>
          <w:kern w:val="0"/>
          <w:sz w:val="28"/>
          <w:szCs w:val="28"/>
        </w:rPr>
        <w:t>取得了</w:t>
      </w:r>
      <w:r>
        <w:rPr>
          <w:rFonts w:hint="eastAsia"/>
          <w:snapToGrid w:val="0"/>
          <w:kern w:val="0"/>
          <w:sz w:val="28"/>
          <w:szCs w:val="28"/>
        </w:rPr>
        <w:t>良好的</w:t>
      </w:r>
      <w:r>
        <w:rPr>
          <w:snapToGrid w:val="0"/>
          <w:kern w:val="0"/>
          <w:sz w:val="28"/>
          <w:szCs w:val="28"/>
        </w:rPr>
        <w:t>成果</w:t>
      </w:r>
      <w:r>
        <w:rPr>
          <w:rFonts w:hint="eastAsia"/>
          <w:snapToGrid w:val="0"/>
          <w:kern w:val="0"/>
          <w:sz w:val="28"/>
          <w:szCs w:val="28"/>
        </w:rPr>
        <w:t>，</w:t>
      </w:r>
      <w:r>
        <w:rPr>
          <w:snapToGrid w:val="0"/>
          <w:kern w:val="0"/>
          <w:sz w:val="28"/>
          <w:szCs w:val="28"/>
        </w:rPr>
        <w:t>较好的</w:t>
      </w:r>
      <w:r>
        <w:rPr>
          <w:rFonts w:hint="eastAsia"/>
          <w:snapToGrid w:val="0"/>
          <w:kern w:val="0"/>
          <w:sz w:val="28"/>
          <w:szCs w:val="28"/>
        </w:rPr>
        <w:t>实现了</w:t>
      </w:r>
      <w:r>
        <w:rPr>
          <w:snapToGrid w:val="0"/>
          <w:kern w:val="0"/>
          <w:sz w:val="28"/>
          <w:szCs w:val="28"/>
        </w:rPr>
        <w:t>预算项目绩效</w:t>
      </w:r>
      <w:r>
        <w:rPr>
          <w:rFonts w:hint="eastAsia"/>
          <w:snapToGrid w:val="0"/>
          <w:kern w:val="0"/>
          <w:sz w:val="28"/>
          <w:szCs w:val="28"/>
        </w:rPr>
        <w:t>目标，项目目标自评等级为优</w:t>
      </w:r>
      <w:r>
        <w:rPr>
          <w:snapToGrid w:val="0"/>
          <w:kern w:val="0"/>
          <w:sz w:val="28"/>
          <w:szCs w:val="28"/>
        </w:rPr>
        <w:t>。</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七</w:t>
      </w:r>
      <w:r>
        <w:rPr>
          <w:rFonts w:ascii="黑体" w:hAnsi="黑体" w:eastAsia="黑体"/>
          <w:snapToGrid w:val="0"/>
          <w:kern w:val="0"/>
          <w:sz w:val="28"/>
          <w:szCs w:val="28"/>
        </w:rPr>
        <w:t>、</w:t>
      </w:r>
      <w:r>
        <w:rPr>
          <w:rFonts w:hint="eastAsia" w:ascii="黑体" w:hAnsi="黑体" w:eastAsia="黑体"/>
          <w:snapToGrid w:val="0"/>
          <w:kern w:val="0"/>
          <w:sz w:val="28"/>
          <w:szCs w:val="28"/>
        </w:rPr>
        <w:t>其他</w:t>
      </w:r>
      <w:r>
        <w:rPr>
          <w:rFonts w:ascii="黑体" w:hAnsi="黑体" w:eastAsia="黑体"/>
          <w:snapToGrid w:val="0"/>
          <w:kern w:val="0"/>
          <w:sz w:val="28"/>
          <w:szCs w:val="28"/>
        </w:rPr>
        <w:t>重要事项的说明</w:t>
      </w:r>
    </w:p>
    <w:p>
      <w:pPr>
        <w:adjustRightInd w:val="0"/>
        <w:snapToGrid w:val="0"/>
        <w:spacing w:line="600" w:lineRule="exact"/>
        <w:ind w:firstLine="560" w:firstLineChars="20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本单位为事业单位，没有机关运行经费，以下支出属于正常的事业支出。</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93.50万元，其中办公费10.47万元、印刷费0万元、水费0.69万元、电费6.17万元、邮电费2.04万元、取暖费3.92万元、差旅费0.94万元、维修（护）费0万元、会议费0.96万元、培训费1.02万元、公务接待费0万元、工会经费17.57万元、福利费11.92万元、公务用车运行维护费19.45万元、其他交通费用0万元等。</w:t>
      </w:r>
    </w:p>
    <w:p>
      <w:pPr>
        <w:pStyle w:val="7"/>
        <w:adjustRightInd w:val="0"/>
        <w:snapToGrid w:val="0"/>
        <w:spacing w:line="600" w:lineRule="exact"/>
        <w:ind w:left="210" w:leftChars="100" w:firstLineChars="150"/>
        <w:rPr>
          <w:snapToGrid w:val="0"/>
          <w:kern w:val="0"/>
          <w:sz w:val="28"/>
          <w:szCs w:val="28"/>
        </w:rPr>
      </w:pPr>
      <w:r>
        <w:rPr>
          <w:rFonts w:hint="eastAsia"/>
          <w:snapToGrid w:val="0"/>
          <w:kern w:val="0"/>
          <w:sz w:val="28"/>
          <w:szCs w:val="28"/>
        </w:rPr>
        <w:t>2017年本部门机关运行经费支出93.50万元，比201</w:t>
      </w:r>
      <w:r>
        <w:rPr>
          <w:snapToGrid w:val="0"/>
          <w:kern w:val="0"/>
          <w:sz w:val="28"/>
          <w:szCs w:val="28"/>
        </w:rPr>
        <w:t>6</w:t>
      </w:r>
      <w:r>
        <w:rPr>
          <w:rFonts w:hint="eastAsia"/>
          <w:snapToGrid w:val="0"/>
          <w:kern w:val="0"/>
          <w:sz w:val="28"/>
          <w:szCs w:val="28"/>
        </w:rPr>
        <w:t>年减少23.55万元，下降20.12%。主要原因是：压缩支出。</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2</w:t>
      </w:r>
      <w:r>
        <w:rPr>
          <w:snapToGrid w:val="0"/>
          <w:kern w:val="0"/>
          <w:sz w:val="28"/>
          <w:szCs w:val="28"/>
        </w:rPr>
        <w:t>、政府采购情况说明</w:t>
      </w:r>
    </w:p>
    <w:p>
      <w:pPr>
        <w:adjustRightInd w:val="0"/>
        <w:snapToGrid w:val="0"/>
        <w:spacing w:line="600" w:lineRule="exact"/>
        <w:ind w:left="210" w:leftChars="100" w:firstLine="280" w:firstLineChars="10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年政府采购预算总额为714.53万元，主要包括政府采购货物  198.53万元，工程0万元及服务516万元。</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2017年本部门政府采购支出总额707.60万元，其中：政府采购货物支出197万元、政府采购工程支出0万元、政府采购服务支出510.60</w:t>
      </w:r>
      <w:r>
        <w:rPr>
          <w:snapToGrid w:val="0"/>
          <w:kern w:val="0"/>
          <w:sz w:val="28"/>
          <w:szCs w:val="28"/>
        </w:rPr>
        <w:t xml:space="preserve"> </w:t>
      </w:r>
      <w:r>
        <w:rPr>
          <w:rFonts w:hint="eastAsia"/>
          <w:snapToGrid w:val="0"/>
          <w:kern w:val="0"/>
          <w:sz w:val="28"/>
          <w:szCs w:val="28"/>
        </w:rPr>
        <w:t>万元。</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3、</w:t>
      </w:r>
      <w:r>
        <w:rPr>
          <w:snapToGrid w:val="0"/>
          <w:kern w:val="0"/>
          <w:sz w:val="28"/>
          <w:szCs w:val="28"/>
        </w:rPr>
        <w:t>国有资产占用情况</w:t>
      </w:r>
    </w:p>
    <w:p>
      <w:pPr>
        <w:pStyle w:val="7"/>
        <w:adjustRightInd w:val="0"/>
        <w:snapToGrid w:val="0"/>
        <w:spacing w:line="600" w:lineRule="exact"/>
        <w:ind w:firstLine="560"/>
        <w:rPr>
          <w:snapToGrid w:val="0"/>
          <w:kern w:val="0"/>
          <w:sz w:val="28"/>
          <w:szCs w:val="28"/>
        </w:rPr>
      </w:pPr>
      <w:r>
        <w:rPr>
          <w:rFonts w:hint="eastAsia"/>
          <w:snapToGrid w:val="0"/>
          <w:kern w:val="0"/>
          <w:sz w:val="28"/>
          <w:szCs w:val="28"/>
        </w:rPr>
        <w:t>我单位201</w:t>
      </w:r>
      <w:r>
        <w:rPr>
          <w:snapToGrid w:val="0"/>
          <w:kern w:val="0"/>
          <w:sz w:val="28"/>
          <w:szCs w:val="28"/>
        </w:rPr>
        <w:t>7</w:t>
      </w:r>
      <w:r>
        <w:rPr>
          <w:rFonts w:hint="eastAsia"/>
          <w:snapToGrid w:val="0"/>
          <w:kern w:val="0"/>
          <w:sz w:val="28"/>
          <w:szCs w:val="28"/>
        </w:rPr>
        <w:t>年末固定资产总额为1297.61万元，主要包括房屋0平方米价值0万元，车辆67辆价值1100.85万元，单价在</w:t>
      </w:r>
      <w:r>
        <w:rPr>
          <w:snapToGrid w:val="0"/>
          <w:kern w:val="0"/>
          <w:sz w:val="28"/>
          <w:szCs w:val="28"/>
        </w:rPr>
        <w:t>50</w:t>
      </w:r>
      <w:r>
        <w:rPr>
          <w:rFonts w:hint="eastAsia"/>
          <w:snapToGrid w:val="0"/>
          <w:kern w:val="0"/>
          <w:sz w:val="28"/>
          <w:szCs w:val="28"/>
        </w:rPr>
        <w:t xml:space="preserve">万元以上的设备0台，及其他固定资产196.76万元。 </w:t>
      </w:r>
    </w:p>
    <w:p>
      <w:pPr>
        <w:pStyle w:val="7"/>
        <w:adjustRightInd w:val="0"/>
        <w:snapToGrid w:val="0"/>
        <w:spacing w:line="600" w:lineRule="exact"/>
        <w:ind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年资产变动情况：固定资产增加111.63万元，包括房屋变化0万元,车辆增加0万元，单价在50万元以上的设备变化0万元，其他固定资产增加111.63万元。</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4、</w:t>
      </w:r>
      <w:r>
        <w:rPr>
          <w:snapToGrid w:val="0"/>
          <w:kern w:val="0"/>
          <w:sz w:val="28"/>
          <w:szCs w:val="28"/>
        </w:rPr>
        <w:t>其他需要说明的</w:t>
      </w:r>
      <w:r>
        <w:rPr>
          <w:rFonts w:hint="eastAsia"/>
          <w:snapToGrid w:val="0"/>
          <w:kern w:val="0"/>
          <w:sz w:val="28"/>
          <w:szCs w:val="28"/>
        </w:rPr>
        <w:t>情况</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无</w:t>
      </w:r>
    </w:p>
    <w:p>
      <w:pPr>
        <w:jc w:val="center"/>
        <w:rPr>
          <w:b/>
          <w:sz w:val="44"/>
          <w:szCs w:val="44"/>
        </w:rPr>
      </w:pPr>
      <w:r>
        <w:rPr>
          <w:rFonts w:hint="eastAsia"/>
          <w:b/>
          <w:sz w:val="44"/>
          <w:szCs w:val="44"/>
        </w:rPr>
        <w:t>第三部分     名词</w:t>
      </w:r>
      <w:r>
        <w:rPr>
          <w:b/>
          <w:sz w:val="44"/>
          <w:szCs w:val="44"/>
        </w:rPr>
        <w:t>解释</w:t>
      </w:r>
    </w:p>
    <w:p>
      <w:pPr>
        <w:pStyle w:val="7"/>
        <w:ind w:firstLine="560"/>
        <w:rPr>
          <w:snapToGrid w:val="0"/>
          <w:kern w:val="0"/>
          <w:sz w:val="28"/>
          <w:szCs w:val="28"/>
        </w:rPr>
      </w:pPr>
      <w:r>
        <w:rPr>
          <w:rFonts w:hint="eastAsia"/>
          <w:snapToGrid w:val="0"/>
          <w:kern w:val="0"/>
          <w:sz w:val="28"/>
          <w:szCs w:val="28"/>
        </w:rPr>
        <w:t>（一）财政拨款收入：本年度从本级财政部门取得的财政拨款，包括一般公共预算财政拨款和政府性基金预算财政拨款。</w:t>
      </w:r>
    </w:p>
    <w:p>
      <w:pPr>
        <w:pStyle w:val="7"/>
        <w:ind w:firstLine="560"/>
        <w:rPr>
          <w:snapToGrid w:val="0"/>
          <w:kern w:val="0"/>
          <w:sz w:val="28"/>
          <w:szCs w:val="28"/>
        </w:rPr>
      </w:pPr>
      <w:r>
        <w:rPr>
          <w:rFonts w:hint="eastAsia"/>
          <w:snapToGrid w:val="0"/>
          <w:kern w:val="0"/>
          <w:sz w:val="28"/>
          <w:szCs w:val="28"/>
        </w:rPr>
        <w:t>（二）事业收入：指事业单位开展专业业务活动及辅助活动所取得的收入。</w:t>
      </w:r>
    </w:p>
    <w:p>
      <w:pPr>
        <w:pStyle w:val="7"/>
        <w:ind w:firstLine="560"/>
        <w:rPr>
          <w:snapToGrid w:val="0"/>
          <w:kern w:val="0"/>
          <w:sz w:val="28"/>
          <w:szCs w:val="28"/>
        </w:rPr>
      </w:pPr>
      <w:r>
        <w:rPr>
          <w:rFonts w:hint="eastAsia"/>
          <w:snapToGrid w:val="0"/>
          <w:kern w:val="0"/>
          <w:sz w:val="28"/>
          <w:szCs w:val="28"/>
        </w:rPr>
        <w:t>（三）其他收入：指除上述“财政拨款收入”、“事业收入”、“经营收入”等以外的收入。</w:t>
      </w:r>
    </w:p>
    <w:p>
      <w:pPr>
        <w:pStyle w:val="7"/>
        <w:ind w:firstLine="560"/>
        <w:rPr>
          <w:snapToGrid w:val="0"/>
          <w:kern w:val="0"/>
          <w:sz w:val="28"/>
          <w:szCs w:val="28"/>
        </w:rPr>
      </w:pPr>
      <w:r>
        <w:rPr>
          <w:rFonts w:hint="eastAsia"/>
          <w:snapToGrid w:val="0"/>
          <w:kern w:val="0"/>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pStyle w:val="7"/>
        <w:ind w:firstLine="560"/>
        <w:rPr>
          <w:snapToGrid w:val="0"/>
          <w:kern w:val="0"/>
          <w:sz w:val="28"/>
          <w:szCs w:val="28"/>
        </w:rPr>
      </w:pPr>
      <w:r>
        <w:rPr>
          <w:rFonts w:hint="eastAsia"/>
          <w:snapToGrid w:val="0"/>
          <w:kern w:val="0"/>
          <w:sz w:val="28"/>
          <w:szCs w:val="28"/>
        </w:rPr>
        <w:t>（五）年初结转和结余：指以前年度尚未完成、结转到本年仍按原规定用途继续使用的资金，或项目已完成等产生的结余资金。</w:t>
      </w:r>
    </w:p>
    <w:p>
      <w:pPr>
        <w:pStyle w:val="7"/>
        <w:ind w:firstLine="560"/>
        <w:rPr>
          <w:snapToGrid w:val="0"/>
          <w:kern w:val="0"/>
          <w:sz w:val="28"/>
          <w:szCs w:val="28"/>
        </w:rPr>
      </w:pPr>
      <w:r>
        <w:rPr>
          <w:rFonts w:hint="eastAsia"/>
          <w:snapToGrid w:val="0"/>
          <w:kern w:val="0"/>
          <w:sz w:val="28"/>
          <w:szCs w:val="28"/>
        </w:rPr>
        <w:t>（六）结余分配：指事业单位按照事业单位会计制度的规定从非财政补助结余中分配的事业基金和职工福利基金等。</w:t>
      </w:r>
    </w:p>
    <w:p>
      <w:pPr>
        <w:pStyle w:val="7"/>
        <w:ind w:firstLine="560"/>
        <w:rPr>
          <w:snapToGrid w:val="0"/>
          <w:kern w:val="0"/>
          <w:sz w:val="28"/>
          <w:szCs w:val="28"/>
        </w:rPr>
      </w:pPr>
      <w:r>
        <w:rPr>
          <w:rFonts w:hint="eastAsia"/>
          <w:snapToGrid w:val="0"/>
          <w:kern w:val="0"/>
          <w:sz w:val="28"/>
          <w:szCs w:val="28"/>
        </w:rPr>
        <w:t>（七）年末结转和结余：指单位按有关规定结转到下年或以后年度继续使用的资金，或项目已完成等产生的结余资金。</w:t>
      </w:r>
    </w:p>
    <w:p>
      <w:pPr>
        <w:pStyle w:val="7"/>
        <w:ind w:firstLine="560"/>
        <w:rPr>
          <w:snapToGrid w:val="0"/>
          <w:kern w:val="0"/>
          <w:sz w:val="28"/>
          <w:szCs w:val="28"/>
        </w:rPr>
      </w:pPr>
      <w:r>
        <w:rPr>
          <w:rFonts w:hint="eastAsia"/>
          <w:snapToGrid w:val="0"/>
          <w:kern w:val="0"/>
          <w:sz w:val="28"/>
          <w:szCs w:val="28"/>
        </w:rPr>
        <w:t>（八）基本支出：填列单位为保障机构正常运转、完成日常工作任务而发生的各项支出。</w:t>
      </w:r>
    </w:p>
    <w:p>
      <w:pPr>
        <w:pStyle w:val="7"/>
        <w:ind w:firstLine="560"/>
        <w:rPr>
          <w:snapToGrid w:val="0"/>
          <w:kern w:val="0"/>
          <w:sz w:val="28"/>
          <w:szCs w:val="28"/>
        </w:rPr>
      </w:pPr>
      <w:r>
        <w:rPr>
          <w:rFonts w:hint="eastAsia"/>
          <w:snapToGrid w:val="0"/>
          <w:kern w:val="0"/>
          <w:sz w:val="28"/>
          <w:szCs w:val="28"/>
        </w:rPr>
        <w:t>（九）项目支出：填列单位为完成特定的行政工作任务或事业发展目标，在基本支出之外发生的各项支出。</w:t>
      </w:r>
    </w:p>
    <w:p>
      <w:pPr>
        <w:pStyle w:val="7"/>
        <w:ind w:firstLine="560"/>
        <w:rPr>
          <w:snapToGrid w:val="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D361BD"/>
    <w:multiLevelType w:val="multilevel"/>
    <w:tmpl w:val="75D361BD"/>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23F5"/>
    <w:rsid w:val="00055096"/>
    <w:rsid w:val="00064B87"/>
    <w:rsid w:val="000E029F"/>
    <w:rsid w:val="001041EE"/>
    <w:rsid w:val="001470C3"/>
    <w:rsid w:val="0015089B"/>
    <w:rsid w:val="00152908"/>
    <w:rsid w:val="001A4D94"/>
    <w:rsid w:val="001A542B"/>
    <w:rsid w:val="001A7EA0"/>
    <w:rsid w:val="001B3404"/>
    <w:rsid w:val="001C673D"/>
    <w:rsid w:val="001E68F2"/>
    <w:rsid w:val="001E6E23"/>
    <w:rsid w:val="001F2A75"/>
    <w:rsid w:val="002541C6"/>
    <w:rsid w:val="002B31C5"/>
    <w:rsid w:val="002E02C1"/>
    <w:rsid w:val="003277A3"/>
    <w:rsid w:val="00364AF7"/>
    <w:rsid w:val="00372DF7"/>
    <w:rsid w:val="00390D5C"/>
    <w:rsid w:val="003919D8"/>
    <w:rsid w:val="003F0B48"/>
    <w:rsid w:val="003F1EE8"/>
    <w:rsid w:val="003F3B34"/>
    <w:rsid w:val="00402EE8"/>
    <w:rsid w:val="0047183F"/>
    <w:rsid w:val="00471A6A"/>
    <w:rsid w:val="004E67F5"/>
    <w:rsid w:val="00551D2E"/>
    <w:rsid w:val="0058572E"/>
    <w:rsid w:val="005B3169"/>
    <w:rsid w:val="005D7C2D"/>
    <w:rsid w:val="0060361A"/>
    <w:rsid w:val="00624C8F"/>
    <w:rsid w:val="00670463"/>
    <w:rsid w:val="00672A2F"/>
    <w:rsid w:val="00674EC2"/>
    <w:rsid w:val="00694C87"/>
    <w:rsid w:val="006B564B"/>
    <w:rsid w:val="006E71D0"/>
    <w:rsid w:val="00791B38"/>
    <w:rsid w:val="008026BF"/>
    <w:rsid w:val="0082704B"/>
    <w:rsid w:val="008423F5"/>
    <w:rsid w:val="00842CBB"/>
    <w:rsid w:val="008711E4"/>
    <w:rsid w:val="008F7E9C"/>
    <w:rsid w:val="00903211"/>
    <w:rsid w:val="009154B9"/>
    <w:rsid w:val="00923A35"/>
    <w:rsid w:val="00931A26"/>
    <w:rsid w:val="00933524"/>
    <w:rsid w:val="00945D0B"/>
    <w:rsid w:val="00985214"/>
    <w:rsid w:val="009B74FB"/>
    <w:rsid w:val="009E309F"/>
    <w:rsid w:val="009F1C33"/>
    <w:rsid w:val="00A372C2"/>
    <w:rsid w:val="00A609A3"/>
    <w:rsid w:val="00A918F9"/>
    <w:rsid w:val="00AA21A2"/>
    <w:rsid w:val="00AF5B6E"/>
    <w:rsid w:val="00B005DA"/>
    <w:rsid w:val="00B17297"/>
    <w:rsid w:val="00B408DE"/>
    <w:rsid w:val="00B40ED6"/>
    <w:rsid w:val="00B67197"/>
    <w:rsid w:val="00B74C08"/>
    <w:rsid w:val="00B9500C"/>
    <w:rsid w:val="00BC4A6E"/>
    <w:rsid w:val="00C076D5"/>
    <w:rsid w:val="00C125B0"/>
    <w:rsid w:val="00C222CB"/>
    <w:rsid w:val="00C43A8B"/>
    <w:rsid w:val="00C61059"/>
    <w:rsid w:val="00C757C6"/>
    <w:rsid w:val="00C82568"/>
    <w:rsid w:val="00C910CB"/>
    <w:rsid w:val="00C91F08"/>
    <w:rsid w:val="00CA2480"/>
    <w:rsid w:val="00CA5FD9"/>
    <w:rsid w:val="00CA60E9"/>
    <w:rsid w:val="00CB45AA"/>
    <w:rsid w:val="00CC3F45"/>
    <w:rsid w:val="00CC77AD"/>
    <w:rsid w:val="00CD7E30"/>
    <w:rsid w:val="00D35A72"/>
    <w:rsid w:val="00D5236B"/>
    <w:rsid w:val="00D60CEE"/>
    <w:rsid w:val="00D6325B"/>
    <w:rsid w:val="00D9008B"/>
    <w:rsid w:val="00D96FB4"/>
    <w:rsid w:val="00DB3197"/>
    <w:rsid w:val="00DB7E7C"/>
    <w:rsid w:val="00DC5EA2"/>
    <w:rsid w:val="00E71A30"/>
    <w:rsid w:val="00EB74BD"/>
    <w:rsid w:val="00EF4D65"/>
    <w:rsid w:val="00F00F83"/>
    <w:rsid w:val="00F46674"/>
    <w:rsid w:val="00F53682"/>
    <w:rsid w:val="00F7078F"/>
    <w:rsid w:val="064A3FAD"/>
    <w:rsid w:val="0B6A15E4"/>
    <w:rsid w:val="0D6054DA"/>
    <w:rsid w:val="1AF90D88"/>
    <w:rsid w:val="1DAC72C2"/>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rFonts w:asciiTheme="minorHAnsi" w:hAnsiTheme="minorHAnsi" w:eastAsiaTheme="minorEastAsia" w:cstheme="minorBidi"/>
      <w:kern w:val="2"/>
      <w:sz w:val="18"/>
      <w:szCs w:val="18"/>
    </w:rPr>
  </w:style>
  <w:style w:type="character" w:customStyle="1" w:styleId="10">
    <w:name w:val="页脚 字符"/>
    <w:basedOn w:val="6"/>
    <w:link w:val="3"/>
    <w:qFormat/>
    <w:uiPriority w:val="99"/>
    <w:rPr>
      <w:rFonts w:asciiTheme="minorHAnsi" w:hAnsiTheme="minorHAnsi" w:eastAsiaTheme="minorEastAsia" w:cstheme="minorBidi"/>
      <w:kern w:val="2"/>
      <w:sz w:val="18"/>
      <w:szCs w:val="18"/>
    </w:rPr>
  </w:style>
  <w:style w:type="character" w:customStyle="1" w:styleId="11">
    <w:name w:val="批注框文本 字符"/>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7</Pages>
  <Words>536</Words>
  <Characters>3060</Characters>
  <Lines>25</Lines>
  <Paragraphs>7</Paragraphs>
  <TotalTime>516</TotalTime>
  <ScaleCrop>false</ScaleCrop>
  <LinksUpToDate>false</LinksUpToDate>
  <CharactersWithSpaces>3589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2015-11-03T02:02:00Z</dcterms:created>
  <dc:creator>yuanxiaowei</dc:creator>
  <cp:lastModifiedBy>user</cp:lastModifiedBy>
  <cp:lastPrinted>2018-10-30T03:50:00Z</cp:lastPrinted>
  <dcterms:modified xsi:type="dcterms:W3CDTF">2025-05-12T06:28:00Z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28297626497747A5954C39C33107435A</vt:lpwstr>
  </property>
</Properties>
</file>