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第一部分  徐水区执法局部门</w:t>
      </w:r>
      <w:r>
        <w:rPr>
          <w:b/>
          <w:sz w:val="44"/>
          <w:szCs w:val="44"/>
        </w:rPr>
        <w:t>概况</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、部门职责</w:t>
      </w:r>
    </w:p>
    <w:p>
      <w:pPr>
        <w:ind w:firstLine="560" w:firstLineChars="200"/>
        <w:jc w:val="left"/>
        <w:rPr>
          <w:snapToGrid w:val="0"/>
          <w:kern w:val="0"/>
          <w:sz w:val="28"/>
          <w:szCs w:val="28"/>
        </w:rPr>
      </w:pPr>
      <w:r>
        <w:rPr>
          <w:rFonts w:hint="eastAsia"/>
          <w:snapToGrid w:val="0"/>
          <w:kern w:val="0"/>
          <w:sz w:val="28"/>
          <w:szCs w:val="28"/>
        </w:rPr>
        <w:t>（一）我单位主要职责如下：</w:t>
      </w:r>
    </w:p>
    <w:p>
      <w:pPr>
        <w:ind w:firstLine="560" w:firstLineChars="200"/>
        <w:jc w:val="left"/>
        <w:rPr>
          <w:snapToGrid w:val="0"/>
          <w:kern w:val="0"/>
          <w:sz w:val="28"/>
          <w:szCs w:val="28"/>
        </w:rPr>
      </w:pPr>
      <w:r>
        <w:rPr>
          <w:snapToGrid w:val="0"/>
          <w:kern w:val="0"/>
          <w:sz w:val="28"/>
          <w:szCs w:val="28"/>
        </w:rPr>
        <w:t>1、行使市容环境卫生管理方面法律、法规、规章规定的行政处罚权，强制拆除不符合城市容貌标准、环境卫生标准的建筑物或设施。</w:t>
      </w:r>
    </w:p>
    <w:p>
      <w:pPr>
        <w:ind w:firstLine="560" w:firstLineChars="200"/>
        <w:jc w:val="left"/>
        <w:rPr>
          <w:snapToGrid w:val="0"/>
          <w:kern w:val="0"/>
          <w:sz w:val="28"/>
          <w:szCs w:val="28"/>
        </w:rPr>
      </w:pPr>
      <w:r>
        <w:rPr>
          <w:snapToGrid w:val="0"/>
          <w:kern w:val="0"/>
          <w:sz w:val="28"/>
          <w:szCs w:val="28"/>
        </w:rPr>
        <w:t>2、行使城市规划管理方面法律、法规、规章规定的行政处罚权，对未取得《建设工程规划许可证》或者违反《建设工程规划许可证》规定进行建设，严重影响城市规划行为的行政处罚权。</w:t>
      </w:r>
    </w:p>
    <w:p>
      <w:pPr>
        <w:ind w:firstLine="560" w:firstLineChars="200"/>
        <w:jc w:val="left"/>
        <w:rPr>
          <w:snapToGrid w:val="0"/>
          <w:kern w:val="0"/>
          <w:sz w:val="28"/>
          <w:szCs w:val="28"/>
        </w:rPr>
      </w:pPr>
      <w:r>
        <w:rPr>
          <w:snapToGrid w:val="0"/>
          <w:kern w:val="0"/>
          <w:sz w:val="28"/>
          <w:szCs w:val="28"/>
        </w:rPr>
        <w:t>3、行使城市绿化管理方面法律、法规、规章规定的行政处罚权。</w:t>
      </w:r>
    </w:p>
    <w:p>
      <w:pPr>
        <w:ind w:firstLine="560" w:firstLineChars="200"/>
        <w:jc w:val="left"/>
        <w:rPr>
          <w:snapToGrid w:val="0"/>
          <w:kern w:val="0"/>
          <w:sz w:val="28"/>
          <w:szCs w:val="28"/>
        </w:rPr>
      </w:pPr>
      <w:r>
        <w:rPr>
          <w:snapToGrid w:val="0"/>
          <w:kern w:val="0"/>
          <w:sz w:val="28"/>
          <w:szCs w:val="28"/>
        </w:rPr>
        <w:t>4、行使市政公用设施管理方面法律、法规、规章规定的行政处罚权。</w:t>
      </w:r>
    </w:p>
    <w:p>
      <w:pPr>
        <w:ind w:firstLine="560" w:firstLineChars="200"/>
        <w:jc w:val="left"/>
        <w:rPr>
          <w:snapToGrid w:val="0"/>
          <w:kern w:val="0"/>
          <w:sz w:val="28"/>
          <w:szCs w:val="28"/>
        </w:rPr>
      </w:pPr>
      <w:r>
        <w:rPr>
          <w:snapToGrid w:val="0"/>
          <w:kern w:val="0"/>
          <w:sz w:val="28"/>
          <w:szCs w:val="28"/>
        </w:rPr>
        <w:t>5、行使环境保护管理方面法律、法规、规章规定的对产生社会生活噪</w:t>
      </w:r>
      <w:r>
        <w:rPr>
          <w:rFonts w:hint="eastAsia"/>
          <w:snapToGrid w:val="0"/>
          <w:kern w:val="0"/>
          <w:sz w:val="28"/>
          <w:szCs w:val="28"/>
          <w:lang w:val="en-US" w:eastAsia="zh-CN"/>
        </w:rPr>
        <w:t>声</w:t>
      </w:r>
      <w:r>
        <w:rPr>
          <w:snapToGrid w:val="0"/>
          <w:kern w:val="0"/>
          <w:sz w:val="28"/>
          <w:szCs w:val="28"/>
        </w:rPr>
        <w:t>污染、建筑施工噪</w:t>
      </w:r>
      <w:bookmarkStart w:id="0" w:name="_GoBack"/>
      <w:bookmarkEnd w:id="0"/>
      <w:r>
        <w:rPr>
          <w:rFonts w:hint="eastAsia"/>
          <w:snapToGrid w:val="0"/>
          <w:kern w:val="0"/>
          <w:sz w:val="28"/>
          <w:szCs w:val="28"/>
          <w:lang w:val="en-US" w:eastAsia="zh-CN"/>
        </w:rPr>
        <w:t>声</w:t>
      </w:r>
      <w:r>
        <w:rPr>
          <w:snapToGrid w:val="0"/>
          <w:kern w:val="0"/>
          <w:sz w:val="28"/>
          <w:szCs w:val="28"/>
        </w:rPr>
        <w:t>污染行为的行政处罚权；对城市饮食服务业超标排污行为的行政处罚权；对城区范围内露天烧烤行为的行政处罚权；对向城市规划范围内排水管网、河道、水面排污、倾倒工业废渣、城市垃圾和其他废弃物行为的行政处罚权。</w:t>
      </w:r>
    </w:p>
    <w:p>
      <w:pPr>
        <w:ind w:firstLine="560" w:firstLineChars="200"/>
        <w:jc w:val="left"/>
        <w:rPr>
          <w:snapToGrid w:val="0"/>
          <w:kern w:val="0"/>
          <w:sz w:val="28"/>
          <w:szCs w:val="28"/>
        </w:rPr>
      </w:pPr>
      <w:r>
        <w:rPr>
          <w:snapToGrid w:val="0"/>
          <w:kern w:val="0"/>
          <w:sz w:val="28"/>
          <w:szCs w:val="28"/>
        </w:rPr>
        <w:t>6、行使工商行政管理方面法律、法规、规章规定的对城区范围内店外或专业市场外经营、无照商贩的行政处罚权。</w:t>
      </w:r>
    </w:p>
    <w:p>
      <w:pPr>
        <w:ind w:firstLine="560" w:firstLineChars="200"/>
        <w:jc w:val="left"/>
        <w:rPr>
          <w:snapToGrid w:val="0"/>
          <w:kern w:val="0"/>
          <w:sz w:val="28"/>
          <w:szCs w:val="28"/>
        </w:rPr>
      </w:pPr>
      <w:r>
        <w:rPr>
          <w:snapToGrid w:val="0"/>
          <w:kern w:val="0"/>
          <w:sz w:val="28"/>
          <w:szCs w:val="28"/>
        </w:rPr>
        <w:t>7、行使公安交通管理方面法律、法规、规章规定的对侵占城市道路两侧人行道行为的行政处罚权。</w:t>
      </w:r>
    </w:p>
    <w:p>
      <w:pPr>
        <w:ind w:firstLine="560" w:firstLineChars="200"/>
        <w:jc w:val="left"/>
        <w:rPr>
          <w:snapToGrid w:val="0"/>
          <w:kern w:val="0"/>
          <w:sz w:val="28"/>
          <w:szCs w:val="28"/>
        </w:rPr>
      </w:pPr>
      <w:r>
        <w:rPr>
          <w:snapToGrid w:val="0"/>
          <w:kern w:val="0"/>
          <w:sz w:val="28"/>
          <w:szCs w:val="28"/>
        </w:rPr>
        <w:t>8、行使文化市场管理方面法律、法规、规章规定的行政处罚权，对未领取《文化经营许可证》，擅自从事文化娱乐经营行为的行政处罚权。</w:t>
      </w:r>
    </w:p>
    <w:p>
      <w:pPr>
        <w:ind w:firstLine="560" w:firstLineChars="200"/>
        <w:jc w:val="left"/>
        <w:rPr>
          <w:snapToGrid w:val="0"/>
          <w:kern w:val="0"/>
          <w:sz w:val="28"/>
          <w:szCs w:val="28"/>
        </w:rPr>
      </w:pPr>
      <w:r>
        <w:rPr>
          <w:snapToGrid w:val="0"/>
          <w:kern w:val="0"/>
          <w:sz w:val="28"/>
          <w:szCs w:val="28"/>
        </w:rPr>
        <w:t>9、行使河道、水资源管理方面法律、法规、规章规定的对在城区河道水面阻碍行洪、破坏堤防行为的行政处罚权；对未办理《取水许可证》或者不按《取水许可证》规定进行取水行为的行政处罚权。</w:t>
      </w:r>
    </w:p>
    <w:p>
      <w:pPr>
        <w:ind w:firstLine="560" w:firstLineChars="200"/>
        <w:jc w:val="left"/>
        <w:rPr>
          <w:rFonts w:ascii="黑体" w:hAnsi="黑体" w:eastAsia="黑体"/>
          <w:snapToGrid w:val="0"/>
          <w:kern w:val="0"/>
          <w:sz w:val="28"/>
          <w:szCs w:val="28"/>
        </w:rPr>
      </w:pPr>
      <w:r>
        <w:rPr>
          <w:snapToGrid w:val="0"/>
          <w:kern w:val="0"/>
          <w:sz w:val="28"/>
          <w:szCs w:val="28"/>
        </w:rPr>
        <w:t>10、行使省政府决定调整的城市管理领域的其他行政处罚权。</w:t>
      </w:r>
      <w:r>
        <w:rPr>
          <w:snapToGrid w:val="0"/>
          <w:kern w:val="0"/>
          <w:sz w:val="28"/>
          <w:szCs w:val="28"/>
        </w:rPr>
        <w:tab/>
      </w:r>
      <w:r>
        <w:rPr>
          <w:rFonts w:hint="eastAsia" w:ascii="黑体" w:hAnsi="黑体" w:eastAsia="黑体"/>
          <w:snapToGrid w:val="0"/>
          <w:kern w:val="0"/>
          <w:sz w:val="28"/>
          <w:szCs w:val="28"/>
        </w:rPr>
        <w:t>二</w:t>
      </w:r>
      <w:r>
        <w:rPr>
          <w:rFonts w:ascii="黑体" w:hAnsi="黑体" w:eastAsia="黑体"/>
          <w:snapToGrid w:val="0"/>
          <w:kern w:val="0"/>
          <w:sz w:val="28"/>
          <w:szCs w:val="28"/>
        </w:rPr>
        <w:t>、部门决算单位构成</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我</w:t>
      </w:r>
      <w:r>
        <w:rPr>
          <w:snapToGrid w:val="0"/>
          <w:kern w:val="0"/>
          <w:sz w:val="28"/>
          <w:szCs w:val="28"/>
        </w:rPr>
        <w:t>部门独立核算</w:t>
      </w:r>
      <w:r>
        <w:rPr>
          <w:rFonts w:hint="eastAsia"/>
          <w:snapToGrid w:val="0"/>
          <w:kern w:val="0"/>
          <w:sz w:val="28"/>
          <w:szCs w:val="28"/>
        </w:rPr>
        <w:t>机构1个</w:t>
      </w: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176</w:t>
      </w:r>
      <w:r>
        <w:rPr>
          <w:snapToGrid w:val="0"/>
          <w:kern w:val="0"/>
          <w:sz w:val="28"/>
          <w:szCs w:val="28"/>
        </w:rPr>
        <w:t xml:space="preserve"> </w:t>
      </w:r>
      <w:r>
        <w:rPr>
          <w:rFonts w:hint="eastAsia"/>
          <w:snapToGrid w:val="0"/>
          <w:kern w:val="0"/>
          <w:sz w:val="28"/>
          <w:szCs w:val="28"/>
        </w:rPr>
        <w:t>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rFonts w:hint="eastAsia"/>
          <w:snapToGrid w:val="0"/>
          <w:kern w:val="0"/>
          <w:sz w:val="28"/>
          <w:szCs w:val="28"/>
        </w:rPr>
        <w:t>176</w:t>
      </w:r>
      <w:r>
        <w:rPr>
          <w:snapToGrid w:val="0"/>
          <w:kern w:val="0"/>
          <w:sz w:val="28"/>
          <w:szCs w:val="28"/>
        </w:rPr>
        <w:t xml:space="preserve"> </w:t>
      </w:r>
      <w:r>
        <w:rPr>
          <w:rFonts w:hint="eastAsia"/>
          <w:snapToGrid w:val="0"/>
          <w:kern w:val="0"/>
          <w:sz w:val="28"/>
          <w:szCs w:val="28"/>
        </w:rPr>
        <w:t>人</w:t>
      </w:r>
      <w:r>
        <w:rPr>
          <w:snapToGrid w:val="0"/>
          <w:kern w:val="0"/>
          <w:sz w:val="28"/>
          <w:szCs w:val="28"/>
        </w:rPr>
        <w:t xml:space="preserve">，离休人员 </w:t>
      </w:r>
      <w:r>
        <w:rPr>
          <w:rFonts w:hint="eastAsia"/>
          <w:snapToGrid w:val="0"/>
          <w:kern w:val="0"/>
          <w:sz w:val="28"/>
          <w:szCs w:val="28"/>
        </w:rPr>
        <w:t>0</w:t>
      </w:r>
      <w:r>
        <w:rPr>
          <w:snapToGrid w:val="0"/>
          <w:kern w:val="0"/>
          <w:sz w:val="28"/>
          <w:szCs w:val="28"/>
        </w:rPr>
        <w:t xml:space="preserve"> </w:t>
      </w:r>
      <w:r>
        <w:rPr>
          <w:rFonts w:hint="eastAsia"/>
          <w:snapToGrid w:val="0"/>
          <w:kern w:val="0"/>
          <w:sz w:val="28"/>
          <w:szCs w:val="28"/>
        </w:rPr>
        <w:t>人</w:t>
      </w:r>
      <w:r>
        <w:rPr>
          <w:snapToGrid w:val="0"/>
          <w:kern w:val="0"/>
          <w:sz w:val="28"/>
          <w:szCs w:val="28"/>
        </w:rPr>
        <w:t xml:space="preserve">，退休人员 </w:t>
      </w:r>
      <w:r>
        <w:rPr>
          <w:rFonts w:hint="eastAsia"/>
          <w:snapToGrid w:val="0"/>
          <w:kern w:val="0"/>
          <w:sz w:val="28"/>
          <w:szCs w:val="28"/>
        </w:rPr>
        <w:t>0</w:t>
      </w:r>
      <w:r>
        <w:rPr>
          <w:snapToGrid w:val="0"/>
          <w:kern w:val="0"/>
          <w:sz w:val="28"/>
          <w:szCs w:val="28"/>
        </w:rPr>
        <w:t xml:space="preserve">  </w:t>
      </w:r>
      <w:r>
        <w:rPr>
          <w:rFonts w:hint="eastAsia"/>
          <w:snapToGrid w:val="0"/>
          <w:kern w:val="0"/>
          <w:sz w:val="28"/>
          <w:szCs w:val="28"/>
        </w:rPr>
        <w:t>人</w:t>
      </w:r>
      <w:r>
        <w:rPr>
          <w:snapToGrid w:val="0"/>
          <w:kern w:val="0"/>
          <w:sz w:val="28"/>
          <w:szCs w:val="28"/>
        </w:rPr>
        <w:t>。</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我</w:t>
      </w:r>
      <w:r>
        <w:rPr>
          <w:snapToGrid w:val="0"/>
          <w:kern w:val="0"/>
          <w:sz w:val="28"/>
          <w:szCs w:val="28"/>
        </w:rPr>
        <w:t>部门</w:t>
      </w:r>
      <w:r>
        <w:rPr>
          <w:rFonts w:hint="eastAsia"/>
          <w:snapToGrid w:val="0"/>
          <w:kern w:val="0"/>
          <w:sz w:val="28"/>
          <w:szCs w:val="28"/>
        </w:rPr>
        <w:t>内设机构3个</w:t>
      </w:r>
      <w:r>
        <w:rPr>
          <w:snapToGrid w:val="0"/>
          <w:kern w:val="0"/>
          <w:sz w:val="28"/>
          <w:szCs w:val="28"/>
        </w:rPr>
        <w:t>：</w:t>
      </w:r>
      <w:r>
        <w:rPr>
          <w:rFonts w:hint="eastAsia"/>
          <w:snapToGrid w:val="0"/>
          <w:kern w:val="0"/>
          <w:sz w:val="28"/>
          <w:szCs w:val="28"/>
        </w:rPr>
        <w:t>综合股、政策法规股、监察股</w:t>
      </w:r>
    </w:p>
    <w:p>
      <w:pPr>
        <w:adjustRightInd w:val="0"/>
        <w:snapToGrid w:val="0"/>
        <w:spacing w:line="600" w:lineRule="exact"/>
        <w:ind w:firstLine="560" w:firstLineChars="200"/>
        <w:rPr>
          <w:snapToGrid w:val="0"/>
          <w:kern w:val="0"/>
          <w:sz w:val="28"/>
          <w:szCs w:val="28"/>
        </w:rPr>
      </w:pPr>
    </w:p>
    <w:p>
      <w:pPr>
        <w:jc w:val="center"/>
        <w:rPr>
          <w:b/>
          <w:sz w:val="36"/>
          <w:szCs w:val="36"/>
        </w:rPr>
      </w:pPr>
      <w:r>
        <w:rPr>
          <w:rFonts w:hint="eastAsia"/>
          <w:b/>
          <w:sz w:val="36"/>
          <w:szCs w:val="36"/>
        </w:rPr>
        <w:t>第二部分  徐水区执法局部门2016年</w:t>
      </w:r>
      <w:r>
        <w:rPr>
          <w:b/>
          <w:sz w:val="36"/>
          <w:szCs w:val="36"/>
        </w:rPr>
        <w:t>部门决算</w:t>
      </w:r>
    </w:p>
    <w:p>
      <w:pPr>
        <w:jc w:val="center"/>
        <w:rPr>
          <w:b/>
          <w:sz w:val="44"/>
          <w:szCs w:val="44"/>
        </w:rPr>
      </w:pPr>
      <w:r>
        <w:rPr>
          <w:rFonts w:hint="eastAsia"/>
          <w:b/>
          <w:sz w:val="44"/>
          <w:szCs w:val="44"/>
        </w:rPr>
        <w:t xml:space="preserve">       </w:t>
      </w:r>
      <w:r>
        <w:rPr>
          <w:b/>
          <w:sz w:val="44"/>
          <w:szCs w:val="44"/>
        </w:rPr>
        <w:t>情况说明</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收入支出决算总体情况说明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本部门2016年本</w:t>
      </w:r>
      <w:r>
        <w:rPr>
          <w:snapToGrid w:val="0"/>
          <w:kern w:val="0"/>
          <w:sz w:val="28"/>
          <w:szCs w:val="28"/>
        </w:rPr>
        <w:t>年收入总计</w:t>
      </w:r>
      <w:r>
        <w:rPr>
          <w:rFonts w:hint="eastAsia"/>
          <w:snapToGrid w:val="0"/>
          <w:kern w:val="0"/>
          <w:sz w:val="28"/>
          <w:szCs w:val="28"/>
        </w:rPr>
        <w:t>4240.21万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 xml:space="preserve">25.32 </w:t>
      </w:r>
      <w:r>
        <w:rPr>
          <w:snapToGrid w:val="0"/>
          <w:kern w:val="0"/>
          <w:sz w:val="28"/>
          <w:szCs w:val="28"/>
        </w:rPr>
        <w:t>%，增</w:t>
      </w:r>
      <w:r>
        <w:rPr>
          <w:rFonts w:hint="eastAsia"/>
          <w:snapToGrid w:val="0"/>
          <w:kern w:val="0"/>
          <w:sz w:val="28"/>
          <w:szCs w:val="28"/>
        </w:rPr>
        <w:t>收 856.72 万</w:t>
      </w:r>
      <w:r>
        <w:rPr>
          <w:snapToGrid w:val="0"/>
          <w:kern w:val="0"/>
          <w:sz w:val="28"/>
          <w:szCs w:val="28"/>
        </w:rPr>
        <w:t>元；</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4213.05万</w:t>
      </w:r>
      <w:r>
        <w:rPr>
          <w:snapToGrid w:val="0"/>
          <w:kern w:val="0"/>
          <w:sz w:val="28"/>
          <w:szCs w:val="28"/>
        </w:rPr>
        <w:t>元，较上年增长</w:t>
      </w:r>
      <w:r>
        <w:rPr>
          <w:rFonts w:hint="eastAsia"/>
          <w:snapToGrid w:val="0"/>
          <w:kern w:val="0"/>
          <w:sz w:val="28"/>
          <w:szCs w:val="28"/>
        </w:rPr>
        <w:t xml:space="preserve">17.40 </w:t>
      </w:r>
      <w:r>
        <w:rPr>
          <w:snapToGrid w:val="0"/>
          <w:kern w:val="0"/>
          <w:sz w:val="28"/>
          <w:szCs w:val="28"/>
        </w:rPr>
        <w:t>%，增支</w:t>
      </w:r>
      <w:r>
        <w:rPr>
          <w:rFonts w:hint="eastAsia"/>
          <w:snapToGrid w:val="0"/>
          <w:kern w:val="0"/>
          <w:sz w:val="28"/>
          <w:szCs w:val="28"/>
        </w:rPr>
        <w:t>624.32 万</w:t>
      </w:r>
      <w:r>
        <w:rPr>
          <w:snapToGrid w:val="0"/>
          <w:kern w:val="0"/>
          <w:sz w:val="28"/>
          <w:szCs w:val="28"/>
        </w:rPr>
        <w:t>元</w:t>
      </w:r>
      <w:r>
        <w:rPr>
          <w:rFonts w:hint="eastAsia"/>
          <w:snapToGrid w:val="0"/>
          <w:kern w:val="0"/>
          <w:sz w:val="28"/>
          <w:szCs w:val="28"/>
        </w:rPr>
        <w:t>，</w:t>
      </w:r>
      <w:r>
        <w:rPr>
          <w:snapToGrid w:val="0"/>
          <w:kern w:val="0"/>
          <w:sz w:val="28"/>
          <w:szCs w:val="28"/>
        </w:rPr>
        <w:t>年末结转结余</w:t>
      </w:r>
      <w:r>
        <w:rPr>
          <w:rFonts w:hint="eastAsia"/>
          <w:snapToGrid w:val="0"/>
          <w:kern w:val="0"/>
          <w:sz w:val="28"/>
          <w:szCs w:val="28"/>
        </w:rPr>
        <w:t>240.34 万</w:t>
      </w:r>
      <w:r>
        <w:rPr>
          <w:snapToGrid w:val="0"/>
          <w:kern w:val="0"/>
          <w:sz w:val="28"/>
          <w:szCs w:val="28"/>
        </w:rPr>
        <w:t>元。</w:t>
      </w:r>
      <w:r>
        <w:rPr>
          <w:rFonts w:hint="eastAsia"/>
          <w:snapToGrid w:val="0"/>
          <w:kern w:val="0"/>
          <w:sz w:val="28"/>
          <w:szCs w:val="28"/>
        </w:rPr>
        <w:t>原因：增加了垃圾运输费和处理费等项目及工资调标。</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w:t>
      </w:r>
      <w:r>
        <w:rPr>
          <w:rFonts w:hint="eastAsia" w:ascii="黑体" w:hAnsi="黑体" w:eastAsia="黑体"/>
          <w:snapToGrid w:val="0"/>
          <w:kern w:val="0"/>
          <w:sz w:val="28"/>
          <w:szCs w:val="28"/>
        </w:rPr>
        <w:t>收入</w:t>
      </w:r>
      <w:r>
        <w:rPr>
          <w:rFonts w:ascii="黑体" w:hAnsi="黑体" w:eastAsia="黑体"/>
          <w:snapToGrid w:val="0"/>
          <w:kern w:val="0"/>
          <w:sz w:val="28"/>
          <w:szCs w:val="28"/>
        </w:rPr>
        <w:t>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4240.21万元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4096.04万元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 xml:space="preserve"> 24.71 </w:t>
      </w:r>
      <w:r>
        <w:rPr>
          <w:snapToGrid w:val="0"/>
          <w:kern w:val="0"/>
          <w:sz w:val="28"/>
          <w:szCs w:val="28"/>
        </w:rPr>
        <w:t>%，增收</w:t>
      </w:r>
      <w:r>
        <w:rPr>
          <w:rFonts w:hint="eastAsia"/>
          <w:snapToGrid w:val="0"/>
          <w:kern w:val="0"/>
          <w:sz w:val="28"/>
          <w:szCs w:val="28"/>
        </w:rPr>
        <w:t>812.67 万元，</w:t>
      </w:r>
      <w:r>
        <w:rPr>
          <w:snapToGrid w:val="0"/>
          <w:kern w:val="0"/>
          <w:sz w:val="28"/>
          <w:szCs w:val="28"/>
        </w:rPr>
        <w:t>主要原因</w:t>
      </w:r>
      <w:r>
        <w:rPr>
          <w:rFonts w:hint="eastAsia"/>
          <w:snapToGrid w:val="0"/>
          <w:kern w:val="0"/>
          <w:sz w:val="28"/>
          <w:szCs w:val="28"/>
        </w:rPr>
        <w:t>：有划拨执法车辆和购买的环卫车辆 ；上</w:t>
      </w:r>
      <w:r>
        <w:rPr>
          <w:snapToGrid w:val="0"/>
          <w:kern w:val="0"/>
          <w:sz w:val="28"/>
          <w:szCs w:val="28"/>
        </w:rPr>
        <w:t>级补助收入</w:t>
      </w:r>
      <w:r>
        <w:rPr>
          <w:rFonts w:hint="eastAsia"/>
          <w:snapToGrid w:val="0"/>
          <w:kern w:val="0"/>
          <w:sz w:val="28"/>
          <w:szCs w:val="28"/>
        </w:rPr>
        <w:t>40万</w:t>
      </w:r>
      <w:r>
        <w:rPr>
          <w:snapToGrid w:val="0"/>
          <w:kern w:val="0"/>
          <w:sz w:val="28"/>
          <w:szCs w:val="28"/>
        </w:rPr>
        <w:t>元</w:t>
      </w:r>
      <w:r>
        <w:rPr>
          <w:rFonts w:hint="eastAsia"/>
          <w:snapToGrid w:val="0"/>
          <w:kern w:val="0"/>
          <w:sz w:val="28"/>
          <w:szCs w:val="28"/>
        </w:rPr>
        <w:t>，较上年</w:t>
      </w:r>
      <w:r>
        <w:rPr>
          <w:snapToGrid w:val="0"/>
          <w:kern w:val="0"/>
          <w:sz w:val="28"/>
          <w:szCs w:val="28"/>
        </w:rPr>
        <w:t>增收</w:t>
      </w:r>
      <w:r>
        <w:rPr>
          <w:rFonts w:hint="eastAsia"/>
          <w:snapToGrid w:val="0"/>
          <w:kern w:val="0"/>
          <w:sz w:val="28"/>
          <w:szCs w:val="28"/>
        </w:rPr>
        <w:t xml:space="preserve">  40 万元，</w:t>
      </w:r>
      <w:r>
        <w:rPr>
          <w:snapToGrid w:val="0"/>
          <w:kern w:val="0"/>
          <w:sz w:val="28"/>
          <w:szCs w:val="28"/>
        </w:rPr>
        <w:t>主要原因</w:t>
      </w:r>
      <w:r>
        <w:rPr>
          <w:rFonts w:hint="eastAsia"/>
          <w:snapToGrid w:val="0"/>
          <w:kern w:val="0"/>
          <w:sz w:val="28"/>
          <w:szCs w:val="28"/>
        </w:rPr>
        <w:t>：市局拨款用于市容环卫建设 ；</w:t>
      </w:r>
      <w:r>
        <w:rPr>
          <w:snapToGrid w:val="0"/>
          <w:kern w:val="0"/>
          <w:sz w:val="28"/>
          <w:szCs w:val="28"/>
        </w:rPr>
        <w:t>其他收入</w:t>
      </w:r>
      <w:r>
        <w:rPr>
          <w:rFonts w:hint="eastAsia"/>
          <w:snapToGrid w:val="0"/>
          <w:kern w:val="0"/>
          <w:sz w:val="28"/>
          <w:szCs w:val="28"/>
        </w:rPr>
        <w:t>104.17万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 xml:space="preserve">4 </w:t>
      </w:r>
      <w:r>
        <w:rPr>
          <w:snapToGrid w:val="0"/>
          <w:kern w:val="0"/>
          <w:sz w:val="28"/>
          <w:szCs w:val="28"/>
        </w:rPr>
        <w:t>%，增收</w:t>
      </w:r>
      <w:r>
        <w:rPr>
          <w:rFonts w:hint="eastAsia"/>
          <w:snapToGrid w:val="0"/>
          <w:kern w:val="0"/>
          <w:sz w:val="28"/>
          <w:szCs w:val="28"/>
        </w:rPr>
        <w:t>4.06 万元，</w:t>
      </w:r>
      <w:r>
        <w:rPr>
          <w:snapToGrid w:val="0"/>
          <w:kern w:val="0"/>
          <w:sz w:val="28"/>
          <w:szCs w:val="28"/>
        </w:rPr>
        <w:t>主要原因</w:t>
      </w:r>
      <w:r>
        <w:rPr>
          <w:rFonts w:hint="eastAsia"/>
          <w:snapToGrid w:val="0"/>
          <w:kern w:val="0"/>
          <w:sz w:val="28"/>
          <w:szCs w:val="28"/>
        </w:rPr>
        <w:t xml:space="preserve"> ：有新建家属楼。</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三</w:t>
      </w:r>
      <w:r>
        <w:rPr>
          <w:rFonts w:ascii="黑体" w:hAnsi="黑体" w:eastAsia="黑体"/>
          <w:snapToGrid w:val="0"/>
          <w:kern w:val="0"/>
          <w:sz w:val="28"/>
          <w:szCs w:val="28"/>
        </w:rPr>
        <w:t>、支出决算情况说明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w:t>
      </w:r>
      <w:r>
        <w:rPr>
          <w:snapToGrid w:val="0"/>
          <w:kern w:val="0"/>
          <w:sz w:val="28"/>
          <w:szCs w:val="28"/>
        </w:rPr>
        <w:t xml:space="preserve">度支出总计 </w:t>
      </w:r>
      <w:r>
        <w:rPr>
          <w:rFonts w:hint="eastAsia"/>
          <w:snapToGrid w:val="0"/>
          <w:kern w:val="0"/>
          <w:sz w:val="28"/>
          <w:szCs w:val="28"/>
        </w:rPr>
        <w:t>4213.05</w:t>
      </w:r>
      <w:r>
        <w:rPr>
          <w:snapToGrid w:val="0"/>
          <w:kern w:val="0"/>
          <w:sz w:val="28"/>
          <w:szCs w:val="28"/>
        </w:rPr>
        <w:t xml:space="preserve"> </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 xml:space="preserve">1625.93 </w:t>
      </w:r>
      <w:r>
        <w:rPr>
          <w:snapToGrid w:val="0"/>
          <w:kern w:val="0"/>
          <w:sz w:val="28"/>
          <w:szCs w:val="28"/>
        </w:rPr>
        <w:t xml:space="preserve">   </w:t>
      </w:r>
      <w:r>
        <w:rPr>
          <w:rFonts w:hint="eastAsia"/>
          <w:snapToGrid w:val="0"/>
          <w:kern w:val="0"/>
          <w:sz w:val="28"/>
          <w:szCs w:val="28"/>
        </w:rPr>
        <w:t xml:space="preserve"> 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 xml:space="preserve"> 38.59 </w:t>
      </w:r>
      <w:r>
        <w:rPr>
          <w:snapToGrid w:val="0"/>
          <w:kern w:val="0"/>
          <w:sz w:val="28"/>
          <w:szCs w:val="28"/>
        </w:rPr>
        <w:t>%</w:t>
      </w:r>
      <w:r>
        <w:rPr>
          <w:rFonts w:hint="eastAsia"/>
          <w:snapToGrid w:val="0"/>
          <w:kern w:val="0"/>
          <w:sz w:val="28"/>
          <w:szCs w:val="28"/>
        </w:rPr>
        <w:t>；</w:t>
      </w:r>
      <w:r>
        <w:rPr>
          <w:snapToGrid w:val="0"/>
          <w:kern w:val="0"/>
          <w:sz w:val="28"/>
          <w:szCs w:val="28"/>
        </w:rPr>
        <w:t xml:space="preserve">项目支出 </w:t>
      </w:r>
      <w:r>
        <w:rPr>
          <w:rFonts w:hint="eastAsia"/>
          <w:snapToGrid w:val="0"/>
          <w:kern w:val="0"/>
          <w:sz w:val="28"/>
          <w:szCs w:val="28"/>
        </w:rPr>
        <w:t>2587.12万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 xml:space="preserve">61.41 </w:t>
      </w:r>
      <w:r>
        <w:rPr>
          <w:snapToGrid w:val="0"/>
          <w:kern w:val="0"/>
          <w:sz w:val="28"/>
          <w:szCs w:val="28"/>
        </w:rPr>
        <w:t>%</w:t>
      </w:r>
      <w:r>
        <w:rPr>
          <w:rFonts w:hint="eastAsia"/>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四</w:t>
      </w:r>
      <w:r>
        <w:rPr>
          <w:rFonts w:ascii="黑体" w:hAnsi="黑体" w:eastAsia="黑体"/>
          <w:snapToGrid w:val="0"/>
          <w:kern w:val="0"/>
          <w:sz w:val="28"/>
          <w:szCs w:val="28"/>
        </w:rPr>
        <w:t>、财政拨款收入支出</w:t>
      </w:r>
      <w:r>
        <w:rPr>
          <w:rFonts w:hint="eastAsia" w:ascii="黑体" w:hAnsi="黑体" w:eastAsia="黑体"/>
          <w:snapToGrid w:val="0"/>
          <w:kern w:val="0"/>
          <w:sz w:val="28"/>
          <w:szCs w:val="28"/>
        </w:rPr>
        <w:t>决算</w:t>
      </w:r>
      <w:r>
        <w:rPr>
          <w:rFonts w:ascii="黑体" w:hAnsi="黑体" w:eastAsia="黑体"/>
          <w:snapToGrid w:val="0"/>
          <w:kern w:val="0"/>
          <w:sz w:val="28"/>
          <w:szCs w:val="28"/>
        </w:rPr>
        <w:t>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4096.04</w:t>
      </w:r>
      <w:r>
        <w:rPr>
          <w:snapToGrid w:val="0"/>
          <w:kern w:val="0"/>
          <w:sz w:val="28"/>
          <w:szCs w:val="28"/>
        </w:rPr>
        <w:t xml:space="preserve">  </w:t>
      </w:r>
      <w:r>
        <w:rPr>
          <w:rFonts w:hint="eastAsia"/>
          <w:snapToGrid w:val="0"/>
          <w:kern w:val="0"/>
          <w:sz w:val="28"/>
          <w:szCs w:val="28"/>
        </w:rPr>
        <w:t>万</w:t>
      </w:r>
      <w:r>
        <w:rPr>
          <w:snapToGrid w:val="0"/>
          <w:kern w:val="0"/>
          <w:sz w:val="28"/>
          <w:szCs w:val="28"/>
        </w:rPr>
        <w:t xml:space="preserve">元，较上年增长 </w:t>
      </w:r>
      <w:r>
        <w:rPr>
          <w:rFonts w:hint="eastAsia"/>
          <w:snapToGrid w:val="0"/>
          <w:kern w:val="0"/>
          <w:sz w:val="28"/>
          <w:szCs w:val="28"/>
        </w:rPr>
        <w:t>24.17</w:t>
      </w:r>
      <w:r>
        <w:rPr>
          <w:snapToGrid w:val="0"/>
          <w:kern w:val="0"/>
          <w:sz w:val="28"/>
          <w:szCs w:val="28"/>
        </w:rPr>
        <w:t xml:space="preserve"> %，增收 </w:t>
      </w:r>
      <w:r>
        <w:rPr>
          <w:rFonts w:hint="eastAsia"/>
          <w:snapToGrid w:val="0"/>
          <w:kern w:val="0"/>
          <w:sz w:val="28"/>
          <w:szCs w:val="28"/>
        </w:rPr>
        <w:t>812.67</w:t>
      </w:r>
      <w:r>
        <w:rPr>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4070.81 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13.58</w:t>
      </w:r>
      <w:r>
        <w:rPr>
          <w:snapToGrid w:val="0"/>
          <w:kern w:val="0"/>
          <w:sz w:val="28"/>
          <w:szCs w:val="28"/>
        </w:rPr>
        <w:t xml:space="preserve">%，增支 </w:t>
      </w:r>
      <w:r>
        <w:rPr>
          <w:rFonts w:hint="eastAsia"/>
          <w:snapToGrid w:val="0"/>
          <w:kern w:val="0"/>
          <w:sz w:val="28"/>
          <w:szCs w:val="28"/>
        </w:rPr>
        <w:t>486.63</w:t>
      </w:r>
      <w:r>
        <w:rPr>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 xml:space="preserve"> 142.84     万</w:t>
      </w:r>
      <w:r>
        <w:rPr>
          <w:snapToGrid w:val="0"/>
          <w:kern w:val="0"/>
          <w:sz w:val="28"/>
          <w:szCs w:val="28"/>
        </w:rPr>
        <w:t>元。</w:t>
      </w:r>
      <w:r>
        <w:rPr>
          <w:rFonts w:hint="eastAsia"/>
          <w:snapToGrid w:val="0"/>
          <w:kern w:val="0"/>
          <w:sz w:val="28"/>
          <w:szCs w:val="28"/>
        </w:rPr>
        <w:t>主要原因是：增加了车辆、垃圾处理费和运输费等。</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2016年财政拨款支出年初预算数为2695.28万元，本年支出决算数为4070.81万元，占年初预算数的151.03%，主要原因：增加了垃圾运输费和处理费等项目及工资调标。</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五</w:t>
      </w:r>
      <w:r>
        <w:rPr>
          <w:rFonts w:ascii="黑体" w:hAnsi="黑体" w:eastAsia="黑体"/>
          <w:snapToGrid w:val="0"/>
          <w:kern w:val="0"/>
          <w:sz w:val="28"/>
          <w:szCs w:val="28"/>
        </w:rPr>
        <w:t>、一般公共预算财政拨款“三公”经费支出决算情况说明</w:t>
      </w:r>
    </w:p>
    <w:p>
      <w:pPr>
        <w:adjustRightInd w:val="0"/>
        <w:snapToGrid w:val="0"/>
        <w:spacing w:line="560" w:lineRule="exact"/>
        <w:ind w:firstLine="560" w:firstLineChars="200"/>
        <w:rPr>
          <w:snapToGrid w:val="0"/>
          <w:kern w:val="0"/>
          <w:sz w:val="28"/>
          <w:szCs w:val="28"/>
        </w:rPr>
      </w:pPr>
      <w:r>
        <w:rPr>
          <w:snapToGrid w:val="0"/>
          <w:kern w:val="0"/>
          <w:sz w:val="28"/>
          <w:szCs w:val="28"/>
        </w:rPr>
        <w:t>2016</w:t>
      </w:r>
      <w:r>
        <w:rPr>
          <w:rFonts w:hint="eastAsia"/>
          <w:snapToGrid w:val="0"/>
          <w:kern w:val="0"/>
          <w:sz w:val="28"/>
          <w:szCs w:val="28"/>
        </w:rPr>
        <w:t>年，在做好各项工作的前提下，节省各项开支，尤其严格控制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经费支出合计</w:t>
      </w:r>
      <w:r>
        <w:rPr>
          <w:snapToGrid w:val="0"/>
          <w:kern w:val="0"/>
          <w:sz w:val="28"/>
          <w:szCs w:val="28"/>
        </w:rPr>
        <w:t>14.06</w:t>
      </w:r>
      <w:r>
        <w:rPr>
          <w:rFonts w:hint="eastAsia"/>
          <w:snapToGrid w:val="0"/>
          <w:kern w:val="0"/>
          <w:sz w:val="28"/>
          <w:szCs w:val="28"/>
        </w:rPr>
        <w:t>万元，较</w:t>
      </w:r>
      <w:r>
        <w:rPr>
          <w:snapToGrid w:val="0"/>
          <w:kern w:val="0"/>
          <w:sz w:val="28"/>
          <w:szCs w:val="28"/>
        </w:rPr>
        <w:t>2015</w:t>
      </w:r>
      <w:r>
        <w:rPr>
          <w:rFonts w:hint="eastAsia"/>
          <w:snapToGrid w:val="0"/>
          <w:kern w:val="0"/>
          <w:sz w:val="28"/>
          <w:szCs w:val="28"/>
        </w:rPr>
        <w:t>年减少</w:t>
      </w:r>
      <w:r>
        <w:rPr>
          <w:snapToGrid w:val="0"/>
          <w:kern w:val="0"/>
          <w:sz w:val="28"/>
          <w:szCs w:val="28"/>
        </w:rPr>
        <w:t>77.95</w:t>
      </w:r>
      <w:r>
        <w:rPr>
          <w:rFonts w:hint="eastAsia"/>
          <w:snapToGrid w:val="0"/>
          <w:kern w:val="0"/>
          <w:sz w:val="28"/>
          <w:szCs w:val="28"/>
        </w:rPr>
        <w:t>万元，减少</w:t>
      </w:r>
      <w:r>
        <w:rPr>
          <w:snapToGrid w:val="0"/>
          <w:kern w:val="0"/>
          <w:sz w:val="28"/>
          <w:szCs w:val="28"/>
        </w:rPr>
        <w:t>35.67%</w:t>
      </w:r>
      <w:r>
        <w:rPr>
          <w:rFonts w:hint="eastAsia"/>
          <w:snapToGrid w:val="0"/>
          <w:kern w:val="0"/>
          <w:sz w:val="28"/>
          <w:szCs w:val="28"/>
        </w:rPr>
        <w:t>。</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1、</w:t>
      </w:r>
      <w:r>
        <w:rPr>
          <w:snapToGrid w:val="0"/>
          <w:kern w:val="0"/>
          <w:sz w:val="28"/>
          <w:szCs w:val="28"/>
        </w:rPr>
        <w:t>本部门</w:t>
      </w:r>
      <w:r>
        <w:rPr>
          <w:rFonts w:hint="eastAsia"/>
          <w:snapToGrid w:val="0"/>
          <w:kern w:val="0"/>
          <w:sz w:val="28"/>
          <w:szCs w:val="28"/>
        </w:rPr>
        <w:t>2016年因公出国（境）费本年支出</w:t>
      </w:r>
      <w:r>
        <w:rPr>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较</w:t>
      </w:r>
      <w:r>
        <w:rPr>
          <w:snapToGrid w:val="0"/>
          <w:kern w:val="0"/>
          <w:sz w:val="28"/>
          <w:szCs w:val="28"/>
        </w:rPr>
        <w:t>预算</w:t>
      </w:r>
      <w:r>
        <w:rPr>
          <w:rFonts w:hint="eastAsia"/>
          <w:snapToGrid w:val="0"/>
          <w:kern w:val="0"/>
          <w:sz w:val="28"/>
          <w:szCs w:val="28"/>
        </w:rPr>
        <w:t>压减</w:t>
      </w:r>
      <w:r>
        <w:rPr>
          <w:snapToGrid w:val="0"/>
          <w:kern w:val="0"/>
          <w:sz w:val="28"/>
          <w:szCs w:val="28"/>
        </w:rPr>
        <w:t>0</w:t>
      </w:r>
      <w:r>
        <w:rPr>
          <w:rFonts w:hint="eastAsia"/>
          <w:snapToGrid w:val="0"/>
          <w:kern w:val="0"/>
          <w:sz w:val="28"/>
          <w:szCs w:val="28"/>
        </w:rPr>
        <w:t>万元</w:t>
      </w:r>
      <w:r>
        <w:rPr>
          <w:snapToGrid w:val="0"/>
          <w:kern w:val="0"/>
          <w:sz w:val="28"/>
          <w:szCs w:val="28"/>
        </w:rPr>
        <w:t>，减少0</w:t>
      </w:r>
      <w:r>
        <w:rPr>
          <w:rFonts w:hint="eastAsia"/>
          <w:snapToGrid w:val="0"/>
          <w:kern w:val="0"/>
          <w:sz w:val="28"/>
          <w:szCs w:val="28"/>
        </w:rPr>
        <w:t xml:space="preserve"> </w:t>
      </w:r>
      <w:r>
        <w:rPr>
          <w:snapToGrid w:val="0"/>
          <w:kern w:val="0"/>
          <w:sz w:val="28"/>
          <w:szCs w:val="28"/>
        </w:rPr>
        <w:t>%</w:t>
      </w:r>
      <w:r>
        <w:rPr>
          <w:rFonts w:hint="eastAsia"/>
          <w:snapToGrid w:val="0"/>
          <w:kern w:val="0"/>
          <w:sz w:val="28"/>
          <w:szCs w:val="28"/>
        </w:rPr>
        <w:t>，较2015年增加</w:t>
      </w:r>
      <w:r>
        <w:rPr>
          <w:snapToGrid w:val="0"/>
          <w:kern w:val="0"/>
          <w:sz w:val="28"/>
          <w:szCs w:val="28"/>
        </w:rPr>
        <w:t>0</w:t>
      </w:r>
      <w:r>
        <w:rPr>
          <w:rFonts w:hint="eastAsia"/>
          <w:snapToGrid w:val="0"/>
          <w:kern w:val="0"/>
          <w:sz w:val="28"/>
          <w:szCs w:val="28"/>
        </w:rPr>
        <w:t xml:space="preserve">万元，增加0 </w:t>
      </w:r>
      <w:r>
        <w:rPr>
          <w:snapToGrid w:val="0"/>
          <w:kern w:val="0"/>
          <w:sz w:val="28"/>
          <w:szCs w:val="28"/>
        </w:rPr>
        <w:t>%。主要原因</w:t>
      </w:r>
      <w:r>
        <w:rPr>
          <w:rFonts w:hint="eastAsia"/>
          <w:snapToGrid w:val="0"/>
          <w:kern w:val="0"/>
          <w:sz w:val="28"/>
          <w:szCs w:val="28"/>
        </w:rPr>
        <w:t>本</w:t>
      </w:r>
      <w:r>
        <w:rPr>
          <w:snapToGrid w:val="0"/>
          <w:kern w:val="0"/>
          <w:sz w:val="28"/>
          <w:szCs w:val="28"/>
        </w:rPr>
        <w:t>年</w:t>
      </w:r>
      <w:r>
        <w:rPr>
          <w:rFonts w:hint="eastAsia"/>
          <w:snapToGrid w:val="0"/>
          <w:kern w:val="0"/>
          <w:sz w:val="28"/>
          <w:szCs w:val="28"/>
        </w:rPr>
        <w:t>未</w:t>
      </w:r>
      <w:r>
        <w:rPr>
          <w:snapToGrid w:val="0"/>
          <w:kern w:val="0"/>
          <w:sz w:val="28"/>
          <w:szCs w:val="28"/>
        </w:rPr>
        <w:t>发生因公出国（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费。因公出国（境）团组</w:t>
      </w:r>
      <w:r>
        <w:rPr>
          <w:snapToGrid w:val="0"/>
          <w:kern w:val="0"/>
          <w:sz w:val="28"/>
          <w:szCs w:val="28"/>
        </w:rPr>
        <w:t xml:space="preserve">    </w:t>
      </w:r>
      <w:r>
        <w:rPr>
          <w:rFonts w:hint="eastAsia"/>
          <w:snapToGrid w:val="0"/>
          <w:kern w:val="0"/>
          <w:sz w:val="28"/>
          <w:szCs w:val="28"/>
        </w:rPr>
        <w:t xml:space="preserve">                 </w:t>
      </w:r>
      <w:r>
        <w:rPr>
          <w:snapToGrid w:val="0"/>
          <w:kern w:val="0"/>
          <w:sz w:val="28"/>
          <w:szCs w:val="28"/>
        </w:rPr>
        <w:t xml:space="preserve">                                             </w:t>
      </w:r>
      <w:r>
        <w:rPr>
          <w:rFonts w:hint="eastAsia"/>
          <w:snapToGrid w:val="0"/>
          <w:kern w:val="0"/>
          <w:sz w:val="28"/>
          <w:szCs w:val="28"/>
        </w:rPr>
        <w:t xml:space="preserve">  </w:t>
      </w:r>
      <w:r>
        <w:rPr>
          <w:snapToGrid w:val="0"/>
          <w:kern w:val="0"/>
          <w:sz w:val="28"/>
          <w:szCs w:val="28"/>
        </w:rPr>
        <w:t>0</w:t>
      </w:r>
      <w:r>
        <w:rPr>
          <w:rFonts w:hint="eastAsia"/>
          <w:snapToGrid w:val="0"/>
          <w:kern w:val="0"/>
          <w:sz w:val="28"/>
          <w:szCs w:val="28"/>
        </w:rPr>
        <w:t>个，因公出国（境）人次0人。</w:t>
      </w:r>
    </w:p>
    <w:p>
      <w:pPr>
        <w:adjustRightInd w:val="0"/>
        <w:snapToGrid w:val="0"/>
        <w:spacing w:line="600" w:lineRule="exact"/>
        <w:ind w:firstLine="560" w:firstLineChars="20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支出140.61</w:t>
      </w:r>
      <w:r>
        <w:rPr>
          <w:rFonts w:hint="eastAsia"/>
          <w:snapToGrid w:val="0"/>
          <w:kern w:val="0"/>
          <w:sz w:val="28"/>
          <w:szCs w:val="28"/>
        </w:rPr>
        <w:t>万元。（2016年</w:t>
      </w:r>
      <w:r>
        <w:rPr>
          <w:snapToGrid w:val="0"/>
          <w:kern w:val="0"/>
          <w:sz w:val="28"/>
          <w:szCs w:val="28"/>
        </w:rPr>
        <w:t>度未</w:t>
      </w:r>
      <w:r>
        <w:rPr>
          <w:rFonts w:hint="eastAsia"/>
          <w:snapToGrid w:val="0"/>
          <w:kern w:val="0"/>
          <w:sz w:val="28"/>
          <w:szCs w:val="28"/>
        </w:rPr>
        <w:t>购置</w:t>
      </w:r>
      <w:r>
        <w:rPr>
          <w:snapToGrid w:val="0"/>
          <w:kern w:val="0"/>
          <w:sz w:val="28"/>
          <w:szCs w:val="28"/>
        </w:rPr>
        <w:t>公务用车，</w:t>
      </w:r>
      <w:r>
        <w:rPr>
          <w:rFonts w:hint="eastAsia"/>
          <w:snapToGrid w:val="0"/>
          <w:kern w:val="0"/>
          <w:sz w:val="28"/>
          <w:szCs w:val="28"/>
        </w:rPr>
        <w:t>年末</w:t>
      </w:r>
      <w:r>
        <w:rPr>
          <w:snapToGrid w:val="0"/>
          <w:kern w:val="0"/>
          <w:sz w:val="28"/>
          <w:szCs w:val="28"/>
        </w:rPr>
        <w:t>公务用车保有量66</w:t>
      </w:r>
      <w:r>
        <w:rPr>
          <w:rFonts w:hint="eastAsia"/>
          <w:snapToGrid w:val="0"/>
          <w:kern w:val="0"/>
          <w:sz w:val="28"/>
          <w:szCs w:val="28"/>
        </w:rPr>
        <w:t>辆。）</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公务用车购置费本年支出</w:t>
      </w:r>
      <w:r>
        <w:rPr>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预算压减</w:t>
      </w:r>
      <w:r>
        <w:rPr>
          <w:rFonts w:hint="eastAsia"/>
          <w:snapToGrid w:val="0"/>
          <w:kern w:val="0"/>
          <w:sz w:val="28"/>
          <w:szCs w:val="28"/>
        </w:rPr>
        <w:t>0万元</w:t>
      </w:r>
      <w:r>
        <w:rPr>
          <w:snapToGrid w:val="0"/>
          <w:kern w:val="0"/>
          <w:sz w:val="28"/>
          <w:szCs w:val="28"/>
        </w:rPr>
        <w:t>，</w:t>
      </w:r>
      <w:r>
        <w:rPr>
          <w:rFonts w:hint="eastAsia"/>
          <w:snapToGrid w:val="0"/>
          <w:kern w:val="0"/>
          <w:sz w:val="28"/>
          <w:szCs w:val="28"/>
        </w:rPr>
        <w:t>减少0</w:t>
      </w:r>
      <w:r>
        <w:rPr>
          <w:snapToGrid w:val="0"/>
          <w:kern w:val="0"/>
          <w:sz w:val="28"/>
          <w:szCs w:val="28"/>
        </w:rPr>
        <w:t>%；</w:t>
      </w:r>
      <w:r>
        <w:rPr>
          <w:rFonts w:hint="eastAsia"/>
          <w:snapToGrid w:val="0"/>
          <w:kern w:val="0"/>
          <w:sz w:val="28"/>
          <w:szCs w:val="28"/>
        </w:rPr>
        <w:t xml:space="preserve">较2015年减少115.40万元，下降100 </w:t>
      </w:r>
      <w:r>
        <w:rPr>
          <w:snapToGrid w:val="0"/>
          <w:kern w:val="0"/>
          <w:sz w:val="28"/>
          <w:szCs w:val="28"/>
        </w:rPr>
        <w:t>%</w:t>
      </w:r>
      <w:r>
        <w:rPr>
          <w:rFonts w:hint="eastAsia"/>
          <w:snapToGrid w:val="0"/>
          <w:kern w:val="0"/>
          <w:sz w:val="28"/>
          <w:szCs w:val="28"/>
        </w:rPr>
        <w:t>。主要原因是本年未</w:t>
      </w:r>
      <w:r>
        <w:rPr>
          <w:snapToGrid w:val="0"/>
          <w:kern w:val="0"/>
          <w:sz w:val="28"/>
          <w:szCs w:val="28"/>
        </w:rPr>
        <w:t>购置</w:t>
      </w:r>
      <w:r>
        <w:rPr>
          <w:rFonts w:hint="eastAsia"/>
          <w:snapToGrid w:val="0"/>
          <w:kern w:val="0"/>
          <w:sz w:val="28"/>
          <w:szCs w:val="28"/>
        </w:rPr>
        <w:t>公务用车。</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公务用车运行维护费本年支出</w:t>
      </w:r>
      <w:r>
        <w:rPr>
          <w:snapToGrid w:val="0"/>
          <w:kern w:val="0"/>
          <w:sz w:val="28"/>
          <w:szCs w:val="28"/>
        </w:rPr>
        <w:t>140.61</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预算</w:t>
      </w:r>
      <w:r>
        <w:rPr>
          <w:rFonts w:hint="eastAsia"/>
          <w:snapToGrid w:val="0"/>
          <w:kern w:val="0"/>
          <w:sz w:val="28"/>
          <w:szCs w:val="28"/>
        </w:rPr>
        <w:t>增加</w:t>
      </w:r>
      <w:r>
        <w:rPr>
          <w:snapToGrid w:val="0"/>
          <w:kern w:val="0"/>
          <w:sz w:val="28"/>
          <w:szCs w:val="28"/>
        </w:rPr>
        <w:t>59.61</w:t>
      </w:r>
      <w:r>
        <w:rPr>
          <w:rFonts w:hint="eastAsia"/>
          <w:snapToGrid w:val="0"/>
          <w:kern w:val="0"/>
          <w:sz w:val="28"/>
          <w:szCs w:val="28"/>
        </w:rPr>
        <w:t>万元</w:t>
      </w:r>
      <w:r>
        <w:rPr>
          <w:snapToGrid w:val="0"/>
          <w:kern w:val="0"/>
          <w:sz w:val="28"/>
          <w:szCs w:val="28"/>
        </w:rPr>
        <w:t>，</w:t>
      </w:r>
      <w:r>
        <w:rPr>
          <w:rFonts w:hint="eastAsia"/>
          <w:snapToGrid w:val="0"/>
          <w:kern w:val="0"/>
          <w:sz w:val="28"/>
          <w:szCs w:val="28"/>
        </w:rPr>
        <w:t>增加73.59</w:t>
      </w:r>
      <w:r>
        <w:rPr>
          <w:snapToGrid w:val="0"/>
          <w:kern w:val="0"/>
          <w:sz w:val="28"/>
          <w:szCs w:val="28"/>
        </w:rPr>
        <w:t>%；</w:t>
      </w:r>
      <w:r>
        <w:rPr>
          <w:rFonts w:hint="eastAsia"/>
          <w:snapToGrid w:val="0"/>
          <w:kern w:val="0"/>
          <w:sz w:val="28"/>
          <w:szCs w:val="28"/>
        </w:rPr>
        <w:t>较2015年增加</w:t>
      </w:r>
      <w:r>
        <w:rPr>
          <w:snapToGrid w:val="0"/>
          <w:kern w:val="0"/>
          <w:sz w:val="28"/>
          <w:szCs w:val="28"/>
        </w:rPr>
        <w:t>37.67</w:t>
      </w:r>
      <w:r>
        <w:rPr>
          <w:rFonts w:hint="eastAsia"/>
          <w:snapToGrid w:val="0"/>
          <w:kern w:val="0"/>
          <w:sz w:val="28"/>
          <w:szCs w:val="28"/>
        </w:rPr>
        <w:t>万元，增</w:t>
      </w:r>
      <w:r>
        <w:rPr>
          <w:snapToGrid w:val="0"/>
          <w:kern w:val="0"/>
          <w:sz w:val="28"/>
          <w:szCs w:val="28"/>
        </w:rPr>
        <w:t>长36.59%。</w:t>
      </w:r>
      <w:r>
        <w:rPr>
          <w:rFonts w:hint="eastAsia"/>
          <w:snapToGrid w:val="0"/>
          <w:kern w:val="0"/>
          <w:sz w:val="28"/>
          <w:szCs w:val="28"/>
        </w:rPr>
        <w:t>主要原因从公安局和交警队划拨车辆，车辆运行费用增加。</w:t>
      </w:r>
    </w:p>
    <w:p>
      <w:pPr>
        <w:adjustRightInd w:val="0"/>
        <w:snapToGrid w:val="0"/>
        <w:spacing w:line="600" w:lineRule="exact"/>
        <w:ind w:firstLine="560" w:firstLineChars="20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2016年公务接待费全年支出</w:t>
      </w:r>
      <w:r>
        <w:rPr>
          <w:snapToGrid w:val="0"/>
          <w:kern w:val="0"/>
          <w:sz w:val="28"/>
          <w:szCs w:val="28"/>
        </w:rPr>
        <w:t>0</w:t>
      </w:r>
      <w:r>
        <w:rPr>
          <w:rFonts w:hint="eastAsia"/>
          <w:snapToGrid w:val="0"/>
          <w:kern w:val="0"/>
          <w:sz w:val="28"/>
          <w:szCs w:val="28"/>
        </w:rPr>
        <w:t>万元，较</w:t>
      </w:r>
      <w:r>
        <w:rPr>
          <w:snapToGrid w:val="0"/>
          <w:kern w:val="0"/>
          <w:sz w:val="28"/>
          <w:szCs w:val="28"/>
        </w:rPr>
        <w:t>预算</w:t>
      </w:r>
      <w:r>
        <w:rPr>
          <w:rFonts w:hint="eastAsia"/>
          <w:snapToGrid w:val="0"/>
          <w:kern w:val="0"/>
          <w:sz w:val="28"/>
          <w:szCs w:val="28"/>
        </w:rPr>
        <w:t>压减</w:t>
      </w:r>
      <w:r>
        <w:rPr>
          <w:snapToGrid w:val="0"/>
          <w:kern w:val="0"/>
          <w:sz w:val="28"/>
          <w:szCs w:val="28"/>
        </w:rPr>
        <w:t>4</w:t>
      </w:r>
      <w:r>
        <w:rPr>
          <w:rFonts w:hint="eastAsia"/>
          <w:snapToGrid w:val="0"/>
          <w:kern w:val="0"/>
          <w:sz w:val="28"/>
          <w:szCs w:val="28"/>
        </w:rPr>
        <w:t>万元，减少</w:t>
      </w:r>
      <w:r>
        <w:rPr>
          <w:snapToGrid w:val="0"/>
          <w:kern w:val="0"/>
          <w:sz w:val="28"/>
          <w:szCs w:val="28"/>
        </w:rPr>
        <w:t>100</w:t>
      </w:r>
      <w:r>
        <w:rPr>
          <w:rFonts w:hint="eastAsia"/>
          <w:snapToGrid w:val="0"/>
          <w:kern w:val="0"/>
          <w:sz w:val="28"/>
          <w:szCs w:val="28"/>
        </w:rPr>
        <w:t>%</w:t>
      </w:r>
      <w:r>
        <w:rPr>
          <w:snapToGrid w:val="0"/>
          <w:kern w:val="0"/>
          <w:sz w:val="28"/>
          <w:szCs w:val="28"/>
        </w:rPr>
        <w:t>；</w:t>
      </w:r>
      <w:r>
        <w:rPr>
          <w:rFonts w:hint="eastAsia"/>
          <w:snapToGrid w:val="0"/>
          <w:kern w:val="0"/>
          <w:sz w:val="28"/>
          <w:szCs w:val="28"/>
        </w:rPr>
        <w:t>较2015年减少0.</w:t>
      </w:r>
      <w:r>
        <w:rPr>
          <w:snapToGrid w:val="0"/>
          <w:kern w:val="0"/>
          <w:sz w:val="28"/>
          <w:szCs w:val="28"/>
        </w:rPr>
        <w:t>22</w:t>
      </w:r>
      <w:r>
        <w:rPr>
          <w:rFonts w:hint="eastAsia"/>
          <w:snapToGrid w:val="0"/>
          <w:kern w:val="0"/>
          <w:sz w:val="28"/>
          <w:szCs w:val="28"/>
        </w:rPr>
        <w:t>万元，下降</w:t>
      </w:r>
      <w:r>
        <w:rPr>
          <w:snapToGrid w:val="0"/>
          <w:kern w:val="0"/>
          <w:sz w:val="28"/>
          <w:szCs w:val="28"/>
        </w:rPr>
        <w:t>100</w:t>
      </w:r>
      <w:r>
        <w:rPr>
          <w:rFonts w:hint="eastAsia"/>
          <w:snapToGrid w:val="0"/>
          <w:kern w:val="0"/>
          <w:sz w:val="28"/>
          <w:szCs w:val="28"/>
        </w:rPr>
        <w:t>%。主要原因是根据</w:t>
      </w:r>
      <w:r>
        <w:rPr>
          <w:snapToGrid w:val="0"/>
          <w:kern w:val="0"/>
          <w:sz w:val="28"/>
          <w:szCs w:val="28"/>
        </w:rPr>
        <w:t>中央八项规定压缩开支，</w:t>
      </w:r>
      <w:r>
        <w:rPr>
          <w:rFonts w:hint="eastAsia"/>
          <w:snapToGrid w:val="0"/>
          <w:kern w:val="0"/>
          <w:sz w:val="28"/>
          <w:szCs w:val="28"/>
        </w:rPr>
        <w:t>压</w:t>
      </w:r>
      <w:r>
        <w:rPr>
          <w:snapToGrid w:val="0"/>
          <w:kern w:val="0"/>
          <w:sz w:val="28"/>
          <w:szCs w:val="28"/>
        </w:rPr>
        <w:t>减公务接待</w:t>
      </w:r>
      <w:r>
        <w:rPr>
          <w:rFonts w:hint="eastAsia"/>
          <w:snapToGrid w:val="0"/>
          <w:kern w:val="0"/>
          <w:sz w:val="28"/>
          <w:szCs w:val="28"/>
        </w:rPr>
        <w:t>费用</w:t>
      </w:r>
      <w:r>
        <w:rPr>
          <w:snapToGrid w:val="0"/>
          <w:kern w:val="0"/>
          <w:sz w:val="28"/>
          <w:szCs w:val="28"/>
        </w:rPr>
        <w:t>支出</w:t>
      </w:r>
      <w:r>
        <w:rPr>
          <w:rFonts w:hint="eastAsia"/>
          <w:snapToGrid w:val="0"/>
          <w:kern w:val="0"/>
          <w:sz w:val="28"/>
          <w:szCs w:val="28"/>
        </w:rPr>
        <w:t>。</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国内公务接待</w:t>
      </w:r>
      <w:r>
        <w:rPr>
          <w:snapToGrid w:val="0"/>
          <w:kern w:val="0"/>
          <w:sz w:val="28"/>
          <w:szCs w:val="28"/>
        </w:rPr>
        <w:t>0</w:t>
      </w:r>
      <w:r>
        <w:rPr>
          <w:rFonts w:hint="eastAsia"/>
          <w:snapToGrid w:val="0"/>
          <w:kern w:val="0"/>
          <w:sz w:val="28"/>
          <w:szCs w:val="28"/>
        </w:rPr>
        <w:t>批次，国内公务接待</w:t>
      </w:r>
      <w:r>
        <w:rPr>
          <w:snapToGrid w:val="0"/>
          <w:kern w:val="0"/>
          <w:sz w:val="28"/>
          <w:szCs w:val="28"/>
        </w:rPr>
        <w:t>0</w:t>
      </w:r>
      <w:r>
        <w:rPr>
          <w:rFonts w:hint="eastAsia"/>
          <w:snapToGrid w:val="0"/>
          <w:kern w:val="0"/>
          <w:sz w:val="28"/>
          <w:szCs w:val="28"/>
        </w:rPr>
        <w:t>人次；国外公务接待0批次，国外公务接待0人次。</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六</w:t>
      </w:r>
      <w:r>
        <w:rPr>
          <w:rFonts w:ascii="黑体" w:hAnsi="黑体" w:eastAsia="黑体"/>
          <w:snapToGrid w:val="0"/>
          <w:kern w:val="0"/>
          <w:sz w:val="28"/>
          <w:szCs w:val="28"/>
        </w:rPr>
        <w:t>、</w:t>
      </w:r>
      <w:r>
        <w:rPr>
          <w:rFonts w:hint="eastAsia" w:ascii="黑体" w:hAnsi="黑体" w:eastAsia="黑体"/>
          <w:snapToGrid w:val="0"/>
          <w:kern w:val="0"/>
          <w:sz w:val="28"/>
          <w:szCs w:val="28"/>
        </w:rPr>
        <w:t>预算</w:t>
      </w:r>
      <w:r>
        <w:rPr>
          <w:rFonts w:ascii="黑体" w:hAnsi="黑体" w:eastAsia="黑体"/>
          <w:snapToGrid w:val="0"/>
          <w:kern w:val="0"/>
          <w:sz w:val="28"/>
          <w:szCs w:val="28"/>
        </w:rPr>
        <w:t>绩效管理工作开展情况说明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Pr>
          <w:rFonts w:hint="eastAsia"/>
          <w:snapToGrid w:val="0"/>
          <w:kern w:val="0"/>
          <w:sz w:val="28"/>
          <w:szCs w:val="28"/>
        </w:rPr>
        <w:t>确定</w:t>
      </w:r>
      <w:r>
        <w:rPr>
          <w:snapToGrid w:val="0"/>
          <w:kern w:val="0"/>
          <w:sz w:val="28"/>
          <w:szCs w:val="28"/>
        </w:rPr>
        <w:t>部门预算项目和预算额度，清晰描述预算项目开支范围和内容，确定预算项目的绩效目标</w:t>
      </w:r>
      <w:r>
        <w:rPr>
          <w:rFonts w:hint="eastAsia"/>
          <w:snapToGrid w:val="0"/>
          <w:kern w:val="0"/>
          <w:sz w:val="28"/>
          <w:szCs w:val="28"/>
        </w:rPr>
        <w:t>。如我单位</w:t>
      </w:r>
      <w:r>
        <w:rPr>
          <w:snapToGrid w:val="0"/>
          <w:kern w:val="0"/>
          <w:sz w:val="28"/>
          <w:szCs w:val="28"/>
        </w:rPr>
        <w:t>的</w:t>
      </w:r>
      <w:r>
        <w:rPr>
          <w:rFonts w:hint="eastAsia"/>
          <w:snapToGrid w:val="0"/>
          <w:kern w:val="0"/>
          <w:sz w:val="28"/>
          <w:szCs w:val="28"/>
        </w:rPr>
        <w:t>巡逻保障经费项目</w:t>
      </w:r>
      <w:r>
        <w:rPr>
          <w:snapToGrid w:val="0"/>
          <w:kern w:val="0"/>
          <w:sz w:val="28"/>
          <w:szCs w:val="28"/>
        </w:rPr>
        <w:t>，</w:t>
      </w:r>
      <w:r>
        <w:rPr>
          <w:rFonts w:hint="eastAsia"/>
          <w:snapToGrid w:val="0"/>
          <w:kern w:val="0"/>
          <w:sz w:val="28"/>
          <w:szCs w:val="28"/>
        </w:rPr>
        <w:t>该项目</w:t>
      </w:r>
      <w:r>
        <w:rPr>
          <w:snapToGrid w:val="0"/>
          <w:kern w:val="0"/>
          <w:sz w:val="28"/>
          <w:szCs w:val="28"/>
        </w:rPr>
        <w:t>年初预算安排</w:t>
      </w:r>
      <w:r>
        <w:rPr>
          <w:rFonts w:hint="eastAsia"/>
          <w:snapToGrid w:val="0"/>
          <w:kern w:val="0"/>
          <w:sz w:val="28"/>
          <w:szCs w:val="28"/>
        </w:rPr>
        <w:t xml:space="preserve"> 81 万元</w:t>
      </w:r>
      <w:r>
        <w:rPr>
          <w:snapToGrid w:val="0"/>
          <w:kern w:val="0"/>
          <w:sz w:val="28"/>
          <w:szCs w:val="28"/>
        </w:rPr>
        <w:t>，</w:t>
      </w:r>
      <w:r>
        <w:rPr>
          <w:rFonts w:hint="eastAsia"/>
          <w:snapToGrid w:val="0"/>
          <w:kern w:val="0"/>
          <w:sz w:val="28"/>
          <w:szCs w:val="28"/>
        </w:rPr>
        <w:t>截至年末</w:t>
      </w:r>
      <w:r>
        <w:rPr>
          <w:snapToGrid w:val="0"/>
          <w:kern w:val="0"/>
          <w:sz w:val="28"/>
          <w:szCs w:val="28"/>
        </w:rPr>
        <w:t>实际支出</w:t>
      </w:r>
      <w:r>
        <w:rPr>
          <w:rFonts w:hint="eastAsia"/>
          <w:snapToGrid w:val="0"/>
          <w:kern w:val="0"/>
          <w:sz w:val="28"/>
          <w:szCs w:val="28"/>
        </w:rPr>
        <w:t xml:space="preserve"> 81 万元</w:t>
      </w:r>
      <w:r>
        <w:rPr>
          <w:snapToGrid w:val="0"/>
          <w:kern w:val="0"/>
          <w:sz w:val="28"/>
          <w:szCs w:val="28"/>
        </w:rPr>
        <w:t>。取得了</w:t>
      </w:r>
      <w:r>
        <w:rPr>
          <w:rFonts w:hint="eastAsia"/>
          <w:snapToGrid w:val="0"/>
          <w:kern w:val="0"/>
          <w:sz w:val="28"/>
          <w:szCs w:val="28"/>
        </w:rPr>
        <w:t>城区环境质量和秩序得到了很多的改善的</w:t>
      </w:r>
      <w:r>
        <w:rPr>
          <w:snapToGrid w:val="0"/>
          <w:kern w:val="0"/>
          <w:sz w:val="28"/>
          <w:szCs w:val="28"/>
        </w:rPr>
        <w:t>成果</w:t>
      </w:r>
      <w:r>
        <w:rPr>
          <w:rFonts w:hint="eastAsia"/>
          <w:snapToGrid w:val="0"/>
          <w:kern w:val="0"/>
          <w:sz w:val="28"/>
          <w:szCs w:val="28"/>
        </w:rPr>
        <w:t>，</w:t>
      </w:r>
      <w:r>
        <w:rPr>
          <w:snapToGrid w:val="0"/>
          <w:kern w:val="0"/>
          <w:sz w:val="28"/>
          <w:szCs w:val="28"/>
        </w:rPr>
        <w:t>较好的</w:t>
      </w:r>
      <w:r>
        <w:rPr>
          <w:rFonts w:hint="eastAsia"/>
          <w:snapToGrid w:val="0"/>
          <w:kern w:val="0"/>
          <w:sz w:val="28"/>
          <w:szCs w:val="28"/>
        </w:rPr>
        <w:t>实现了</w:t>
      </w:r>
      <w:r>
        <w:rPr>
          <w:snapToGrid w:val="0"/>
          <w:kern w:val="0"/>
          <w:sz w:val="28"/>
          <w:szCs w:val="28"/>
        </w:rPr>
        <w:t>预算项目绩效</w:t>
      </w:r>
      <w:r>
        <w:rPr>
          <w:rFonts w:hint="eastAsia"/>
          <w:snapToGrid w:val="0"/>
          <w:kern w:val="0"/>
          <w:sz w:val="28"/>
          <w:szCs w:val="28"/>
        </w:rPr>
        <w:t>目标</w:t>
      </w:r>
      <w:r>
        <w:rPr>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七</w:t>
      </w:r>
      <w:r>
        <w:rPr>
          <w:rFonts w:ascii="黑体" w:hAnsi="黑体" w:eastAsia="黑体"/>
          <w:snapToGrid w:val="0"/>
          <w:kern w:val="0"/>
          <w:sz w:val="28"/>
          <w:szCs w:val="28"/>
        </w:rPr>
        <w:t>、</w:t>
      </w:r>
      <w:r>
        <w:rPr>
          <w:rFonts w:hint="eastAsia" w:ascii="黑体" w:hAnsi="黑体" w:eastAsia="黑体"/>
          <w:snapToGrid w:val="0"/>
          <w:kern w:val="0"/>
          <w:sz w:val="28"/>
          <w:szCs w:val="28"/>
        </w:rPr>
        <w:t>其他</w:t>
      </w:r>
      <w:r>
        <w:rPr>
          <w:rFonts w:ascii="黑体" w:hAnsi="黑体" w:eastAsia="黑体"/>
          <w:snapToGrid w:val="0"/>
          <w:kern w:val="0"/>
          <w:sz w:val="28"/>
          <w:szCs w:val="28"/>
        </w:rPr>
        <w:t>重要事项的说明</w:t>
      </w:r>
    </w:p>
    <w:p>
      <w:pPr>
        <w:adjustRightInd w:val="0"/>
        <w:snapToGrid w:val="0"/>
        <w:spacing w:line="600" w:lineRule="exact"/>
        <w:ind w:firstLine="560" w:firstLineChars="20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pPr>
        <w:pStyle w:val="6"/>
        <w:adjustRightInd w:val="0"/>
        <w:snapToGrid w:val="0"/>
        <w:spacing w:line="600" w:lineRule="exact"/>
        <w:ind w:left="210" w:leftChars="100" w:firstLineChars="15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年本部门机关运行经费支出</w:t>
      </w:r>
      <w:r>
        <w:rPr>
          <w:snapToGrid w:val="0"/>
          <w:kern w:val="0"/>
          <w:sz w:val="28"/>
          <w:szCs w:val="28"/>
        </w:rPr>
        <w:t xml:space="preserve"> </w:t>
      </w:r>
      <w:r>
        <w:rPr>
          <w:rFonts w:hint="eastAsia"/>
          <w:snapToGrid w:val="0"/>
          <w:kern w:val="0"/>
          <w:sz w:val="28"/>
          <w:szCs w:val="28"/>
        </w:rPr>
        <w:t>117.05</w:t>
      </w:r>
      <w:r>
        <w:rPr>
          <w:snapToGrid w:val="0"/>
          <w:kern w:val="0"/>
          <w:sz w:val="28"/>
          <w:szCs w:val="28"/>
        </w:rPr>
        <w:t xml:space="preserve"> </w:t>
      </w:r>
      <w:r>
        <w:rPr>
          <w:rFonts w:hint="eastAsia"/>
          <w:snapToGrid w:val="0"/>
          <w:kern w:val="0"/>
          <w:sz w:val="28"/>
          <w:szCs w:val="28"/>
        </w:rPr>
        <w:t>万元，比201</w:t>
      </w:r>
      <w:r>
        <w:rPr>
          <w:snapToGrid w:val="0"/>
          <w:kern w:val="0"/>
          <w:sz w:val="28"/>
          <w:szCs w:val="28"/>
        </w:rPr>
        <w:t>5</w:t>
      </w:r>
      <w:r>
        <w:rPr>
          <w:rFonts w:hint="eastAsia"/>
          <w:snapToGrid w:val="0"/>
          <w:kern w:val="0"/>
          <w:sz w:val="28"/>
          <w:szCs w:val="28"/>
        </w:rPr>
        <w:t>年减少</w:t>
      </w:r>
      <w:r>
        <w:rPr>
          <w:snapToGrid w:val="0"/>
          <w:kern w:val="0"/>
          <w:sz w:val="28"/>
          <w:szCs w:val="28"/>
        </w:rPr>
        <w:t xml:space="preserve">  </w:t>
      </w:r>
      <w:r>
        <w:rPr>
          <w:rFonts w:hint="eastAsia"/>
          <w:snapToGrid w:val="0"/>
          <w:kern w:val="0"/>
          <w:sz w:val="28"/>
          <w:szCs w:val="28"/>
        </w:rPr>
        <w:t>106.00万元，增长下降47.52</w:t>
      </w:r>
      <w:r>
        <w:rPr>
          <w:snapToGrid w:val="0"/>
          <w:kern w:val="0"/>
          <w:sz w:val="28"/>
          <w:szCs w:val="28"/>
        </w:rPr>
        <w:t xml:space="preserve"> </w:t>
      </w:r>
      <w:r>
        <w:rPr>
          <w:rFonts w:hint="eastAsia"/>
          <w:snapToGrid w:val="0"/>
          <w:kern w:val="0"/>
          <w:sz w:val="28"/>
          <w:szCs w:val="28"/>
        </w:rPr>
        <w:t>%。主要原因是：日常减少是2016年项目增加。</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w:t>
      </w:r>
      <w:r>
        <w:rPr>
          <w:snapToGrid w:val="0"/>
          <w:kern w:val="0"/>
          <w:sz w:val="28"/>
          <w:szCs w:val="28"/>
        </w:rPr>
        <w:t>、政府采购情况说明</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2016年政府采购预算总额为1959.04万元，主要包括政府采购货物 1388.29万元，工程104.07 万元及服务466.68万元。</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年本部门政府采购支出总额</w:t>
      </w:r>
      <w:r>
        <w:rPr>
          <w:snapToGrid w:val="0"/>
          <w:kern w:val="0"/>
          <w:sz w:val="28"/>
          <w:szCs w:val="28"/>
        </w:rPr>
        <w:t xml:space="preserve"> </w:t>
      </w:r>
      <w:r>
        <w:rPr>
          <w:rFonts w:hint="eastAsia"/>
          <w:snapToGrid w:val="0"/>
          <w:kern w:val="0"/>
          <w:sz w:val="28"/>
          <w:szCs w:val="28"/>
        </w:rPr>
        <w:t>1873.88万元，其中：政府采购货物支出</w:t>
      </w:r>
      <w:r>
        <w:rPr>
          <w:snapToGrid w:val="0"/>
          <w:kern w:val="0"/>
          <w:sz w:val="28"/>
          <w:szCs w:val="28"/>
        </w:rPr>
        <w:t xml:space="preserve"> </w:t>
      </w:r>
      <w:r>
        <w:rPr>
          <w:rFonts w:hint="eastAsia"/>
          <w:snapToGrid w:val="0"/>
          <w:kern w:val="0"/>
          <w:sz w:val="28"/>
          <w:szCs w:val="28"/>
        </w:rPr>
        <w:t>1317.38</w:t>
      </w:r>
      <w:r>
        <w:rPr>
          <w:snapToGrid w:val="0"/>
          <w:kern w:val="0"/>
          <w:sz w:val="28"/>
          <w:szCs w:val="28"/>
        </w:rPr>
        <w:t xml:space="preserve"> </w:t>
      </w:r>
      <w:r>
        <w:rPr>
          <w:rFonts w:hint="eastAsia"/>
          <w:snapToGrid w:val="0"/>
          <w:kern w:val="0"/>
          <w:sz w:val="28"/>
          <w:szCs w:val="28"/>
        </w:rPr>
        <w:t>万元、政府采购工程支出</w:t>
      </w:r>
      <w:r>
        <w:rPr>
          <w:snapToGrid w:val="0"/>
          <w:kern w:val="0"/>
          <w:sz w:val="28"/>
          <w:szCs w:val="28"/>
        </w:rPr>
        <w:t xml:space="preserve"> </w:t>
      </w:r>
      <w:r>
        <w:rPr>
          <w:rFonts w:hint="eastAsia"/>
          <w:snapToGrid w:val="0"/>
          <w:kern w:val="0"/>
          <w:sz w:val="28"/>
          <w:szCs w:val="28"/>
        </w:rPr>
        <w:t>103</w:t>
      </w:r>
      <w:r>
        <w:rPr>
          <w:snapToGrid w:val="0"/>
          <w:kern w:val="0"/>
          <w:sz w:val="28"/>
          <w:szCs w:val="28"/>
        </w:rPr>
        <w:t xml:space="preserve"> </w:t>
      </w:r>
      <w:r>
        <w:rPr>
          <w:rFonts w:hint="eastAsia"/>
          <w:snapToGrid w:val="0"/>
          <w:kern w:val="0"/>
          <w:sz w:val="28"/>
          <w:szCs w:val="28"/>
        </w:rPr>
        <w:t>万元、政府采购服务支出</w:t>
      </w:r>
      <w:r>
        <w:rPr>
          <w:snapToGrid w:val="0"/>
          <w:kern w:val="0"/>
          <w:sz w:val="28"/>
          <w:szCs w:val="28"/>
        </w:rPr>
        <w:t xml:space="preserve"> </w:t>
      </w:r>
      <w:r>
        <w:rPr>
          <w:rFonts w:hint="eastAsia"/>
          <w:snapToGrid w:val="0"/>
          <w:kern w:val="0"/>
          <w:sz w:val="28"/>
          <w:szCs w:val="28"/>
        </w:rPr>
        <w:t>453.50</w:t>
      </w:r>
      <w:r>
        <w:rPr>
          <w:snapToGrid w:val="0"/>
          <w:kern w:val="0"/>
          <w:sz w:val="28"/>
          <w:szCs w:val="28"/>
        </w:rPr>
        <w:t xml:space="preserve"> </w:t>
      </w:r>
      <w:r>
        <w:rPr>
          <w:rFonts w:hint="eastAsia"/>
          <w:snapToGrid w:val="0"/>
          <w:kern w:val="0"/>
          <w:sz w:val="28"/>
          <w:szCs w:val="28"/>
        </w:rPr>
        <w:t>万元。</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3、</w:t>
      </w:r>
      <w:r>
        <w:rPr>
          <w:snapToGrid w:val="0"/>
          <w:kern w:val="0"/>
          <w:sz w:val="28"/>
          <w:szCs w:val="28"/>
        </w:rPr>
        <w:t>国有资产占用情况</w:t>
      </w:r>
    </w:p>
    <w:p>
      <w:pPr>
        <w:pStyle w:val="6"/>
        <w:adjustRightInd w:val="0"/>
        <w:snapToGrid w:val="0"/>
        <w:spacing w:line="600" w:lineRule="exact"/>
        <w:ind w:firstLine="560"/>
        <w:rPr>
          <w:snapToGrid w:val="0"/>
          <w:kern w:val="0"/>
          <w:sz w:val="28"/>
          <w:szCs w:val="28"/>
        </w:rPr>
      </w:pPr>
      <w:r>
        <w:rPr>
          <w:rFonts w:hint="eastAsia"/>
          <w:snapToGrid w:val="0"/>
          <w:kern w:val="0"/>
          <w:sz w:val="28"/>
          <w:szCs w:val="28"/>
        </w:rPr>
        <w:t xml:space="preserve">我单位2016年末固定资产总额为1525.51 万元，主要包括房屋   0平方米，价值 0 万元，车辆 66 辆，价值1018.20 万元，单价在50万元以上的设备 0万元，及其他固定资产 167.77万元。 </w:t>
      </w:r>
    </w:p>
    <w:p>
      <w:pPr>
        <w:pStyle w:val="6"/>
        <w:adjustRightInd w:val="0"/>
        <w:snapToGrid w:val="0"/>
        <w:spacing w:line="600" w:lineRule="exact"/>
        <w:ind w:firstLine="560"/>
        <w:rPr>
          <w:snapToGrid w:val="0"/>
          <w:kern w:val="0"/>
          <w:sz w:val="28"/>
          <w:szCs w:val="28"/>
        </w:rPr>
      </w:pPr>
      <w:r>
        <w:rPr>
          <w:rFonts w:hint="eastAsia"/>
          <w:snapToGrid w:val="0"/>
          <w:kern w:val="0"/>
          <w:sz w:val="28"/>
          <w:szCs w:val="28"/>
        </w:rPr>
        <w:t>2016年资产变动情况：固定资产增加895.56 万元，包括房屋增加0 万元,车辆增加647.02  万元，单价在50万元以上的设备增加0万元，其他固定资产增加 34.59 万元。</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4、</w:t>
      </w:r>
      <w:r>
        <w:rPr>
          <w:snapToGrid w:val="0"/>
          <w:kern w:val="0"/>
          <w:sz w:val="28"/>
          <w:szCs w:val="28"/>
        </w:rPr>
        <w:t>其他需要说明的</w:t>
      </w:r>
      <w:r>
        <w:rPr>
          <w:rFonts w:hint="eastAsia"/>
          <w:snapToGrid w:val="0"/>
          <w:kern w:val="0"/>
          <w:sz w:val="28"/>
          <w:szCs w:val="28"/>
        </w:rPr>
        <w:t>情况：无</w:t>
      </w:r>
    </w:p>
    <w:p>
      <w:pPr>
        <w:pStyle w:val="6"/>
        <w:adjustRightInd w:val="0"/>
        <w:snapToGrid w:val="0"/>
        <w:spacing w:line="600" w:lineRule="exact"/>
        <w:ind w:left="105" w:leftChars="50" w:firstLine="560"/>
        <w:rPr>
          <w:snapToGrid w:val="0"/>
          <w:kern w:val="0"/>
          <w:sz w:val="28"/>
          <w:szCs w:val="28"/>
        </w:rPr>
      </w:pPr>
    </w:p>
    <w:p>
      <w:pPr>
        <w:jc w:val="center"/>
        <w:rPr>
          <w:b/>
          <w:sz w:val="44"/>
          <w:szCs w:val="44"/>
        </w:rPr>
      </w:pPr>
      <w:r>
        <w:rPr>
          <w:rFonts w:hint="eastAsia"/>
          <w:b/>
          <w:sz w:val="44"/>
          <w:szCs w:val="44"/>
        </w:rPr>
        <w:t>第三部分      名词</w:t>
      </w:r>
      <w:r>
        <w:rPr>
          <w:b/>
          <w:sz w:val="44"/>
          <w:szCs w:val="44"/>
        </w:rPr>
        <w:t>解释</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（一）财政拨款收入：本年度从本级财政部门取得的财政拨款，包括一般公共预算财政拨款和政府性基金预算财政拨款。</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（二）事业收入：指事业单位开展专业业务活动及辅助活动所取得的收入。</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（三）其他收入：指除上述“财政拨款收入”、“事业收入”、“经营收入”等以外的收入。</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（五）年初结转和结余：指以前年度尚未完成、结转到本年仍按原规定用途继续使用的资金，或项目已完成等产生的结余资金。</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（六）结余分配：指事业单位按照事业单位会计制度的规定从非财政补助结余中分配的事业基金和职工福利基金等。</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（七）年末结转和结余：指单位按有关规定结转到下年或以后年度继续使用的资金，或项目已完成等产生的结余资金。</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（八）基本支出：填列单位为保障机构正常运转、完成日常工作任务而发生的各项支出。</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（九）项目支出：填列单位为完成特定的行政工作任务或事业发展目标，在基本支出之外发生的各项支出</w:t>
      </w:r>
    </w:p>
    <w:p>
      <w:pPr>
        <w:pStyle w:val="6"/>
        <w:adjustRightInd w:val="0"/>
        <w:snapToGrid w:val="0"/>
        <w:spacing w:line="600" w:lineRule="exact"/>
        <w:ind w:left="105" w:leftChars="50" w:firstLine="560"/>
        <w:rPr>
          <w:snapToGrid w:val="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NDk5N2E5MzFlMTU0YjUwNGRhOTEzYTdiZGU1MzkifQ=="/>
  </w:docVars>
  <w:rsids>
    <w:rsidRoot w:val="008423F5"/>
    <w:rsid w:val="001041EE"/>
    <w:rsid w:val="001132C7"/>
    <w:rsid w:val="0015089B"/>
    <w:rsid w:val="00151783"/>
    <w:rsid w:val="00152908"/>
    <w:rsid w:val="0017754F"/>
    <w:rsid w:val="0019284A"/>
    <w:rsid w:val="001A596D"/>
    <w:rsid w:val="001C673D"/>
    <w:rsid w:val="001E68F2"/>
    <w:rsid w:val="00202282"/>
    <w:rsid w:val="002D0738"/>
    <w:rsid w:val="00301B77"/>
    <w:rsid w:val="003277A3"/>
    <w:rsid w:val="00357A23"/>
    <w:rsid w:val="00372DF7"/>
    <w:rsid w:val="003F0B48"/>
    <w:rsid w:val="003F3B34"/>
    <w:rsid w:val="004011EF"/>
    <w:rsid w:val="0042789C"/>
    <w:rsid w:val="00471A6A"/>
    <w:rsid w:val="004B5932"/>
    <w:rsid w:val="00505E53"/>
    <w:rsid w:val="00540A93"/>
    <w:rsid w:val="00554D0A"/>
    <w:rsid w:val="0058572E"/>
    <w:rsid w:val="00585BCF"/>
    <w:rsid w:val="005B3169"/>
    <w:rsid w:val="0060361A"/>
    <w:rsid w:val="00644D1F"/>
    <w:rsid w:val="006A0C65"/>
    <w:rsid w:val="006B564B"/>
    <w:rsid w:val="006E4582"/>
    <w:rsid w:val="006E71D0"/>
    <w:rsid w:val="00791B38"/>
    <w:rsid w:val="008026BF"/>
    <w:rsid w:val="0082704B"/>
    <w:rsid w:val="008423F5"/>
    <w:rsid w:val="00842CBB"/>
    <w:rsid w:val="00886A38"/>
    <w:rsid w:val="008C2B10"/>
    <w:rsid w:val="008D7863"/>
    <w:rsid w:val="008F42D8"/>
    <w:rsid w:val="009426C5"/>
    <w:rsid w:val="00945D0B"/>
    <w:rsid w:val="00974CFD"/>
    <w:rsid w:val="00985214"/>
    <w:rsid w:val="009B74FB"/>
    <w:rsid w:val="009F0BB0"/>
    <w:rsid w:val="00A03904"/>
    <w:rsid w:val="00A17BE8"/>
    <w:rsid w:val="00A372C2"/>
    <w:rsid w:val="00A62715"/>
    <w:rsid w:val="00A702AA"/>
    <w:rsid w:val="00A74BF9"/>
    <w:rsid w:val="00A87BF9"/>
    <w:rsid w:val="00AA21A2"/>
    <w:rsid w:val="00AF78B0"/>
    <w:rsid w:val="00B005DA"/>
    <w:rsid w:val="00B17297"/>
    <w:rsid w:val="00B40ED6"/>
    <w:rsid w:val="00B43415"/>
    <w:rsid w:val="00B45F98"/>
    <w:rsid w:val="00B71D52"/>
    <w:rsid w:val="00B7337C"/>
    <w:rsid w:val="00BA2DA0"/>
    <w:rsid w:val="00C03C40"/>
    <w:rsid w:val="00C222CB"/>
    <w:rsid w:val="00C4312C"/>
    <w:rsid w:val="00C60942"/>
    <w:rsid w:val="00C82568"/>
    <w:rsid w:val="00C8452B"/>
    <w:rsid w:val="00CA2480"/>
    <w:rsid w:val="00CB45AA"/>
    <w:rsid w:val="00D30DE5"/>
    <w:rsid w:val="00D6325B"/>
    <w:rsid w:val="00D9008B"/>
    <w:rsid w:val="00DA46F4"/>
    <w:rsid w:val="00DB4A97"/>
    <w:rsid w:val="00DB7E7C"/>
    <w:rsid w:val="00DC5EA2"/>
    <w:rsid w:val="00E244BA"/>
    <w:rsid w:val="00E71A30"/>
    <w:rsid w:val="00E779A0"/>
    <w:rsid w:val="00EA5821"/>
    <w:rsid w:val="00EB7A8B"/>
    <w:rsid w:val="00F00F83"/>
    <w:rsid w:val="00F7078F"/>
    <w:rsid w:val="00FB6F46"/>
    <w:rsid w:val="064A3FAD"/>
    <w:rsid w:val="0B6A15E4"/>
    <w:rsid w:val="0D6054DA"/>
    <w:rsid w:val="1AF90D88"/>
    <w:rsid w:val="1F545778"/>
    <w:rsid w:val="45140908"/>
    <w:rsid w:val="60C2056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styleId="7">
    <w:name w:val="List Paragraph"/>
    <w:basedOn w:val="1"/>
    <w:qFormat/>
    <w:uiPriority w:val="34"/>
    <w:pPr>
      <w:ind w:firstLine="420" w:firstLineChars="200"/>
    </w:pPr>
  </w:style>
  <w:style w:type="character" w:customStyle="1" w:styleId="8">
    <w:name w:val="页眉 Char"/>
    <w:basedOn w:val="5"/>
    <w:link w:val="3"/>
    <w:uiPriority w:val="99"/>
    <w:rPr>
      <w:rFonts w:asciiTheme="minorHAnsi" w:hAnsiTheme="minorHAnsi" w:eastAsiaTheme="minorEastAsia" w:cstheme="minorBidi"/>
      <w:kern w:val="2"/>
      <w:sz w:val="18"/>
      <w:szCs w:val="18"/>
    </w:rPr>
  </w:style>
  <w:style w:type="character" w:customStyle="1" w:styleId="9">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498</Words>
  <Characters>2841</Characters>
  <Lines>23</Lines>
  <Paragraphs>6</Paragraphs>
  <TotalTime>0</TotalTime>
  <ScaleCrop>false</ScaleCrop>
  <LinksUpToDate>false</LinksUpToDate>
  <CharactersWithSpaces>3333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2017-11-10T10:28:00Z</dcterms:created>
  <dc:creator>yuanxiaowei</dc:creator>
  <cp:lastModifiedBy>user</cp:lastModifiedBy>
  <cp:lastPrinted>2017-08-29T03:35:00Z</cp:lastPrinted>
  <dcterms:modified xsi:type="dcterms:W3CDTF">2025-05-12T06:27:28Z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E7781A2058A4479AB2541C8BBE05C78F_12</vt:lpwstr>
  </property>
</Properties>
</file>