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保定市徐水区大因镇人民政府</w:t>
      </w: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2019年部门整体支出绩效评价自评报告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9</w:t>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一、保定市徐水区大因基本情况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44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45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headerReference r:id="rId6" w:type="first"/>
              <w:footerReference r:id="rId9" w:type="first"/>
              <w:headerReference r:id="rId4" w:type="default"/>
              <w:footerReference r:id="rId7" w:type="default"/>
              <w:headerReference r:id="rId5" w:type="even"/>
              <w:footerReference r:id="rId8" w:type="even"/>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pPr>
        <w:spacing w:line="580" w:lineRule="exact"/>
        <w:ind w:firstLine="640" w:firstLineChars="200"/>
        <w:rPr>
          <w:rFonts w:ascii="仿宋_GB2312" w:eastAsia="仿宋_GB2312"/>
          <w:sz w:val="32"/>
          <w:szCs w:val="32"/>
        </w:rPr>
      </w:pPr>
      <w:r>
        <w:rPr>
          <w:rFonts w:hint="eastAsia" w:ascii="仿宋_GB2312" w:eastAsia="仿宋_GB2312" w:cs="DengXian-Regular"/>
          <w:sz w:val="32"/>
          <w:szCs w:val="32"/>
        </w:rPr>
        <w:t>保定市徐水区大因整人民政府为正科级行政和事业单位，经费保障形式为财政拨款和财政性资金基本保证，下设7个股室，分别为</w:t>
      </w:r>
      <w:r>
        <w:rPr>
          <w:rFonts w:hint="eastAsia" w:ascii="仿宋_GB2312" w:eastAsia="仿宋_GB2312"/>
          <w:sz w:val="32"/>
          <w:szCs w:val="32"/>
        </w:rPr>
        <w:t>党政办公室、经济发展办公室、社会事务管理办公室、社会治安综合治理办公室、计划生育办公室、计划生育服务中心、综合文化服务中心。</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主要职责有（一）检查监督代表法、选举法及实施办报贯彻实施；承担人大换届选举及人事任免服务工作；负责对乡镇政府组成人员和乡镇人民法院主要负责人的目标责任书、述职报告的督办工作。</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（四）组织指导基层政权和社区建设；推进社会工作人员队伍建设。</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（五）水利水电项目的建设与维护管理。</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（六）负责乡镇防汛抗旱组织建设，应急调度，建设应急度汛、抗旱应急、海堤、山洪灾害防治项目，储备管理防汛抗旱物资，建设水利信息化基础设施，提高乡镇抗御水旱灾害能力。</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 xml:space="preserve">（七）乡镇公用设施建设、安全和应急管理；落实村庄的小城镇建设政策；指导农村住房建设、住房安全和危房改造；发送小城镇和村庄人居环境。 </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（八）完成交通基础设施投资；管理乡镇重点工程建设、工程质量和安全生产，对项目招投标活动进行监督管理。</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（九）协助完成国家下达的广播电视直播卫星户户通工程、农村电影工作、数字影院升级改造、农家书屋建设、全民阅读活动、老放映员生活补助以及应急广播体系建设等任务目标。</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（十）通过贯彻实施新型农村合作医疗、疾病应急救助、城乡居民大病保险以及公费医疗等制度，保障人民群众公平享有所需医疗服务权益。</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（十一）提供各类计划生育技术服务，开展出生人口性别比治理以及流动人口计划生育管理等各项工作。</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（十二）承担系统综合业务管理和部门综合事务管理。</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（十四）负责正常信访、非访、突发性及群体性事件的办理；提供相关服务保障；协助区信访局处理群众进京上访；信访事项督查、复查复核、听证。</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（十五）以农村教育为重点，推进义务教育均衡发展，建立中小学校舍安全保障机制，发送薄弱学校办学条件，促进公共教育资源向农村和经济欠发达地区倾斜。</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十六）承担全乡安全生产综合监督管理责任，依法行使综合监督管理职权；根据《中华人民共和国安全生产法》、《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（十七）统计、汇总、核查、会商灾情，统一发布灾情；组织协调紧急转移安置灾民；承办救灾款物分配和监管，物资调运，组织民房恢复重建及灾民生活救助，指导紧急救灾和灾后生产恢复。</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（十八）按照国家、省部署，对全乡主要粮食作物和猪、牛、羊、鸡等畜产品生产实施良种补贴。</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（十九）推进农村集体产权制度改革，完善农村土地承包制度，引导农村土地合理流转。创新农业经营主体；根据国家要求开展农村土地承包经营确权登记试点，并逐步向全乡全面推开。</w:t>
      </w:r>
    </w:p>
    <w:p>
      <w:pPr>
        <w:spacing w:line="580" w:lineRule="exact"/>
        <w:ind w:firstLine="640" w:firstLineChars="200"/>
        <w:rPr>
          <w:rFonts w:ascii="仿宋_GB2312" w:eastAsia="仿宋_GB2312"/>
          <w:sz w:val="32"/>
          <w:szCs w:val="32"/>
        </w:rPr>
      </w:pPr>
      <w:r>
        <w:rPr>
          <w:rFonts w:hint="eastAsia" w:ascii="仿宋_GB2312" w:eastAsia="仿宋_GB2312" w:cs="DengXian-Regular"/>
          <w:sz w:val="32"/>
          <w:szCs w:val="32"/>
        </w:rPr>
        <w:t>（二十）通过实施农村面貌改造提升行动，加快建设社会主义新农村。</w:t>
      </w:r>
    </w:p>
    <w:p>
      <w:pPr>
        <w:spacing w:line="580" w:lineRule="exact"/>
        <w:rPr>
          <w:rFonts w:ascii="仿宋_GB2312" w:eastAsia="仿宋_GB2312"/>
          <w:sz w:val="32"/>
          <w:szCs w:val="32"/>
        </w:rPr>
      </w:pPr>
      <w:r>
        <w:rPr>
          <w:rFonts w:hint="eastAsia" w:ascii="仿宋_GB2312" w:eastAsia="仿宋_GB2312" w:cs="DengXian-Regular"/>
          <w:sz w:val="32"/>
          <w:szCs w:val="32"/>
        </w:rPr>
        <w:t>承担主体责任，负责全区工作。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大因镇人民政府2019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大因镇人民政府2019年部门整体支出绩效评价指标体系共设置4个一级指标、7个二级指标、27个三级指标，从投入、过程、产出、效果四个方面对区大因镇人民政府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大因镇人民政府2019年部门整体支出综合评价得分为92.8分，评价等级为“优”。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大因镇人民政府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指标设计不清晰，导致评价结果和实际情况不一定相符。</w:t>
      </w:r>
    </w:p>
    <w:p>
      <w:pPr>
        <w:spacing w:after="0" w:line="360" w:lineRule="auto"/>
        <w:ind w:firstLine="800" w:firstLineChars="25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编制预算存在不可控性</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sz w:val="32"/>
          <w:szCs w:val="32"/>
        </w:rPr>
        <w:t>3.预算追加方面</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执行中一般都有追加，按照指标控制率指标计算，本指标基本都大于0.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color w:val="000000" w:themeColor="text1"/>
          <w:sz w:val="32"/>
          <w:szCs w:val="32"/>
        </w:rPr>
        <w:t>手续繁琐，不便操作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大部分项目能进行，但存在个别项目不能实施情况。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基础数据信息整理存档不及时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建议大因对项目资金进行梳理，督促项目进度和资金拨付进度，应拨付的资金及时拨付，不具备条件的资金及时收回，同时，对于按规定可以结转至下年的中央及省级项目资金，在下年的项目安排时优先考虑。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201</w:t>
      </w:r>
      <w:r>
        <w:rPr>
          <w:rFonts w:hint="eastAsia" w:ascii="仿宋_GB2312" w:eastAsia="仿宋_GB2312" w:cs="DengXian-Regular"/>
          <w:sz w:val="32"/>
          <w:szCs w:val="32"/>
        </w:rPr>
        <w:t>9</w:t>
      </w:r>
      <w:r>
        <w:rPr>
          <w:rFonts w:ascii="仿宋_GB2312" w:eastAsia="仿宋_GB2312" w:cs="DengXian-Regular"/>
          <w:sz w:val="32"/>
          <w:szCs w:val="32"/>
        </w:rPr>
        <w:t>年基本支出决算数较预算数增加比例较大，主要原因为人员经费支出，建议2020年预算根据</w:t>
      </w:r>
      <w:r>
        <w:rPr>
          <w:rFonts w:hint="eastAsia" w:ascii="仿宋_GB2312" w:eastAsia="仿宋_GB2312" w:cs="DengXian-Regular"/>
          <w:sz w:val="32"/>
          <w:szCs w:val="32"/>
        </w:rPr>
        <w:t>2019年实际发生人员经费支出、人员数量和工资标准适当安排人员经费预算。</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201</w:t>
      </w:r>
      <w:r>
        <w:rPr>
          <w:rFonts w:hint="eastAsia" w:ascii="仿宋_GB2312" w:eastAsia="仿宋_GB2312" w:cs="DengXian-Regular"/>
          <w:sz w:val="32"/>
          <w:szCs w:val="32"/>
        </w:rPr>
        <w:t>9</w:t>
      </w:r>
      <w:r>
        <w:rPr>
          <w:rFonts w:ascii="仿宋_GB2312" w:eastAsia="仿宋_GB2312" w:cs="DengXian-Regular"/>
          <w:sz w:val="32"/>
          <w:szCs w:val="32"/>
        </w:rPr>
        <w:t>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2020年预算不增加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一、保定市徐水区大因镇基本情况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w:t>
      </w:r>
      <w:bookmarkEnd w:id="4"/>
      <w:bookmarkEnd w:id="5"/>
      <w:r>
        <w:rPr>
          <w:rFonts w:hint="eastAsia" w:ascii="仿宋_GB2312" w:hAnsi="Tahoma" w:cs="DengXian-Regular"/>
          <w:sz w:val="32"/>
        </w:rPr>
        <w:t>动</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（一）检查监督代表法、选举法及实施办报贯彻实施；承担人大换届选举及人事任免服务工作；负责对乡镇政府组成人员和乡镇人民法院主要负责人的目标责任书、述职报告的督办工作。</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（四）组织指导基层政权和社区建设；推进社会工作人员队伍建设。</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（五）水利水电项目的建设与维护管理。</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（六）负责乡镇防汛抗旱组织建设，应急调度，建设应急度汛、抗旱应急、海堤、山洪灾害防治项目，储备管理防汛抗旱物资，建设水利信息化基础设施，提高乡镇抗御水旱灾害能力。</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 xml:space="preserve">（七）乡镇公用设施建设、安全和应急管理；落实村庄的小城镇建设政策；指导农村住房建设、住房安全和危房改造；发送小城镇和村庄人居环境。 </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（八）完成交通基础设施投资；管理乡镇重点工程建设、工程质量和安全生产，对项目招投标活动进行监督管理。</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（九）协助完成国家下达的广播电视直播卫星户户通工程、农村电影工作、数字影院升级改造、农家书屋建设、全民阅读活动、老放映员生活补助以及应急广播体系建设等任务目标。</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（十）通过贯彻实施新型农村合作医疗、疾病应急救助、城乡居民大病保险以及公费医疗等制度，保障人民群众公平享有所需医疗服务权益。</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（十一）提供各类计划生育技术服务，开展出生人口性别比治理以及流动人口计划生育管理等各项工作。</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（十二）承担系统综合业务管理和部门综合事务管理。</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（十四）负责正常信访、非访、突发性及群体性事件的办理；提供相关服务保障；协助区信访局处理群众进京上访；信访事项督查、复查复核、听证。</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（十五）以农村教育为重点，推进义务教育均衡发展，建立中小学校舍安全保障机制，发送薄弱学校办学条件，促进公共教育资源向农村和经济欠发达地区倾斜。</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（十六）承担全乡安全生产综合监督管理责任，依法行使综合监督管理职权；根据《中华人民共和国安全生产法》</w:t>
      </w:r>
      <w:bookmarkStart w:id="77" w:name="_GoBack"/>
      <w:bookmarkEnd w:id="77"/>
      <w:r>
        <w:rPr>
          <w:rFonts w:hint="eastAsia" w:ascii="仿宋_GB2312" w:hAnsi="Calibri" w:eastAsia="仿宋_GB2312" w:cs="ArialUnicodeMS"/>
          <w:sz w:val="32"/>
          <w:szCs w:val="32"/>
        </w:rPr>
        <w:t>、《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（十七）统计、汇总、核查、会商灾情，统一发布灾情；组织协调紧急转移安置灾民；承办救灾款物分配和监管，物资调运，组织民房恢复重建及灾民生活救助，指导紧急救灾和灾后生产恢复。</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（十八）按照国家、省部署，对全乡主要粮食作物和猪、牛、羊、鸡等畜产品生产实施良种补贴。</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（十九）推进农村集体产权制度改革，完善农村土地承包制度，引导农村土地合理流转。创新农业经营主体；根据国家要求开展农村土地承包经营确权登记试点，并逐步向全乡全面推开。</w:t>
      </w:r>
    </w:p>
    <w:p>
      <w:pPr>
        <w:widowControl w:val="0"/>
        <w:adjustRightInd/>
        <w:snapToGrid/>
        <w:spacing w:after="0" w:line="500" w:lineRule="exact"/>
        <w:ind w:firstLine="640" w:firstLineChars="200"/>
        <w:jc w:val="both"/>
        <w:rPr>
          <w:rFonts w:ascii="仿宋_GB2312" w:hAnsi="Calibri" w:eastAsia="仿宋_GB2312" w:cs="ArialUnicodeMS"/>
          <w:sz w:val="32"/>
          <w:szCs w:val="32"/>
        </w:rPr>
      </w:pPr>
      <w:r>
        <w:rPr>
          <w:rFonts w:hint="eastAsia" w:ascii="仿宋_GB2312" w:hAnsi="Calibri" w:eastAsia="仿宋_GB2312" w:cs="ArialUnicodeMS"/>
          <w:sz w:val="32"/>
          <w:szCs w:val="32"/>
        </w:rPr>
        <w:t>（二十）通过实施农村面貌改造提升行动，加快建设社会主义新农村。</w:t>
      </w:r>
    </w:p>
    <w:p/>
    <w:p>
      <w:pPr>
        <w:pStyle w:val="4"/>
        <w:spacing w:before="0" w:after="0"/>
        <w:ind w:firstLine="964" w:firstLineChars="300"/>
        <w:jc w:val="both"/>
        <w:rPr>
          <w:rFonts w:ascii="仿宋_GB2312" w:hAnsi="Tahoma" w:cs="DengXian-Regular"/>
          <w:sz w:val="32"/>
        </w:rPr>
      </w:pPr>
      <w:bookmarkStart w:id="6" w:name="_Toc465149499"/>
      <w:bookmarkStart w:id="7" w:name="_Toc492652765"/>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按照2019年绩效预算编制要求，大因镇设置的年度发展规划总体目标为：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负责贯彻执行党和国家关于制定大因镇工作要点，并监督实施。指导全镇各项工作。制定大因镇各项规划并组织实施，指导检查全镇各项工作。负责全镇总体工作。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w:t>
      </w:r>
      <w:r>
        <w:rPr>
          <w:rFonts w:hint="eastAsia"/>
        </w:rPr>
        <w:t xml:space="preserve"> </w:t>
      </w:r>
      <w:r>
        <w:rPr>
          <w:rFonts w:hint="eastAsia" w:ascii="仿宋_GB2312" w:eastAsia="仿宋_GB2312" w:cs="DengXian-Regular"/>
          <w:sz w:val="32"/>
          <w:szCs w:val="32"/>
        </w:rPr>
        <w:t>确保乡镇人大换届选举工作顺利完成，提高组织换届选举工作水平；高质量完成乡镇领导人选举和常委会人事任免服务工作；高效督办有关部门负责人的目标责任书和述职报告。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w:t>
      </w:r>
      <w:r>
        <w:rPr>
          <w:rFonts w:hint="eastAsia"/>
        </w:rPr>
        <w:t xml:space="preserve"> </w:t>
      </w:r>
      <w:r>
        <w:rPr>
          <w:rFonts w:hint="eastAsia" w:ascii="仿宋_GB2312" w:eastAsia="仿宋_GB2312" w:cs="DengXian-Regular"/>
          <w:sz w:val="32"/>
          <w:szCs w:val="32"/>
        </w:rPr>
        <w:t>加大补助力度，增强反渗透能力。不断提高民族宗教法律政策宣传覆盖率,加大宣传教育力度;妥善协助解决突发事件;提高清真食品检查效率,及时解决其他民族宗教问题。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hint="eastAsia"/>
        </w:rPr>
        <w:t xml:space="preserve"> </w:t>
      </w:r>
      <w:r>
        <w:rPr>
          <w:rFonts w:hint="eastAsia" w:ascii="仿宋_GB2312" w:eastAsia="仿宋_GB2312" w:cs="DengXian-Regular"/>
          <w:sz w:val="32"/>
          <w:szCs w:val="32"/>
        </w:rPr>
        <w:t>预防减少不稳定因素的发生，有效化解不稳定隐患、群体性事件和突发事件，维护国家安全工作。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4、建立健全城乡基层群众自治组织，在村（居）民委员会实行“四个民主”；按照“四有一创”标准开展城市社区建设，按照农村社区建设实验全覆盖创建标准开展农村社区建设。</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5、加强村镇建设，改善农村人居环境，实现城乡统筹发展。协调和指导推进城镇化工作，加快城镇化进程。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6、投资建设普通公路及农村公路；进行场站建设；建设物流园区(中心)项目；扩大农村客运站点、候车亭、招呼牌建设；保障交通基础设施建设项目质量。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7、协助完成国家下达的广播电视直播卫星户户通工程、农村电影工作、数字影院升级改造、农家书屋建设、群众文化体育活动、全民阅读活动、老放映员生活补助以及应急广播体系建设等任务目标。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8、加强大气污染防治，推动城市环境空气质量改善。</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9、定期组织在乡镇内开展安全生产检查活动，对重点行业和作业场所职业卫生安全生产进行检查；不断加强安全生产监管能力建设；组织开展安全生产教育活动，促进企业全面落实安全生产诚信管理。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10、围绕农村改造15件实事，突出重点，因地制宜，开展农村面貌改造提升。按照分期分批推进的要求，每年选定一批重点村实施改造提升。</w:t>
      </w:r>
    </w:p>
    <w:p>
      <w:pPr>
        <w:spacing w:after="0" w:line="360" w:lineRule="auto"/>
        <w:ind w:firstLine="643" w:firstLineChars="200"/>
        <w:jc w:val="both"/>
        <w:textAlignment w:val="baseline"/>
        <w:rPr>
          <w:rFonts w:ascii="仿宋_GB2312" w:eastAsia="仿宋_GB2312" w:cs="DengXian-Regular"/>
          <w:b/>
          <w:sz w:val="32"/>
          <w:szCs w:val="32"/>
        </w:rPr>
      </w:pPr>
      <w:bookmarkStart w:id="9" w:name="_Toc1678"/>
      <w:bookmarkStart w:id="10" w:name="_Toc465149500"/>
      <w:bookmarkStart w:id="11" w:name="_Toc492652766"/>
      <w:r>
        <w:rPr>
          <w:rFonts w:hint="eastAsia" w:ascii="仿宋_GB2312" w:eastAsia="仿宋_GB2312" w:cs="DengXian-Regular"/>
          <w:b/>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2019年大因镇预算收入2046.18万元，均为一般公共预算拨款，其中：财政拨款2046.17万元。预算收入按功能分类包含：一般公共服务支出</w:t>
      </w:r>
      <w:r>
        <w:rPr>
          <w:rFonts w:ascii="仿宋_GB2312" w:eastAsia="仿宋_GB2312" w:cs="DengXian-Regular"/>
          <w:sz w:val="32"/>
          <w:szCs w:val="32"/>
        </w:rPr>
        <w:t>1362.10</w:t>
      </w:r>
      <w:r>
        <w:rPr>
          <w:rFonts w:hint="eastAsia" w:ascii="仿宋_GB2312" w:eastAsia="仿宋_GB2312" w:cs="DengXian-Regular"/>
          <w:sz w:val="32"/>
          <w:szCs w:val="32"/>
        </w:rPr>
        <w:t>万元，科学技术支出0.51万元，文化旅游体育与传媒支出4.2万元，社会保障和就业支出206.93万元，卫生健康支出47.19，节能环保支出20万元，城乡社区支出56.62万元，农林水支出265.47万元，交通运输支出4.86万元，住房保障支出76.4万元，灾害防治及应急管理支出1.9万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大因镇决算收入5714.09万元，其中：财政拨款收入5714.09万元。一般公共服务支出1478.96万元，占比25.89%；公共安全支出3.18万元，占比0.06%；科学技术支出0.51万元，占比0.01%；文化旅游体育与传媒支出16.72万元，占比0.3%；社会保障和就业支出309.81万元，占比5.43%；卫生健康支出39.89，占比0.7%；节能环保支出155.7万元，占比2.73%；城乡社区支出2425.95万元，占比42.46%；农林水支出1197.44万元，占比20.96%；交通运输支出4.86万元，占比0.09%；住房保障支出79.18万元，占比1.39%；灾害防治及应急管理支出1.9万元，占比0.04%。具体决算收入详见附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2019年度大因决算收入结构图</w:t>
      </w:r>
    </w:p>
    <w:p>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59264" behindDoc="0" locked="0" layoutInCell="1" allowOverlap="1">
            <wp:simplePos x="0" y="0"/>
            <wp:positionH relativeFrom="column">
              <wp:posOffset>394970</wp:posOffset>
            </wp:positionH>
            <wp:positionV relativeFrom="paragraph">
              <wp:posOffset>56515</wp:posOffset>
            </wp:positionV>
            <wp:extent cx="4562475" cy="2866390"/>
            <wp:effectExtent l="19050" t="0" r="9525" b="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大因镇一般公共预算财政拨款决算收入比年初预算增加3658.41万元，完成年初预算的277.97%。决算收入大于预算收入的主要原因为</w:t>
      </w:r>
      <w:r>
        <w:rPr>
          <w:rFonts w:ascii="仿宋_GB2312" w:hAnsi="仿宋" w:eastAsia="仿宋_GB2312" w:cs="Times New Roman"/>
          <w:sz w:val="32"/>
          <w:szCs w:val="32"/>
        </w:rPr>
        <w:t>是</w:t>
      </w:r>
      <w:r>
        <w:rPr>
          <w:rFonts w:hint="eastAsia" w:ascii="仿宋_GB2312" w:hAnsi="仿宋" w:eastAsia="仿宋_GB2312" w:cs="Times New Roman"/>
          <w:sz w:val="32"/>
          <w:szCs w:val="32"/>
        </w:rPr>
        <w:t>新增环城、漕河廊道、环雄安新区500米绿化土地租金以及非洲猪瘟防疫、农村基层组织建设经费、扶贫入股资金等项目资金投入的增加</w:t>
      </w:r>
      <w:r>
        <w:rPr>
          <w:rFonts w:ascii="仿宋_GB2312" w:hAnsi="仿宋" w:eastAsia="仿宋_GB2312" w:cs="Times New Roman"/>
          <w:sz w:val="32"/>
          <w:szCs w:val="32"/>
        </w:rPr>
        <w:t>；</w:t>
      </w:r>
      <w:r>
        <w:rPr>
          <w:rFonts w:hint="eastAsia" w:ascii="仿宋_GB2312" w:eastAsia="仿宋_GB2312" w:cs="DengXian-Regular"/>
          <w:sz w:val="32"/>
          <w:szCs w:val="32"/>
        </w:rPr>
        <w:t>预算收入与决算收入对比情况见图2。</w:t>
      </w:r>
    </w:p>
    <w:p>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2019年度区</w:t>
      </w:r>
      <w:r>
        <w:rPr>
          <w:rFonts w:hint="eastAsia" w:ascii="仿宋_GB2312" w:eastAsia="仿宋_GB2312" w:cs="DengXian-Regular"/>
          <w:b/>
          <w:sz w:val="32"/>
          <w:szCs w:val="32"/>
        </w:rPr>
        <w:t>大因</w:t>
      </w:r>
      <w:r>
        <w:rPr>
          <w:rFonts w:hint="eastAsia" w:asciiTheme="minorEastAsia" w:hAnsiTheme="minorEastAsia" w:eastAsiaTheme="minorEastAsia" w:cstheme="minorEastAsia"/>
          <w:b/>
          <w:sz w:val="32"/>
          <w:szCs w:val="32"/>
          <w:u w:color="000000"/>
        </w:rPr>
        <w:t>预算收入与决算收入对比图</w:t>
      </w:r>
    </w:p>
    <w:p>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drawing>
          <wp:anchor distT="0" distB="0" distL="114300" distR="114300" simplePos="0" relativeHeight="251660288" behindDoc="0" locked="0" layoutInCell="1" allowOverlap="1">
            <wp:simplePos x="0" y="0"/>
            <wp:positionH relativeFrom="column">
              <wp:posOffset>77470</wp:posOffset>
            </wp:positionH>
            <wp:positionV relativeFrom="paragraph">
              <wp:posOffset>126365</wp:posOffset>
            </wp:positionV>
            <wp:extent cx="5122545" cy="2747010"/>
            <wp:effectExtent l="19050" t="0" r="20955" b="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2019年度大因镇</w:t>
      </w:r>
      <w:r>
        <w:rPr>
          <w:rFonts w:hint="eastAsia" w:ascii="仿宋_GB2312" w:eastAsia="仿宋_GB2312" w:cs="Times New Roman" w:hAnsiTheme="minorEastAsia"/>
          <w:sz w:val="32"/>
          <w:szCs w:val="32"/>
          <w:u w:color="000000"/>
        </w:rPr>
        <w:t>预算支出安排2046.18万元，其中：基本支出1592.46万元，项目支出453.71万元。预算支出按功能分类包含：</w:t>
      </w:r>
      <w:r>
        <w:rPr>
          <w:rFonts w:hint="eastAsia" w:ascii="仿宋_GB2312" w:eastAsia="仿宋_GB2312" w:cs="DengXian-Regular"/>
          <w:sz w:val="32"/>
          <w:szCs w:val="32"/>
        </w:rPr>
        <w:t>一般公共服务支出</w:t>
      </w:r>
      <w:r>
        <w:rPr>
          <w:rFonts w:ascii="仿宋_GB2312" w:eastAsia="仿宋_GB2312" w:cs="DengXian-Regular"/>
          <w:sz w:val="32"/>
          <w:szCs w:val="32"/>
        </w:rPr>
        <w:t>1362.10</w:t>
      </w:r>
      <w:r>
        <w:rPr>
          <w:rFonts w:hint="eastAsia" w:ascii="仿宋_GB2312" w:eastAsia="仿宋_GB2312" w:cs="DengXian-Regular"/>
          <w:sz w:val="32"/>
          <w:szCs w:val="32"/>
        </w:rPr>
        <w:t>万元，占比66.57%；科学技术支出0.51万元，占比0.03%；文化旅游体育与传媒支出4.2万元，占比0.21%；社会保障和就业支出206.93万元，占比10.12%；卫生健康支出47.19，占比2.31%；节能环保支出20万元，占比0.98%；城乡社区支出56.62万元，占比2.77%；农林水支出265.47万元，占比12.98%；交通运输支出4.86万元，占比0.24%；住房保障支出76.4万元，占比3.74%；灾害防治及应急管理支出1.9万元，占比0.1%。</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具体预算支出详见附件2。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2019年度大因</w:t>
      </w:r>
      <w:r>
        <w:rPr>
          <w:rFonts w:hint="eastAsia" w:ascii="仿宋_GB2312" w:eastAsia="仿宋_GB2312" w:cs="Times New Roman" w:hAnsiTheme="minorEastAsia"/>
          <w:sz w:val="32"/>
          <w:szCs w:val="32"/>
          <w:u w:color="000000"/>
        </w:rPr>
        <w:t>决算支出为5758.17万元，其中：基本支出1551.51万元，项目支出4206.66万元。决算支出按功能分类包含：</w:t>
      </w:r>
      <w:r>
        <w:rPr>
          <w:rFonts w:hint="eastAsia" w:ascii="仿宋_GB2312" w:eastAsia="仿宋_GB2312" w:cs="DengXian-Regular"/>
          <w:sz w:val="32"/>
          <w:szCs w:val="32"/>
        </w:rPr>
        <w:t>一般公共服务支出1494.82万元，占比25.96%；公共安全支出3.18万元，占比0.06%；科学技术支出0.51万元，占比0.01%；文化旅游体育与传媒支出17.84万元，占比0.31%；社会保障和就业支出308.15万元，占比5.36%；卫生健康支出39.89，占比0.7%；节能环保支出155.7万元，占比2.71%；城乡社区支出2425.95万元，占比42.13%；农林水支出1226.19万元，占比21.3%；交通运输支出4.86万元，占比0.09%；住房保障支出79.18万元，占比1.38%；灾害防治及应急管理支出1.9万元，占比0.04%。</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b/>
          <w:sz w:val="32"/>
          <w:szCs w:val="32"/>
        </w:rPr>
        <w:t>2019年度大因</w:t>
      </w:r>
      <w:r>
        <w:rPr>
          <w:rFonts w:hint="eastAsia" w:asciiTheme="minorEastAsia" w:hAnsiTheme="minorEastAsia" w:eastAsiaTheme="minorEastAsia" w:cstheme="minorEastAsia"/>
          <w:b/>
          <w:bCs/>
          <w:sz w:val="32"/>
          <w:szCs w:val="32"/>
          <w:u w:color="000000"/>
        </w:rPr>
        <w:t>决算支出结构图</w:t>
      </w:r>
    </w:p>
    <w:p>
      <w:pPr>
        <w:spacing w:after="0" w:line="360" w:lineRule="auto"/>
        <w:ind w:firstLine="440" w:firstLineChars="200"/>
        <w:jc w:val="both"/>
        <w:rPr>
          <w:rFonts w:ascii="仿宋_GB2312" w:eastAsia="仿宋_GB2312" w:cs="DengXian-Regular"/>
          <w:sz w:val="32"/>
          <w:szCs w:val="32"/>
        </w:rPr>
      </w:pPr>
      <w:r>
        <w:drawing>
          <wp:anchor distT="0" distB="0" distL="90170" distR="90170" simplePos="0" relativeHeight="251661312" behindDoc="0" locked="0" layoutInCell="1" allowOverlap="1">
            <wp:simplePos x="0" y="0"/>
            <wp:positionH relativeFrom="column">
              <wp:posOffset>143510</wp:posOffset>
            </wp:positionH>
            <wp:positionV relativeFrom="paragraph">
              <wp:posOffset>109220</wp:posOffset>
            </wp:positionV>
            <wp:extent cx="4991100" cy="2790825"/>
            <wp:effectExtent l="4445" t="4445" r="14605" b="5080"/>
            <wp:wrapSquare wrapText="bothSides"/>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eastAsia="仿宋_GB2312" w:cs="DengXian-Regular"/>
          <w:sz w:val="32"/>
          <w:szCs w:val="32"/>
        </w:rPr>
        <w:t>财政拨款决算支出比年初预算增加3702.49万元。决算支出完成年初预算的280%。</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w:t>
      </w:r>
      <w:r>
        <w:rPr>
          <w:rFonts w:ascii="仿宋_GB2312" w:hAnsi="仿宋" w:eastAsia="仿宋_GB2312" w:cs="Times New Roman"/>
          <w:sz w:val="32"/>
          <w:szCs w:val="32"/>
        </w:rPr>
        <w:t>主要原因是</w:t>
      </w:r>
      <w:r>
        <w:rPr>
          <w:rFonts w:hint="eastAsia" w:ascii="仿宋_GB2312" w:hAnsi="仿宋" w:eastAsia="仿宋_GB2312" w:cs="Times New Roman"/>
          <w:sz w:val="32"/>
          <w:szCs w:val="32"/>
        </w:rPr>
        <w:t>新增环城、漕河廊道、环雄安新区500米绿化土地租金以及非洲猪瘟防疫、农村基层组织建设经费、扶贫入股资金等项目资金投入的增加</w:t>
      </w:r>
      <w:r>
        <w:rPr>
          <w:rFonts w:hint="eastAsia" w:ascii="仿宋_GB2312" w:eastAsia="仿宋_GB2312" w:cs="DengXian-Regular"/>
          <w:sz w:val="32"/>
          <w:szCs w:val="32"/>
        </w:rPr>
        <w:t>。</w:t>
      </w:r>
    </w:p>
    <w:p>
      <w:pPr>
        <w:spacing w:after="0" w:line="360" w:lineRule="auto"/>
        <w:ind w:firstLine="640" w:firstLineChars="200"/>
        <w:jc w:val="both"/>
        <w:rPr>
          <w:rFonts w:ascii="仿宋" w:hAnsi="仿宋" w:eastAsia="仿宋"/>
          <w:snapToGrid w:val="0"/>
          <w:sz w:val="32"/>
          <w:szCs w:val="32"/>
        </w:rPr>
      </w:pPr>
      <w:r>
        <w:rPr>
          <w:rFonts w:hint="eastAsia" w:ascii="仿宋" w:hAnsi="仿宋" w:eastAsia="仿宋"/>
          <w:snapToGrid w:val="0"/>
          <w:sz w:val="32"/>
          <w:szCs w:val="32"/>
        </w:rPr>
        <w:t>预算支出与决算支出对比情况如图4。</w:t>
      </w:r>
    </w:p>
    <w:p>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drawing>
          <wp:anchor distT="0" distB="0" distL="114300" distR="114300" simplePos="0" relativeHeight="251662336" behindDoc="0" locked="0" layoutInCell="1" allowOverlap="1">
            <wp:simplePos x="0" y="0"/>
            <wp:positionH relativeFrom="column">
              <wp:posOffset>144145</wp:posOffset>
            </wp:positionH>
            <wp:positionV relativeFrom="paragraph">
              <wp:posOffset>499745</wp:posOffset>
            </wp:positionV>
            <wp:extent cx="5102225" cy="2717165"/>
            <wp:effectExtent l="19050" t="0" r="22225" b="6985"/>
            <wp:wrapSquare wrapText="bothSides"/>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b/>
          <w:sz w:val="32"/>
          <w:szCs w:val="32"/>
        </w:rPr>
        <w:t>2019年度大因</w:t>
      </w:r>
      <w:r>
        <w:rPr>
          <w:rFonts w:hint="eastAsia" w:asciiTheme="minorEastAsia" w:hAnsiTheme="minorEastAsia" w:eastAsiaTheme="minorEastAsia" w:cstheme="minorEastAsia"/>
          <w:b/>
          <w:bCs/>
          <w:sz w:val="32"/>
          <w:szCs w:val="32"/>
        </w:rPr>
        <w:t>预算支出与决算支出对比图</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区XXX单位2019年实际项目支出</w:t>
      </w:r>
      <w:r>
        <w:rPr>
          <w:rFonts w:hint="eastAsia" w:ascii="仿宋_GB2312" w:eastAsia="仿宋_GB2312" w:cs="Times New Roman" w:hAnsiTheme="minorEastAsia"/>
          <w:sz w:val="32"/>
          <w:szCs w:val="32"/>
          <w:u w:color="000000"/>
        </w:rPr>
        <w:t>4206.66</w:t>
      </w:r>
      <w:r>
        <w:rPr>
          <w:rFonts w:hint="eastAsia" w:ascii="仿宋_GB2312" w:eastAsia="仿宋_GB2312" w:cs="DengXian-Regular"/>
          <w:sz w:val="32"/>
          <w:szCs w:val="32"/>
        </w:rPr>
        <w:t>万元，决算报表中项目支</w:t>
      </w:r>
      <w:r>
        <w:rPr>
          <w:rFonts w:hint="eastAsia" w:ascii="仿宋_GB2312" w:eastAsia="仿宋_GB2312" w:cs="Times New Roman" w:hAnsiTheme="minorEastAsia"/>
          <w:sz w:val="32"/>
          <w:szCs w:val="32"/>
          <w:u w:color="000000"/>
        </w:rPr>
        <w:t>4206.66</w:t>
      </w:r>
      <w:r>
        <w:rPr>
          <w:rFonts w:hint="eastAsia" w:ascii="仿宋_GB2312" w:eastAsia="仿宋_GB2312" w:cs="DengXian-Regular"/>
          <w:sz w:val="32"/>
          <w:szCs w:val="32"/>
        </w:rPr>
        <w:t>出万元，实际支出与决算报表一致。</w:t>
      </w:r>
    </w:p>
    <w:p>
      <w:pPr>
        <w:pStyle w:val="4"/>
        <w:spacing w:before="0" w:after="0"/>
        <w:ind w:firstLine="643" w:firstLineChars="200"/>
        <w:jc w:val="both"/>
        <w:rPr>
          <w:rFonts w:ascii="仿宋_GB2312" w:hAnsi="Tahoma" w:cs="DengXian-Regular"/>
          <w:sz w:val="32"/>
        </w:rPr>
      </w:pPr>
      <w:bookmarkStart w:id="13" w:name="_Toc19291"/>
      <w:bookmarkStart w:id="14" w:name="_Toc465149503"/>
      <w:bookmarkStart w:id="15" w:name="_Toc492652769"/>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大因镇“三公”经费预算27万元（公务用车运行维护费21万元，公务接待费6万元），实际支出20.09万元（公务用车运行维护费16.23万元，公务接待费3.86万元），比预算减少6.91万元，节约率25.6%。2019年“三公”经费预算数与2018年预算数相比无变化，决算数与2018年实际支出相比，减少6.52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b/>
          <w:sz w:val="32"/>
          <w:szCs w:val="32"/>
        </w:rPr>
        <w:t>大因镇</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20.61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16.23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4.38</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3.86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2.14</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26.61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20.09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6.52</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大因镇车辆合计3辆，其中公务用车2辆，其他用车1辆。2019年公务用车购置及运维费年初预算21万元，全部为公务用车运行维护费，实际支出16.23万元，比预算减少4.77万元，节约率22.72%。2019年预算数与2018年预算相比无变化，决算数与2018年实际支出相比，减少4.38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2、公务接待：2019年公务接待费年初预算6万元，实际支出3.86万元，比预算减少了2.14万元，节约率35.67%。2019年预算数与2018年预算相比无变化，决算数与2018年实际支出相比，减少2.14万元。</w:t>
      </w:r>
    </w:p>
    <w:p>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根据绩效预算管理改革的有关政策和文件规定，并与大因镇沟通，绩效评价工作组以绩效预算架构为指导，以部门预算文本及相关资料为基础，制定了部门整体支出绩效评价指标体系。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产出指标指标分值为25分，下设1个二级指标：责任履行，2个三级指标：结转结余率、项目资金使用率。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大因镇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大因镇2019年部门整体支出绩效目标和指标的设置及完成情况；资金预算情况、实际收支情况及结转结余情况；部门履职对社会发展所带来的直接或间接影响及服务对象对部门履职效果的满意程度。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 w:hAnsi="楷体" w:eastAsia="楷体"/>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经与大因镇充分沟通，并充分收集相关资料，主要包括部门职责、工作活动、预决算文本、相关管理制度、资金使用等相关资料，为制定绩效评价实施方案和指标体系奠定了基础。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基于对大因镇相关资料的收集，制定绩效评价实施方案和体系,确定最终方案。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大因镇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大因镇部门整体支出绩效评价总得分为92.8分，综合绩效评价等级为“优”。各项得分情况如下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大因镇职能配置内设机构和人员编制规定》和徐水区大因镇2019年预算文本—部门职责工作活动绩效目标，评价工作组认为大因镇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根据大因镇2019年预算文本—部门职责工作活动绩效目标（详见附件4），绩效目标与部门履职、年度工作任务相符；工作活动有明确的绩效目标，绩效目标与部门职责目标、部门年度工作目标一致。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根据大因镇2019年预算文本—部门职责工作活动绩效目标,该指标实际得分2分。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根据大因镇2019年预算文本及相关会计资料，所有收入均已纳入部门预算，部门支出按基本支出、项目支出分别编制。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根据大因镇2019年预算文本—部门项目支出预算表， 2019年预算项目共60个（详见附件2-2-2），涉及资金4309.72万元，所有项目均细化到具体用款单位及项目资金额度。项目预算细化率=（4309.72/4309.72）*100%=100%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该指标主要考核截至2019年底大因镇在职人员控制情况，通过在职人员控制率衡量。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大因镇职能配置内设机构和人员编制规定》的通知，大因镇人员编制为59人，根据大因镇2019年决算文本-部门基本情况表，截至2019年底，在职人员107人，在职人员控制率=（107/59）*100%=181%。</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42.8</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line="700" w:lineRule="exact"/>
        <w:rPr>
          <w:rFonts w:ascii="仿宋_GB2312" w:eastAsia="仿宋_GB2312" w:cs="DengXian-Regular"/>
          <w:sz w:val="32"/>
          <w:szCs w:val="32"/>
        </w:rPr>
      </w:pPr>
      <w:r>
        <w:rPr>
          <w:rFonts w:hint="eastAsia" w:ascii="仿宋_GB2312" w:eastAsia="仿宋_GB2312" w:cs="DengXian-Regular"/>
          <w:sz w:val="32"/>
          <w:szCs w:val="32"/>
        </w:rPr>
        <w:t>根据大因镇的预算指标文件，其中：</w:t>
      </w:r>
    </w:p>
    <w:p>
      <w:pPr>
        <w:spacing w:line="700" w:lineRule="exact"/>
        <w:rPr>
          <w:rFonts w:ascii="仿宋_GB2312" w:eastAsia="仿宋_GB2312" w:cs="DengXian-Regular"/>
          <w:sz w:val="32"/>
          <w:szCs w:val="32"/>
        </w:rPr>
      </w:pPr>
      <w:r>
        <w:rPr>
          <w:rFonts w:hint="eastAsia" w:ascii="仿宋_GB2312" w:eastAsia="仿宋_GB2312" w:cs="DengXian-Regular"/>
          <w:sz w:val="32"/>
          <w:szCs w:val="32"/>
        </w:rPr>
        <w:t>徐财预指[2019]1-1387号追加土地征迁补偿和安置支出2330.59万元；徐财预指[2019]1-1138号追加个人农业生产补贴223.84万元；保财农[2019]25号追加个人农业生产补贴127万元；保财农改[2019]1号追加基础设施建设125万元；徐财预指[2019]1-1193号追加专用材料购置费107.62万元；徐财预指[2019]3-0008号追加其他工资福利支出103.68万元；徐财预指[2019]1-1235号追加个人农业生产补贴102.7万元；徐财预指[2019]1-1088号追加委托业务费100万元；徐财预指[2019]3-0042号追加其他工资福利支出86.34万元；徐财预指[2019]1-1084号追加委托业务费71万元；徐财预指[2019]1-1386号追加专用材料购置费67.09万元；徐财预指[2019]3-1201号追加土地征迁补偿和安置支出51.17万元；徐财预指[2019]1-1088号追加专用材料购置费50万元；徐财预指[2019]1-1088号追加设备购置50万元；徐财预指[2019]3-1015号追加社会福利和救助47.16万元；徐财预指[2019]1-1386号追加委托业务费46.10万元；徐财预指[2019]1-1216号追加办公经费38.84万元；徐财预指[2019]1-1222号追加委托业务费38.3万元；徐财预指[2019]3-0009号追加工资福利支出34.86万元；徐财预指[2019]1-1028号追加委托业务费32万元；徐财预指[2019]3-0008号追加其他工资福利支出25.92万元；徐财预指[2019]3－1058号追加个人农业生产补贴25万元；徐财预指[2019]3-0042号追加离退休费23.93万元；徐财预指[2019]3-0001号追加工资福利支出20.83万元；徐财预指[2019]3-0026号追加社会福利和救助17.98万元；徐财预指[2019]1-1119号追加社会福利和救助10.32万元；徐财预指[2019]3-1098号追加大型修缮9.7万元；徐财预指[2019]1-1317号追加委托业务费9.35万元；徐财预指[2019]1-0004号追加工资福利支出8.42万元；徐财预指[2019]3-0001号追加工资奖金津补贴8.25万元；徐财预指[2019]3-1187号追加委托业务费8万元；徐财预指[2019]1-1059号追加个人农业生产补贴7.78万元；徐财预指[2019]1-1144号追加委托业务费7.5万元；保财教[2018]78号追加委托业务费7万元；徐财预指[2019]1-1191号追加委托业务费7万元；徐财预指[2019]1-1217号追加委托业务费6.86万元；徐财预指[2019]3-0039号追加工资奖金津补贴6.81万元；徐财预指[2019]1-1387号追加委托业务费6.8万元；徐财预指[2019]3-0033号追加工资奖金津补贴6.5万元；徐财预指[2019]3-1062号追加大型修缮6万元；徐财预指[2019]3-0009号追加工资福利支出5.26万元；徐财预指[2019]3-0028号追加工资福利支出4.56万元；徐财预指[2019]3-0009号追加工资福利支出3.62万元；徐财预指[2019]3-0009号追加工资福利支出3.53万元；徐财预指[2019]3-0009号追加工资福利支出3.29万元；徐财预指[2019]1-1193号追加设备购置3.26万元；徐财预指[2019]3-0009号追加工资福利支出3.24万元；徐财预指[2019]1-1193号追加委托业务费3.19万元；徐财预指[2019]1-1233号追加委托业务费3.18万元；徐财预指[2019]1-1116号追加委托业务费3万元；徐财预指[2019]3-1062号追加基础设施建设3万元；徐财预指[2019]3-1100号追加委托业务费2.99万元；徐财预指[2019]3-0001号追加工资奖金津补贴2.95万元；徐财预指[2019]1-0009号追加工资奖金津补贴2.85万元；徐财预指[2019]3-0009号追加工资福利支出2.53万元；保财教[2018]71号追加委托业务费2.5万元；徐财预指[2019]3-0009号追加工资福利支出2.27万元；保财教[2019]2号追加委托业务费2.2万元；徐财预指[2019]3-0009号追加工资福利支出2.12万元；徐财预指[2019]3-0007号追加工资福利支出2.09万元；徐财预指[2019]3-0001号追加社会保障缴费1.46万元；徐财预指[2019]3-0025号追加办公经费1.44万元；徐财预指[2019]3-0034号追加工资奖金津补贴1.16万元；徐财预指[2019]3-0041号追加工资福利支出1.12万元；徐财预指[2019]3-0025号追加办公经费1.08万元；徐财预指[2019]3-0009号追加工资福利支出1.06万元；徐财预指[2019]1-1317号追加办公经费1万元；徐财预指[2019]3-0028号追加工资福利支出0.98万元；徐财预指[2019]3-0001号追加工资奖金津补贴0.98万元；徐财预指[2019]3-0028号追加工资奖金津补贴0.97万元；徐财预指[2019]3-0034号追加工资奖金津补贴0.93万元；徐财预指[2019]1-1386号追加设备购置0.89万元；徐财预指[2019]3-0034号追加工资奖金津补贴0.89万元；徐财预指[2019]3-0001号追加工资奖金津补贴0.88万元；徐财预指[2019]3-0001号追加住房公积金0.87万元；徐财预指[2019]3-0022号追加社会福利和救助0.84万元；徐财预指[2019]3-0034号追加工资奖金津补贴0.82万元；徐财预指[2019]3-0001号追加工资奖金津补贴0.78万元；徐财预指[2019]3-0009号追加工资福利支出0.78万元；保财教[2018]78号追加委托业务费0.7万元；徐财预指[2019]3－1088号追加个人农业生产补贴0.66万元；徐财预指[2019]3-0034号追加社会保障缴费0.61万元；徐财预指[2019]1-1309号追加其他对个人和家庭补助0.53万元；徐财预指[2019]3-0026号追加社会福利和救助0.48万元；徐财预指[2019]3-0034号追加住房公积金0.46万元；徐财预指[2019]3-0001号追加社会保障缴费0.44万元；徐财预指[2019]3-0002号追加工资奖金津补贴0.42万元；徐财预指[2019]3-0034号追加办公经费0.36万元；徐财预指[2019]3-0028号追加工资福利支出0.34万元；徐财预指[2019]3-0001号追加工资奖金津补贴0.32万元；徐财预指[2019]3-0034号追加社会福利和救助0.3万元；徐财预指[2019]3-0034号追加办公经费0.27万元；徐财预指[2019]3-0034号追加社会保障缴费0.23万元；徐财预指[2019]3-0007号追加工资福利支出0.22万元；徐财预指[2019]3-0032号追加工资奖金津补贴0.19万元；徐财预指[2019]3-0034号追加工资奖金津补贴0.18万元；徐财预指[2019]3-0032号追加办公经费0.18万元；徐财预指[2019]3-0032号追加工资奖金津补贴0.14万元；徐财预指[2019]3-0025号追加工资福利支出0.13万元；保财教[2018]85号追加社会福利和救助0.12万元；徐财预指[2019]3-0032号追加工资福利支出0.11万元；徐财预指[2019]3-0034号追加工资福利支出0.09万元；徐财预指[2019]3-0009号追加工资福利支出0.09万元；徐财预指[2019]3-0009号追加工资福利支出0.07万元；徐财预指[2019]3-0032号追加工资福利支出0.06万元；徐财预指[2019]3-0032号追加工资奖金津补贴0.06万元；徐财预指[2019]3-0001号追加社会保障缴费0.04万元；徐财预指[2019]3-0032号追加办公经费0.04万元；徐财预指[2019]3-0001号追加社会保障缴费0.03万元；徐财预指[2019]3-0034号追加社会保障缴费0.02万元；徐财预指[2019]3-0009号追加工资福利支出0.02万元；徐财预指[2019]3-0034号追加工资福利支出0.02万元；徐财预指[2019]3-0034号追加社会保障缴费0.02万元；徐财预指[2019]3-0034号追加社会保障缴费0.01万元；徐财预指[2019]3-0034号追加工资福利支出0.01万元；徐政财字[2019]1号减少工资福利支出0.01万元；徐政财字[2019]1号减少社会福利和救助0.03万元；徐政财字[2019]1号减少工资奖金津补贴0.03万元；徐政财字[2019]1号减少离退休费0.03万元；徐政财字[2019]1号减少离退休费0.04万元；徐政财字[2019]1号减少土地征迁补偿和安置支出0.06万元；徐政财字[2019]1号减少工资奖金津补贴0.07万元；徐政财字[2019]1号减少办公经费0.09万元；徐政财字[2019]1号减少工资福利支出0.09万元；徐政财字[2019]1号减少离退休费0.1万元；徐政财字[2019]1号减少社会保障缴费0.11万元；徐政财字[2019]1号减少商品和服务支出0.11万元；徐政财字[2019]1号减少工资福利支出0.16万元；徐政财字[2019]1号减少社会福利和救助0.2万元；徐政财字[2019]1号减少工资福利支出0.3万元；徐政财字[201</w:t>
      </w:r>
      <w:r>
        <w:rPr>
          <w:rFonts w:hint="eastAsia" w:ascii="仿宋_GB2312" w:eastAsia="仿宋_GB2312" w:cs="DengXian-Regular"/>
          <w:sz w:val="32"/>
          <w:szCs w:val="32"/>
        </w:rPr>
        <w:t>9]1号减少办公经费0.43万元；徐政财字[2019]1号减少其他商品和服务支出0.27万元；徐政财字[2019]1号减少其他商品和服务支出0.57万元；徐政财字[2019]1号减少办公经费0.58万元；徐政财字[2019]1号减少社会福利和救助0.67万元；徐政财字[2019]1号减少工资福利支出0.68万元；徐政财字[2019]1号减少工资奖金津补贴0.82万元；徐政财字[2019]1号减少社会福利和救助0.89万元；徐政财字[2019]1号减少社会福利和救助1.95万元；徐政财字[2019]1号减少公务接待费2.14万元；徐政财字[2019]1号减少委托业务费4万元；徐政财字[2019]1号减少办公经费4.18万元；徐政财字[2019]1号减少公务用车运行维护费4.77万元；徐政财字[2019]1号减少社会保障缴费9.04万元；徐政财字[2019]1号减少维修（护）费9.7万元；徐政财字[2019]1号减少工资奖金津补贴14.84万元；徐政财字[2019]1号减少工资福利支出16.31万元；徐政财字[2019]1号减少工资福利支出25.92万元；徐政财字[2019]1号减少其他工资福利支出97.03万元；徐政财字[2019]1号减少其他工资福利支出114.48万元；徐政财字[2019]1号减少工资福利支出172.8万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大因镇2019年度预算收入的追加数为3667.91万元，年初预算数为2046.18万元，预算收入调整率为179.26%，预算调整增加了179个百分点，扣2分。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根据大因镇2019年预算文本、决算文本，2019年收入预算数2055.68万元，收入决算数5714.09万元，收入完成率=（5714.09/2046.18）*100%=279.26%。</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2019年度预算支出的追加数合计3730.34万元，年初预算数为2046.17万元，预算支出调整率为182.31%，预算调整增加182个百分点，扣2分。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大因镇提供的2019年决算文本，部门决算财政拨款支出数5758.17万元，财政拨款收入数5714.09万元，财政拨款支出率=（财政拨款支出数/财政拨款收入数）*100%=100.78%</w:t>
      </w:r>
      <w:r>
        <w:rPr>
          <w:rFonts w:ascii="Arial" w:hAnsi="Arial" w:eastAsia="仿宋_GB2312" w:cs="Arial"/>
          <w:sz w:val="32"/>
          <w:szCs w:val="32"/>
        </w:rPr>
        <w:t>≥</w:t>
      </w:r>
      <w:r>
        <w:rPr>
          <w:rFonts w:hint="eastAsia" w:ascii="仿宋_GB2312" w:eastAsia="仿宋_GB2312" w:cs="DengXian-Regular"/>
          <w:sz w:val="32"/>
          <w:szCs w:val="32"/>
        </w:rPr>
        <w:t>90%。2019年年初结转和结余61.3万元，故支出数大于收入数。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根据大因2019年预算文本及决算文本，“三公”经费年初预算数27万元，年末决算数20.09万元，“三公”经费控制率=（年末决算数/年初预算数）*100%=74.4%</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根据大因2019年预算文本及决算文本，政府采购年初预算数0万元，年末决算数0万元，政府采购执行率为100%。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根据大因2019年明细账、会计凭证等相关资料，大因资金使用符合相关会计准则和财务制度，资金拨付有完备的审批程序和手续，资金使用符合部门预算批复的用途，未发现截留、挤占、挪用财政资金的情况。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经核查区大因镇2019年决算文本、明细账及总账，大因镇决算文本数据均与明细账、总账一致。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大因镇工作制度涵盖了财务制度、网络安全制度、公务用车制度等相关制度，经检查大因镇付款流程审批单、资产盘点表等资料，大因镇已按照相关管理制度的规定执行。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大因镇2019年按政府信息公开的有关要求在保定市徐水区人民政府网公开了2019年的预决算情况、部门责任清单、行政监督清单等相关信息。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根据大因镇提供的会计账簿、凭证及其他相关资料，大因镇会计信息资料真实完整，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大因镇建立了固定资产台账、无形资产台账，资产保存完整，2019年新增资产74.35万元，包含：通用设备54.79万元、专用设备2.78万元，家居用具7.08万元，土地房屋9.7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大因镇2019年一般项目部门绩效自评表，大因镇2019年开展绩效自评的项目数为40个，年初预算文本项目数27个，要求自评项目个数40个，自评覆盖率为 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大因镇2019年参评数量40个，绩效评价结果达到优等的数量28个，绩效评价优等率为70%。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该指标实际得分2.8分。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根据大因镇2019年决算文本及相关资料，大因镇2019年结转结余资金18.34万元，决算收入5714.09万元，结转结余率0.32%，小于5%。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2.项目资金使用率（20分）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大因2019年实际支出项目资金总额4206.66万元，年初预算共27个项目，预算数2805.19万元，年中追加项目资金1401.47万元，项目资金使用率为150%。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该指标实际得分20分。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4638561"/>
      <w:bookmarkStart w:id="73" w:name="_Toc465149516"/>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经查看大因镇提供的相关资料，大因镇履行职责对社会发展所带来的社会效益较显著，有效的提高了社会公众的法律意识，减少了社会不稳定因素。</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针对该指标，我们随机选取了30个调查对象进行了问卷调查，具体调查情况如下：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25</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91.6</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25</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91.6</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25</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91.6</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经计算，总体得分为91.6分，评价等级为“优”。</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大因镇</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p>
      <w:pPr>
        <w:spacing w:after="0" w:line="360" w:lineRule="auto"/>
        <w:jc w:val="both"/>
        <w:textAlignment w:val="baseline"/>
        <w:rPr>
          <w:rFonts w:ascii="仿宋_GB2312" w:eastAsia="仿宋_GB2312" w:cs="Times New Roman" w:hAnsiTheme="minorEastAsia"/>
          <w:color w:val="000000" w:themeColor="text1"/>
          <w:sz w:val="32"/>
          <w:szCs w:val="32"/>
          <w:u w:color="000000"/>
        </w:rPr>
      </w:pPr>
      <w:r>
        <w:rPr>
          <w:rFonts w:hint="eastAsia" w:ascii="仿宋_GB2312" w:eastAsia="仿宋_GB2312" w:cs="Times New Roman" w:hAnsiTheme="minorEastAsia"/>
          <w:color w:val="000000" w:themeColor="text1"/>
          <w:sz w:val="32"/>
          <w:szCs w:val="32"/>
          <w:u w:color="000000"/>
        </w:rPr>
        <w:t>1.绩效指标方面： 指标设计不合理，导致评价结果和实际情况比一定相符。</w:t>
      </w:r>
    </w:p>
    <w:p>
      <w:pPr>
        <w:spacing w:after="0" w:line="360" w:lineRule="auto"/>
        <w:jc w:val="both"/>
        <w:textAlignment w:val="baseline"/>
        <w:rPr>
          <w:rFonts w:ascii="仿宋_GB2312" w:eastAsia="仿宋_GB2312" w:cs="Times New Roman" w:hAnsiTheme="minorEastAsia"/>
          <w:color w:val="000000" w:themeColor="text1"/>
          <w:sz w:val="32"/>
          <w:szCs w:val="32"/>
          <w:u w:color="000000"/>
        </w:rPr>
      </w:pPr>
      <w:r>
        <w:rPr>
          <w:rFonts w:hint="eastAsia" w:ascii="仿宋_GB2312" w:eastAsia="仿宋_GB2312" w:cs="Times New Roman" w:hAnsiTheme="minorEastAsia"/>
          <w:color w:val="000000" w:themeColor="text1"/>
          <w:sz w:val="32"/>
          <w:szCs w:val="32"/>
          <w:u w:color="000000"/>
        </w:rPr>
        <w:t>2.预算决算比较：编制预算存在不可控性</w:t>
      </w:r>
    </w:p>
    <w:p>
      <w:pPr>
        <w:spacing w:after="0" w:line="360" w:lineRule="auto"/>
        <w:jc w:val="both"/>
        <w:textAlignment w:val="baseline"/>
        <w:rPr>
          <w:rFonts w:ascii="仿宋_GB2312" w:eastAsia="仿宋_GB2312" w:cs="Times New Roman" w:hAnsiTheme="minorEastAsia"/>
          <w:color w:val="000000" w:themeColor="text1"/>
          <w:sz w:val="32"/>
          <w:szCs w:val="32"/>
          <w:u w:color="000000"/>
        </w:rPr>
      </w:pPr>
      <w:r>
        <w:rPr>
          <w:rFonts w:hint="eastAsia" w:ascii="仿宋_GB2312" w:eastAsia="仿宋_GB2312" w:cs="Times New Roman" w:hAnsiTheme="minorEastAsia"/>
          <w:color w:val="000000" w:themeColor="text1"/>
          <w:sz w:val="32"/>
          <w:szCs w:val="32"/>
          <w:u w:color="000000"/>
        </w:rPr>
        <w:t>3.预算追加方面：执行中一般都有追加，按照指标控制率指标计算，本指标基本都大于0.</w:t>
      </w:r>
    </w:p>
    <w:p>
      <w:pPr>
        <w:spacing w:after="0" w:line="360" w:lineRule="auto"/>
        <w:jc w:val="both"/>
        <w:textAlignment w:val="baseline"/>
        <w:rPr>
          <w:rFonts w:ascii="仿宋_GB2312" w:eastAsia="仿宋_GB2312" w:cs="Times New Roman" w:hAnsiTheme="minorEastAsia"/>
          <w:color w:val="000000" w:themeColor="text1"/>
          <w:sz w:val="32"/>
          <w:szCs w:val="32"/>
          <w:u w:color="000000"/>
        </w:rPr>
      </w:pPr>
      <w:r>
        <w:rPr>
          <w:rFonts w:hint="eastAsia" w:ascii="仿宋_GB2312" w:eastAsia="仿宋_GB2312" w:cs="Times New Roman" w:hAnsiTheme="minorEastAsia"/>
          <w:color w:val="000000" w:themeColor="text1"/>
          <w:sz w:val="32"/>
          <w:szCs w:val="32"/>
          <w:u w:color="000000"/>
        </w:rPr>
        <w:t>4.政府采购方面：手续繁琐，不便操作。</w:t>
      </w:r>
    </w:p>
    <w:p>
      <w:pPr>
        <w:spacing w:after="0" w:line="360" w:lineRule="auto"/>
        <w:jc w:val="both"/>
        <w:textAlignment w:val="baseline"/>
        <w:rPr>
          <w:rFonts w:ascii="仿宋_GB2312" w:eastAsia="仿宋_GB2312" w:cs="Times New Roman" w:hAnsiTheme="minorEastAsia"/>
          <w:color w:val="000000" w:themeColor="text1"/>
          <w:sz w:val="32"/>
          <w:szCs w:val="32"/>
          <w:u w:color="000000"/>
        </w:rPr>
      </w:pPr>
      <w:r>
        <w:rPr>
          <w:rFonts w:hint="eastAsia" w:ascii="仿宋_GB2312" w:eastAsia="仿宋_GB2312" w:cs="Times New Roman" w:hAnsiTheme="minorEastAsia"/>
          <w:color w:val="000000" w:themeColor="text1"/>
          <w:sz w:val="32"/>
          <w:szCs w:val="32"/>
          <w:u w:color="000000"/>
        </w:rPr>
        <w:t>5.项目资金使用率：大部分项目能进行，但存在个别项目不能实施情况。</w:t>
      </w:r>
    </w:p>
    <w:p>
      <w:pPr>
        <w:spacing w:after="0" w:line="360" w:lineRule="auto"/>
        <w:jc w:val="both"/>
        <w:textAlignment w:val="baseline"/>
        <w:rPr>
          <w:rFonts w:ascii="仿宋_GB2312" w:eastAsia="仿宋_GB2312" w:cs="Times New Roman" w:hAnsiTheme="minorEastAsia"/>
          <w:color w:val="000000" w:themeColor="text1"/>
          <w:sz w:val="32"/>
          <w:szCs w:val="32"/>
          <w:u w:color="000000"/>
        </w:rPr>
      </w:pPr>
      <w:r>
        <w:rPr>
          <w:rFonts w:hint="eastAsia" w:ascii="仿宋_GB2312" w:eastAsia="仿宋_GB2312" w:cs="Times New Roman" w:hAnsiTheme="minorEastAsia"/>
          <w:color w:val="000000" w:themeColor="text1"/>
          <w:sz w:val="32"/>
          <w:szCs w:val="32"/>
          <w:u w:color="000000"/>
        </w:rPr>
        <w:t>6.部分基础数据信息方面：部分基础数据存档不及时。</w:t>
      </w:r>
    </w:p>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w:t>
      </w:r>
      <w:r>
        <w:rPr>
          <w:rFonts w:hint="eastAsia" w:ascii="仿宋_GB2312" w:eastAsia="仿宋_GB2312" w:cs="DengXian-Regular"/>
          <w:sz w:val="32"/>
          <w:szCs w:val="32"/>
        </w:rPr>
        <w:t xml:space="preserve"> 保定市徐水区大因镇</w:t>
      </w:r>
      <w:r>
        <w:rPr>
          <w:rFonts w:hint="eastAsia" w:ascii="仿宋_GB2312" w:eastAsia="仿宋_GB2312" w:cs="Times New Roman" w:hAnsiTheme="minorEastAsia"/>
          <w:sz w:val="32"/>
          <w:szCs w:val="32"/>
          <w:u w:color="000000"/>
        </w:rPr>
        <w:t>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w:t>
      </w:r>
      <w:r>
        <w:rPr>
          <w:rFonts w:hint="eastAsia" w:ascii="仿宋_GB2312" w:eastAsia="仿宋_GB2312" w:cs="DengXian-Regular"/>
          <w:sz w:val="32"/>
          <w:szCs w:val="32"/>
        </w:rPr>
        <w:t>保定市徐水区大因镇</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3.大因镇整体支出绩效评价指标体系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4.2019年</w:t>
      </w:r>
      <w:r>
        <w:rPr>
          <w:rFonts w:hint="eastAsia" w:ascii="仿宋_GB2312" w:eastAsia="仿宋_GB2312" w:cs="DengXian-Regular"/>
          <w:sz w:val="32"/>
          <w:szCs w:val="32"/>
        </w:rPr>
        <w:t>保定市徐水区大因镇</w:t>
      </w:r>
      <w:r>
        <w:rPr>
          <w:rFonts w:hint="eastAsia" w:ascii="仿宋_GB2312" w:eastAsia="仿宋_GB2312" w:cs="Times New Roman" w:hAnsiTheme="minorEastAsia"/>
          <w:sz w:val="32"/>
          <w:szCs w:val="32"/>
          <w:u w:color="000000"/>
        </w:rPr>
        <w:t>工作活动绩效目标、绩效指标一览表</w:t>
      </w:r>
    </w:p>
    <w:bookmarkEnd w:id="75"/>
    <w:bookmarkEnd w:id="76"/>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10"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44</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4936"/>
    <w:rsid w:val="00015C39"/>
    <w:rsid w:val="000174D3"/>
    <w:rsid w:val="0002415F"/>
    <w:rsid w:val="00025620"/>
    <w:rsid w:val="0002705B"/>
    <w:rsid w:val="00030AEC"/>
    <w:rsid w:val="000317D7"/>
    <w:rsid w:val="00032B03"/>
    <w:rsid w:val="000334C2"/>
    <w:rsid w:val="00034169"/>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560E4"/>
    <w:rsid w:val="00061096"/>
    <w:rsid w:val="000612A2"/>
    <w:rsid w:val="00063117"/>
    <w:rsid w:val="00072BF5"/>
    <w:rsid w:val="000752C6"/>
    <w:rsid w:val="00075975"/>
    <w:rsid w:val="00075B78"/>
    <w:rsid w:val="00077648"/>
    <w:rsid w:val="00080E48"/>
    <w:rsid w:val="000913C8"/>
    <w:rsid w:val="00091D50"/>
    <w:rsid w:val="000928AC"/>
    <w:rsid w:val="000935D5"/>
    <w:rsid w:val="0009618D"/>
    <w:rsid w:val="00096195"/>
    <w:rsid w:val="00096489"/>
    <w:rsid w:val="0009756F"/>
    <w:rsid w:val="000A1F67"/>
    <w:rsid w:val="000A2079"/>
    <w:rsid w:val="000A5467"/>
    <w:rsid w:val="000B09F3"/>
    <w:rsid w:val="000B0C4A"/>
    <w:rsid w:val="000B23E8"/>
    <w:rsid w:val="000B62FE"/>
    <w:rsid w:val="000B72BC"/>
    <w:rsid w:val="000B78D7"/>
    <w:rsid w:val="000C1EA5"/>
    <w:rsid w:val="000C4B05"/>
    <w:rsid w:val="000C52FB"/>
    <w:rsid w:val="000C55E6"/>
    <w:rsid w:val="000C6D5A"/>
    <w:rsid w:val="000D09B2"/>
    <w:rsid w:val="000D7C38"/>
    <w:rsid w:val="000E0902"/>
    <w:rsid w:val="000E2939"/>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55C87"/>
    <w:rsid w:val="00156C55"/>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3B65"/>
    <w:rsid w:val="001B5C88"/>
    <w:rsid w:val="001B6CE6"/>
    <w:rsid w:val="001C046D"/>
    <w:rsid w:val="001C1412"/>
    <w:rsid w:val="001C391F"/>
    <w:rsid w:val="001C5135"/>
    <w:rsid w:val="001C796E"/>
    <w:rsid w:val="001D1367"/>
    <w:rsid w:val="001D5041"/>
    <w:rsid w:val="001D5A7C"/>
    <w:rsid w:val="001D76AA"/>
    <w:rsid w:val="001E02E0"/>
    <w:rsid w:val="001E21EA"/>
    <w:rsid w:val="001E288A"/>
    <w:rsid w:val="001E3ABB"/>
    <w:rsid w:val="001E4C24"/>
    <w:rsid w:val="001E5C43"/>
    <w:rsid w:val="001E742A"/>
    <w:rsid w:val="001F07B6"/>
    <w:rsid w:val="001F0B92"/>
    <w:rsid w:val="001F1094"/>
    <w:rsid w:val="001F2F0E"/>
    <w:rsid w:val="001F33AA"/>
    <w:rsid w:val="001F60D6"/>
    <w:rsid w:val="001F6236"/>
    <w:rsid w:val="00200051"/>
    <w:rsid w:val="00202D5A"/>
    <w:rsid w:val="00205F02"/>
    <w:rsid w:val="0021307B"/>
    <w:rsid w:val="002142B8"/>
    <w:rsid w:val="002161F4"/>
    <w:rsid w:val="00216E75"/>
    <w:rsid w:val="00221907"/>
    <w:rsid w:val="0022226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143"/>
    <w:rsid w:val="002869F9"/>
    <w:rsid w:val="002879B0"/>
    <w:rsid w:val="00291016"/>
    <w:rsid w:val="00292F98"/>
    <w:rsid w:val="002939A0"/>
    <w:rsid w:val="002959A3"/>
    <w:rsid w:val="0029626E"/>
    <w:rsid w:val="00296E59"/>
    <w:rsid w:val="00297CEF"/>
    <w:rsid w:val="002A0364"/>
    <w:rsid w:val="002A1661"/>
    <w:rsid w:val="002A1A25"/>
    <w:rsid w:val="002A563C"/>
    <w:rsid w:val="002B05EF"/>
    <w:rsid w:val="002B13BA"/>
    <w:rsid w:val="002B2E34"/>
    <w:rsid w:val="002B76FA"/>
    <w:rsid w:val="002C029E"/>
    <w:rsid w:val="002C2C71"/>
    <w:rsid w:val="002C3500"/>
    <w:rsid w:val="002C5A65"/>
    <w:rsid w:val="002C71F3"/>
    <w:rsid w:val="002D2112"/>
    <w:rsid w:val="002D53D7"/>
    <w:rsid w:val="002D5508"/>
    <w:rsid w:val="002D5648"/>
    <w:rsid w:val="002D5FC1"/>
    <w:rsid w:val="002D7AB3"/>
    <w:rsid w:val="002E1D3C"/>
    <w:rsid w:val="002E1F73"/>
    <w:rsid w:val="002E269D"/>
    <w:rsid w:val="002E3460"/>
    <w:rsid w:val="002E70AE"/>
    <w:rsid w:val="002F0C41"/>
    <w:rsid w:val="002F3436"/>
    <w:rsid w:val="002F5B6A"/>
    <w:rsid w:val="002F5BF5"/>
    <w:rsid w:val="002F5ECA"/>
    <w:rsid w:val="00306572"/>
    <w:rsid w:val="003079C7"/>
    <w:rsid w:val="003169F3"/>
    <w:rsid w:val="0032078D"/>
    <w:rsid w:val="00321CE0"/>
    <w:rsid w:val="0032231F"/>
    <w:rsid w:val="00323B43"/>
    <w:rsid w:val="00325BCC"/>
    <w:rsid w:val="00325BD4"/>
    <w:rsid w:val="003309A3"/>
    <w:rsid w:val="003345BC"/>
    <w:rsid w:val="00343662"/>
    <w:rsid w:val="0035365E"/>
    <w:rsid w:val="00353A48"/>
    <w:rsid w:val="00355403"/>
    <w:rsid w:val="003564B3"/>
    <w:rsid w:val="003569A8"/>
    <w:rsid w:val="00361FFF"/>
    <w:rsid w:val="00362340"/>
    <w:rsid w:val="003653A5"/>
    <w:rsid w:val="00366971"/>
    <w:rsid w:val="00367DF7"/>
    <w:rsid w:val="00370696"/>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5E73"/>
    <w:rsid w:val="00407629"/>
    <w:rsid w:val="004108EE"/>
    <w:rsid w:val="00410F1A"/>
    <w:rsid w:val="00412A31"/>
    <w:rsid w:val="004200B9"/>
    <w:rsid w:val="00425BBE"/>
    <w:rsid w:val="00426133"/>
    <w:rsid w:val="004300B1"/>
    <w:rsid w:val="00430AF8"/>
    <w:rsid w:val="0043148F"/>
    <w:rsid w:val="0043354D"/>
    <w:rsid w:val="00434EB0"/>
    <w:rsid w:val="004358AB"/>
    <w:rsid w:val="00435DA7"/>
    <w:rsid w:val="004370A2"/>
    <w:rsid w:val="00443B89"/>
    <w:rsid w:val="00444056"/>
    <w:rsid w:val="00445C28"/>
    <w:rsid w:val="004468B5"/>
    <w:rsid w:val="00451E9F"/>
    <w:rsid w:val="004551F1"/>
    <w:rsid w:val="00456282"/>
    <w:rsid w:val="00456648"/>
    <w:rsid w:val="00457B68"/>
    <w:rsid w:val="00457E00"/>
    <w:rsid w:val="00461E7C"/>
    <w:rsid w:val="004639E0"/>
    <w:rsid w:val="00463A6D"/>
    <w:rsid w:val="00465A21"/>
    <w:rsid w:val="0047047F"/>
    <w:rsid w:val="00472C49"/>
    <w:rsid w:val="00474DE3"/>
    <w:rsid w:val="00477959"/>
    <w:rsid w:val="00486217"/>
    <w:rsid w:val="00486A56"/>
    <w:rsid w:val="00494D73"/>
    <w:rsid w:val="00497473"/>
    <w:rsid w:val="004A19C4"/>
    <w:rsid w:val="004A33DF"/>
    <w:rsid w:val="004A6EA4"/>
    <w:rsid w:val="004B146A"/>
    <w:rsid w:val="004B1E69"/>
    <w:rsid w:val="004B4146"/>
    <w:rsid w:val="004B5892"/>
    <w:rsid w:val="004B59DD"/>
    <w:rsid w:val="004B5E88"/>
    <w:rsid w:val="004B5EDE"/>
    <w:rsid w:val="004C0341"/>
    <w:rsid w:val="004C3E1D"/>
    <w:rsid w:val="004C46D3"/>
    <w:rsid w:val="004C5D39"/>
    <w:rsid w:val="004C6B40"/>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5FA7"/>
    <w:rsid w:val="004E642E"/>
    <w:rsid w:val="004E7ADC"/>
    <w:rsid w:val="004F0A14"/>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7F5"/>
    <w:rsid w:val="00544C1A"/>
    <w:rsid w:val="00546D1B"/>
    <w:rsid w:val="0055027D"/>
    <w:rsid w:val="0055488C"/>
    <w:rsid w:val="00554FA1"/>
    <w:rsid w:val="00556934"/>
    <w:rsid w:val="005607DF"/>
    <w:rsid w:val="00564377"/>
    <w:rsid w:val="00564538"/>
    <w:rsid w:val="00566A89"/>
    <w:rsid w:val="00567E07"/>
    <w:rsid w:val="005737BA"/>
    <w:rsid w:val="00573A89"/>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71A"/>
    <w:rsid w:val="005D6869"/>
    <w:rsid w:val="005D7446"/>
    <w:rsid w:val="005E29F1"/>
    <w:rsid w:val="005E5F88"/>
    <w:rsid w:val="005F06F5"/>
    <w:rsid w:val="005F46C0"/>
    <w:rsid w:val="005F471D"/>
    <w:rsid w:val="005F720A"/>
    <w:rsid w:val="005F7467"/>
    <w:rsid w:val="005F78E7"/>
    <w:rsid w:val="006007F3"/>
    <w:rsid w:val="0060402C"/>
    <w:rsid w:val="00604A41"/>
    <w:rsid w:val="0061252A"/>
    <w:rsid w:val="006135B3"/>
    <w:rsid w:val="006138D4"/>
    <w:rsid w:val="00616C03"/>
    <w:rsid w:val="00616F30"/>
    <w:rsid w:val="006215A2"/>
    <w:rsid w:val="00621BAA"/>
    <w:rsid w:val="00621F7D"/>
    <w:rsid w:val="00622AD1"/>
    <w:rsid w:val="00623267"/>
    <w:rsid w:val="00625428"/>
    <w:rsid w:val="0062670B"/>
    <w:rsid w:val="00630B86"/>
    <w:rsid w:val="00630F5B"/>
    <w:rsid w:val="00632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34D"/>
    <w:rsid w:val="00690FA3"/>
    <w:rsid w:val="0069331D"/>
    <w:rsid w:val="00696DF8"/>
    <w:rsid w:val="0069783E"/>
    <w:rsid w:val="00697E26"/>
    <w:rsid w:val="006A0330"/>
    <w:rsid w:val="006A3AE1"/>
    <w:rsid w:val="006A3B57"/>
    <w:rsid w:val="006A6AB2"/>
    <w:rsid w:val="006B117D"/>
    <w:rsid w:val="006B19B7"/>
    <w:rsid w:val="006B392C"/>
    <w:rsid w:val="006B4CC0"/>
    <w:rsid w:val="006B4E71"/>
    <w:rsid w:val="006B65B0"/>
    <w:rsid w:val="006C5198"/>
    <w:rsid w:val="006C6A07"/>
    <w:rsid w:val="006D2451"/>
    <w:rsid w:val="006D6860"/>
    <w:rsid w:val="006E0A3D"/>
    <w:rsid w:val="006E27F1"/>
    <w:rsid w:val="006E5BC8"/>
    <w:rsid w:val="006E7CBA"/>
    <w:rsid w:val="006F222F"/>
    <w:rsid w:val="006F7B69"/>
    <w:rsid w:val="0070241F"/>
    <w:rsid w:val="007024A9"/>
    <w:rsid w:val="007032DD"/>
    <w:rsid w:val="00703C96"/>
    <w:rsid w:val="007130D7"/>
    <w:rsid w:val="00713E98"/>
    <w:rsid w:val="00715591"/>
    <w:rsid w:val="00715AE8"/>
    <w:rsid w:val="00717440"/>
    <w:rsid w:val="0072516F"/>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2FF4"/>
    <w:rsid w:val="007B639C"/>
    <w:rsid w:val="007B6B55"/>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137E"/>
    <w:rsid w:val="007F222D"/>
    <w:rsid w:val="007F3FB7"/>
    <w:rsid w:val="007F518D"/>
    <w:rsid w:val="007F5C76"/>
    <w:rsid w:val="007F68FE"/>
    <w:rsid w:val="007F7E7E"/>
    <w:rsid w:val="00803C29"/>
    <w:rsid w:val="00804E5E"/>
    <w:rsid w:val="00804FAA"/>
    <w:rsid w:val="00805678"/>
    <w:rsid w:val="00805D26"/>
    <w:rsid w:val="0081553D"/>
    <w:rsid w:val="00815BE9"/>
    <w:rsid w:val="00815C94"/>
    <w:rsid w:val="00815CF6"/>
    <w:rsid w:val="008165C0"/>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66E7C"/>
    <w:rsid w:val="00871B0D"/>
    <w:rsid w:val="00871B14"/>
    <w:rsid w:val="008735A1"/>
    <w:rsid w:val="00875962"/>
    <w:rsid w:val="00880325"/>
    <w:rsid w:val="00882ABD"/>
    <w:rsid w:val="008844A4"/>
    <w:rsid w:val="008857CC"/>
    <w:rsid w:val="0089314F"/>
    <w:rsid w:val="0089328E"/>
    <w:rsid w:val="0089513A"/>
    <w:rsid w:val="00896069"/>
    <w:rsid w:val="00896786"/>
    <w:rsid w:val="00896F34"/>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7B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1BEB"/>
    <w:rsid w:val="009364FF"/>
    <w:rsid w:val="00942397"/>
    <w:rsid w:val="009425B4"/>
    <w:rsid w:val="00946F52"/>
    <w:rsid w:val="00950F44"/>
    <w:rsid w:val="00952A7D"/>
    <w:rsid w:val="00952BF8"/>
    <w:rsid w:val="00953747"/>
    <w:rsid w:val="0095565A"/>
    <w:rsid w:val="00955918"/>
    <w:rsid w:val="009576E3"/>
    <w:rsid w:val="00960439"/>
    <w:rsid w:val="00961D67"/>
    <w:rsid w:val="00962D93"/>
    <w:rsid w:val="009636EF"/>
    <w:rsid w:val="0096408D"/>
    <w:rsid w:val="009651A8"/>
    <w:rsid w:val="009657E9"/>
    <w:rsid w:val="0096666B"/>
    <w:rsid w:val="009719C3"/>
    <w:rsid w:val="00972614"/>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B6820"/>
    <w:rsid w:val="009C0DAB"/>
    <w:rsid w:val="009C1E20"/>
    <w:rsid w:val="009C3DE5"/>
    <w:rsid w:val="009D0378"/>
    <w:rsid w:val="009D0F18"/>
    <w:rsid w:val="009D1EFB"/>
    <w:rsid w:val="009D5964"/>
    <w:rsid w:val="009D6A0C"/>
    <w:rsid w:val="009E0725"/>
    <w:rsid w:val="009E1492"/>
    <w:rsid w:val="009E4B3F"/>
    <w:rsid w:val="009E5877"/>
    <w:rsid w:val="009F69B0"/>
    <w:rsid w:val="00A0187E"/>
    <w:rsid w:val="00A0310D"/>
    <w:rsid w:val="00A05FD8"/>
    <w:rsid w:val="00A069BA"/>
    <w:rsid w:val="00A073F4"/>
    <w:rsid w:val="00A07BBE"/>
    <w:rsid w:val="00A16439"/>
    <w:rsid w:val="00A21057"/>
    <w:rsid w:val="00A217CE"/>
    <w:rsid w:val="00A21E86"/>
    <w:rsid w:val="00A22DFB"/>
    <w:rsid w:val="00A305E3"/>
    <w:rsid w:val="00A353F1"/>
    <w:rsid w:val="00A357B0"/>
    <w:rsid w:val="00A35B22"/>
    <w:rsid w:val="00A370AE"/>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0132"/>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3E46"/>
    <w:rsid w:val="00B14220"/>
    <w:rsid w:val="00B16868"/>
    <w:rsid w:val="00B17251"/>
    <w:rsid w:val="00B2159A"/>
    <w:rsid w:val="00B21D32"/>
    <w:rsid w:val="00B313B2"/>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6E8C"/>
    <w:rsid w:val="00B9722F"/>
    <w:rsid w:val="00B97741"/>
    <w:rsid w:val="00BA0721"/>
    <w:rsid w:val="00BA1883"/>
    <w:rsid w:val="00BA227D"/>
    <w:rsid w:val="00BA4C84"/>
    <w:rsid w:val="00BC09FC"/>
    <w:rsid w:val="00BC0DD5"/>
    <w:rsid w:val="00BC60E6"/>
    <w:rsid w:val="00BE66AA"/>
    <w:rsid w:val="00BE73B9"/>
    <w:rsid w:val="00BF0002"/>
    <w:rsid w:val="00BF2FBF"/>
    <w:rsid w:val="00BF444F"/>
    <w:rsid w:val="00BF77F5"/>
    <w:rsid w:val="00C01D8A"/>
    <w:rsid w:val="00C023EF"/>
    <w:rsid w:val="00C054FF"/>
    <w:rsid w:val="00C1475A"/>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7680F"/>
    <w:rsid w:val="00C8048C"/>
    <w:rsid w:val="00C80C68"/>
    <w:rsid w:val="00C86E9A"/>
    <w:rsid w:val="00C87E40"/>
    <w:rsid w:val="00C93A3D"/>
    <w:rsid w:val="00C94F0A"/>
    <w:rsid w:val="00CA3203"/>
    <w:rsid w:val="00CA6058"/>
    <w:rsid w:val="00CA6BD1"/>
    <w:rsid w:val="00CB1B1B"/>
    <w:rsid w:val="00CB3E03"/>
    <w:rsid w:val="00CB580D"/>
    <w:rsid w:val="00CB5F00"/>
    <w:rsid w:val="00CB6098"/>
    <w:rsid w:val="00CB623E"/>
    <w:rsid w:val="00CC0BA5"/>
    <w:rsid w:val="00CC1F3E"/>
    <w:rsid w:val="00CC236E"/>
    <w:rsid w:val="00CC2B2A"/>
    <w:rsid w:val="00CC5E17"/>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2785"/>
    <w:rsid w:val="00D058E4"/>
    <w:rsid w:val="00D07178"/>
    <w:rsid w:val="00D11C0B"/>
    <w:rsid w:val="00D11EE9"/>
    <w:rsid w:val="00D13F47"/>
    <w:rsid w:val="00D14E66"/>
    <w:rsid w:val="00D151BD"/>
    <w:rsid w:val="00D17631"/>
    <w:rsid w:val="00D17CD3"/>
    <w:rsid w:val="00D21B22"/>
    <w:rsid w:val="00D24AEB"/>
    <w:rsid w:val="00D24AFD"/>
    <w:rsid w:val="00D25657"/>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56FBD"/>
    <w:rsid w:val="00D6000E"/>
    <w:rsid w:val="00D61051"/>
    <w:rsid w:val="00D713D6"/>
    <w:rsid w:val="00D72DAF"/>
    <w:rsid w:val="00D75BB9"/>
    <w:rsid w:val="00D76276"/>
    <w:rsid w:val="00D77919"/>
    <w:rsid w:val="00D8083C"/>
    <w:rsid w:val="00D8589C"/>
    <w:rsid w:val="00D85F8D"/>
    <w:rsid w:val="00D87F81"/>
    <w:rsid w:val="00D90E39"/>
    <w:rsid w:val="00D97E89"/>
    <w:rsid w:val="00DA45EE"/>
    <w:rsid w:val="00DA4E13"/>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285D"/>
    <w:rsid w:val="00DE42BF"/>
    <w:rsid w:val="00DE4A1A"/>
    <w:rsid w:val="00DE4E11"/>
    <w:rsid w:val="00DE53FE"/>
    <w:rsid w:val="00DE6ED8"/>
    <w:rsid w:val="00E00A5F"/>
    <w:rsid w:val="00E05D64"/>
    <w:rsid w:val="00E07ABB"/>
    <w:rsid w:val="00E07D8F"/>
    <w:rsid w:val="00E1097D"/>
    <w:rsid w:val="00E13762"/>
    <w:rsid w:val="00E14E2F"/>
    <w:rsid w:val="00E1552D"/>
    <w:rsid w:val="00E1640B"/>
    <w:rsid w:val="00E20F5B"/>
    <w:rsid w:val="00E20FC3"/>
    <w:rsid w:val="00E317A6"/>
    <w:rsid w:val="00E3190E"/>
    <w:rsid w:val="00E31F05"/>
    <w:rsid w:val="00E32285"/>
    <w:rsid w:val="00E32D9A"/>
    <w:rsid w:val="00E33B8C"/>
    <w:rsid w:val="00E34295"/>
    <w:rsid w:val="00E3667E"/>
    <w:rsid w:val="00E4228D"/>
    <w:rsid w:val="00E4254E"/>
    <w:rsid w:val="00E45148"/>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87BC7"/>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B3"/>
    <w:rsid w:val="00EC5617"/>
    <w:rsid w:val="00EC7C9E"/>
    <w:rsid w:val="00ED230D"/>
    <w:rsid w:val="00ED2440"/>
    <w:rsid w:val="00ED2743"/>
    <w:rsid w:val="00EE1937"/>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D7E07"/>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0F500446"/>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E841F8"/>
    <w:rsid w:val="5EFC5263"/>
    <w:rsid w:val="5F2B51D9"/>
    <w:rsid w:val="5F37440C"/>
    <w:rsid w:val="609E7926"/>
    <w:rsid w:val="60CC769A"/>
    <w:rsid w:val="60EF5273"/>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89532\Desktop\&#24213;&#31295;---&#33258;&#24049;&#3034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89532\Desktop\&#24213;&#31295;---&#33258;&#24049;&#3034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89532\Desktop\&#24213;&#31295;---&#33258;&#24049;&#3034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89532\Desktop\&#24213;&#31295;---&#33258;&#24049;&#303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2019</a:t>
            </a:r>
            <a:r>
              <a:rPr altLang="en-US" sz="1400" b="0">
                <a:latin typeface="仿宋" panose="02010609060101010101" charset="-122"/>
                <a:ea typeface="仿宋" panose="02010609060101010101" charset="-122"/>
                <a:cs typeface="仿宋" panose="02010609060101010101" charset="-122"/>
              </a:rPr>
              <a:t>年决算收入结构图</a:t>
            </a:r>
            <a:endParaRPr lang="en-US" altLang="zh-CN" sz="1400" b="0">
              <a:latin typeface="仿宋" panose="02010609060101010101" charset="-122"/>
              <a:ea typeface="仿宋" panose="02010609060101010101" charset="-122"/>
              <a:cs typeface="仿宋" panose="02010609060101010101" charset="-122"/>
            </a:endParaRPr>
          </a:p>
        </c:rich>
      </c:tx>
      <c:layout>
        <c:manualLayout>
          <c:xMode val="edge"/>
          <c:yMode val="edge"/>
          <c:x val="0.295138888888893"/>
          <c:y val="0.0069444444444445"/>
        </c:manualLayout>
      </c:layout>
      <c:overlay val="0"/>
    </c:title>
    <c:autoTitleDeleted val="0"/>
    <c:plotArea>
      <c:layout>
        <c:manualLayout>
          <c:layoutTarget val="inner"/>
          <c:xMode val="edge"/>
          <c:yMode val="edge"/>
          <c:x val="0.135854768153981"/>
          <c:y val="0.231481481481486"/>
          <c:w val="0.397777777777784"/>
          <c:h val="0.662962962962956"/>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39737751531059"/>
                  <c:y val="-0.17813939924176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5094050743657"/>
                  <c:y val="0.026053878681831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8"/>
                  <c:y val="-0.026103091280256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2019</a:t>
            </a:r>
            <a:r>
              <a:rPr altLang="en-US" sz="1400" b="0">
                <a:latin typeface="仿宋" panose="02010609060101010101" charset="-122"/>
                <a:ea typeface="仿宋" panose="02010609060101010101" charset="-122"/>
                <a:cs typeface="仿宋" panose="02010609060101010101" charset="-122"/>
              </a:rPr>
              <a:t>年度预算收入与决算收入对比图</a:t>
            </a:r>
            <a:endParaRPr lang="en-US" altLang="zh-CN" sz="1400" b="0">
              <a:latin typeface="仿宋" panose="02010609060101010101" charset="-122"/>
              <a:ea typeface="仿宋" panose="02010609060101010101" charset="-122"/>
              <a:cs typeface="仿宋" panose="02010609060101010101" charset="-122"/>
            </a:endParaRPr>
          </a:p>
        </c:rich>
      </c:tx>
      <c:layout>
        <c:manualLayout>
          <c:xMode val="edge"/>
          <c:yMode val="edge"/>
          <c:x val="0.186409052606238"/>
          <c:y val="0.0068415051311289"/>
        </c:manualLayout>
      </c:layout>
      <c:overlay val="0"/>
    </c:title>
    <c:autoTitleDeleted val="0"/>
    <c:plotArea>
      <c:layout>
        <c:manualLayout>
          <c:layoutTarget val="inner"/>
          <c:xMode val="edge"/>
          <c:yMode val="edge"/>
          <c:x val="0.159427550004525"/>
          <c:y val="0.17479709267111"/>
          <c:w val="0.684520830835232"/>
          <c:h val="0.388237431859483"/>
        </c:manualLayout>
      </c:layout>
      <c:barChart>
        <c:barDir val="col"/>
        <c:grouping val="clustered"/>
        <c:varyColors val="0"/>
        <c:ser>
          <c:idx val="0"/>
          <c:order val="0"/>
          <c:tx>
            <c:strRef>
              <c:f>'[底稿---自己的.xlsx]Sheet1'!$B$3</c:f>
              <c:strCache>
                <c:ptCount val="1"/>
                <c:pt idx="0">
                  <c:v>预算</c:v>
                </c:pt>
              </c:strCache>
            </c:strRef>
          </c:tx>
          <c:invertIfNegative val="0"/>
          <c:dLbls>
            <c:dLbl>
              <c:idx val="0"/>
              <c:layout>
                <c:manualLayout>
                  <c:x val="-0.020304568527918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76818950930626"/>
                  <c:y val="-0.076923076923076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5363790186127"/>
                  <c:y val="-0.03846153846153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layout>
                <c:manualLayout>
                  <c:x val="0.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67681895093061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0"/>
          <c:showBubbleSize val="0"/>
        </c:dLbls>
        <c:gapWidth val="150"/>
        <c:axId val="78897536"/>
        <c:axId val="78899072"/>
      </c:barChart>
      <c:catAx>
        <c:axId val="788975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899072"/>
        <c:crosses val="autoZero"/>
        <c:auto val="1"/>
        <c:lblAlgn val="ctr"/>
        <c:lblOffset val="100"/>
        <c:noMultiLvlLbl val="0"/>
      </c:catAx>
      <c:valAx>
        <c:axId val="78899072"/>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8975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2018</a:t>
            </a:r>
            <a:r>
              <a:rPr altLang="en-US" sz="1400" b="0">
                <a:latin typeface="仿宋" panose="02010609060101010101" charset="-122"/>
                <a:ea typeface="仿宋" panose="02010609060101010101" charset="-122"/>
                <a:cs typeface="仿宋" panose="02010609060101010101" charset="-122"/>
              </a:rPr>
              <a:t>年度决算支出结构图</a:t>
            </a:r>
            <a:endParaRPr lang="en-US" altLang="zh-CN" sz="1400" b="0">
              <a:latin typeface="仿宋" panose="02010609060101010101" charset="-122"/>
              <a:ea typeface="仿宋" panose="02010609060101010101" charset="-122"/>
              <a:cs typeface="仿宋" panose="02010609060101010101" charset="-122"/>
            </a:endParaRPr>
          </a:p>
        </c:rich>
      </c:tx>
      <c:layout>
        <c:manualLayout>
          <c:xMode val="edge"/>
          <c:yMode val="edge"/>
          <c:x val="0.298346055979651"/>
          <c:y val="0.00682593856655289"/>
        </c:manualLayout>
      </c:layout>
      <c:overlay val="0"/>
    </c:title>
    <c:autoTitleDeleted val="0"/>
    <c:plotArea>
      <c:layout>
        <c:manualLayout>
          <c:layoutTarget val="inner"/>
          <c:xMode val="edge"/>
          <c:yMode val="edge"/>
          <c:x val="0.135854768153981"/>
          <c:y val="0.231481481481486"/>
          <c:w val="0.397777777777784"/>
          <c:h val="0.662962962962956"/>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39737751531059"/>
                  <c:y val="-0.17813939924176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5094050743657"/>
                  <c:y val="0.026053878681831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8"/>
                  <c:y val="-0.026103091280256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2018</a:t>
            </a:r>
            <a:r>
              <a:rPr altLang="en-US" sz="1400" b="0">
                <a:latin typeface="仿宋" panose="02010609060101010101" charset="-122"/>
                <a:ea typeface="仿宋" panose="02010609060101010101" charset="-122"/>
                <a:cs typeface="仿宋" panose="02010609060101010101" charset="-122"/>
              </a:rPr>
              <a:t>年预算支出与决算支出对比图</a:t>
            </a:r>
            <a:endParaRPr lang="en-US" altLang="zh-CN" sz="1400" b="0">
              <a:latin typeface="仿宋" panose="02010609060101010101" charset="-122"/>
              <a:ea typeface="仿宋" panose="02010609060101010101" charset="-122"/>
              <a:cs typeface="仿宋" panose="02010609060101010101" charset="-122"/>
            </a:endParaRPr>
          </a:p>
        </c:rich>
      </c:tx>
      <c:layout>
        <c:manualLayout>
          <c:xMode val="edge"/>
          <c:yMode val="edge"/>
          <c:x val="0.212023186761505"/>
          <c:y val="0.00789265982636148"/>
        </c:manualLayout>
      </c:layout>
      <c:overlay val="0"/>
    </c:title>
    <c:autoTitleDeleted val="0"/>
    <c:plotArea>
      <c:layout>
        <c:manualLayout>
          <c:layoutTarget val="inner"/>
          <c:xMode val="edge"/>
          <c:yMode val="edge"/>
          <c:x val="0.176327804291726"/>
          <c:y val="0.15105949597279"/>
          <c:w val="0.677196941205967"/>
          <c:h val="0.388318863456992"/>
        </c:manualLayout>
      </c:layout>
      <c:barChart>
        <c:barDir val="col"/>
        <c:grouping val="clustered"/>
        <c:varyColors val="0"/>
        <c:ser>
          <c:idx val="0"/>
          <c:order val="0"/>
          <c:tx>
            <c:strRef>
              <c:f>'[底稿---自己的.xlsx]Sheet1'!$B$3</c:f>
              <c:strCache>
                <c:ptCount val="1"/>
                <c:pt idx="0">
                  <c:v>预算</c:v>
                </c:pt>
              </c:strCache>
            </c:strRef>
          </c:tx>
          <c:invertIfNegative val="0"/>
          <c:dLbls>
            <c:dLbl>
              <c:idx val="0"/>
              <c:layout>
                <c:manualLayout>
                  <c:x val="-0.020304568527918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76818950930626"/>
                  <c:y val="-0.076923076923076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5363790186127"/>
                  <c:y val="-0.03846153846153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layout>
                <c:manualLayout>
                  <c:x val="0.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67681895093061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0"/>
          <c:showBubbleSize val="0"/>
        </c:dLbls>
        <c:gapWidth val="150"/>
        <c:axId val="81360384"/>
        <c:axId val="81361920"/>
      </c:barChart>
      <c:catAx>
        <c:axId val="813603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1361920"/>
        <c:crosses val="autoZero"/>
        <c:auto val="1"/>
        <c:lblAlgn val="ctr"/>
        <c:lblOffset val="100"/>
        <c:noMultiLvlLbl val="0"/>
      </c:catAx>
      <c:valAx>
        <c:axId val="81361920"/>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13603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0.86294</cdr:x>
      <cdr:y>0.13462</cdr:y>
    </cdr:from>
    <cdr:to>
      <cdr:x>0.99831</cdr:x>
      <cdr:y>0.21474</cdr:y>
    </cdr:to>
    <cdr:sp>
      <cdr:nvSpPr>
        <cdr:cNvPr id="2" name="矩形 1"/>
        <cdr:cNvSpPr/>
      </cdr:nvSpPr>
      <cdr:spPr xmlns:a="http://schemas.openxmlformats.org/drawingml/2006/main">
        <a:xfrm xmlns:a="http://schemas.openxmlformats.org/drawingml/2006/main">
          <a:off x="3608362" y="174387"/>
          <a:ext cx="566046" cy="103787"/>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3.xml><?xml version="1.0" encoding="utf-8"?>
<c:userShapes xmlns:c="http://schemas.openxmlformats.org/drawingml/2006/chart">
  <cdr:relSizeAnchor xmlns:cdr="http://schemas.openxmlformats.org/drawingml/2006/chartDrawing">
    <cdr:from>
      <cdr:x>0.86294</cdr:x>
      <cdr:y>0.13462</cdr:y>
    </cdr:from>
    <cdr:to>
      <cdr:x>0.99831</cdr:x>
      <cdr:y>0.21474</cdr:y>
    </cdr:to>
    <cdr:sp>
      <cdr:nvSpPr>
        <cdr:cNvPr id="2" name="矩形 1"/>
        <cdr:cNvSpPr/>
      </cdr:nvSpPr>
      <cdr:spPr xmlns:a="http://schemas.openxmlformats.org/drawingml/2006/main">
        <a:xfrm xmlns:a="http://schemas.openxmlformats.org/drawingml/2006/main">
          <a:off x="4857751" y="400050"/>
          <a:ext cx="762000"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4.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64717-4307-444B-B825-B921A590EDF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3497</Words>
  <Characters>19936</Characters>
  <Lines>166</Lines>
  <Paragraphs>46</Paragraphs>
  <TotalTime>2179</TotalTime>
  <ScaleCrop>false</ScaleCrop>
  <LinksUpToDate>false</LinksUpToDate>
  <CharactersWithSpaces>23387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2020-08-25T06:53:00Z</dcterms:created>
  <dc:creator>Administrator</dc:creator>
  <cp:lastModifiedBy>user</cp:lastModifiedBy>
  <cp:lastPrinted>2020-08-31T02:26:00Z</cp:lastPrinted>
  <dcterms:modified xsi:type="dcterms:W3CDTF">2025-05-12T06:45:06Z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1A5D4887346A4148BAFF8AA4DB9F06AC</vt:lpwstr>
  </property>
</Properties>
</file>