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p>
      <w:pPr>
        <w:spacing w:line="580" w:lineRule="exact"/>
        <w:jc w:val="center"/>
        <w:rPr>
          <w:rFonts w:cs="宋体" w:asciiTheme="majorEastAsia" w:hAnsiTheme="majorEastAsia" w:eastAsiaTheme="majorEastAsia"/>
          <w:b/>
          <w:color w:val="000000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保定市徐水区崔庄</w:t>
      </w:r>
      <w:r>
        <w:rPr>
          <w:rFonts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镇</w:t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人民政</w:t>
      </w:r>
      <w:r>
        <w:rPr>
          <w:rFonts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府</w:t>
      </w:r>
    </w:p>
    <w:p>
      <w:pPr>
        <w:spacing w:line="580" w:lineRule="exact"/>
        <w:jc w:val="center"/>
        <w:rPr>
          <w:rFonts w:cs="宋体" w:asciiTheme="majorEastAsia" w:hAnsiTheme="majorEastAsia" w:eastAsiaTheme="majorEastAsia"/>
          <w:b/>
          <w:color w:val="000000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202</w:t>
      </w:r>
      <w:r>
        <w:rPr>
          <w:rFonts w:hint="default" w:cs="宋体" w:asciiTheme="majorEastAsia" w:hAnsiTheme="majorEastAsia" w:eastAsiaTheme="majorEastAsia"/>
          <w:b/>
          <w:color w:val="000000"/>
          <w:kern w:val="0"/>
          <w:sz w:val="44"/>
          <w:szCs w:val="44"/>
          <w:lang w:val="en-US"/>
        </w:rPr>
        <w:t>3</w:t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年度</w:t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  <w:lang w:val="en-US" w:eastAsia="zh-CN"/>
        </w:rPr>
        <w:t>预算项目</w:t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绩效自评工作报告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一、绩效自评工作组织开展情况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按照区财政局《关于开展202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年度财政资金部门绩效自评及抽查工作的通知》有关要求，我单位立即组织开展202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年相关项目的绩效自评工作，对202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年预算项目逐项进行了梳理，结合项目预算安排、资金分配拨付、日常财务管理等方面，明确产出指标、效益指标、满意度指标及预算执行率四个方面指标体系，设定绩效指标体系量化评分，准确评价相关项目绩效目标的实现程度，依据评分结果衡量评价项目综合绩效的实现程度。预算项目支出总计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1807.39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万元，自评得分90分以上的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52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个，得分60至90分的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个，60分以下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个。其中，抽查项目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个，分别是污水处理厂占地补偿资金、村级组织办公经费、维稳经费（运转保障）。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项目一：污水处理厂占地补偿资金。基本情况是该项目各项绩效目标指标均完成年度绩效指标，补偿占用土地面积等于152.64亩，占地补偿款发放准确率、补偿标准达标率和占地补偿款发放及时率均达到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90%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，及时足额落实了污水处理厂占地补偿资金，保障了土地流转农户权益，维护了社会稳定。补偿对象满意度达到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80%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。该项目预算金额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9.909389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万元，预算执行金额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9.909389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万元，预算执行率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100%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项目二：村级组织办公经费。基本情况是该项目各项绩效目标指标均完成年度绩效指标，及时足额拨付资金，保障27个村级组织的正常运转。保障覆盖率、村级组织运转保障水平提升率均达到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85%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，资金支付及时率达到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90%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，村级组织满意度达90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%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，推进了村级组织健康发展，搞好服务保障，为群众做好服务。该项目预算金额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65.35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万元，预算执行金额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65.35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万元，预算执行率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100%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项目三：维稳经费（运转保障）。基本情况是该项目各项绩效目标指标均完成年度绩效指标，化解矛盾纠纷案件4件，矛盾纠纷调处成功率、涉稳舆情处置率和解决信访案件及时率均达到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90%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，社会稳定水平提升率达到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5%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，乡镇基层治理能力有所提升，网格化管理服务落实到位，建立了维稳保障长效机制。该项目预算金额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2.6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万元，预算执行金额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2.6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万元，预算执行率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100%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二、绩效目标实现情况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按照区财政局相关工作要求，我镇对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年预算支出项目开展了全面自评，共涉及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56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个预算项目，项目资金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1807.39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万元，评价范围实现应评项目全覆盖。自评结果方面：202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年我单位绩效自评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52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个项目完成预期绩效目标，通过自评项目均在90分以上。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个项目自评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分，其中：提前下达2023年省级林业改革发展补助资金项目，因资金未下达，所以资金未支出，预定的绩效目标未实现。防汛抢险相关经费项目，根据受灾资金工作要求，该项目支出后退回，通过其他项目支出，所以本项目未支出，预定的绩效目标未实现。2023年单位其他资金项目，因该项目未生成指标下达资金，项目未实施，绩效目标指标无完成情况。污水处理厂占地补偿项目，因资金未下达，所以资金未支出，预定的绩效目标未实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三、绩效目标设定质量情况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通过绩效自评结果对比倒查的年初绩效目标设定,绩效目标设定基本清晰准确,绩效指标做到了全面完整、科学合理,绩效标准实现了恰当适宜、易于评价。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四、整改措施及结果应用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通过开展绩效自评工作，按照年初设定的绩效目标，针对存在的问题，我们将结合相关主管部门，努力在健全制度、改进管理、优化流程等提高部门绩效方面进一步完善，进一步提高绩效目标设置质量，确保项目支出进度，提高资金使用效益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40" w:firstLineChars="200"/>
        <w:textAlignment w:val="auto"/>
      </w:pPr>
    </w:p>
    <w:sectPr>
      <w:footerReference r:id="rId5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A4F4B"/>
    <w:rsid w:val="0CB84BD3"/>
    <w:rsid w:val="21BE2824"/>
    <w:rsid w:val="2481222B"/>
    <w:rsid w:val="293F4BAF"/>
    <w:rsid w:val="4D8A4F4B"/>
    <w:rsid w:val="56AD5442"/>
    <w:rsid w:val="5A0F2421"/>
    <w:rsid w:val="68DE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qFormat/>
    <w:uiPriority w:val="0"/>
    <w:pPr>
      <w:spacing w:line="560" w:lineRule="exact"/>
      <w:jc w:val="center"/>
    </w:pPr>
    <w:rPr>
      <w:rFonts w:ascii="仿宋_GB2312" w:hAnsi="黑体" w:eastAsia="仿宋_GB2312"/>
      <w:sz w:val="32"/>
      <w:szCs w:val="32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90"/>
      <w:szCs w:val="9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2024-03-05T08:15:00Z</dcterms:created>
  <dc:creator>user</dc:creator>
  <cp:lastModifiedBy>user</cp:lastModifiedBy>
  <cp:lastPrinted>2024-03-18T07:50:00Z</cp:lastPrinted>
  <dcterms:modified xsi:type="dcterms:W3CDTF">2024-11-21T07:13:44Z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1F338E3BFC5044EFADDC6CCAFEB92305</vt:lpwstr>
  </property>
</Properties>
</file>