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84" w:lineRule="atLeast"/>
        <w:ind w:firstLine="600"/>
        <w:jc w:val="center"/>
        <w:rPr>
          <w:rFonts w:ascii="Helvetica" w:hAnsi="Helvetica" w:cs="Helvetica"/>
          <w:color w:val="3E3E3E"/>
        </w:rPr>
      </w:pPr>
      <w:bookmarkStart w:id="0" w:name="_GoBack"/>
      <w:bookmarkEnd w:id="0"/>
      <w:r>
        <w:rPr>
          <w:rFonts w:hint="eastAsia" w:ascii="黑体" w:hAnsi="黑体" w:eastAsia="黑体" w:cs="Helvetica"/>
          <w:color w:val="3E3E3E"/>
          <w:sz w:val="33"/>
          <w:szCs w:val="33"/>
        </w:rPr>
        <w:t>部门决算公开目录</w:t>
      </w:r>
    </w:p>
    <w:p>
      <w:pPr>
        <w:pStyle w:val="5"/>
        <w:spacing w:before="0" w:beforeAutospacing="0" w:after="0" w:afterAutospacing="0" w:line="384" w:lineRule="atLeast"/>
        <w:ind w:firstLine="885"/>
        <w:rPr>
          <w:rFonts w:ascii="Helvetica" w:hAnsi="Helvetica" w:cs="Helvetica"/>
          <w:color w:val="3E3E3E"/>
        </w:rPr>
      </w:pPr>
      <w:r>
        <w:rPr>
          <w:rFonts w:hint="eastAsia"/>
          <w:color w:val="3E3E3E"/>
          <w:sz w:val="29"/>
          <w:szCs w:val="29"/>
        </w:rPr>
        <w:t> </w:t>
      </w:r>
    </w:p>
    <w:p>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第一部分</w:t>
      </w:r>
      <w:r>
        <w:rPr>
          <w:rFonts w:hint="eastAsia" w:ascii="黑体" w:hAnsi="黑体" w:eastAsia="黑体" w:cs="Helvetica"/>
          <w:color w:val="3E3E3E"/>
          <w:sz w:val="27"/>
          <w:szCs w:val="27"/>
          <w:lang w:val="en-US" w:eastAsia="zh-CN"/>
        </w:rPr>
        <w:t xml:space="preserve">   </w:t>
      </w:r>
      <w:r>
        <w:rPr>
          <w:rFonts w:hint="eastAsia" w:ascii="黑体" w:hAnsi="黑体" w:eastAsia="黑体" w:cs="Helvetica"/>
          <w:color w:val="3E3E3E"/>
          <w:sz w:val="27"/>
          <w:szCs w:val="27"/>
        </w:rPr>
        <w:t>2016年度部门决算报表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一、收入支出决算总表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二、收入决算表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三、支出决算表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四、财政拨款收入支出决算总表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五、一般公共预算财政拨款支出决算表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六、一般公共预算财政拨款基本支出决算经济分类表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七、政府性基金预算财政拨款收入支出决算表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八、国有资本经营预算财政拨款收入支出决算表</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九、“三公”经费等相关信息统计表</w:t>
      </w:r>
    </w:p>
    <w:p>
      <w:pPr>
        <w:pStyle w:val="5"/>
        <w:spacing w:before="0" w:beforeAutospacing="0" w:after="0" w:afterAutospacing="0" w:line="384" w:lineRule="atLeast"/>
        <w:ind w:left="645" w:firstLine="645"/>
        <w:rPr>
          <w:rFonts w:ascii="仿宋_GB2312" w:hAnsi="Helvetica" w:eastAsia="仿宋_GB2312" w:cs="Helvetica"/>
          <w:color w:val="3E3E3E"/>
          <w:sz w:val="27"/>
          <w:szCs w:val="27"/>
        </w:rPr>
      </w:pPr>
      <w:r>
        <w:rPr>
          <w:rFonts w:hint="eastAsia" w:ascii="仿宋_GB2312" w:hAnsi="Helvetica" w:eastAsia="仿宋_GB2312" w:cs="Helvetica"/>
          <w:color w:val="3E3E3E"/>
          <w:sz w:val="27"/>
          <w:szCs w:val="27"/>
        </w:rPr>
        <w:t>十、政府采购情况表</w:t>
      </w:r>
    </w:p>
    <w:p>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第二部分</w:t>
      </w:r>
      <w:r>
        <w:rPr>
          <w:rFonts w:hint="eastAsia" w:ascii="黑体" w:hAnsi="黑体" w:eastAsia="黑体" w:cs="Helvetica"/>
          <w:color w:val="3E3E3E"/>
          <w:sz w:val="27"/>
          <w:szCs w:val="27"/>
          <w:lang w:val="en-US" w:eastAsia="zh-CN"/>
        </w:rPr>
        <w:t xml:space="preserve">   </w:t>
      </w:r>
      <w:r>
        <w:rPr>
          <w:rFonts w:hint="eastAsia"/>
          <w:color w:val="3E3E3E"/>
          <w:sz w:val="27"/>
          <w:szCs w:val="27"/>
          <w:lang w:val="en-US" w:eastAsia="zh-CN"/>
        </w:rPr>
        <w:t>部门</w:t>
      </w:r>
      <w:r>
        <w:rPr>
          <w:rFonts w:hint="eastAsia" w:ascii="黑体" w:hAnsi="黑体" w:eastAsia="黑体" w:cs="Helvetica"/>
          <w:color w:val="3E3E3E"/>
          <w:sz w:val="27"/>
          <w:szCs w:val="27"/>
        </w:rPr>
        <w:t>概况</w:t>
      </w:r>
    </w:p>
    <w:p>
      <w:pPr>
        <w:pStyle w:val="5"/>
        <w:spacing w:before="0" w:beforeAutospacing="0" w:after="0" w:afterAutospacing="0" w:line="384" w:lineRule="atLeast"/>
        <w:ind w:firstLine="1110"/>
        <w:rPr>
          <w:rFonts w:ascii="Helvetica" w:hAnsi="Helvetica" w:cs="Helvetica"/>
          <w:color w:val="3E3E3E"/>
        </w:rPr>
      </w:pPr>
      <w:r>
        <w:rPr>
          <w:rFonts w:hint="eastAsia" w:ascii="仿宋_GB2312" w:hAnsi="Helvetica" w:eastAsia="仿宋_GB2312" w:cs="Helvetica"/>
          <w:color w:val="3E3E3E"/>
          <w:sz w:val="27"/>
          <w:szCs w:val="27"/>
        </w:rPr>
        <w:t>一、部门职责</w:t>
      </w:r>
    </w:p>
    <w:p>
      <w:pPr>
        <w:pStyle w:val="5"/>
        <w:spacing w:before="0" w:beforeAutospacing="0" w:after="0" w:afterAutospacing="0" w:line="384" w:lineRule="atLeast"/>
        <w:ind w:firstLine="1110"/>
        <w:rPr>
          <w:rFonts w:hint="eastAsia" w:ascii="Helvetica" w:hAnsi="Helvetica" w:cs="Helvetica"/>
          <w:color w:val="3E3E3E"/>
        </w:rPr>
      </w:pPr>
      <w:r>
        <w:rPr>
          <w:rFonts w:hint="eastAsia" w:ascii="仿宋_GB2312" w:hAnsi="Helvetica" w:eastAsia="仿宋_GB2312" w:cs="Helvetica"/>
          <w:color w:val="3E3E3E"/>
          <w:sz w:val="27"/>
          <w:szCs w:val="27"/>
        </w:rPr>
        <w:t>二、部门决算单位构成</w:t>
      </w:r>
    </w:p>
    <w:p>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第三部分</w:t>
      </w:r>
      <w:r>
        <w:rPr>
          <w:rFonts w:hint="eastAsia" w:ascii="黑体" w:hAnsi="黑体" w:eastAsia="黑体" w:cs="Helvetica"/>
          <w:color w:val="3E3E3E"/>
          <w:sz w:val="27"/>
          <w:szCs w:val="27"/>
          <w:lang w:val="en-US" w:eastAsia="zh-CN"/>
        </w:rPr>
        <w:t xml:space="preserve">   </w:t>
      </w:r>
      <w:r>
        <w:rPr>
          <w:rFonts w:hint="eastAsia" w:ascii="黑体" w:hAnsi="黑体" w:eastAsia="黑体" w:cs="Helvetica"/>
          <w:color w:val="3E3E3E"/>
          <w:sz w:val="27"/>
          <w:szCs w:val="27"/>
        </w:rPr>
        <w:t>2016年部门决算情况说明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一、收入支出决算总体情况说明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二、收入决算情况说明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三、支出决算情况说明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四、财政拨款收入支出决算总体情况说明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五、一般公共预算财政拨款“三公”经费支出决算情况说明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六、预算绩效管理工作开展情况说明</w:t>
      </w:r>
    </w:p>
    <w:p>
      <w:pPr>
        <w:pStyle w:val="5"/>
        <w:spacing w:before="0" w:beforeAutospacing="0" w:after="0" w:afterAutospacing="0" w:line="384" w:lineRule="atLeast"/>
        <w:ind w:left="645" w:firstLine="645"/>
        <w:rPr>
          <w:rFonts w:ascii="Helvetica" w:hAnsi="Helvetica" w:cs="Helvetica"/>
          <w:color w:val="3E3E3E"/>
        </w:rPr>
      </w:pPr>
      <w:r>
        <w:rPr>
          <w:rFonts w:hint="eastAsia" w:ascii="仿宋_GB2312" w:hAnsi="Helvetica" w:eastAsia="仿宋_GB2312" w:cs="Helvetica"/>
          <w:color w:val="3E3E3E"/>
          <w:sz w:val="27"/>
          <w:szCs w:val="27"/>
        </w:rPr>
        <w:t>七、其他重要事项的说明</w:t>
      </w:r>
    </w:p>
    <w:p>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1、机关运行经费情况</w:t>
      </w:r>
    </w:p>
    <w:p>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2、政府采购情况</w:t>
      </w:r>
    </w:p>
    <w:p>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3、国有资产占用情况</w:t>
      </w:r>
    </w:p>
    <w:p>
      <w:pPr>
        <w:pStyle w:val="5"/>
        <w:spacing w:before="0" w:beforeAutospacing="0" w:after="0" w:afterAutospacing="0" w:line="384" w:lineRule="atLeast"/>
        <w:ind w:left="645" w:firstLine="1170"/>
        <w:rPr>
          <w:rFonts w:ascii="Helvetica" w:hAnsi="Helvetica" w:cs="Helvetica"/>
          <w:color w:val="3E3E3E"/>
        </w:rPr>
      </w:pPr>
      <w:r>
        <w:rPr>
          <w:rFonts w:hint="eastAsia" w:ascii="仿宋_GB2312" w:hAnsi="Helvetica" w:eastAsia="仿宋_GB2312" w:cs="Helvetica"/>
          <w:color w:val="3E3E3E"/>
          <w:sz w:val="27"/>
          <w:szCs w:val="27"/>
        </w:rPr>
        <w:t>4、其他需要说明的情况</w:t>
      </w:r>
    </w:p>
    <w:p>
      <w:pPr>
        <w:pStyle w:val="5"/>
        <w:spacing w:before="0" w:beforeAutospacing="0" w:after="0" w:afterAutospacing="0" w:line="384" w:lineRule="atLeast"/>
        <w:ind w:firstLine="645"/>
        <w:rPr>
          <w:rFonts w:ascii="Helvetica" w:hAnsi="Helvetica" w:cs="Helvetica"/>
          <w:color w:val="3E3E3E"/>
        </w:rPr>
      </w:pPr>
      <w:r>
        <w:rPr>
          <w:rFonts w:hint="eastAsia" w:ascii="黑体" w:hAnsi="黑体" w:eastAsia="黑体" w:cs="Helvetica"/>
          <w:color w:val="3E3E3E"/>
          <w:sz w:val="27"/>
          <w:szCs w:val="27"/>
        </w:rPr>
        <w:t xml:space="preserve">第四部分 </w:t>
      </w:r>
      <w:r>
        <w:rPr>
          <w:rFonts w:hint="eastAsia"/>
          <w:color w:val="3E3E3E"/>
          <w:sz w:val="27"/>
          <w:szCs w:val="27"/>
        </w:rPr>
        <w:t> </w:t>
      </w:r>
      <w:r>
        <w:rPr>
          <w:rFonts w:hint="eastAsia" w:ascii="黑体" w:hAnsi="黑体" w:eastAsia="黑体" w:cs="Helvetica"/>
          <w:color w:val="3E3E3E"/>
          <w:sz w:val="27"/>
          <w:szCs w:val="27"/>
        </w:rPr>
        <w:t>名词解释</w:t>
      </w:r>
    </w:p>
    <w:p>
      <w:pPr>
        <w:pStyle w:val="5"/>
        <w:spacing w:before="0" w:beforeAutospacing="0" w:after="0" w:afterAutospacing="0" w:line="384" w:lineRule="atLeast"/>
        <w:ind w:firstLine="195"/>
        <w:jc w:val="center"/>
        <w:rPr>
          <w:rFonts w:ascii="Helvetica" w:hAnsi="Helvetica" w:cs="Helvetica"/>
          <w:color w:val="3E3E3E"/>
        </w:rPr>
      </w:pPr>
      <w:r>
        <w:rPr>
          <w:rFonts w:hint="eastAsia" w:ascii="仿宋_GB2312" w:hAnsi="Helvetica" w:eastAsia="仿宋_GB2312" w:cs="Helvetica"/>
          <w:color w:val="3E3E3E"/>
          <w:sz w:val="32"/>
          <w:szCs w:val="32"/>
        </w:rPr>
        <w:br w:type="textWrapping"/>
      </w:r>
    </w:p>
    <w:p>
      <w:pPr>
        <w:pStyle w:val="5"/>
        <w:spacing w:before="0" w:beforeAutospacing="0" w:after="0" w:afterAutospacing="0" w:line="384" w:lineRule="atLeast"/>
        <w:ind w:firstLine="195"/>
        <w:jc w:val="center"/>
        <w:rPr>
          <w:rFonts w:ascii="Helvetica" w:hAnsi="Helvetica" w:cs="Helvetica"/>
          <w:color w:val="3E3E3E"/>
        </w:rPr>
      </w:pPr>
      <w:r>
        <w:rPr>
          <w:rFonts w:hint="eastAsia" w:ascii="仿宋_GB2312" w:hAnsi="Helvetica" w:eastAsia="仿宋_GB2312" w:cs="Helvetica"/>
          <w:color w:val="3E3E3E"/>
          <w:sz w:val="32"/>
          <w:szCs w:val="32"/>
        </w:rPr>
        <w:br w:type="textWrapping"/>
      </w:r>
    </w:p>
    <w:p>
      <w:pPr>
        <w:pStyle w:val="5"/>
        <w:spacing w:before="0" w:beforeAutospacing="0" w:after="0" w:afterAutospacing="0" w:line="384" w:lineRule="atLeast"/>
        <w:ind w:firstLine="195"/>
        <w:jc w:val="center"/>
        <w:rPr>
          <w:rFonts w:ascii="Helvetica" w:hAnsi="Helvetica" w:cs="Helvetica"/>
          <w:color w:val="3E3E3E"/>
        </w:rPr>
      </w:pPr>
      <w:r>
        <w:rPr>
          <w:rFonts w:hint="eastAsia" w:ascii="仿宋_GB2312" w:hAnsi="Helvetica" w:eastAsia="仿宋_GB2312" w:cs="Helvetica"/>
          <w:color w:val="3E3E3E"/>
          <w:sz w:val="32"/>
          <w:szCs w:val="32"/>
        </w:rPr>
        <w:br w:type="page"/>
      </w:r>
      <w:r>
        <w:rPr>
          <w:rFonts w:hint="eastAsia" w:ascii="黑体" w:hAnsi="黑体" w:eastAsia="黑体" w:cs="Helvetica"/>
          <w:color w:val="3E3E3E"/>
          <w:sz w:val="33"/>
          <w:szCs w:val="33"/>
        </w:rPr>
        <w:t>相关名词解释</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9"/>
          <w:szCs w:val="29"/>
        </w:rPr>
        <w:t> </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（一）财政拨款收入：本年度从本级财政部门取得的财政拨款，包括一般公共预算财政拨款和政府性基金预算财政拨款。</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（二）事业收入：指事业单位开展专业业务活动及辅助活动所取得的收入。</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（三）其他收入：指除上述“财政拨款收入”、“事业收入”、“经营收入”等以外的收入。</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（五）年初结转和结余：指以前年度尚未完成、结转到本年仍按原规定用途继续使用的资金，或项目已完成等产生的结余资金。</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（六）结余分配：指事业单位按照事业单位会计制度的规定从非财政补助结余中分配的事业基金和职工福利基金等。</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（七）年末结转和结余：指单位按有关规定结转到下年或以后年度继续使用的资金，或项目已完成等产生的结余资金。</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（八）基本支出：填列单位为保障机构正常运转、完成日常工作任务而发生的各项支出。</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（九）项目支出：填列单位为完成特定的行政工作任务或事业发展目标，在基本支出之外发生的各项支出</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（十一）其他资本性支出：填列由各级非发展与改革部门集中安排的用于购置固定资产、战备性和应急性储备、土地和无形资产，以及购建基础设施、大型修缮和财政支持企业更新改造所发生的支出。</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  （十三）其他交通费用：填列单位除公务用车运行维护费以外的其他交通费用。如飞机、船舶等的燃料费、维修费、过桥过路费、保险费、出租车费用、公务交通补贴等。</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（十四）公务用车购置：填列单位公务用车车辆购置支出（含车辆购置税）。</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（十五）其他交通工具购置：填列单位除公务用车外的其他各类交通工具（如船舶、飞机）购置支出（含车辆购置税）。</w:t>
      </w:r>
    </w:p>
    <w:p>
      <w:pPr>
        <w:pStyle w:val="5"/>
        <w:spacing w:before="0" w:beforeAutospacing="0" w:after="0" w:afterAutospacing="0" w:line="384" w:lineRule="atLeast"/>
        <w:ind w:firstLine="645"/>
        <w:rPr>
          <w:rFonts w:ascii="Helvetica" w:hAnsi="Helvetica" w:cs="Helvetica"/>
          <w:color w:val="3E3E3E"/>
        </w:rPr>
      </w:pPr>
      <w:r>
        <w:rPr>
          <w:rFonts w:hint="eastAsia" w:ascii="仿宋_GB2312" w:hAnsi="Helvetica" w:eastAsia="仿宋_GB2312" w:cs="Helvetica"/>
          <w:color w:val="3E3E3E"/>
          <w:sz w:val="27"/>
          <w:szCs w:val="27"/>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5"/>
        <w:spacing w:before="0" w:beforeAutospacing="0" w:after="0" w:afterAutospacing="0" w:line="384" w:lineRule="atLeast"/>
        <w:ind w:firstLine="600"/>
        <w:jc w:val="center"/>
        <w:rPr>
          <w:rFonts w:ascii="Helvetica" w:hAnsi="Helvetica" w:cs="Helvetica"/>
          <w:color w:val="3E3E3E"/>
        </w:rPr>
      </w:pPr>
    </w:p>
    <w:p>
      <w:pPr>
        <w:pStyle w:val="5"/>
        <w:spacing w:before="0" w:beforeAutospacing="0" w:after="0" w:afterAutospacing="0" w:line="384" w:lineRule="atLeast"/>
        <w:ind w:firstLine="195"/>
        <w:jc w:val="center"/>
        <w:rPr>
          <w:rFonts w:ascii="Helvetica" w:hAnsi="Helvetica" w:cs="Helvetica"/>
          <w:color w:val="3E3E3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60"/>
    <w:rsid w:val="000652F9"/>
    <w:rsid w:val="000D0E91"/>
    <w:rsid w:val="00214C00"/>
    <w:rsid w:val="0058129B"/>
    <w:rsid w:val="008F4044"/>
    <w:rsid w:val="00B0741D"/>
    <w:rsid w:val="00BB7A93"/>
    <w:rsid w:val="00EF1560"/>
    <w:rsid w:val="2DDE1E39"/>
    <w:rsid w:val="4844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apple-converted-space"/>
    <w:basedOn w:val="7"/>
    <w:uiPriority w:val="0"/>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247</Words>
  <Characters>1413</Characters>
  <Lines>11</Lines>
  <Paragraphs>3</Paragraphs>
  <TotalTime>0</TotalTime>
  <ScaleCrop>false</ScaleCrop>
  <LinksUpToDate>false</LinksUpToDate>
  <CharactersWithSpaces>1657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2017-08-23T02:31:00Z</dcterms:created>
  <dc:creator>User</dc:creator>
  <cp:lastModifiedBy>simple smile</cp:lastModifiedBy>
  <cp:lastPrinted>2017-08-28T12:26:00Z</cp:lastPrinted>
  <dcterms:modified xsi:type="dcterms:W3CDTF">2025-05-12T04:01:48Z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BAE431011D0B420DB079CDC31354D284</vt:lpwstr>
  </property>
</Properties>
</file>