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b/>
          <w:sz w:val="44"/>
          <w:szCs w:val="44"/>
        </w:rPr>
      </w:pPr>
      <w:bookmarkStart w:id="0" w:name="OLE_LINK1"/>
      <w:r>
        <w:rPr>
          <w:rFonts w:hint="eastAsia" w:ascii="宋体" w:hAnsi="宋体" w:eastAsia="宋体"/>
          <w:b/>
          <w:sz w:val="44"/>
          <w:szCs w:val="44"/>
        </w:rPr>
        <w:t>保定市徐水区大因镇人民政府</w:t>
      </w:r>
      <w:r>
        <w:rPr>
          <w:rFonts w:ascii="宋体" w:hAnsi="宋体" w:eastAsia="宋体"/>
          <w:b/>
          <w:sz w:val="44"/>
          <w:szCs w:val="44"/>
        </w:rPr>
        <w:t>202</w:t>
      </w:r>
      <w:r>
        <w:rPr>
          <w:rFonts w:hint="eastAsia" w:ascii="宋体" w:hAnsi="宋体" w:eastAsia="宋体"/>
          <w:b/>
          <w:sz w:val="44"/>
          <w:szCs w:val="44"/>
        </w:rPr>
        <w:t>1</w:t>
      </w:r>
      <w:r>
        <w:rPr>
          <w:rFonts w:ascii="宋体" w:hAnsi="宋体" w:eastAsia="宋体"/>
          <w:b/>
          <w:sz w:val="44"/>
          <w:szCs w:val="44"/>
        </w:rPr>
        <w:t>年部门预算公开说明</w:t>
      </w:r>
    </w:p>
    <w:bookmarkEnd w:id="0"/>
    <w:p>
      <w:pPr>
        <w:tabs>
          <w:tab w:val="left" w:pos="5274"/>
        </w:tabs>
        <w:spacing w:line="360" w:lineRule="auto"/>
        <w:ind w:firstLine="640" w:firstLineChars="200"/>
        <w:rPr>
          <w:rFonts w:ascii="仿宋" w:hAnsi="仿宋" w:eastAsia="仿宋"/>
          <w:sz w:val="32"/>
          <w:szCs w:val="32"/>
        </w:rPr>
      </w:pPr>
      <w:r>
        <w:rPr>
          <w:rFonts w:ascii="仿宋" w:hAnsi="仿宋" w:eastAsia="仿宋"/>
          <w:sz w:val="32"/>
          <w:szCs w:val="32"/>
        </w:rPr>
        <w:tab/>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w:t>
      </w:r>
      <w:r>
        <w:rPr>
          <w:rFonts w:hint="eastAsia" w:ascii="仿宋" w:hAnsi="仿宋" w:eastAsia="仿宋"/>
          <w:sz w:val="32"/>
          <w:szCs w:val="32"/>
          <w:lang w:val="en-US" w:eastAsia="zh-CN"/>
        </w:rPr>
        <w:t>中华人民共和国</w:t>
      </w:r>
      <w:r>
        <w:rPr>
          <w:rFonts w:hint="eastAsia" w:ascii="仿宋" w:hAnsi="仿宋" w:eastAsia="仿宋"/>
          <w:sz w:val="32"/>
          <w:szCs w:val="32"/>
        </w:rPr>
        <w:t>预算法》、《地方预决算公开操作规程》等文件规定，现将我部门预算信息公开如下：</w:t>
      </w:r>
    </w:p>
    <w:p>
      <w:pPr>
        <w:jc w:val="center"/>
        <w:outlineLvl w:val="0"/>
        <w:rPr>
          <w:rFonts w:ascii="方正小标宋_GBK" w:eastAsia="方正小标宋_GBK"/>
          <w:sz w:val="44"/>
        </w:rPr>
      </w:pPr>
      <w:r>
        <w:rPr>
          <w:rFonts w:hint="eastAsia" w:ascii="方正小标宋_GBK" w:eastAsia="方正小标宋_GBK"/>
          <w:sz w:val="44"/>
        </w:rPr>
        <w:t>第一部分</w:t>
      </w:r>
      <w:r>
        <w:rPr>
          <w:rFonts w:ascii="方正小标宋_GBK" w:eastAsia="方正小标宋_GBK"/>
          <w:sz w:val="44"/>
        </w:rPr>
        <w:t>:部门职责及机构设置情况</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一、部门职责</w:t>
      </w:r>
    </w:p>
    <w:p>
      <w:pPr>
        <w:spacing w:line="500" w:lineRule="exact"/>
        <w:ind w:firstLine="560" w:firstLineChars="200"/>
        <w:jc w:val="left"/>
        <w:rPr>
          <w:rFonts w:ascii="Times New Roman" w:hAnsi="宋体" w:eastAsia="宋体"/>
          <w:sz w:val="28"/>
        </w:rPr>
      </w:pPr>
      <w:r>
        <w:rPr>
          <w:rFonts w:hint="eastAsia" w:ascii="Times New Roman" w:eastAsia="方正仿宋_GBK"/>
          <w:sz w:val="28"/>
        </w:rPr>
        <w:t>根据《保定市徐水区大因镇人民政府职能配置、内设机构和人员编制规定》，</w:t>
      </w:r>
      <w:r>
        <w:rPr>
          <w:rFonts w:ascii="Times New Roman" w:eastAsia="方正仿宋_GBK"/>
          <w:sz w:val="28"/>
        </w:rPr>
        <w:t xml:space="preserve"> 保定市徐水区大因镇人民政府的主要职责是：</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（一）检查监督代表法、选举法及实施办报贯彻实施；承担人大换届选举及人事任免服务工作；负责对乡镇政府组成人员和乡镇人民法院主要负责人的目标责任书、述职报告的督办工作。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贯彻执行宣传国家关于宗教工作的方针政策，监督检查宗教活动场所，创建和谐寺观教堂，培训宗教工作干部，对困难宗教教职人员进行补助，监控、制止天主教地下分子的非法活动。开展民族宗教政策和法制宣传教育工作，协助处理民族宗教方面的维稳问题促进民族宗教团结、稳定，妥善处置宗教突发事件、维护宗教界和谐稳定。</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贯彻实施国家安全战略，推进国家安全法制建设，贯彻落实国家安全工作方针，研究解决涉及国家安全工作的重大问题；推进社会治安综合治理，维护社会稳定，有效地维护本乡镇的可持续稳定。同时抓好全民普法工作，推进依法治理；加强政法队伍建设和领导班子建设；受理并查处涉法信访案件工作，促进司法公正；坚持社会治安综合治理属地管理原则，抓好目标管理责任制、领导责任制、责任追究和一票否决权等制度的落实，抓好中小学校的社会治安综合治理和所辖乡镇铁路汉安联防护路等工作；依法打击并取缔各种非法宗教活动；矛盾纠纷排查并及时化解。</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（四）组织指导基层政权和社区建设；推进社会工作人员队伍建设。</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（五）水利水电项目的建设与维护管理。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（六）负责乡镇防汛抗旱组织建设，应急调度，建设应急度汛、抗旱应急、海堤、山洪灾害防治项目，储备管理防汛抗旱物资，建设水利信息化基础设施，提高乡镇抗御水旱灾害能力。</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（七）乡镇公用设施建设、安全和应急管理；落实村庄的小城镇建设政策；指导农村住房建设、住房安全和危房改造；发送小城镇和村庄人居环境。</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（八）完成交通基础设施投资；管理乡镇重点工程建设、工程质量和安全生产，对项目招投标活动进行监督管理。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（九）协助完成国家下达的广播电视直播卫星户户通工程、农村电影工作、数字影院升级改造、农家书屋建设、全民阅读活动、老放映员生活补助以及应急广播体系建设等任务目标。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（十）通过贯彻实施新型农村合作医疗、疾病应急救助、城乡居民大病保险以及公费医疗等制度，保障人民群众公平享有所需医疗服务权益。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（十一）提供各类计划生育技术服务，开展出生人口性别比治理以及流动人口计划生育管理等各项工作。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（十二）承担系统综合业务管理和部门综合事务管理。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三）贯彻落实大气、水体、固体废物、化学品、机动车等污染防治管理制度，开展饮用水水源地环境保护；强化生态保护和监察监管，提高自然保护区建设水平，加强生物多样性保护力度，提升农村生态环境质量；解决影响群众生活和健康较为直接的饮用水安全保障、生活垃圾和汗水治理、率领养殖污染治理防治等突出环境问题，发送环境重点、敏感区域的农村人居和生态环境质量。</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（十四）负责正常信访、非访、突发性及群体性事件的办理；提供相关服务保障；协助区信访局处理群众进京上访；信访事项督查、复查复核、听证。</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（十五）以农村教育为重点，推进义务教育均衡发展，建立中小学校舍安全保障机制，发送薄弱学校办学条件，促进公共教育资源向农村和经济欠发达地区倾斜。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（十六）承担全乡安全生产综合监督管理责任，依法行使综合监督管理职权；根据《</w:t>
      </w:r>
      <w:r>
        <w:rPr>
          <w:rFonts w:hint="eastAsia" w:ascii="Times New Roman" w:hAnsi="微软雅黑" w:eastAsia="方正仿宋_GBK" w:cs="微软雅黑"/>
          <w:sz w:val="28"/>
          <w:lang w:val="en-US" w:eastAsia="zh-CN"/>
        </w:rPr>
        <w:t>中华人民共和国</w:t>
      </w:r>
      <w:r>
        <w:rPr>
          <w:rFonts w:hint="eastAsia" w:ascii="Times New Roman" w:hAnsi="微软雅黑" w:eastAsia="方正仿宋_GBK" w:cs="微软雅黑"/>
          <w:sz w:val="28"/>
        </w:rPr>
        <w:t>安全生产法》、《安全生产违法行为行政处罚办法》等法律法规，依法开展热源检查工作，对发现的安全生产违法行为依法进行行政处罚，遏制重特大事故发生，确保全乡安全生产形势稳定好转；对食品制作流通各环节进行监管，及时发现和排除食品安全问题，确保大型活动期间的餐饮安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（十七）统计、汇总、核查、会商灾情，统一发布灾情；组织协调紧急转移安置灾民；承办救灾款物分配和监管，物资调运，组织民房恢复重建及灾民生活救助，指导紧急救灾和灾后生产恢复。</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（十八）按照国家、省部署，对全乡主要粮食作物和猪、牛、羊、鸡等畜产品生产实施良种补贴。</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（十九）推进农村集体产权制度改革，完善农村土地承包制度，引导农村土地合理流转。创新农业经营主体；根据国家要求开展农村土地承包经营确权登记试点，并逐步向全乡全面推开。</w:t>
      </w:r>
    </w:p>
    <w:p>
      <w:pPr>
        <w:spacing w:line="500" w:lineRule="exact"/>
        <w:ind w:firstLine="560" w:firstLineChars="200"/>
        <w:jc w:val="left"/>
        <w:rPr>
          <w:rFonts w:ascii="Times New Roman" w:hAnsi="微软雅黑" w:eastAsia="方正仿宋_GBK" w:cs="微软雅黑"/>
          <w:sz w:val="28"/>
        </w:rPr>
      </w:pPr>
      <w:r>
        <w:rPr>
          <w:rFonts w:hint="eastAsia" w:ascii="Times New Roman" w:hAnsi="微软雅黑" w:eastAsia="方正仿宋_GBK" w:cs="微软雅黑"/>
          <w:sz w:val="28"/>
        </w:rPr>
        <w:t>（二十）通过实施农村面貌改造提升行动，加快建设社会主义新农村。</w:t>
      </w:r>
    </w:p>
    <w:p>
      <w:pPr>
        <w:spacing w:line="500" w:lineRule="exact"/>
        <w:jc w:val="left"/>
        <w:rPr>
          <w:rFonts w:ascii="Times New Roman" w:hAnsi="微软雅黑" w:eastAsia="方正仿宋_GBK" w:cs="微软雅黑"/>
          <w:sz w:val="28"/>
        </w:rPr>
      </w:pPr>
    </w:p>
    <w:p>
      <w:pPr>
        <w:spacing w:line="500" w:lineRule="exact"/>
        <w:jc w:val="left"/>
        <w:rPr>
          <w:rFonts w:ascii="Times New Roman" w:hAnsi="微软雅黑" w:eastAsia="方正仿宋_GBK" w:cs="微软雅黑"/>
          <w:sz w:val="28"/>
        </w:rPr>
      </w:pPr>
    </w:p>
    <w:p>
      <w:pPr>
        <w:spacing w:line="500" w:lineRule="exact"/>
        <w:ind w:firstLine="560" w:firstLineChars="200"/>
        <w:jc w:val="left"/>
        <w:rPr>
          <w:rFonts w:ascii="Times New Roman" w:hAnsi="微软雅黑" w:eastAsia="方正仿宋_GBK" w:cs="微软雅黑"/>
          <w:sz w:val="28"/>
        </w:rPr>
      </w:pP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二、机构设置</w:t>
      </w:r>
    </w:p>
    <w:tbl>
      <w:tblPr>
        <w:tblStyle w:val="7"/>
        <w:tblW w:w="97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156"/>
        <w:gridCol w:w="1395"/>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56"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单位名称</w:t>
            </w:r>
          </w:p>
        </w:tc>
        <w:tc>
          <w:tcPr>
            <w:tcW w:w="1395"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单位性质</w:t>
            </w:r>
          </w:p>
        </w:tc>
        <w:tc>
          <w:tcPr>
            <w:tcW w:w="1276"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单位规格</w:t>
            </w:r>
          </w:p>
        </w:tc>
        <w:tc>
          <w:tcPr>
            <w:tcW w:w="2902" w:type="dxa"/>
            <w:vMerge w:val="restart"/>
            <w:vAlign w:val="center"/>
          </w:tcPr>
          <w:p>
            <w:pPr>
              <w:spacing w:line="300" w:lineRule="exact"/>
              <w:jc w:val="center"/>
              <w:rPr>
                <w:rFonts w:ascii="仿宋" w:hAnsi="仿宋" w:eastAsia="仿宋"/>
                <w:b/>
                <w:sz w:val="24"/>
                <w:szCs w:val="24"/>
              </w:rPr>
            </w:pPr>
            <w:r>
              <w:rPr>
                <w:rFonts w:ascii="仿宋" w:hAnsi="仿宋" w:eastAsia="仿宋"/>
                <w:b/>
                <w:sz w:val="24"/>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00" w:hRule="atLeast"/>
          <w:tblHeader/>
          <w:jc w:val="center"/>
        </w:trPr>
        <w:tc>
          <w:tcPr>
            <w:tcW w:w="4156" w:type="dxa"/>
            <w:vMerge w:val="continue"/>
            <w:vAlign w:val="center"/>
          </w:tcPr>
          <w:p>
            <w:pPr>
              <w:spacing w:line="300" w:lineRule="exact"/>
              <w:jc w:val="left"/>
              <w:outlineLvl w:val="0"/>
              <w:rPr>
                <w:rFonts w:ascii="仿宋" w:hAnsi="仿宋" w:eastAsia="仿宋"/>
                <w:sz w:val="24"/>
                <w:szCs w:val="24"/>
              </w:rPr>
            </w:pPr>
          </w:p>
        </w:tc>
        <w:tc>
          <w:tcPr>
            <w:tcW w:w="1395" w:type="dxa"/>
            <w:vMerge w:val="continue"/>
            <w:vAlign w:val="center"/>
          </w:tcPr>
          <w:p>
            <w:pPr>
              <w:spacing w:line="300" w:lineRule="exact"/>
              <w:jc w:val="left"/>
              <w:outlineLvl w:val="0"/>
              <w:rPr>
                <w:rFonts w:ascii="仿宋" w:hAnsi="仿宋" w:eastAsia="仿宋"/>
                <w:sz w:val="24"/>
                <w:szCs w:val="24"/>
              </w:rPr>
            </w:pPr>
          </w:p>
        </w:tc>
        <w:tc>
          <w:tcPr>
            <w:tcW w:w="1276" w:type="dxa"/>
            <w:vMerge w:val="continue"/>
            <w:vAlign w:val="center"/>
          </w:tcPr>
          <w:p>
            <w:pPr>
              <w:spacing w:line="300" w:lineRule="exact"/>
              <w:jc w:val="left"/>
              <w:outlineLvl w:val="0"/>
              <w:rPr>
                <w:rFonts w:ascii="仿宋" w:hAnsi="仿宋" w:eastAsia="仿宋"/>
                <w:sz w:val="24"/>
                <w:szCs w:val="24"/>
              </w:rPr>
            </w:pPr>
          </w:p>
        </w:tc>
        <w:tc>
          <w:tcPr>
            <w:tcW w:w="2902" w:type="dxa"/>
            <w:vMerge w:val="continue"/>
            <w:vAlign w:val="center"/>
          </w:tcPr>
          <w:p>
            <w:pPr>
              <w:spacing w:line="300" w:lineRule="exact"/>
              <w:jc w:val="left"/>
              <w:outlineLvl w:val="0"/>
              <w:rPr>
                <w:rFonts w:ascii="仿宋" w:hAnsi="仿宋" w:eastAsia="仿宋"/>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4156" w:type="dxa"/>
            <w:vAlign w:val="center"/>
          </w:tcPr>
          <w:p>
            <w:pPr>
              <w:spacing w:line="300" w:lineRule="exact"/>
              <w:jc w:val="left"/>
              <w:rPr>
                <w:rFonts w:ascii="仿宋" w:hAnsi="仿宋" w:eastAsia="仿宋"/>
                <w:sz w:val="24"/>
                <w:szCs w:val="24"/>
              </w:rPr>
            </w:pPr>
            <w:r>
              <w:rPr>
                <w:rFonts w:hint="eastAsia" w:ascii="仿宋" w:hAnsi="仿宋" w:eastAsia="仿宋" w:cs="宋体"/>
                <w:color w:val="000000"/>
                <w:kern w:val="0"/>
                <w:sz w:val="24"/>
                <w:szCs w:val="24"/>
              </w:rPr>
              <w:t>保定市徐水区大因镇人民政府（行政）</w:t>
            </w:r>
          </w:p>
        </w:tc>
        <w:tc>
          <w:tcPr>
            <w:tcW w:w="1395"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行政</w:t>
            </w:r>
          </w:p>
        </w:tc>
        <w:tc>
          <w:tcPr>
            <w:tcW w:w="1276" w:type="dxa"/>
            <w:vAlign w:val="center"/>
          </w:tcPr>
          <w:p>
            <w:pPr>
              <w:spacing w:line="300" w:lineRule="exact"/>
              <w:jc w:val="center"/>
              <w:rPr>
                <w:rFonts w:ascii="仿宋" w:hAnsi="仿宋" w:eastAsia="仿宋"/>
                <w:sz w:val="24"/>
                <w:szCs w:val="24"/>
              </w:rPr>
            </w:pPr>
            <w:r>
              <w:rPr>
                <w:rFonts w:hint="eastAsia" w:ascii="仿宋" w:hAnsi="仿宋" w:eastAsia="仿宋" w:cs="宋体"/>
                <w:kern w:val="0"/>
                <w:sz w:val="24"/>
                <w:szCs w:val="24"/>
              </w:rPr>
              <w:t>正科级</w:t>
            </w:r>
          </w:p>
        </w:tc>
        <w:tc>
          <w:tcPr>
            <w:tcW w:w="2902"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75" w:hRule="atLeast"/>
          <w:jc w:val="center"/>
        </w:trPr>
        <w:tc>
          <w:tcPr>
            <w:tcW w:w="4156" w:type="dxa"/>
            <w:vAlign w:val="center"/>
          </w:tcPr>
          <w:p>
            <w:pPr>
              <w:spacing w:line="300" w:lineRule="exact"/>
              <w:jc w:val="left"/>
              <w:rPr>
                <w:rFonts w:ascii="仿宋" w:hAnsi="仿宋" w:eastAsia="仿宋"/>
                <w:sz w:val="24"/>
                <w:szCs w:val="24"/>
              </w:rPr>
            </w:pPr>
            <w:r>
              <w:rPr>
                <w:rFonts w:hint="eastAsia" w:ascii="仿宋" w:hAnsi="仿宋" w:eastAsia="仿宋" w:cs="宋体"/>
                <w:color w:val="000000"/>
                <w:kern w:val="0"/>
                <w:sz w:val="24"/>
                <w:szCs w:val="24"/>
              </w:rPr>
              <w:t>保定市徐水区大因镇人民政府（事业）</w:t>
            </w:r>
          </w:p>
        </w:tc>
        <w:tc>
          <w:tcPr>
            <w:tcW w:w="1395" w:type="dxa"/>
            <w:vAlign w:val="center"/>
          </w:tcPr>
          <w:p>
            <w:pPr>
              <w:spacing w:line="300" w:lineRule="exact"/>
              <w:jc w:val="center"/>
              <w:rPr>
                <w:rFonts w:ascii="仿宋" w:hAnsi="仿宋" w:eastAsia="仿宋"/>
                <w:sz w:val="24"/>
                <w:szCs w:val="24"/>
              </w:rPr>
            </w:pPr>
            <w:r>
              <w:rPr>
                <w:rFonts w:hint="eastAsia" w:ascii="仿宋" w:hAnsi="仿宋" w:eastAsia="仿宋"/>
                <w:sz w:val="24"/>
                <w:szCs w:val="24"/>
              </w:rPr>
              <w:t>事业</w:t>
            </w:r>
          </w:p>
        </w:tc>
        <w:tc>
          <w:tcPr>
            <w:tcW w:w="1276" w:type="dxa"/>
            <w:vAlign w:val="center"/>
          </w:tcPr>
          <w:p>
            <w:pPr>
              <w:spacing w:line="300" w:lineRule="exact"/>
              <w:jc w:val="center"/>
              <w:rPr>
                <w:rFonts w:ascii="仿宋" w:hAnsi="仿宋" w:eastAsia="仿宋"/>
                <w:sz w:val="24"/>
                <w:szCs w:val="24"/>
              </w:rPr>
            </w:pPr>
            <w:r>
              <w:rPr>
                <w:rFonts w:hint="eastAsia" w:ascii="仿宋" w:hAnsi="仿宋" w:eastAsia="仿宋" w:cs="宋体"/>
                <w:kern w:val="0"/>
                <w:sz w:val="24"/>
                <w:szCs w:val="24"/>
              </w:rPr>
              <w:t>正科级</w:t>
            </w:r>
          </w:p>
        </w:tc>
        <w:tc>
          <w:tcPr>
            <w:tcW w:w="2902" w:type="dxa"/>
            <w:vAlign w:val="center"/>
          </w:tcPr>
          <w:p>
            <w:pPr>
              <w:spacing w:line="300" w:lineRule="exact"/>
              <w:jc w:val="center"/>
              <w:rPr>
                <w:rFonts w:ascii="仿宋" w:hAnsi="仿宋" w:eastAsia="仿宋"/>
                <w:sz w:val="24"/>
                <w:szCs w:val="24"/>
              </w:rPr>
            </w:pPr>
            <w:r>
              <w:rPr>
                <w:rFonts w:hint="eastAsia" w:ascii="仿宋" w:hAnsi="仿宋" w:eastAsia="仿宋" w:cs="宋体"/>
                <w:color w:val="000000"/>
                <w:kern w:val="0"/>
                <w:sz w:val="24"/>
                <w:szCs w:val="24"/>
              </w:rPr>
              <w:t>财政性资金基本保证</w:t>
            </w:r>
          </w:p>
        </w:tc>
      </w:tr>
    </w:tbl>
    <w:p>
      <w:pPr>
        <w:spacing w:line="360" w:lineRule="auto"/>
        <w:rPr>
          <w:rFonts w:ascii="仿宋" w:hAnsi="仿宋" w:eastAsia="仿宋"/>
          <w:b/>
          <w:sz w:val="32"/>
          <w:szCs w:val="32"/>
        </w:rPr>
      </w:pPr>
    </w:p>
    <w:p>
      <w:pPr>
        <w:jc w:val="center"/>
        <w:outlineLvl w:val="0"/>
        <w:rPr>
          <w:rFonts w:ascii="方正小标宋_GBK" w:eastAsia="方正小标宋_GBK"/>
          <w:sz w:val="44"/>
        </w:rPr>
      </w:pPr>
      <w:r>
        <w:rPr>
          <w:rFonts w:hint="eastAsia" w:ascii="方正小标宋_GBK" w:eastAsia="方正小标宋_GBK"/>
          <w:sz w:val="44"/>
        </w:rPr>
        <w:t>第二部分：部门预算安排的总体情况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按照预算管理有关规定，目前我区部门预算的编制实行综合预算制度，即全部收入和支出都反映</w:t>
      </w:r>
      <w:r>
        <w:rPr>
          <w:rFonts w:ascii="仿宋" w:hAnsi="仿宋" w:eastAsia="仿宋"/>
          <w:sz w:val="32"/>
          <w:szCs w:val="32"/>
        </w:rPr>
        <w:t>在</w:t>
      </w:r>
      <w:r>
        <w:rPr>
          <w:rFonts w:hint="eastAsia" w:ascii="仿宋" w:hAnsi="仿宋" w:eastAsia="仿宋"/>
          <w:sz w:val="32"/>
          <w:szCs w:val="32"/>
        </w:rPr>
        <w:t>预算中。我部门及所属事业单位的收支包含在部门预算中。</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一、收入说明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年预算收入为</w:t>
      </w:r>
      <w:r>
        <w:rPr>
          <w:rFonts w:hint="eastAsia" w:ascii="仿宋" w:hAnsi="仿宋" w:eastAsia="仿宋"/>
          <w:sz w:val="32"/>
          <w:szCs w:val="32"/>
        </w:rPr>
        <w:t>4413.06</w:t>
      </w:r>
      <w:r>
        <w:rPr>
          <w:rFonts w:ascii="仿宋" w:hAnsi="仿宋" w:eastAsia="仿宋"/>
          <w:sz w:val="32"/>
          <w:szCs w:val="32"/>
        </w:rPr>
        <w:t>万元,其中：一般公共预算收入</w:t>
      </w:r>
      <w:r>
        <w:rPr>
          <w:rFonts w:hint="eastAsia" w:ascii="仿宋" w:hAnsi="仿宋" w:eastAsia="仿宋"/>
          <w:sz w:val="32"/>
          <w:szCs w:val="32"/>
        </w:rPr>
        <w:t>4303.89</w:t>
      </w:r>
      <w:r>
        <w:rPr>
          <w:rFonts w:ascii="仿宋" w:hAnsi="仿宋" w:eastAsia="仿宋"/>
          <w:sz w:val="32"/>
          <w:szCs w:val="32"/>
        </w:rPr>
        <w:t>万元，基金预算收入</w:t>
      </w:r>
      <w:r>
        <w:rPr>
          <w:rFonts w:hint="eastAsia" w:ascii="仿宋" w:hAnsi="仿宋" w:eastAsia="仿宋"/>
          <w:sz w:val="32"/>
          <w:szCs w:val="32"/>
        </w:rPr>
        <w:t>109.16</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二、支出说明</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年部门支出预算：</w:t>
      </w:r>
      <w:r>
        <w:rPr>
          <w:rFonts w:hint="eastAsia" w:ascii="仿宋" w:hAnsi="仿宋" w:eastAsia="仿宋"/>
          <w:sz w:val="32"/>
          <w:szCs w:val="32"/>
        </w:rPr>
        <w:t>4413.06</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基本支出1605.07万元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其中：人员经费</w:t>
      </w:r>
      <w:r>
        <w:rPr>
          <w:rFonts w:hint="eastAsia" w:ascii="仿宋" w:hAnsi="仿宋" w:eastAsia="仿宋"/>
          <w:sz w:val="32"/>
          <w:szCs w:val="32"/>
        </w:rPr>
        <w:t>1485.18</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日常公用经费</w:t>
      </w:r>
      <w:r>
        <w:rPr>
          <w:rFonts w:hint="eastAsia" w:ascii="仿宋" w:hAnsi="仿宋" w:eastAsia="仿宋"/>
          <w:sz w:val="32"/>
          <w:szCs w:val="32"/>
        </w:rPr>
        <w:t>119.89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hint="eastAsia" w:ascii="仿宋" w:hAnsi="仿宋" w:eastAsia="仿宋"/>
          <w:sz w:val="32"/>
          <w:szCs w:val="32"/>
        </w:rPr>
        <w:t>项目支出</w:t>
      </w:r>
      <w:r>
        <w:rPr>
          <w:rFonts w:hint="eastAsia" w:ascii="仿宋" w:hAnsi="仿宋" w:eastAsia="仿宋"/>
          <w:sz w:val="32"/>
          <w:szCs w:val="32"/>
          <w:lang w:val="en-US" w:eastAsia="zh-CN"/>
        </w:rPr>
        <w:t>2807.99</w:t>
      </w:r>
      <w:r>
        <w:rPr>
          <w:rFonts w:ascii="仿宋" w:hAnsi="仿宋" w:eastAsia="仿宋"/>
          <w:sz w:val="32"/>
          <w:szCs w:val="32"/>
        </w:rPr>
        <w:t>万元</w:t>
      </w:r>
    </w:p>
    <w:p>
      <w:pPr>
        <w:spacing w:line="360" w:lineRule="auto"/>
        <w:ind w:firstLine="640" w:firstLineChars="200"/>
        <w:rPr>
          <w:rFonts w:ascii="仿宋" w:hAnsi="仿宋" w:eastAsia="仿宋"/>
          <w:sz w:val="32"/>
          <w:szCs w:val="32"/>
        </w:rPr>
      </w:pPr>
      <w:r>
        <w:rPr>
          <w:rFonts w:ascii="仿宋" w:hAnsi="仿宋" w:eastAsia="仿宋"/>
          <w:sz w:val="32"/>
          <w:szCs w:val="32"/>
        </w:rPr>
        <w:t xml:space="preserve">    其中：本级支出</w:t>
      </w:r>
      <w:r>
        <w:rPr>
          <w:rFonts w:hint="eastAsia" w:ascii="仿宋" w:hAnsi="仿宋" w:eastAsia="仿宋"/>
          <w:sz w:val="32"/>
          <w:szCs w:val="32"/>
          <w:lang w:val="en-US" w:eastAsia="zh-CN"/>
        </w:rPr>
        <w:t>2807.99</w:t>
      </w:r>
      <w:r>
        <w:rPr>
          <w:rFonts w:ascii="仿宋" w:hAnsi="仿宋" w:eastAsia="仿宋"/>
          <w:sz w:val="32"/>
          <w:szCs w:val="32"/>
        </w:rPr>
        <w:t>万元</w:t>
      </w:r>
    </w:p>
    <w:p>
      <w:pPr>
        <w:spacing w:line="360" w:lineRule="auto"/>
        <w:ind w:firstLine="643" w:firstLineChars="200"/>
        <w:rPr>
          <w:rFonts w:ascii="仿宋" w:hAnsi="仿宋" w:eastAsia="仿宋"/>
          <w:b/>
          <w:sz w:val="32"/>
          <w:szCs w:val="32"/>
        </w:rPr>
      </w:pPr>
      <w:r>
        <w:rPr>
          <w:rFonts w:hint="eastAsia" w:ascii="仿宋" w:hAnsi="仿宋" w:eastAsia="仿宋"/>
          <w:b/>
          <w:sz w:val="32"/>
          <w:szCs w:val="32"/>
        </w:rPr>
        <w:t>三、比上年增减情况</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本年度预算收支安排4413.06万元，较上年增加21.07</w:t>
      </w:r>
      <w:r>
        <w:rPr>
          <w:rFonts w:ascii="仿宋" w:hAnsi="仿宋" w:eastAsia="仿宋"/>
          <w:sz w:val="32"/>
          <w:szCs w:val="32"/>
        </w:rPr>
        <w:t>万元。其中:基本支出</w:t>
      </w:r>
      <w:r>
        <w:rPr>
          <w:rFonts w:hint="eastAsia" w:ascii="仿宋" w:hAnsi="仿宋" w:eastAsia="仿宋"/>
          <w:sz w:val="32"/>
          <w:szCs w:val="32"/>
        </w:rPr>
        <w:t>增加18.27</w:t>
      </w:r>
      <w:r>
        <w:rPr>
          <w:rFonts w:ascii="仿宋" w:hAnsi="仿宋" w:eastAsia="仿宋"/>
          <w:sz w:val="32"/>
          <w:szCs w:val="32"/>
        </w:rPr>
        <w:t>万元，主要原因是</w:t>
      </w:r>
      <w:r>
        <w:rPr>
          <w:rFonts w:hint="eastAsia" w:ascii="仿宋" w:hAnsi="仿宋" w:eastAsia="仿宋"/>
          <w:sz w:val="32"/>
          <w:szCs w:val="32"/>
        </w:rPr>
        <w:t>本单位人员流动（调入数+新入职人数＞调出数）</w:t>
      </w:r>
      <w:r>
        <w:rPr>
          <w:rFonts w:ascii="仿宋" w:hAnsi="仿宋" w:eastAsia="仿宋"/>
          <w:sz w:val="32"/>
          <w:szCs w:val="32"/>
        </w:rPr>
        <w:t>；项目支出增加</w:t>
      </w:r>
      <w:r>
        <w:rPr>
          <w:rFonts w:hint="eastAsia" w:ascii="仿宋" w:hAnsi="仿宋" w:eastAsia="仿宋"/>
          <w:sz w:val="32"/>
          <w:szCs w:val="32"/>
        </w:rPr>
        <w:t>2.79</w:t>
      </w:r>
      <w:r>
        <w:rPr>
          <w:rFonts w:ascii="仿宋" w:hAnsi="仿宋" w:eastAsia="仿宋"/>
          <w:sz w:val="32"/>
          <w:szCs w:val="32"/>
        </w:rPr>
        <w:t>万元，主要原因是</w:t>
      </w:r>
      <w:r>
        <w:rPr>
          <w:rFonts w:hint="eastAsia" w:ascii="仿宋" w:hAnsi="仿宋" w:eastAsia="仿宋"/>
          <w:sz w:val="32"/>
          <w:szCs w:val="32"/>
        </w:rPr>
        <w:t>交通运输支出和退役安置支出有所增加</w:t>
      </w:r>
      <w:r>
        <w:rPr>
          <w:rFonts w:ascii="仿宋" w:hAnsi="仿宋" w:eastAsia="仿宋"/>
          <w:sz w:val="32"/>
          <w:szCs w:val="32"/>
        </w:rPr>
        <w:t>。</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第三部分：机关运行经费安排情况</w:t>
      </w:r>
    </w:p>
    <w:p>
      <w:pPr>
        <w:spacing w:line="360" w:lineRule="auto"/>
        <w:ind w:firstLine="640" w:firstLineChars="200"/>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年我部门机关运行经费安排</w:t>
      </w:r>
      <w:r>
        <w:rPr>
          <w:rFonts w:hint="eastAsia" w:ascii="仿宋" w:hAnsi="仿宋" w:eastAsia="仿宋"/>
          <w:sz w:val="32"/>
          <w:szCs w:val="32"/>
        </w:rPr>
        <w:t>119.89</w:t>
      </w:r>
      <w:r>
        <w:rPr>
          <w:rFonts w:ascii="仿宋" w:hAnsi="仿宋" w:eastAsia="仿宋"/>
          <w:sz w:val="32"/>
          <w:szCs w:val="32"/>
        </w:rPr>
        <w:t>万元，其中办公费</w:t>
      </w:r>
      <w:r>
        <w:rPr>
          <w:rFonts w:hint="eastAsia" w:ascii="仿宋" w:hAnsi="仿宋" w:eastAsia="仿宋"/>
          <w:sz w:val="32"/>
          <w:szCs w:val="32"/>
        </w:rPr>
        <w:t>40.68</w:t>
      </w:r>
      <w:r>
        <w:rPr>
          <w:rFonts w:ascii="仿宋" w:hAnsi="仿宋" w:eastAsia="仿宋"/>
          <w:sz w:val="32"/>
          <w:szCs w:val="32"/>
        </w:rPr>
        <w:t>万元，</w:t>
      </w:r>
      <w:r>
        <w:rPr>
          <w:rFonts w:hint="eastAsia" w:ascii="仿宋" w:hAnsi="仿宋" w:eastAsia="仿宋"/>
          <w:sz w:val="32"/>
          <w:szCs w:val="32"/>
        </w:rPr>
        <w:t>邮电费15.64万元，办公取暖费7.52万元，</w:t>
      </w:r>
      <w:r>
        <w:rPr>
          <w:rFonts w:ascii="仿宋" w:hAnsi="仿宋" w:eastAsia="仿宋"/>
          <w:sz w:val="32"/>
          <w:szCs w:val="32"/>
        </w:rPr>
        <w:t>公务用车运行维护费</w:t>
      </w:r>
      <w:r>
        <w:rPr>
          <w:rFonts w:hint="eastAsia" w:ascii="仿宋" w:hAnsi="仿宋" w:eastAsia="仿宋"/>
          <w:sz w:val="32"/>
          <w:szCs w:val="32"/>
        </w:rPr>
        <w:t>10.8万元，</w:t>
      </w:r>
      <w:r>
        <w:rPr>
          <w:rFonts w:ascii="仿宋" w:hAnsi="仿宋" w:eastAsia="仿宋"/>
          <w:sz w:val="32"/>
          <w:szCs w:val="32"/>
        </w:rPr>
        <w:t>离退休干部经费3.</w:t>
      </w:r>
      <w:r>
        <w:rPr>
          <w:rFonts w:hint="eastAsia" w:ascii="仿宋" w:hAnsi="仿宋" w:eastAsia="仿宋"/>
          <w:sz w:val="32"/>
          <w:szCs w:val="32"/>
        </w:rPr>
        <w:t>6万元，</w:t>
      </w:r>
      <w:r>
        <w:rPr>
          <w:rFonts w:ascii="仿宋" w:hAnsi="仿宋" w:eastAsia="仿宋"/>
          <w:sz w:val="32"/>
          <w:szCs w:val="32"/>
        </w:rPr>
        <w:t>公务交通补贴</w:t>
      </w:r>
      <w:r>
        <w:rPr>
          <w:rFonts w:hint="eastAsia" w:ascii="仿宋" w:hAnsi="仿宋" w:eastAsia="仿宋"/>
          <w:sz w:val="32"/>
          <w:szCs w:val="32"/>
        </w:rPr>
        <w:t>16.98万元，</w:t>
      </w:r>
      <w:r>
        <w:rPr>
          <w:rFonts w:ascii="仿宋" w:hAnsi="仿宋" w:eastAsia="仿宋"/>
          <w:sz w:val="32"/>
          <w:szCs w:val="32"/>
        </w:rPr>
        <w:t>工会经费</w:t>
      </w:r>
      <w:r>
        <w:rPr>
          <w:rFonts w:hint="eastAsia" w:ascii="仿宋" w:hAnsi="仿宋" w:eastAsia="仿宋"/>
          <w:sz w:val="32"/>
          <w:szCs w:val="32"/>
        </w:rPr>
        <w:t>14.95万元，</w:t>
      </w:r>
      <w:r>
        <w:rPr>
          <w:rFonts w:ascii="仿宋" w:hAnsi="仿宋" w:eastAsia="仿宋"/>
          <w:sz w:val="32"/>
          <w:szCs w:val="32"/>
        </w:rPr>
        <w:t>福利费</w:t>
      </w:r>
      <w:r>
        <w:rPr>
          <w:rFonts w:hint="eastAsia" w:ascii="仿宋" w:hAnsi="仿宋" w:eastAsia="仿宋"/>
          <w:sz w:val="32"/>
          <w:szCs w:val="32"/>
        </w:rPr>
        <w:t>9.72万元。</w:t>
      </w:r>
    </w:p>
    <w:p>
      <w:pPr>
        <w:jc w:val="center"/>
        <w:outlineLvl w:val="0"/>
        <w:rPr>
          <w:rFonts w:ascii="方正小标宋_GBK" w:eastAsia="方正小标宋_GBK"/>
          <w:sz w:val="44"/>
        </w:rPr>
      </w:pPr>
    </w:p>
    <w:p>
      <w:pPr>
        <w:jc w:val="center"/>
        <w:outlineLvl w:val="0"/>
        <w:rPr>
          <w:rFonts w:ascii="方正小标宋_GBK" w:eastAsia="方正小标宋_GBK"/>
          <w:sz w:val="44"/>
        </w:rPr>
      </w:pPr>
      <w:r>
        <w:rPr>
          <w:rFonts w:hint="eastAsia" w:ascii="方正小标宋_GBK" w:eastAsia="方正小标宋_GBK"/>
          <w:sz w:val="44"/>
        </w:rPr>
        <w:t>第四部分：财政拨款“三公”经费预算情况及增减变化原因</w:t>
      </w:r>
    </w:p>
    <w:tbl>
      <w:tblPr>
        <w:tblStyle w:val="7"/>
        <w:tblW w:w="9299" w:type="dxa"/>
        <w:tblInd w:w="0" w:type="dxa"/>
        <w:tblLayout w:type="fixed"/>
        <w:tblCellMar>
          <w:top w:w="0" w:type="dxa"/>
          <w:left w:w="108" w:type="dxa"/>
          <w:bottom w:w="0" w:type="dxa"/>
          <w:right w:w="108" w:type="dxa"/>
        </w:tblCellMar>
      </w:tblPr>
      <w:tblGrid>
        <w:gridCol w:w="9299"/>
      </w:tblGrid>
      <w:tr>
        <w:tblPrEx>
          <w:tblCellMar>
            <w:top w:w="0" w:type="dxa"/>
            <w:left w:w="108" w:type="dxa"/>
            <w:bottom w:w="0" w:type="dxa"/>
            <w:right w:w="108" w:type="dxa"/>
          </w:tblCellMar>
        </w:tblPrEx>
        <w:trPr>
          <w:trHeight w:val="405" w:hRule="atLeast"/>
        </w:trPr>
        <w:tc>
          <w:tcPr>
            <w:tcW w:w="9299" w:type="dxa"/>
            <w:tcBorders>
              <w:top w:val="nil"/>
              <w:left w:val="nil"/>
              <w:bottom w:val="nil"/>
              <w:right w:val="nil"/>
            </w:tcBorders>
            <w:shd w:val="clear" w:color="auto" w:fill="auto"/>
            <w:vAlign w:val="center"/>
          </w:tcPr>
          <w:tbl>
            <w:tblPr>
              <w:tblStyle w:val="7"/>
              <w:tblW w:w="8090" w:type="dxa"/>
              <w:jc w:val="center"/>
              <w:tblLayout w:type="fixed"/>
              <w:tblCellMar>
                <w:top w:w="0" w:type="dxa"/>
                <w:left w:w="108" w:type="dxa"/>
                <w:bottom w:w="0" w:type="dxa"/>
                <w:right w:w="108" w:type="dxa"/>
              </w:tblCellMar>
            </w:tblPr>
            <w:tblGrid>
              <w:gridCol w:w="2163"/>
              <w:gridCol w:w="1276"/>
              <w:gridCol w:w="1418"/>
              <w:gridCol w:w="836"/>
              <w:gridCol w:w="2397"/>
            </w:tblGrid>
            <w:tr>
              <w:tblPrEx>
                <w:tblCellMar>
                  <w:top w:w="0" w:type="dxa"/>
                  <w:left w:w="108" w:type="dxa"/>
                  <w:bottom w:w="0" w:type="dxa"/>
                  <w:right w:w="108" w:type="dxa"/>
                </w:tblCellMar>
              </w:tblPrEx>
              <w:trPr>
                <w:trHeight w:val="405" w:hRule="atLeast"/>
                <w:jc w:val="center"/>
              </w:trPr>
              <w:tc>
                <w:tcPr>
                  <w:tcW w:w="8090" w:type="dxa"/>
                  <w:gridSpan w:val="5"/>
                  <w:tcBorders>
                    <w:top w:val="nil"/>
                    <w:left w:val="nil"/>
                    <w:bottom w:val="nil"/>
                    <w:right w:val="nil"/>
                  </w:tcBorders>
                  <w:vAlign w:val="center"/>
                </w:tcPr>
                <w:p>
                  <w:pPr>
                    <w:spacing w:line="360" w:lineRule="auto"/>
                    <w:rPr>
                      <w:rFonts w:ascii="黑体" w:hAnsi="黑体" w:eastAsia="黑体" w:cs="宋体"/>
                      <w:kern w:val="0"/>
                      <w:sz w:val="32"/>
                      <w:szCs w:val="32"/>
                    </w:rPr>
                  </w:pPr>
                </w:p>
              </w:tc>
            </w:tr>
            <w:tr>
              <w:tblPrEx>
                <w:tblCellMar>
                  <w:top w:w="0" w:type="dxa"/>
                  <w:left w:w="108" w:type="dxa"/>
                  <w:bottom w:w="0" w:type="dxa"/>
                  <w:right w:w="108" w:type="dxa"/>
                </w:tblCellMar>
              </w:tblPrEx>
              <w:trPr>
                <w:trHeight w:val="221"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right"/>
                    <w:rPr>
                      <w:rFonts w:ascii="宋体" w:hAnsi="宋体" w:cs="宋体"/>
                      <w:kern w:val="0"/>
                      <w:sz w:val="24"/>
                      <w:szCs w:val="24"/>
                    </w:rPr>
                  </w:pPr>
                  <w:r>
                    <w:rPr>
                      <w:rFonts w:hint="eastAsia" w:ascii="宋体" w:hAnsi="宋体" w:cs="宋体"/>
                      <w:kern w:val="0"/>
                      <w:sz w:val="24"/>
                      <w:szCs w:val="24"/>
                    </w:rPr>
                    <w:t>单位：万元</w:t>
                  </w:r>
                </w:p>
              </w:tc>
            </w:tr>
            <w:tr>
              <w:tblPrEx>
                <w:tblCellMar>
                  <w:top w:w="0" w:type="dxa"/>
                  <w:left w:w="108" w:type="dxa"/>
                  <w:bottom w:w="0" w:type="dxa"/>
                  <w:right w:w="108" w:type="dxa"/>
                </w:tblCellMar>
              </w:tblPrEx>
              <w:trPr>
                <w:trHeight w:val="285" w:hRule="atLeast"/>
                <w:jc w:val="center"/>
              </w:trPr>
              <w:tc>
                <w:tcPr>
                  <w:tcW w:w="216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项目名称</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w:t>
                  </w:r>
                  <w:r>
                    <w:rPr>
                      <w:rFonts w:hint="eastAsia" w:ascii="仿宋_GB2312" w:hAnsi="宋体" w:eastAsia="仿宋_GB2312" w:cs="宋体"/>
                      <w:b/>
                      <w:kern w:val="0"/>
                      <w:sz w:val="24"/>
                      <w:szCs w:val="24"/>
                    </w:rPr>
                    <w:t>20年度预算</w:t>
                  </w:r>
                </w:p>
              </w:tc>
              <w:tc>
                <w:tcPr>
                  <w:tcW w:w="1418"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ascii="仿宋_GB2312" w:hAnsi="宋体" w:eastAsia="仿宋_GB2312" w:cs="宋体"/>
                      <w:b/>
                      <w:kern w:val="0"/>
                      <w:sz w:val="24"/>
                      <w:szCs w:val="24"/>
                    </w:rPr>
                    <w:t>202</w:t>
                  </w:r>
                  <w:r>
                    <w:rPr>
                      <w:rFonts w:hint="eastAsia" w:ascii="仿宋_GB2312" w:hAnsi="宋体" w:eastAsia="仿宋_GB2312" w:cs="宋体"/>
                      <w:b/>
                      <w:kern w:val="0"/>
                      <w:sz w:val="24"/>
                      <w:szCs w:val="24"/>
                    </w:rPr>
                    <w:t>1年度预算</w:t>
                  </w:r>
                </w:p>
              </w:tc>
              <w:tc>
                <w:tcPr>
                  <w:tcW w:w="836"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增减金额</w:t>
                  </w:r>
                </w:p>
              </w:tc>
              <w:tc>
                <w:tcPr>
                  <w:tcW w:w="2397"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kern w:val="0"/>
                      <w:sz w:val="24"/>
                      <w:szCs w:val="24"/>
                    </w:rPr>
                  </w:pPr>
                  <w:r>
                    <w:rPr>
                      <w:rFonts w:hint="eastAsia" w:ascii="仿宋_GB2312" w:hAnsi="宋体" w:eastAsia="仿宋_GB2312" w:cs="宋体"/>
                      <w:b/>
                      <w:kern w:val="0"/>
                      <w:sz w:val="24"/>
                      <w:szCs w:val="24"/>
                    </w:rPr>
                    <w:t>变化原因</w:t>
                  </w:r>
                </w:p>
              </w:tc>
            </w:tr>
            <w:tr>
              <w:tblPrEx>
                <w:tblCellMar>
                  <w:top w:w="0" w:type="dxa"/>
                  <w:left w:w="108" w:type="dxa"/>
                  <w:bottom w:w="0" w:type="dxa"/>
                  <w:right w:w="108" w:type="dxa"/>
                </w:tblCellMar>
              </w:tblPrEx>
              <w:trPr>
                <w:trHeight w:val="429"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因公出国经费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12"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公务用车购置经费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91"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公务用车运行经费</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21</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521"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公务接待费支出</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6</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474" w:hRule="atLeast"/>
                <w:jc w:val="center"/>
              </w:trPr>
              <w:tc>
                <w:tcPr>
                  <w:tcW w:w="2163"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合计</w:t>
                  </w:r>
                </w:p>
              </w:tc>
              <w:tc>
                <w:tcPr>
                  <w:tcW w:w="127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1418"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27</w:t>
                  </w:r>
                </w:p>
              </w:tc>
              <w:tc>
                <w:tcPr>
                  <w:tcW w:w="836" w:type="dxa"/>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4"/>
                      <w:szCs w:val="24"/>
                    </w:rPr>
                  </w:pPr>
                  <w:r>
                    <w:rPr>
                      <w:rFonts w:hint="eastAsia" w:ascii="仿宋_GB2312" w:hAnsi="宋体" w:eastAsia="仿宋_GB2312" w:cs="宋体"/>
                      <w:kern w:val="0"/>
                      <w:sz w:val="24"/>
                      <w:szCs w:val="24"/>
                    </w:rPr>
                    <w:t>0</w:t>
                  </w:r>
                </w:p>
              </w:tc>
              <w:tc>
                <w:tcPr>
                  <w:tcW w:w="239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rPr>
                  </w:pPr>
                  <w:r>
                    <w:rPr>
                      <w:rFonts w:hint="eastAsia" w:ascii="仿宋_GB2312" w:hAnsi="宋体" w:eastAsia="仿宋_GB2312" w:cs="宋体"/>
                      <w:kern w:val="0"/>
                      <w:sz w:val="24"/>
                      <w:szCs w:val="24"/>
                    </w:rPr>
                    <w:t>无增减变化</w:t>
                  </w:r>
                </w:p>
              </w:tc>
            </w:tr>
            <w:tr>
              <w:tblPrEx>
                <w:tblCellMar>
                  <w:top w:w="0" w:type="dxa"/>
                  <w:left w:w="108" w:type="dxa"/>
                  <w:bottom w:w="0" w:type="dxa"/>
                  <w:right w:w="108" w:type="dxa"/>
                </w:tblCellMar>
              </w:tblPrEx>
              <w:trPr>
                <w:trHeight w:val="285" w:hRule="atLeast"/>
                <w:jc w:val="center"/>
              </w:trPr>
              <w:tc>
                <w:tcPr>
                  <w:tcW w:w="2163" w:type="dxa"/>
                  <w:tcBorders>
                    <w:top w:val="nil"/>
                    <w:left w:val="nil"/>
                    <w:bottom w:val="nil"/>
                    <w:right w:val="nil"/>
                  </w:tcBorders>
                  <w:vAlign w:val="center"/>
                </w:tcPr>
                <w:p>
                  <w:pPr>
                    <w:widowControl/>
                    <w:jc w:val="left"/>
                    <w:rPr>
                      <w:rFonts w:ascii="宋体" w:hAnsi="宋体" w:cs="宋体"/>
                      <w:kern w:val="0"/>
                      <w:sz w:val="24"/>
                      <w:szCs w:val="24"/>
                    </w:rPr>
                  </w:pPr>
                </w:p>
              </w:tc>
              <w:tc>
                <w:tcPr>
                  <w:tcW w:w="1276" w:type="dxa"/>
                  <w:tcBorders>
                    <w:top w:val="nil"/>
                    <w:left w:val="nil"/>
                    <w:bottom w:val="nil"/>
                    <w:right w:val="nil"/>
                  </w:tcBorders>
                  <w:vAlign w:val="center"/>
                </w:tcPr>
                <w:p>
                  <w:pPr>
                    <w:widowControl/>
                    <w:jc w:val="left"/>
                    <w:rPr>
                      <w:rFonts w:ascii="宋体" w:hAnsi="宋体" w:cs="宋体"/>
                      <w:kern w:val="0"/>
                      <w:sz w:val="24"/>
                      <w:szCs w:val="24"/>
                    </w:rPr>
                  </w:pPr>
                </w:p>
              </w:tc>
              <w:tc>
                <w:tcPr>
                  <w:tcW w:w="1418" w:type="dxa"/>
                  <w:tcBorders>
                    <w:top w:val="nil"/>
                    <w:left w:val="nil"/>
                    <w:bottom w:val="nil"/>
                    <w:right w:val="nil"/>
                  </w:tcBorders>
                  <w:vAlign w:val="center"/>
                </w:tcPr>
                <w:p>
                  <w:pPr>
                    <w:widowControl/>
                    <w:jc w:val="left"/>
                    <w:rPr>
                      <w:rFonts w:ascii="宋体" w:hAnsi="宋体" w:cs="宋体"/>
                      <w:kern w:val="0"/>
                      <w:sz w:val="24"/>
                      <w:szCs w:val="24"/>
                    </w:rPr>
                  </w:pPr>
                </w:p>
              </w:tc>
              <w:tc>
                <w:tcPr>
                  <w:tcW w:w="836" w:type="dxa"/>
                  <w:tcBorders>
                    <w:top w:val="nil"/>
                    <w:left w:val="nil"/>
                    <w:bottom w:val="nil"/>
                    <w:right w:val="nil"/>
                  </w:tcBorders>
                  <w:vAlign w:val="center"/>
                </w:tcPr>
                <w:p>
                  <w:pPr>
                    <w:widowControl/>
                    <w:jc w:val="left"/>
                    <w:rPr>
                      <w:rFonts w:ascii="宋体" w:hAnsi="宋体" w:cs="宋体"/>
                      <w:kern w:val="0"/>
                      <w:sz w:val="24"/>
                      <w:szCs w:val="24"/>
                    </w:rPr>
                  </w:pPr>
                </w:p>
              </w:tc>
              <w:tc>
                <w:tcPr>
                  <w:tcW w:w="2397" w:type="dxa"/>
                  <w:tcBorders>
                    <w:top w:val="nil"/>
                    <w:left w:val="nil"/>
                    <w:bottom w:val="nil"/>
                    <w:right w:val="nil"/>
                  </w:tcBorders>
                  <w:vAlign w:val="center"/>
                </w:tcPr>
                <w:p>
                  <w:pPr>
                    <w:widowControl/>
                    <w:jc w:val="left"/>
                    <w:rPr>
                      <w:rFonts w:ascii="宋体" w:hAnsi="宋体" w:cs="宋体"/>
                      <w:kern w:val="0"/>
                      <w:sz w:val="24"/>
                      <w:szCs w:val="24"/>
                    </w:rPr>
                  </w:pPr>
                </w:p>
              </w:tc>
            </w:tr>
          </w:tbl>
          <w:p>
            <w:pPr>
              <w:widowControl/>
              <w:spacing w:line="520" w:lineRule="exact"/>
              <w:ind w:right="480"/>
              <w:rPr>
                <w:rFonts w:ascii="仿宋" w:hAnsi="仿宋" w:eastAsia="仿宋" w:cs="宋体"/>
                <w:kern w:val="0"/>
                <w:sz w:val="24"/>
                <w:szCs w:val="24"/>
                <w:highlight w:val="yellow"/>
              </w:rPr>
            </w:pPr>
          </w:p>
        </w:tc>
      </w:tr>
    </w:tbl>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第五部分：预算绩效信息</w:t>
      </w:r>
    </w:p>
    <w:p>
      <w:pPr>
        <w:jc w:val="center"/>
        <w:outlineLvl w:val="0"/>
        <w:rPr>
          <w:rFonts w:ascii="方正小标宋_GBK" w:eastAsia="方正小标宋_GBK"/>
          <w:sz w:val="44"/>
        </w:rPr>
      </w:pPr>
      <w:r>
        <w:rPr>
          <w:rFonts w:hint="eastAsia" w:ascii="方正小标宋_GBK" w:eastAsia="方正小标宋_GBK"/>
          <w:sz w:val="44"/>
        </w:rPr>
        <w:t>部门整体</w:t>
      </w:r>
      <w:r>
        <w:rPr>
          <w:rFonts w:ascii="方正小标宋_GBK" w:eastAsia="方正小标宋_GBK"/>
          <w:sz w:val="44"/>
        </w:rPr>
        <w:t>绩效目标</w:t>
      </w:r>
    </w:p>
    <w:p>
      <w:pPr>
        <w:spacing w:beforeLines="50" w:afterLines="50"/>
        <w:ind w:firstLine="560" w:firstLineChars="200"/>
        <w:jc w:val="left"/>
        <w:outlineLvl w:val="1"/>
        <w:rPr>
          <w:rFonts w:ascii="Times New Roman" w:hAnsi="宋体" w:eastAsia="宋体"/>
          <w:sz w:val="28"/>
        </w:rPr>
      </w:pPr>
      <w:bookmarkStart w:id="1" w:name="_Toc67038135"/>
      <w:r>
        <w:rPr>
          <w:rFonts w:hint="eastAsia" w:ascii="方正黑体_GBK" w:eastAsia="方正黑体_GBK"/>
          <w:sz w:val="28"/>
        </w:rPr>
        <w:t>一、总体绩效目标</w:t>
      </w:r>
      <w:bookmarkEnd w:id="1"/>
      <w:r>
        <w:rPr>
          <w:rFonts w:ascii="方正黑体_GBK" w:eastAsia="方正黑体_GBK"/>
          <w:sz w:val="28"/>
        </w:rPr>
        <w:fldChar w:fldCharType="begin"/>
      </w:r>
      <w:r>
        <w:rPr>
          <w:rFonts w:ascii="方正黑体_GBK" w:eastAsia="方正黑体_GBK"/>
          <w:sz w:val="28"/>
        </w:rPr>
        <w:instrText xml:space="preserve"> </w:instrText>
      </w:r>
      <w:r>
        <w:rPr>
          <w:rFonts w:hint="eastAsia" w:ascii="方正黑体_GBK" w:eastAsia="方正黑体_GBK"/>
          <w:sz w:val="28"/>
        </w:rPr>
        <w:instrText xml:space="preserve">TC 总体绩效目标 \f A \l 1</w:instrText>
      </w:r>
      <w:r>
        <w:rPr>
          <w:rFonts w:ascii="方正黑体_GBK" w:eastAsia="方正黑体_GBK"/>
          <w:sz w:val="28"/>
        </w:rPr>
        <w:instrText xml:space="preserve">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以习近平新时代中国特色社会主义思想为指导，全面贯彻落实党的十九届二中、三中、四中、五中全会以及中央经济工作会议精神，根据区委区政府工作部署，结合本地区实际，主动适应新形势、新任务、新要求，不断增强做好工作的责任感和使命感，全面提升</w:t>
      </w:r>
      <w:r>
        <w:rPr>
          <w:rFonts w:ascii="Times New Roman" w:eastAsia="方正仿宋_GBK"/>
          <w:sz w:val="28"/>
        </w:rPr>
        <w:t>“</w:t>
      </w:r>
      <w:r>
        <w:rPr>
          <w:rFonts w:hint="eastAsia" w:ascii="Times New Roman" w:hAnsi="微软雅黑" w:eastAsia="方正仿宋_GBK" w:cs="微软雅黑"/>
          <w:sz w:val="28"/>
        </w:rPr>
        <w:t>四个服务</w:t>
      </w:r>
      <w:r>
        <w:rPr>
          <w:rFonts w:ascii="Times New Roman" w:eastAsia="方正仿宋_GBK"/>
          <w:sz w:val="28"/>
        </w:rPr>
        <w:t>”</w:t>
      </w:r>
      <w:r>
        <w:rPr>
          <w:rFonts w:hint="eastAsia" w:ascii="Times New Roman" w:hAnsi="微软雅黑" w:eastAsia="方正仿宋_GBK" w:cs="微软雅黑"/>
          <w:sz w:val="28"/>
        </w:rPr>
        <w:t>能力和水平，提高政务服务与管理水平。宣传贯彻执行党的路线、方针、政策和国家的法律、法规，保障机关工作正常运转，及时化解矛盾纠纷，维护地区和谐稳定，继续加强扶贫工作，巩固</w:t>
      </w:r>
      <w:r>
        <w:rPr>
          <w:rFonts w:hint="eastAsia" w:ascii="Times New Roman" w:hAnsi="微软雅黑" w:eastAsia="方正仿宋_GBK" w:cs="微软雅黑"/>
          <w:sz w:val="28"/>
          <w:lang w:val="en-US" w:eastAsia="zh-CN"/>
        </w:rPr>
        <w:t>拓展</w:t>
      </w:r>
      <w:r>
        <w:rPr>
          <w:rFonts w:hint="eastAsia" w:ascii="Times New Roman" w:hAnsi="微软雅黑" w:eastAsia="方正仿宋_GBK" w:cs="微软雅黑"/>
          <w:sz w:val="28"/>
        </w:rPr>
        <w:t>脱贫攻坚成果，促进地区经济发展，整治非法、污染企业，加强土地管控，保护大气环境，提升群众满意度和幸福感。健全工作机制，扎实锤炼作风，全力攻坚克难，全面提高单位工作制度化、规范化水平，努力开创工作新局面。</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eastAsia="宋体"/>
          <w:sz w:val="28"/>
        </w:rPr>
      </w:pPr>
      <w:bookmarkStart w:id="2" w:name="_Toc67038136"/>
      <w:r>
        <w:rPr>
          <w:rFonts w:ascii="方正黑体_GBK" w:eastAsia="方正黑体_GBK"/>
          <w:sz w:val="28"/>
        </w:rPr>
        <w:t>二、分项绩效目标</w:t>
      </w:r>
      <w:bookmarkEnd w:id="2"/>
      <w:r>
        <w:rPr>
          <w:rFonts w:ascii="方正黑体_GBK" w:eastAsia="方正黑体_GBK"/>
          <w:sz w:val="28"/>
        </w:rPr>
        <w:fldChar w:fldCharType="begin"/>
      </w:r>
      <w:r>
        <w:rPr>
          <w:rFonts w:ascii="方正黑体_GBK" w:eastAsia="方正黑体_GBK"/>
          <w:sz w:val="28"/>
        </w:rPr>
        <w:instrText xml:space="preserve"> TC 分项绩效目标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（一）协调维护社会稳定，维护镇村稳定</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绩效目标：协调维护社会稳定和国家安全，以创建和谐稳定的社会环境为目标。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绩效指标：矛盾纠纷调处率达到</w:t>
      </w:r>
      <w:r>
        <w:rPr>
          <w:rFonts w:ascii="Times New Roman" w:eastAsia="方正仿宋_GBK"/>
          <w:sz w:val="28"/>
        </w:rPr>
        <w:t>80%</w:t>
      </w:r>
      <w:r>
        <w:rPr>
          <w:rFonts w:hint="eastAsia" w:ascii="Times New Roman" w:hAnsi="微软雅黑" w:eastAsia="方正仿宋_GBK" w:cs="微软雅黑"/>
          <w:sz w:val="28"/>
        </w:rPr>
        <w:t>以上；协调督导事项化解率</w:t>
      </w:r>
      <w:r>
        <w:rPr>
          <w:rFonts w:ascii="Times New Roman" w:eastAsia="方正仿宋_GBK"/>
          <w:sz w:val="28"/>
        </w:rPr>
        <w:t>80%</w:t>
      </w:r>
      <w:r>
        <w:rPr>
          <w:rFonts w:hint="eastAsia" w:ascii="Times New Roman" w:hAnsi="微软雅黑" w:eastAsia="方正仿宋_GBK" w:cs="微软雅黑"/>
          <w:sz w:val="28"/>
        </w:rPr>
        <w:t>以上；稳定水平提高。</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（二）维持村级组织正常运转，促进发展</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绩效目标：维持村级组织正常运转，搞好服务保障，保障村级组织及村党组织正常运转，促进乡村社会和经济发展。</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绩效指标：村级各项经费资金支付及时率达到</w:t>
      </w:r>
      <w:r>
        <w:rPr>
          <w:rFonts w:ascii="Times New Roman" w:eastAsia="方正仿宋_GBK"/>
          <w:sz w:val="28"/>
        </w:rPr>
        <w:t>90%</w:t>
      </w:r>
      <w:r>
        <w:rPr>
          <w:rFonts w:hint="eastAsia" w:ascii="Times New Roman" w:hAnsi="微软雅黑" w:eastAsia="方正仿宋_GBK" w:cs="微软雅黑"/>
          <w:sz w:val="28"/>
        </w:rPr>
        <w:t>以上；群众满意率达到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（三）完善农村经营管理，维护村情。</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绩效目标：保障大因一中占地、环村林带占地补偿项目资金按时、足额发放到位。</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绩效指标：资金到位率及补贴发放率达到</w:t>
      </w:r>
      <w:r>
        <w:rPr>
          <w:rFonts w:ascii="Times New Roman" w:eastAsia="方正仿宋_GBK"/>
          <w:sz w:val="28"/>
        </w:rPr>
        <w:t>100%</w:t>
      </w:r>
      <w:r>
        <w:rPr>
          <w:rFonts w:hint="eastAsia" w:ascii="Times New Roman" w:hAnsi="微软雅黑" w:eastAsia="方正仿宋_GBK" w:cs="微软雅黑"/>
          <w:sz w:val="28"/>
        </w:rPr>
        <w:t>以上；群众满意度达到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（四）加强农村文化建设文化资源共享</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绩效目标：宣传党的路线、方针、政策和上级工作部署，坚持正确舆论导向，发挥主流媒体作用。</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w:t>
      </w:r>
      <w:r>
        <w:rPr>
          <w:rFonts w:ascii="Times New Roman" w:eastAsia="方正仿宋_GBK"/>
          <w:sz w:val="28"/>
        </w:rPr>
        <w:t xml:space="preserve"> </w:t>
      </w:r>
      <w:r>
        <w:rPr>
          <w:rFonts w:hint="eastAsia" w:ascii="Times New Roman" w:hAnsi="微软雅黑" w:eastAsia="方正仿宋_GBK" w:cs="微软雅黑"/>
          <w:sz w:val="28"/>
        </w:rPr>
        <w:t>实现文化资源共享，群众满意度达到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（五）乡镇综合事务管理，保障正常运转</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绩效目标：扎实做好人大、党建、纪检、团委等各项工作，保障机关工作正常运转，财政资金使用效益。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绩效指标：保障工作明显提升；综合事务管理工作完成率达到</w:t>
      </w:r>
      <w:r>
        <w:rPr>
          <w:rFonts w:ascii="Times New Roman" w:eastAsia="方正仿宋_GBK"/>
          <w:sz w:val="28"/>
        </w:rPr>
        <w:t>90%</w:t>
      </w:r>
      <w:r>
        <w:rPr>
          <w:rFonts w:hint="eastAsia" w:ascii="Times New Roman" w:hAnsi="微软雅黑" w:eastAsia="方正仿宋_GBK" w:cs="微软雅黑"/>
          <w:sz w:val="28"/>
        </w:rPr>
        <w:t>以上；受益对象满意度达到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（六）做好大气污染防治，改善农村环境</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绩效目标：做好全年大气污染防治工作，把大气污染防治工作作为一项重要内容常态化。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绩效指标：生活垃圾定点存放清运率，重点村垃圾收集、处理完成率</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达到</w:t>
      </w:r>
      <w:r>
        <w:rPr>
          <w:rFonts w:ascii="Times New Roman" w:eastAsia="方正仿宋_GBK"/>
          <w:sz w:val="28"/>
        </w:rPr>
        <w:t>90%</w:t>
      </w:r>
      <w:r>
        <w:rPr>
          <w:rFonts w:hint="eastAsia" w:ascii="Times New Roman" w:hAnsi="微软雅黑" w:eastAsia="方正仿宋_GBK" w:cs="微软雅黑"/>
          <w:sz w:val="28"/>
        </w:rPr>
        <w:t>以上；</w:t>
      </w:r>
      <w:r>
        <w:rPr>
          <w:rFonts w:ascii="Times New Roman" w:eastAsia="方正仿宋_GBK"/>
          <w:sz w:val="28"/>
        </w:rPr>
        <w:t xml:space="preserve"> </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（七）落实安全生产诚信管理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绩效目标：对重点行业和作业场所职业卫生安全生产加强行政执法监察；开展重大危险源执法检查工作；开展安全事故检查及安全生产宣传教育活动；促进企业全面落实安全生产诚信管理。</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绩效指标：安全生产信息员设置覆盖镇所有村；安全生产信息员补助发放完成率达到</w:t>
      </w:r>
      <w:r>
        <w:rPr>
          <w:rFonts w:ascii="Times New Roman" w:eastAsia="方正仿宋_GBK"/>
          <w:sz w:val="28"/>
        </w:rPr>
        <w:t>100%</w:t>
      </w:r>
      <w:r>
        <w:rPr>
          <w:rFonts w:hint="eastAsia" w:ascii="Times New Roman" w:hAnsi="微软雅黑" w:eastAsia="方正仿宋_GBK" w:cs="微软雅黑"/>
          <w:sz w:val="28"/>
        </w:rPr>
        <w:t>以上；享受安全生产信息员补助人员对补助发放情况的满意程度达到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（八）实现镇村地震安全建设常态化</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绩效目标：实现城乡地震安全建设常态化，提高防震减灾宣传效果，提升社会公众防震避险意识和技能。</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绩效指标：地震群测群防队伍覆盖全镇各村；地震群测群防岗位津贴发放完成率达到</w:t>
      </w:r>
      <w:r>
        <w:rPr>
          <w:rFonts w:ascii="Times New Roman" w:eastAsia="方正仿宋_GBK"/>
          <w:sz w:val="28"/>
        </w:rPr>
        <w:t>100%</w:t>
      </w:r>
      <w:r>
        <w:rPr>
          <w:rFonts w:hint="eastAsia" w:ascii="Times New Roman" w:hAnsi="微软雅黑" w:eastAsia="方正仿宋_GBK" w:cs="微软雅黑"/>
          <w:sz w:val="28"/>
        </w:rPr>
        <w:t>以上，享受地震群测群防岗位津贴人员对津贴发放情况的满意程度达到</w:t>
      </w:r>
      <w:r>
        <w:rPr>
          <w:rFonts w:ascii="Times New Roman" w:eastAsia="方正仿宋_GBK"/>
          <w:sz w:val="28"/>
        </w:rPr>
        <w:t>90%</w:t>
      </w:r>
      <w:r>
        <w:rPr>
          <w:rFonts w:hint="eastAsia" w:ascii="Times New Roman" w:hAnsi="微软雅黑" w:eastAsia="方正仿宋_GBK" w:cs="微软雅黑"/>
          <w:sz w:val="28"/>
        </w:rPr>
        <w:t>以上。</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继续加强扶贫工作，巩固</w:t>
      </w:r>
      <w:r>
        <w:rPr>
          <w:rFonts w:hint="eastAsia" w:ascii="Times New Roman" w:hAnsi="微软雅黑" w:eastAsia="方正仿宋_GBK" w:cs="微软雅黑"/>
          <w:sz w:val="28"/>
          <w:lang w:val="en-US" w:eastAsia="zh-CN"/>
        </w:rPr>
        <w:t>拓展</w:t>
      </w:r>
      <w:r>
        <w:rPr>
          <w:rFonts w:hint="eastAsia" w:ascii="Times New Roman" w:hAnsi="微软雅黑" w:eastAsia="方正仿宋_GBK" w:cs="微软雅黑"/>
          <w:sz w:val="28"/>
        </w:rPr>
        <w:t>脱贫攻坚成果；</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绩效目标：加强扶贫项目资金绩效管理，创新工作机制，提高资金使用效益和扶贫成效。</w:t>
      </w:r>
    </w:p>
    <w:p>
      <w:pPr>
        <w:spacing w:line="500" w:lineRule="exact"/>
        <w:ind w:firstLine="560" w:firstLineChars="200"/>
        <w:jc w:val="left"/>
        <w:rPr>
          <w:rFonts w:ascii="Times New Roman" w:eastAsia="方正仿宋_GBK"/>
          <w:sz w:val="28"/>
        </w:rPr>
      </w:pPr>
      <w:r>
        <w:rPr>
          <w:rFonts w:hint="eastAsia" w:ascii="Times New Roman" w:hAnsi="微软雅黑" w:eastAsia="方正仿宋_GBK" w:cs="微软雅黑"/>
          <w:sz w:val="28"/>
        </w:rPr>
        <w:t>绩效指标：建档立卡贫困户公益性岗位人员工资到位率</w:t>
      </w:r>
      <w:r>
        <w:rPr>
          <w:rFonts w:ascii="Times New Roman" w:eastAsia="方正仿宋_GBK"/>
          <w:sz w:val="28"/>
        </w:rPr>
        <w:t>100%</w:t>
      </w:r>
      <w:r>
        <w:rPr>
          <w:rFonts w:hint="eastAsia" w:ascii="Times New Roman" w:hAnsi="微软雅黑" w:eastAsia="方正仿宋_GBK" w:cs="微软雅黑"/>
          <w:sz w:val="28"/>
        </w:rPr>
        <w:t>，保险购置率</w:t>
      </w:r>
      <w:r>
        <w:rPr>
          <w:rFonts w:ascii="Times New Roman" w:eastAsia="方正仿宋_GBK"/>
          <w:sz w:val="28"/>
        </w:rPr>
        <w:t>100%</w:t>
      </w:r>
      <w:r>
        <w:rPr>
          <w:rFonts w:hint="eastAsia" w:ascii="Times New Roman" w:hAnsi="微软雅黑" w:eastAsia="方正仿宋_GBK" w:cs="微软雅黑"/>
          <w:sz w:val="28"/>
        </w:rPr>
        <w:t>。</w:t>
      </w:r>
    </w:p>
    <w:p>
      <w:pPr>
        <w:spacing w:line="500" w:lineRule="exact"/>
        <w:ind w:firstLine="560" w:firstLineChars="200"/>
        <w:jc w:val="left"/>
        <w:rPr>
          <w:rFonts w:ascii="Times New Roman" w:eastAsia="方正仿宋_GBK"/>
          <w:sz w:val="28"/>
        </w:rPr>
      </w:pPr>
    </w:p>
    <w:p>
      <w:pPr>
        <w:spacing w:beforeLines="50" w:afterLines="50" w:line="500" w:lineRule="exact"/>
        <w:ind w:firstLine="560" w:firstLineChars="200"/>
        <w:jc w:val="left"/>
        <w:outlineLvl w:val="1"/>
        <w:rPr>
          <w:rFonts w:ascii="Times New Roman" w:hAnsi="宋体" w:eastAsia="宋体"/>
          <w:sz w:val="28"/>
        </w:rPr>
      </w:pPr>
      <w:bookmarkStart w:id="3" w:name="_Toc67038137"/>
      <w:r>
        <w:rPr>
          <w:rFonts w:ascii="方正黑体_GBK" w:eastAsia="方正黑体_GBK"/>
          <w:sz w:val="28"/>
        </w:rPr>
        <w:t>三、工作保障措施</w:t>
      </w:r>
      <w:bookmarkEnd w:id="3"/>
      <w:r>
        <w:rPr>
          <w:rFonts w:ascii="方正黑体_GBK" w:eastAsia="方正黑体_GBK"/>
          <w:sz w:val="28"/>
        </w:rPr>
        <w:fldChar w:fldCharType="begin"/>
      </w:r>
      <w:r>
        <w:rPr>
          <w:rFonts w:ascii="方正黑体_GBK" w:eastAsia="方正黑体_GBK"/>
          <w:sz w:val="28"/>
        </w:rPr>
        <w:instrText xml:space="preserve"> TC 工作保障措施 \f A \l 1 </w:instrText>
      </w:r>
      <w:r>
        <w:rPr>
          <w:rFonts w:ascii="方正黑体_GBK" w:eastAsia="方正黑体_GBK"/>
          <w:sz w:val="28"/>
        </w:rPr>
        <w:fldChar w:fldCharType="end"/>
      </w:r>
    </w:p>
    <w:p>
      <w:pPr>
        <w:spacing w:line="500" w:lineRule="exact"/>
        <w:ind w:firstLine="560" w:firstLineChars="200"/>
        <w:jc w:val="left"/>
        <w:rPr>
          <w:rFonts w:ascii="Times New Roman" w:eastAsia="方正仿宋_GBK"/>
          <w:sz w:val="28"/>
        </w:rPr>
      </w:pPr>
      <w:r>
        <w:rPr>
          <w:rFonts w:ascii="Times New Roman" w:eastAsia="方正仿宋_GBK"/>
          <w:sz w:val="28"/>
        </w:rPr>
        <w:t>1</w:t>
      </w:r>
      <w:r>
        <w:rPr>
          <w:rFonts w:hint="eastAsia" w:ascii="Times New Roman" w:hAnsi="微软雅黑" w:eastAsia="方正仿宋_GBK" w:cs="微软雅黑"/>
          <w:sz w:val="28"/>
        </w:rPr>
        <w:t>、坚持改革创新。坚持以习近平新时代中国特色社会主义思想为指引，紧紧围绕区委、区政府相关决策部署及工作安排，切实提高政治站位，立足发展全局，突出工作重点，进一步深化务实有效的工作举措，发扬一流作风、保持一流状态、创造一流业绩，推动本单位各项工作取得新成效，确保全年目标任务高质量完成。</w:t>
      </w:r>
    </w:p>
    <w:p>
      <w:pPr>
        <w:spacing w:line="500" w:lineRule="exact"/>
        <w:ind w:firstLine="560" w:firstLineChars="200"/>
        <w:jc w:val="left"/>
        <w:rPr>
          <w:rFonts w:ascii="Times New Roman" w:eastAsia="方正仿宋_GBK"/>
          <w:sz w:val="28"/>
        </w:rPr>
      </w:pPr>
      <w:r>
        <w:rPr>
          <w:rFonts w:ascii="Times New Roman" w:eastAsia="方正仿宋_GBK"/>
          <w:sz w:val="28"/>
        </w:rPr>
        <w:t>2</w:t>
      </w:r>
      <w:r>
        <w:rPr>
          <w:rFonts w:hint="eastAsia" w:ascii="Times New Roman" w:hAnsi="微软雅黑" w:eastAsia="方正仿宋_GBK" w:cs="微软雅黑"/>
          <w:sz w:val="28"/>
        </w:rPr>
        <w:t>、强化预算执行。将年度工作目标任务细化分解，落实到岗、落实到人。通过优化支出结构，编细编实预算，尽快启动项目，及时支付资金，确保支出进度达标。</w:t>
      </w:r>
    </w:p>
    <w:p>
      <w:pPr>
        <w:spacing w:line="500" w:lineRule="exact"/>
        <w:ind w:firstLine="560" w:firstLineChars="200"/>
        <w:jc w:val="left"/>
        <w:rPr>
          <w:rFonts w:ascii="Times New Roman" w:eastAsia="方正仿宋_GBK"/>
          <w:sz w:val="28"/>
        </w:rPr>
      </w:pPr>
      <w:r>
        <w:rPr>
          <w:rFonts w:ascii="Times New Roman" w:eastAsia="方正仿宋_GBK"/>
          <w:sz w:val="28"/>
        </w:rPr>
        <w:t>3</w:t>
      </w:r>
      <w:r>
        <w:rPr>
          <w:rFonts w:hint="eastAsia" w:ascii="Times New Roman" w:hAnsi="微软雅黑" w:eastAsia="方正仿宋_GBK" w:cs="微软雅黑"/>
          <w:sz w:val="28"/>
        </w:rPr>
        <w:t>、完善绩效管理。本年度项目预算绩效目标设置准确、合理、可量化，做好对上年度部门预算绩效自评和重点评价工作，对评价中发现的问题及时整改。调整优化支出结构，提高财政资金使用效益。</w:t>
      </w:r>
    </w:p>
    <w:p>
      <w:pPr>
        <w:spacing w:line="500" w:lineRule="exact"/>
        <w:ind w:firstLine="560" w:firstLineChars="200"/>
        <w:jc w:val="left"/>
        <w:rPr>
          <w:rFonts w:ascii="Times New Roman" w:eastAsia="方正仿宋_GBK"/>
          <w:sz w:val="28"/>
        </w:rPr>
      </w:pPr>
      <w:r>
        <w:rPr>
          <w:rFonts w:ascii="Times New Roman" w:eastAsia="方正仿宋_GBK"/>
          <w:sz w:val="28"/>
        </w:rPr>
        <w:t>4</w:t>
      </w:r>
      <w:r>
        <w:rPr>
          <w:rFonts w:hint="eastAsia" w:ascii="Times New Roman" w:hAnsi="微软雅黑" w:eastAsia="方正仿宋_GBK" w:cs="微软雅黑"/>
          <w:sz w:val="28"/>
        </w:rPr>
        <w:t>、完善制度建设。规范财务资产管理。完善财务管理制度，严格审批程序，加强固定资产登记、使用和报废和处置管理，做到支出合理，物尽其用。</w:t>
      </w:r>
    </w:p>
    <w:p>
      <w:pPr>
        <w:spacing w:line="500" w:lineRule="exact"/>
        <w:ind w:firstLine="560" w:firstLineChars="200"/>
        <w:jc w:val="left"/>
        <w:rPr>
          <w:rFonts w:ascii="Times New Roman" w:eastAsia="方正仿宋_GBK"/>
          <w:sz w:val="28"/>
        </w:rPr>
      </w:pPr>
      <w:r>
        <w:rPr>
          <w:rFonts w:ascii="Times New Roman" w:eastAsia="方正仿宋_GBK"/>
          <w:sz w:val="28"/>
        </w:rPr>
        <w:t>5</w:t>
      </w:r>
      <w:r>
        <w:rPr>
          <w:rFonts w:hint="eastAsia" w:ascii="Times New Roman" w:hAnsi="微软雅黑" w:eastAsia="方正仿宋_GBK" w:cs="微软雅黑"/>
          <w:sz w:val="28"/>
        </w:rP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spacing w:line="500" w:lineRule="exact"/>
        <w:ind w:firstLine="560" w:firstLineChars="200"/>
        <w:jc w:val="left"/>
        <w:rPr>
          <w:rFonts w:ascii="Times New Roman" w:eastAsia="方正仿宋_GBK"/>
          <w:sz w:val="28"/>
        </w:rPr>
      </w:pPr>
      <w:r>
        <w:rPr>
          <w:rFonts w:ascii="Times New Roman" w:eastAsia="方正仿宋_GBK"/>
          <w:sz w:val="28"/>
        </w:rPr>
        <w:t>6</w:t>
      </w:r>
      <w:r>
        <w:rPr>
          <w:rFonts w:hint="eastAsia" w:ascii="Times New Roman" w:hAnsi="微软雅黑" w:eastAsia="方正仿宋_GBK" w:cs="微软雅黑"/>
          <w:sz w:val="28"/>
        </w:rPr>
        <w:t>、加强宣传培训调研工作。加强人员培训，提高本部门职工业务素质；加强调研，提出优化财政资金配置，提高资金使用效益的意见；加大宣传力度，强化预算绩效管理意识，促进预算绩效管理水平进一步提高。</w:t>
      </w:r>
    </w:p>
    <w:p>
      <w:pPr>
        <w:spacing w:line="500" w:lineRule="exact"/>
        <w:ind w:firstLine="560" w:firstLineChars="200"/>
        <w:jc w:val="left"/>
        <w:rPr>
          <w:rFonts w:ascii="Times New Roman" w:hAnsi="微软雅黑" w:eastAsia="方正仿宋_GBK" w:cs="微软雅黑"/>
          <w:sz w:val="28"/>
        </w:rPr>
      </w:pPr>
    </w:p>
    <w:p>
      <w:pPr>
        <w:jc w:val="center"/>
        <w:outlineLvl w:val="0"/>
        <w:rPr>
          <w:rFonts w:ascii="方正小标宋_GBK" w:eastAsia="方正小标宋_GBK"/>
          <w:sz w:val="44"/>
        </w:rPr>
      </w:pPr>
      <w:r>
        <w:rPr>
          <w:rFonts w:hint="eastAsia" w:ascii="方正小标宋_GBK" w:eastAsia="方正小标宋_GBK"/>
          <w:sz w:val="44"/>
        </w:rPr>
        <w:t>预算项目绩效目标</w:t>
      </w:r>
    </w:p>
    <w:p>
      <w:pPr>
        <w:ind w:firstLine="562" w:firstLineChars="200"/>
        <w:jc w:val="left"/>
        <w:outlineLvl w:val="3"/>
        <w:rPr>
          <w:rFonts w:ascii="Times New Roman" w:hAnsi="宋体" w:eastAsia="宋体"/>
          <w:b/>
          <w:sz w:val="28"/>
        </w:rPr>
      </w:pPr>
      <w:bookmarkStart w:id="4" w:name="_Toc67038138"/>
      <w:r>
        <w:rPr>
          <w:rFonts w:ascii="方正仿宋_GBK" w:eastAsia="方正仿宋_GBK"/>
          <w:b/>
          <w:sz w:val="28"/>
        </w:rPr>
        <w:t>1.村级退役军人服务站吸收参战（进藏）退役军人补贴绩效目标表</w:t>
      </w:r>
      <w:bookmarkEnd w:id="4"/>
      <w:r>
        <w:rPr>
          <w:rFonts w:ascii="方正仿宋_GBK" w:eastAsia="方正仿宋_GBK"/>
          <w:b/>
          <w:sz w:val="28"/>
        </w:rPr>
        <w:fldChar w:fldCharType="begin"/>
      </w:r>
      <w:r>
        <w:rPr>
          <w:rFonts w:ascii="方正仿宋_GBK" w:eastAsia="方正仿宋_GBK"/>
          <w:b/>
          <w:sz w:val="28"/>
        </w:rPr>
        <w:instrText xml:space="preserve"> TC 1、村级退役军人服务站吸收参战（进藏）退役军人补贴绩效目标表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4"/>
        <w:gridCol w:w="1262"/>
        <w:gridCol w:w="1946"/>
        <w:gridCol w:w="1418"/>
        <w:gridCol w:w="1258"/>
        <w:gridCol w:w="1053"/>
        <w:gridCol w:w="14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130625210HATZVDMWUTW3</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88800.00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88800.00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村级退役军人服务站吸收参战（进藏）退役军人补贴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3.能够保障相关工作正常运转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5" w:name="_Toc67038139"/>
      <w:r>
        <w:rPr>
          <w:rFonts w:ascii="方正仿宋_GBK" w:eastAsia="方正仿宋_GBK"/>
          <w:b/>
          <w:sz w:val="28"/>
        </w:rPr>
        <w:t>2.村级组织办公经费绩效目标表</w:t>
      </w:r>
      <w:bookmarkEnd w:id="5"/>
      <w:r>
        <w:rPr>
          <w:rFonts w:ascii="方正仿宋_GBK" w:eastAsia="方正仿宋_GBK"/>
          <w:b/>
          <w:sz w:val="28"/>
        </w:rPr>
        <w:fldChar w:fldCharType="begin"/>
      </w:r>
      <w:r>
        <w:rPr>
          <w:rFonts w:ascii="方正仿宋_GBK" w:eastAsia="方正仿宋_GBK"/>
          <w:b/>
          <w:sz w:val="28"/>
        </w:rPr>
        <w:instrText xml:space="preserve"> TC 2、村级组织办公经费绩效目标表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6"/>
        <w:gridCol w:w="1129"/>
        <w:gridCol w:w="1786"/>
        <w:gridCol w:w="1438"/>
        <w:gridCol w:w="1296"/>
        <w:gridCol w:w="1143"/>
        <w:gridCol w:w="15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130625213DN0018KZP1LY</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541500.00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541500.00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村级组织办公经费，第一季度支付完毕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1.为村组织工作提供基本资金保障，保障村级组织正常运转。</w:t>
            </w:r>
          </w:p>
          <w:p>
            <w:pPr>
              <w:spacing w:line="300" w:lineRule="exact"/>
              <w:jc w:val="left"/>
              <w:rPr>
                <w:rFonts w:ascii="方正书宋_GBK" w:eastAsia="方正书宋_GBK"/>
              </w:rPr>
            </w:pPr>
            <w:r>
              <w:rPr>
                <w:rFonts w:ascii="方正书宋_GBK" w:eastAsia="方正书宋_GBK"/>
              </w:rPr>
              <w:t>2.建立健全基层群众自治组织，提升服务质量和服务效率。</w:t>
            </w:r>
          </w:p>
          <w:p>
            <w:pPr>
              <w:spacing w:line="300" w:lineRule="exact"/>
              <w:jc w:val="left"/>
              <w:rPr>
                <w:rFonts w:ascii="方正书宋_GBK" w:eastAsia="方正书宋_GBK"/>
              </w:rPr>
            </w:pPr>
            <w:r>
              <w:rPr>
                <w:rFonts w:ascii="方正书宋_GBK" w:eastAsia="方正书宋_GBK"/>
              </w:rPr>
              <w:t>3.扩大社会影响力，得到广大受众的充分认可。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村级组织办公经费覆盖情况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25个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6" w:name="_Toc67038140"/>
      <w:r>
        <w:rPr>
          <w:rFonts w:ascii="方正仿宋_GBK" w:eastAsia="方正仿宋_GBK"/>
          <w:b/>
          <w:sz w:val="28"/>
        </w:rPr>
        <w:t>3.纪检经费绩效目标表</w:t>
      </w:r>
      <w:bookmarkEnd w:id="6"/>
      <w:r>
        <w:rPr>
          <w:rFonts w:ascii="方正仿宋_GBK" w:eastAsia="方正仿宋_GBK"/>
          <w:b/>
          <w:sz w:val="28"/>
        </w:rPr>
        <w:fldChar w:fldCharType="begin"/>
      </w:r>
      <w:r>
        <w:rPr>
          <w:rFonts w:ascii="方正仿宋_GBK" w:eastAsia="方正仿宋_GBK"/>
          <w:b/>
          <w:sz w:val="28"/>
        </w:rPr>
        <w:instrText xml:space="preserve"> TC 3、纪检经费绩效目标表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4"/>
        <w:gridCol w:w="1146"/>
        <w:gridCol w:w="1767"/>
        <w:gridCol w:w="1480"/>
        <w:gridCol w:w="1275"/>
        <w:gridCol w:w="1135"/>
        <w:gridCol w:w="15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130625213ESKHREZ6GVTC</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纪检经费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44000.00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纪检经费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1.及时拨付资金，保障本单位纪检工作正常开展，提高工作效率。</w:t>
            </w:r>
          </w:p>
          <w:p>
            <w:pPr>
              <w:spacing w:line="300" w:lineRule="exact"/>
              <w:jc w:val="left"/>
              <w:rPr>
                <w:rFonts w:ascii="方正书宋_GBK" w:eastAsia="方正书宋_GBK"/>
              </w:rPr>
            </w:pPr>
            <w:r>
              <w:rPr>
                <w:rFonts w:ascii="方正书宋_GBK" w:eastAsia="方正书宋_GBK"/>
              </w:rPr>
              <w:t>2.建立纪检保障长效机制，加强乡镇纪检部门履职能力，保障乡镇纪委充分履职。</w:t>
            </w:r>
          </w:p>
          <w:p>
            <w:pPr>
              <w:spacing w:line="300" w:lineRule="exact"/>
              <w:jc w:val="left"/>
              <w:rPr>
                <w:rFonts w:ascii="方正书宋_GBK" w:eastAsia="方正书宋_GBK"/>
              </w:rPr>
            </w:pPr>
            <w:r>
              <w:rPr>
                <w:rFonts w:ascii="方正书宋_GBK" w:eastAsia="方正书宋_GBK"/>
              </w:rPr>
              <w:t>3.乡镇纪检部门正常运转保障到位</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乡镇纪检部门运转费用保障率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乡镇纪检部门正常运转保障程度。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7" w:name="_Toc67038141"/>
      <w:r>
        <w:rPr>
          <w:rFonts w:ascii="方正仿宋_GBK" w:eastAsia="方正仿宋_GBK"/>
          <w:b/>
          <w:sz w:val="28"/>
        </w:rPr>
        <w:t>4.选任专职人民调解员经费绩效目标表</w:t>
      </w:r>
      <w:bookmarkEnd w:id="7"/>
      <w:r>
        <w:rPr>
          <w:rFonts w:ascii="方正仿宋_GBK" w:eastAsia="方正仿宋_GBK"/>
          <w:b/>
          <w:sz w:val="28"/>
        </w:rPr>
        <w:fldChar w:fldCharType="begin"/>
      </w:r>
      <w:r>
        <w:rPr>
          <w:rFonts w:ascii="方正仿宋_GBK" w:eastAsia="方正仿宋_GBK"/>
          <w:b/>
          <w:sz w:val="28"/>
        </w:rPr>
        <w:instrText xml:space="preserve"> TC 4、选任专职人民调解员经费绩效目标表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47"/>
        <w:gridCol w:w="1769"/>
        <w:gridCol w:w="1480"/>
        <w:gridCol w:w="1275"/>
        <w:gridCol w:w="1134"/>
        <w:gridCol w:w="15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1306252164VM3EX56F5V1</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85500.00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85500.00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选任专职人民调解员经费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1.做好人民调解工作，更好、更快调解诉前案件和信访案件。</w:t>
            </w:r>
          </w:p>
          <w:p>
            <w:pPr>
              <w:spacing w:line="300" w:lineRule="exact"/>
              <w:jc w:val="left"/>
              <w:rPr>
                <w:rFonts w:ascii="方正书宋_GBK" w:eastAsia="方正书宋_GBK"/>
              </w:rPr>
            </w:pPr>
            <w:r>
              <w:rPr>
                <w:rFonts w:ascii="方正书宋_GBK" w:eastAsia="方正书宋_GBK"/>
              </w:rPr>
              <w:t>2.减少社会矛盾，化解社会纠纷。</w:t>
            </w:r>
          </w:p>
          <w:p>
            <w:pPr>
              <w:spacing w:line="300" w:lineRule="exact"/>
              <w:jc w:val="left"/>
              <w:rPr>
                <w:rFonts w:ascii="方正书宋_GBK" w:eastAsia="方正书宋_GBK"/>
              </w:rPr>
            </w:pPr>
            <w:r>
              <w:rPr>
                <w:rFonts w:ascii="方正书宋_GBK" w:eastAsia="方正书宋_GBK"/>
              </w:rPr>
              <w:t>3.提高调解成功案件数量占受理案件数量的比例</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绩效评价次数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按季度评价资金使用程度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调解案件成功率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调解成功案件数量占受理案件数量的比例（百分比）</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有效的改善职工作环境，有利于提高工作效率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区政府工作方案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8" w:name="_Toc67038142"/>
      <w:r>
        <w:rPr>
          <w:rFonts w:ascii="方正仿宋_GBK" w:eastAsia="方正仿宋_GBK"/>
          <w:b/>
          <w:sz w:val="28"/>
        </w:rPr>
        <w:t>5.环村林带土地流转资金绩效目标表</w:t>
      </w:r>
      <w:bookmarkEnd w:id="8"/>
      <w:r>
        <w:rPr>
          <w:rFonts w:ascii="方正仿宋_GBK" w:eastAsia="方正仿宋_GBK"/>
          <w:b/>
          <w:sz w:val="28"/>
        </w:rPr>
        <w:fldChar w:fldCharType="begin"/>
      </w:r>
      <w:r>
        <w:rPr>
          <w:rFonts w:ascii="方正仿宋_GBK" w:eastAsia="方正仿宋_GBK"/>
          <w:b/>
          <w:sz w:val="28"/>
        </w:rPr>
        <w:instrText xml:space="preserve"> TC 5、环村林带土地流转资金绩效目标表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4"/>
        <w:gridCol w:w="1133"/>
        <w:gridCol w:w="1828"/>
        <w:gridCol w:w="1485"/>
        <w:gridCol w:w="1294"/>
        <w:gridCol w:w="1108"/>
        <w:gridCol w:w="149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130625216TW8F5N5Z1L9U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环村林带土地流转资金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450890.00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450890.00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环村林带土地流转资金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1.资金及时足额发放到位，维护环村林带占地户利益，稳定乡情村情。</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p>
            <w:pPr>
              <w:spacing w:line="300" w:lineRule="exact"/>
              <w:jc w:val="left"/>
              <w:rPr>
                <w:rFonts w:ascii="方正书宋_GBK" w:eastAsia="方正书宋_GBK"/>
              </w:rPr>
            </w:pPr>
            <w:r>
              <w:rPr>
                <w:rFonts w:ascii="方正书宋_GBK" w:eastAsia="方正书宋_GBK"/>
              </w:rPr>
              <w:t>3.环村林带对周边环境有一定改善</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项目修建对环境的改善程度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环村林带对周边环境的改善情况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9" w:name="_Toc67038143"/>
      <w:r>
        <w:rPr>
          <w:rFonts w:ascii="方正仿宋_GBK" w:eastAsia="方正仿宋_GBK"/>
          <w:b/>
          <w:sz w:val="28"/>
        </w:rPr>
        <w:t>6.2021年度全区绿化土地流转金绩效目标表</w:t>
      </w:r>
      <w:bookmarkEnd w:id="9"/>
      <w:r>
        <w:rPr>
          <w:rFonts w:ascii="方正仿宋_GBK" w:eastAsia="方正仿宋_GBK"/>
          <w:b/>
          <w:sz w:val="28"/>
        </w:rPr>
        <w:fldChar w:fldCharType="begin"/>
      </w:r>
      <w:r>
        <w:rPr>
          <w:rFonts w:ascii="方正仿宋_GBK" w:eastAsia="方正仿宋_GBK"/>
          <w:b/>
          <w:sz w:val="28"/>
        </w:rPr>
        <w:instrText xml:space="preserve"> TC 6、2021年度全区绿化土地流转金绩效目标表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6"/>
        <w:gridCol w:w="1093"/>
        <w:gridCol w:w="1831"/>
        <w:gridCol w:w="1374"/>
        <w:gridCol w:w="1499"/>
        <w:gridCol w:w="1086"/>
        <w:gridCol w:w="146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130625217KZ8QBP7X9ZII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2021年度全区绿化土地流转金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22885962.77</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22885962.77</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2021年度全区绿化土地流转金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1.资金及时足额发放到位，维护环村林带占地户利益</w:t>
            </w:r>
          </w:p>
          <w:p>
            <w:pPr>
              <w:spacing w:line="300" w:lineRule="exact"/>
              <w:jc w:val="left"/>
              <w:rPr>
                <w:rFonts w:ascii="方正书宋_GBK" w:eastAsia="方正书宋_GBK"/>
              </w:rPr>
            </w:pPr>
            <w:r>
              <w:rPr>
                <w:rFonts w:ascii="方正书宋_GBK" w:eastAsia="方正书宋_GBK"/>
              </w:rPr>
              <w:t>2.促进地区稳定发展、保护绿化成果，带动土地流转工作依法、有序开展</w:t>
            </w:r>
          </w:p>
          <w:p>
            <w:pPr>
              <w:spacing w:line="300" w:lineRule="exact"/>
              <w:jc w:val="left"/>
              <w:rPr>
                <w:rFonts w:ascii="方正书宋_GBK" w:eastAsia="方正书宋_GBK"/>
              </w:rPr>
            </w:pPr>
            <w:r>
              <w:rPr>
                <w:rFonts w:ascii="方正书宋_GBK" w:eastAsia="方正书宋_GBK"/>
              </w:rPr>
              <w:t>3.确保发放对象及时领取相应资金,维护社会稳定,得到广大受众的充分认可。.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实际发放的补助金金额占计划发放补助金额的比率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亩均补助标准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亩均补助标准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0" w:name="_Toc67038144"/>
      <w:r>
        <w:rPr>
          <w:rFonts w:ascii="方正仿宋_GBK" w:eastAsia="方正仿宋_GBK"/>
          <w:b/>
          <w:sz w:val="28"/>
        </w:rPr>
        <w:t>7.房屋修缮经费绩效目标表</w:t>
      </w:r>
      <w:bookmarkEnd w:id="10"/>
      <w:r>
        <w:rPr>
          <w:rFonts w:ascii="方正仿宋_GBK" w:eastAsia="方正仿宋_GBK"/>
          <w:b/>
          <w:sz w:val="28"/>
        </w:rPr>
        <w:fldChar w:fldCharType="begin"/>
      </w:r>
      <w:r>
        <w:rPr>
          <w:rFonts w:ascii="方正仿宋_GBK" w:eastAsia="方正仿宋_GBK"/>
          <w:b/>
          <w:sz w:val="28"/>
        </w:rPr>
        <w:instrText xml:space="preserve"> TC 7、房屋修缮经费绩效目标表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214"/>
        <w:gridCol w:w="1873"/>
        <w:gridCol w:w="1394"/>
        <w:gridCol w:w="1268"/>
        <w:gridCol w:w="1104"/>
        <w:gridCol w:w="14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13062521B40MTQGYYMTTO</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房屋修缮经费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房屋修缮经费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1.对损坏门窗及时进行修复、更换，保证其正常使用，为办事群众及单位职工提供良好的硬件支持和后勤保障，维持机关工作正常运转。</w:t>
            </w:r>
          </w:p>
          <w:p>
            <w:pPr>
              <w:spacing w:line="300" w:lineRule="exact"/>
              <w:jc w:val="left"/>
              <w:rPr>
                <w:rFonts w:ascii="方正书宋_GBK" w:eastAsia="方正书宋_GBK"/>
              </w:rPr>
            </w:pPr>
            <w:r>
              <w:rPr>
                <w:rFonts w:ascii="方正书宋_GBK" w:eastAsia="方正书宋_GBK"/>
              </w:rPr>
              <w:t>2.提高工作效率及服务质量，增强人民群众对党和政府工作的满意度。</w:t>
            </w:r>
          </w:p>
          <w:p>
            <w:pPr>
              <w:spacing w:line="300" w:lineRule="exact"/>
              <w:jc w:val="left"/>
              <w:rPr>
                <w:rFonts w:ascii="方正书宋_GBK" w:eastAsia="方正书宋_GBK"/>
              </w:rPr>
            </w:pPr>
            <w:r>
              <w:rPr>
                <w:rFonts w:ascii="方正书宋_GBK" w:eastAsia="方正书宋_GBK"/>
              </w:rPr>
              <w:t>3.维修维护工作及时、有效，不影响单位工作正常开展</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修缮改造任务完成率（%）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修缮改造任务完成率（%）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房屋修缮验收通过率（%）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房屋修缮验收通过率（%）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维修工作及时度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指维修维护工作是否及时、有效，是否影响单位工作正常开展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房屋维修</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房屋维修</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1" w:name="_Toc67038145"/>
      <w:r>
        <w:rPr>
          <w:rFonts w:ascii="方正仿宋_GBK" w:eastAsia="方正仿宋_GBK"/>
          <w:b/>
          <w:sz w:val="28"/>
        </w:rPr>
        <w:t>8.瀑河大因导排区土地流转资金绩效目标表</w:t>
      </w:r>
      <w:bookmarkEnd w:id="11"/>
      <w:r>
        <w:rPr>
          <w:rFonts w:ascii="方正仿宋_GBK" w:eastAsia="方正仿宋_GBK"/>
          <w:b/>
          <w:sz w:val="28"/>
        </w:rPr>
        <w:fldChar w:fldCharType="begin"/>
      </w:r>
      <w:r>
        <w:rPr>
          <w:rFonts w:ascii="方正仿宋_GBK" w:eastAsia="方正仿宋_GBK"/>
          <w:b/>
          <w:sz w:val="28"/>
        </w:rPr>
        <w:instrText xml:space="preserve"> TC 8、瀑河大因导排区土地流转资金绩效目标表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7"/>
        <w:gridCol w:w="1151"/>
        <w:gridCol w:w="1864"/>
        <w:gridCol w:w="1408"/>
        <w:gridCol w:w="1294"/>
        <w:gridCol w:w="1116"/>
        <w:gridCol w:w="15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13062521BIY9MNTLOV2MB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瀑河大因导排区土地流转资金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518064.00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518064.00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项目预算资金518064元，计划21年度实施，第四季度12月底前支出完毕。</w:t>
            </w:r>
          </w:p>
          <w:p>
            <w:pPr>
              <w:spacing w:line="300" w:lineRule="exact"/>
              <w:jc w:val="lef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1.严控工程质量，做好监督检查工作。</w:t>
            </w:r>
          </w:p>
          <w:p>
            <w:pPr>
              <w:spacing w:line="300" w:lineRule="exact"/>
              <w:jc w:val="left"/>
              <w:rPr>
                <w:rFonts w:ascii="方正书宋_GBK" w:eastAsia="方正书宋_GBK"/>
              </w:rPr>
            </w:pPr>
            <w:r>
              <w:rPr>
                <w:rFonts w:ascii="方正书宋_GBK" w:eastAsia="方正书宋_GBK"/>
              </w:rPr>
              <w:t>2.通过修建人工湿地项目，确保实现“不让一滴污水流入白洋淀”的目标。</w:t>
            </w:r>
          </w:p>
          <w:p>
            <w:pPr>
              <w:spacing w:line="300" w:lineRule="exact"/>
              <w:jc w:val="left"/>
              <w:rPr>
                <w:rFonts w:ascii="方正书宋_GBK" w:eastAsia="方正书宋_GBK"/>
              </w:rPr>
            </w:pPr>
            <w:r>
              <w:rPr>
                <w:rFonts w:ascii="方正书宋_GBK" w:eastAsia="方正书宋_GBK"/>
              </w:rPr>
              <w:t>3.修建导排工程对白洋淀水质得到一定改善</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项目修建对环境的改善程度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指修建导排工程对白洋淀水质的改善情况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2" w:name="_Toc67038146"/>
      <w:r>
        <w:rPr>
          <w:rFonts w:ascii="方正仿宋_GBK" w:eastAsia="方正仿宋_GBK"/>
          <w:b/>
          <w:sz w:val="28"/>
        </w:rPr>
        <w:t>9.政府机关运行维护专项经费绩效目标表</w:t>
      </w:r>
      <w:bookmarkEnd w:id="12"/>
      <w:r>
        <w:rPr>
          <w:rFonts w:ascii="方正仿宋_GBK" w:eastAsia="方正仿宋_GBK"/>
          <w:b/>
          <w:sz w:val="28"/>
        </w:rPr>
        <w:fldChar w:fldCharType="begin"/>
      </w:r>
      <w:r>
        <w:rPr>
          <w:rFonts w:ascii="方正仿宋_GBK" w:eastAsia="方正仿宋_GBK"/>
          <w:b/>
          <w:sz w:val="28"/>
        </w:rPr>
        <w:instrText xml:space="preserve"> TC 9、政府机关运行维护专项经费绩效目标表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177"/>
        <w:gridCol w:w="1908"/>
        <w:gridCol w:w="1438"/>
        <w:gridCol w:w="1292"/>
        <w:gridCol w:w="1079"/>
        <w:gridCol w:w="14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13062521CGG0TUDM95GFU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政府机关运行维护专项经费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304300.00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304300.00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政府机关运行维护专项经费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1.依单位实际情况及工作需要，及时、合理、有效安排支出，维持机关单位正常运转。</w:t>
            </w:r>
          </w:p>
          <w:p>
            <w:pPr>
              <w:spacing w:line="300" w:lineRule="exact"/>
              <w:jc w:val="left"/>
              <w:rPr>
                <w:rFonts w:ascii="方正书宋_GBK" w:eastAsia="方正书宋_GBK"/>
              </w:rPr>
            </w:pPr>
            <w:r>
              <w:rPr>
                <w:rFonts w:ascii="方正书宋_GBK" w:eastAsia="方正书宋_GBK"/>
              </w:rPr>
              <w:t>2.提高工作质量及服务效率，提升群众满意度，为地区繁荣、稳定发展</w:t>
            </w:r>
            <w:r>
              <w:rPr>
                <w:rFonts w:hint="eastAsia" w:ascii="方正书宋_GBK" w:eastAsia="方正书宋_GBK"/>
                <w:lang w:val="en-US" w:eastAsia="zh-CN"/>
              </w:rPr>
              <w:t>作</w:t>
            </w:r>
            <w:r>
              <w:rPr>
                <w:rFonts w:ascii="方正书宋_GBK" w:eastAsia="方正书宋_GBK"/>
              </w:rPr>
              <w:t>出贡献。</w:t>
            </w:r>
          </w:p>
          <w:p>
            <w:pPr>
              <w:spacing w:line="300" w:lineRule="exact"/>
              <w:jc w:val="left"/>
              <w:rPr>
                <w:rFonts w:ascii="方正书宋_GBK" w:eastAsia="方正书宋_GBK"/>
              </w:rPr>
            </w:pPr>
            <w:r>
              <w:rPr>
                <w:rFonts w:ascii="方正书宋_GBK" w:eastAsia="方正书宋_GBK"/>
              </w:rPr>
              <w:t>3.资金支出所达到的实际效果与预期效果相一致</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资金使用效益</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指资金支出所达到的实际效果与预期效果的比例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3" w:name="_Toc67038147"/>
      <w:r>
        <w:rPr>
          <w:rFonts w:ascii="方正仿宋_GBK" w:eastAsia="方正仿宋_GBK"/>
          <w:b/>
          <w:sz w:val="28"/>
        </w:rPr>
        <w:t>10.维稳、安保经费绩效目标表</w:t>
      </w:r>
      <w:bookmarkEnd w:id="13"/>
      <w:r>
        <w:rPr>
          <w:rFonts w:ascii="方正仿宋_GBK" w:eastAsia="方正仿宋_GBK"/>
          <w:b/>
          <w:sz w:val="28"/>
        </w:rPr>
        <w:fldChar w:fldCharType="begin"/>
      </w:r>
      <w:r>
        <w:rPr>
          <w:rFonts w:ascii="方正仿宋_GBK" w:eastAsia="方正仿宋_GBK"/>
          <w:b/>
          <w:sz w:val="28"/>
        </w:rPr>
        <w:instrText xml:space="preserve"> TC 10、维稳、安保经费绩效目标表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32"/>
        <w:gridCol w:w="1819"/>
        <w:gridCol w:w="1427"/>
        <w:gridCol w:w="1295"/>
        <w:gridCol w:w="1133"/>
        <w:gridCol w:w="152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13062521E0LCGSW34D285</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维稳、安保经费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维稳、安保经费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1.资金及时支付到位，为稳定工作提供资金保障。</w:t>
            </w:r>
          </w:p>
          <w:p>
            <w:pPr>
              <w:spacing w:line="300" w:lineRule="exact"/>
              <w:jc w:val="left"/>
              <w:rPr>
                <w:rFonts w:ascii="方正书宋_GBK" w:eastAsia="方正书宋_GBK"/>
              </w:rPr>
            </w:pPr>
            <w:r>
              <w:rPr>
                <w:rFonts w:ascii="方正书宋_GBK" w:eastAsia="方正书宋_GBK"/>
              </w:rPr>
              <w:t>2.强化接访中心建设，切实提高接访中心吸附力。积极推进涉法涉诉信访工作改革，把涉法涉诉信访问题的解决导入法治轨道。</w:t>
            </w:r>
          </w:p>
          <w:p>
            <w:pPr>
              <w:spacing w:line="300" w:lineRule="exact"/>
              <w:jc w:val="left"/>
              <w:rPr>
                <w:rFonts w:ascii="方正书宋_GBK" w:eastAsia="方正书宋_GBK"/>
              </w:rPr>
            </w:pPr>
            <w:r>
              <w:rPr>
                <w:rFonts w:ascii="方正书宋_GBK" w:eastAsia="方正书宋_GBK"/>
              </w:rPr>
              <w:t>3.确保发放对象及时领取相应资金,维护社会稳定,得到受众的充分认可.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矛盾纠纷调处率(%)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调处矛盾纠纷数量占排查矛盾纠纷总数的比率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维稳问题解决率（%）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已解决维稳问题占全部维稳问题的比率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项目申请与立项按期完成率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项目申请与立项按期完成率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非法上访率（%）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非访或越级访占信访案件的比率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4" w:name="_Toc67038148"/>
      <w:r>
        <w:rPr>
          <w:rFonts w:ascii="方正仿宋_GBK" w:eastAsia="方正仿宋_GBK"/>
          <w:b/>
          <w:sz w:val="28"/>
        </w:rPr>
        <w:t>11.人大工作经费绩效目标表</w:t>
      </w:r>
      <w:bookmarkEnd w:id="14"/>
      <w:r>
        <w:rPr>
          <w:rFonts w:ascii="方正仿宋_GBK" w:eastAsia="方正仿宋_GBK"/>
          <w:b/>
          <w:sz w:val="28"/>
        </w:rPr>
        <w:fldChar w:fldCharType="begin"/>
      </w:r>
      <w:r>
        <w:rPr>
          <w:rFonts w:ascii="方正仿宋_GBK" w:eastAsia="方正仿宋_GBK"/>
          <w:b/>
          <w:sz w:val="28"/>
        </w:rPr>
        <w:instrText xml:space="preserve"> TC 11、人大工作经费绩效目标表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1160"/>
        <w:gridCol w:w="1790"/>
        <w:gridCol w:w="1473"/>
        <w:gridCol w:w="1273"/>
        <w:gridCol w:w="1125"/>
        <w:gridCol w:w="15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13062521F4EG3UMSFFGCE</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人大工作经费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1.为人大工作提供资金保障，资金足额及时支付到位。</w:t>
            </w:r>
          </w:p>
          <w:p>
            <w:pPr>
              <w:spacing w:line="300" w:lineRule="exact"/>
              <w:jc w:val="left"/>
              <w:rPr>
                <w:rFonts w:ascii="方正书宋_GBK" w:eastAsia="方正书宋_GBK"/>
              </w:rPr>
            </w:pPr>
            <w:r>
              <w:rPr>
                <w:rFonts w:ascii="方正书宋_GBK" w:eastAsia="方正书宋_GBK"/>
              </w:rPr>
              <w:t>2.加强乡镇人大履职能力，保障乡镇人大工作及时开展。</w:t>
            </w:r>
          </w:p>
          <w:p>
            <w:pPr>
              <w:spacing w:line="300" w:lineRule="exact"/>
              <w:jc w:val="left"/>
              <w:rPr>
                <w:rFonts w:ascii="方正书宋_GBK" w:eastAsia="方正书宋_GBK"/>
              </w:rPr>
            </w:pPr>
            <w:r>
              <w:rPr>
                <w:rFonts w:ascii="方正书宋_GBK" w:eastAsia="方正书宋_GBK"/>
              </w:rPr>
              <w:t>3.提供充分物质保障，保障人大工作顺利开展。</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使用率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保障资金使用到位。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业务功能满足率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满足其业务功能</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人大日常工作经费保障及时性</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保障人大日常工作及时性</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人大集中性工作完成率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人大选举、人大会议等集中活动完成情况。（实际完成工作/计划完成工作）</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计划标准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5" w:name="_Toc67038149"/>
      <w:r>
        <w:rPr>
          <w:rFonts w:ascii="方正仿宋_GBK" w:eastAsia="方正仿宋_GBK"/>
          <w:b/>
          <w:sz w:val="28"/>
        </w:rPr>
        <w:t>12.乡镇武装工作经费绩效目标表</w:t>
      </w:r>
      <w:bookmarkEnd w:id="15"/>
      <w:r>
        <w:rPr>
          <w:rFonts w:ascii="方正仿宋_GBK" w:eastAsia="方正仿宋_GBK"/>
          <w:b/>
          <w:sz w:val="28"/>
        </w:rPr>
        <w:fldChar w:fldCharType="begin"/>
      </w:r>
      <w:r>
        <w:rPr>
          <w:rFonts w:ascii="方正仿宋_GBK" w:eastAsia="方正仿宋_GBK"/>
          <w:b/>
          <w:sz w:val="28"/>
        </w:rPr>
        <w:instrText xml:space="preserve"> TC 12、乡镇武装工作经费绩效目标表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1194"/>
        <w:gridCol w:w="1841"/>
        <w:gridCol w:w="1455"/>
        <w:gridCol w:w="1268"/>
        <w:gridCol w:w="1101"/>
        <w:gridCol w:w="148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13062521GAA1UGBIOHQEB</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乡镇武装工作经费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用于保障单位民兵训练、征兵等工作的正常开展。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1.保障本单位的民兵训练，征兵等工作的正常开展。</w:t>
            </w:r>
          </w:p>
          <w:p>
            <w:pPr>
              <w:spacing w:line="300" w:lineRule="exact"/>
              <w:jc w:val="left"/>
              <w:rPr>
                <w:rFonts w:ascii="方正书宋_GBK" w:eastAsia="方正书宋_GBK"/>
              </w:rPr>
            </w:pPr>
          </w:p>
          <w:p>
            <w:pPr>
              <w:spacing w:line="300" w:lineRule="exact"/>
              <w:jc w:val="left"/>
              <w:rPr>
                <w:rFonts w:ascii="方正书宋_GBK" w:eastAsia="方正书宋_GBK"/>
              </w:rPr>
            </w:pPr>
            <w:r>
              <w:rPr>
                <w:rFonts w:ascii="方正书宋_GBK" w:eastAsia="方正书宋_GBK"/>
              </w:rPr>
              <w:t>2.根据上级要求，认真制</w:t>
            </w:r>
            <w:r>
              <w:rPr>
                <w:rFonts w:hint="eastAsia" w:ascii="方正书宋_GBK" w:eastAsia="方正书宋_GBK"/>
                <w:lang w:val="en-US" w:eastAsia="zh-CN"/>
              </w:rPr>
              <w:t>订</w:t>
            </w:r>
            <w:r>
              <w:rPr>
                <w:rFonts w:ascii="方正书宋_GBK" w:eastAsia="方正书宋_GBK"/>
              </w:rPr>
              <w:t>基干民兵和专武干部培训计划和方案，严格组织人员按质按量完成训练任务。</w:t>
            </w:r>
          </w:p>
          <w:p>
            <w:pPr>
              <w:spacing w:line="300" w:lineRule="exact"/>
              <w:jc w:val="left"/>
              <w:rPr>
                <w:rFonts w:ascii="方正书宋_GBK" w:eastAsia="方正书宋_GBK"/>
              </w:rPr>
            </w:pPr>
            <w:r>
              <w:rPr>
                <w:rFonts w:ascii="方正书宋_GBK" w:eastAsia="方正书宋_GBK"/>
              </w:rPr>
              <w:t>3.圆满完成上级交给的各项工作任务。</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每年完成上级下达征兵数量</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按照上级下达的征兵数量完成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≥10个</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民兵训练达标率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民兵训练是否完成上级规定的要求</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国防动员开展情况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是否按要求开展</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国防工程完成情况</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是否按上级要求完成</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达到强兵备战民兵的比例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民兵训练成果是否在上级规定范围内</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6" w:name="_Toc67038150"/>
      <w:r>
        <w:rPr>
          <w:rFonts w:ascii="方正仿宋_GBK" w:eastAsia="方正仿宋_GBK"/>
          <w:b/>
          <w:sz w:val="28"/>
        </w:rPr>
        <w:t>13.村党组织活动经费绩效目标表</w:t>
      </w:r>
      <w:bookmarkEnd w:id="16"/>
      <w:r>
        <w:rPr>
          <w:rFonts w:ascii="方正仿宋_GBK" w:eastAsia="方正仿宋_GBK"/>
          <w:b/>
          <w:sz w:val="28"/>
        </w:rPr>
        <w:fldChar w:fldCharType="begin"/>
      </w:r>
      <w:r>
        <w:rPr>
          <w:rFonts w:ascii="方正仿宋_GBK" w:eastAsia="方正仿宋_GBK"/>
          <w:b/>
          <w:sz w:val="28"/>
        </w:rPr>
        <w:instrText xml:space="preserve"> TC 13、村党组织活动经费绩效目标表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1"/>
        <w:gridCol w:w="1141"/>
        <w:gridCol w:w="1848"/>
        <w:gridCol w:w="1480"/>
        <w:gridCol w:w="1293"/>
        <w:gridCol w:w="1099"/>
        <w:gridCol w:w="148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13062521ITMG68WFAKY7G</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394400.00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394400.00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村党组织活动经费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1.通过拨付村党组织活动经费，保障村党组织日常活动</w:t>
            </w:r>
          </w:p>
          <w:p>
            <w:pPr>
              <w:spacing w:line="300" w:lineRule="exact"/>
              <w:jc w:val="left"/>
              <w:rPr>
                <w:rFonts w:ascii="方正书宋_GBK" w:eastAsia="方正书宋_GBK"/>
              </w:rPr>
            </w:pPr>
            <w:r>
              <w:rPr>
                <w:rFonts w:ascii="方正书宋_GBK" w:eastAsia="方正书宋_GBK"/>
              </w:rPr>
              <w:t>2.由村党组织活动经费定期集中培训，提高农村党员的综合素质</w:t>
            </w:r>
          </w:p>
          <w:p>
            <w:pPr>
              <w:spacing w:line="300" w:lineRule="exact"/>
              <w:jc w:val="left"/>
              <w:rPr>
                <w:rFonts w:ascii="方正书宋_GBK" w:eastAsia="方正书宋_GBK"/>
              </w:rPr>
            </w:pPr>
            <w:r>
              <w:rPr>
                <w:rFonts w:ascii="方正书宋_GBK" w:eastAsia="方正书宋_GBK"/>
              </w:rPr>
              <w:t>3.组织前往宣传教育基地参观，增强党员党性。</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组织参观学习人次</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组织前往宣传教育基地参观的人次</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学习活动成果验收合格率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学习活动成果情况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达到村党组织活动效果</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开展培训、组织党员活动计划比例</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开展培训、组织党员活动按年度工作计划完成情况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党员考察、培训的开支标准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党员学习考察、开展培训等的开支标准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达到村党组织活动效果要求</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通过实施党员活动促进社会稳定水平逐步提高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社会稳定水平逐年提高</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历史标准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7" w:name="_Toc67038151"/>
      <w:r>
        <w:rPr>
          <w:rFonts w:ascii="方正仿宋_GBK" w:eastAsia="方正仿宋_GBK"/>
          <w:b/>
          <w:sz w:val="28"/>
        </w:rPr>
        <w:t>14.大因一中等中小学占地补偿绩效目标表</w:t>
      </w:r>
      <w:bookmarkEnd w:id="17"/>
      <w:r>
        <w:rPr>
          <w:rFonts w:ascii="方正仿宋_GBK" w:eastAsia="方正仿宋_GBK"/>
          <w:b/>
          <w:sz w:val="28"/>
        </w:rPr>
        <w:fldChar w:fldCharType="begin"/>
      </w:r>
      <w:r>
        <w:rPr>
          <w:rFonts w:ascii="方正仿宋_GBK" w:eastAsia="方正仿宋_GBK"/>
          <w:b/>
          <w:sz w:val="28"/>
        </w:rPr>
        <w:instrText xml:space="preserve"> TC 14、大因一中等中小学占地补偿绩效目标表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3"/>
        <w:gridCol w:w="1170"/>
        <w:gridCol w:w="1804"/>
        <w:gridCol w:w="1427"/>
        <w:gridCol w:w="1274"/>
        <w:gridCol w:w="1133"/>
        <w:gridCol w:w="15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13062521M2KZ861X1GXXS</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大因一中等中小学占地补偿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78900.00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78900.00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大因一中等中小学占地补偿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1.资金及时足额发放到位，维护学校占地户利益，稳定乡情村情。</w:t>
            </w:r>
          </w:p>
          <w:p>
            <w:pPr>
              <w:spacing w:line="300" w:lineRule="exact"/>
              <w:jc w:val="left"/>
              <w:rPr>
                <w:rFonts w:ascii="方正书宋_GBK" w:eastAsia="方正书宋_GBK"/>
              </w:rPr>
            </w:pPr>
            <w:r>
              <w:rPr>
                <w:rFonts w:ascii="方正书宋_GBK" w:eastAsia="方正书宋_GBK"/>
              </w:rPr>
              <w:t>2.校舍面积满足教育教学需要，教学点能够正常运转。</w:t>
            </w:r>
          </w:p>
          <w:p>
            <w:pPr>
              <w:spacing w:line="300" w:lineRule="exact"/>
              <w:jc w:val="left"/>
              <w:rPr>
                <w:rFonts w:ascii="方正书宋_GBK" w:eastAsia="方正书宋_GBK"/>
              </w:rPr>
            </w:pPr>
            <w:r>
              <w:rPr>
                <w:rFonts w:ascii="方正书宋_GBK" w:eastAsia="方正书宋_GBK"/>
              </w:rPr>
              <w:t>3.得到广大受众的充分认可。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8" w:name="_Toc67038152"/>
      <w:r>
        <w:rPr>
          <w:rFonts w:ascii="方正仿宋_GBK" w:eastAsia="方正仿宋_GBK"/>
          <w:b/>
          <w:sz w:val="28"/>
        </w:rPr>
        <w:t>15.扶贫公益岗和乡村服务岗补贴资金绩效目标表</w:t>
      </w:r>
      <w:bookmarkEnd w:id="18"/>
      <w:r>
        <w:rPr>
          <w:rFonts w:ascii="方正仿宋_GBK" w:eastAsia="方正仿宋_GBK"/>
          <w:b/>
          <w:sz w:val="28"/>
        </w:rPr>
        <w:fldChar w:fldCharType="begin"/>
      </w:r>
      <w:r>
        <w:rPr>
          <w:rFonts w:ascii="方正仿宋_GBK" w:eastAsia="方正仿宋_GBK"/>
          <w:b/>
          <w:sz w:val="28"/>
        </w:rPr>
        <w:instrText xml:space="preserve"> TC 15、扶贫公益岗和乡村服务岗补贴资金绩效目标表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9"/>
        <w:gridCol w:w="1130"/>
        <w:gridCol w:w="1804"/>
        <w:gridCol w:w="1471"/>
        <w:gridCol w:w="1295"/>
        <w:gridCol w:w="1123"/>
        <w:gridCol w:w="151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13062521MLD62VYBRYIWI</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扶贫公益岗和乡村服务岗补贴资金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324283.00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324283.00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以公益</w:t>
            </w:r>
            <w:r>
              <w:rPr>
                <w:rFonts w:hint="eastAsia" w:ascii="方正书宋_GBK" w:eastAsia="方正书宋_GBK"/>
                <w:lang w:val="en-US" w:eastAsia="zh-CN"/>
              </w:rPr>
              <w:t>性</w:t>
            </w:r>
            <w:r>
              <w:rPr>
                <w:rFonts w:ascii="方正书宋_GBK" w:eastAsia="方正书宋_GBK"/>
              </w:rPr>
              <w:t>岗位就业为抓手，引导建档立卡贫困人员积极参加公共服务事业，给予一定的岗位补贴，促进建档立卡贫困人员增收致富，并为其购置人身意外保险，保障其人身安全。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1.以公益</w:t>
            </w:r>
            <w:r>
              <w:rPr>
                <w:rFonts w:hint="eastAsia" w:ascii="方正书宋_GBK" w:eastAsia="方正书宋_GBK"/>
                <w:lang w:val="en-US" w:eastAsia="zh-CN"/>
              </w:rPr>
              <w:t>性</w:t>
            </w:r>
            <w:bookmarkStart w:id="28" w:name="_GoBack"/>
            <w:bookmarkEnd w:id="28"/>
            <w:r>
              <w:rPr>
                <w:rFonts w:ascii="方正书宋_GBK" w:eastAsia="方正书宋_GBK"/>
              </w:rPr>
              <w:t>岗位就业为抓手，引导建档立卡贫困人员积极参加公共服务事业</w:t>
            </w:r>
          </w:p>
          <w:p>
            <w:pPr>
              <w:spacing w:line="300" w:lineRule="exact"/>
              <w:jc w:val="left"/>
              <w:rPr>
                <w:rFonts w:ascii="方正书宋_GBK" w:eastAsia="方正书宋_GBK"/>
              </w:rPr>
            </w:pPr>
            <w:r>
              <w:rPr>
                <w:rFonts w:ascii="方正书宋_GBK" w:eastAsia="方正书宋_GBK"/>
              </w:rPr>
              <w:t>2.给予一定的岗位补贴，促进建档立卡贫困人员增收脱贫</w:t>
            </w:r>
          </w:p>
          <w:p>
            <w:pPr>
              <w:spacing w:line="300" w:lineRule="exact"/>
              <w:jc w:val="left"/>
              <w:rPr>
                <w:rFonts w:ascii="方正书宋_GBK" w:eastAsia="方正书宋_GBK"/>
              </w:rPr>
            </w:pPr>
            <w:r>
              <w:rPr>
                <w:rFonts w:ascii="方正书宋_GBK" w:eastAsia="方正书宋_GBK"/>
              </w:rPr>
              <w:t>3.及时发放岗位补助，确保相关人员情绪稳定，维持社会稳定。</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每月补助金额</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按照岗位补助标准发放岗位补助</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受益建档立卡贫困人数（人）</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受助对象满意度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满意贫困人数占岗位人数的比率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19" w:name="_Toc67038153"/>
      <w:r>
        <w:rPr>
          <w:rFonts w:ascii="方正仿宋_GBK" w:eastAsia="方正仿宋_GBK"/>
          <w:b/>
          <w:sz w:val="28"/>
        </w:rPr>
        <w:t>16.退役军人公益性岗位人员工资绩效目标表</w:t>
      </w:r>
      <w:bookmarkEnd w:id="19"/>
      <w:r>
        <w:rPr>
          <w:rFonts w:ascii="方正仿宋_GBK" w:eastAsia="方正仿宋_GBK"/>
          <w:b/>
          <w:sz w:val="28"/>
        </w:rPr>
        <w:fldChar w:fldCharType="begin"/>
      </w:r>
      <w:r>
        <w:rPr>
          <w:rFonts w:ascii="方正仿宋_GBK" w:eastAsia="方正仿宋_GBK"/>
          <w:b/>
          <w:sz w:val="28"/>
        </w:rPr>
        <w:instrText xml:space="preserve"> TC 16、退役军人公益性岗位人员工资绩效目标表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6"/>
        <w:gridCol w:w="1133"/>
        <w:gridCol w:w="1833"/>
        <w:gridCol w:w="1464"/>
        <w:gridCol w:w="1294"/>
        <w:gridCol w:w="1114"/>
        <w:gridCol w:w="149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13062521PNHLX7BE85NVP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267600.00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267600.00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退役军人公益性岗位人员工资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1.维护社会稳定</w:t>
            </w:r>
          </w:p>
          <w:p>
            <w:pPr>
              <w:spacing w:line="300" w:lineRule="exact"/>
              <w:jc w:val="left"/>
              <w:rPr>
                <w:rFonts w:ascii="方正书宋_GBK" w:eastAsia="方正书宋_GBK"/>
              </w:rPr>
            </w:pPr>
            <w:r>
              <w:rPr>
                <w:rFonts w:ascii="方正书宋_GBK" w:eastAsia="方正书宋_GBK"/>
              </w:rPr>
              <w:t>2.把退役安置工作作为支出国家国防军队建设的一项重要任务强力推进</w:t>
            </w:r>
          </w:p>
          <w:p>
            <w:pPr>
              <w:spacing w:line="300" w:lineRule="exact"/>
              <w:jc w:val="left"/>
              <w:rPr>
                <w:rFonts w:ascii="方正书宋_GBK" w:eastAsia="方正书宋_GBK"/>
              </w:rPr>
            </w:pPr>
            <w:r>
              <w:rPr>
                <w:rFonts w:ascii="方正书宋_GBK" w:eastAsia="方正书宋_GBK"/>
              </w:rPr>
              <w:t>3.能够保障相关工作正常运转</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资金足额兑现率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该笔资金投入后是否能够按照规定金额发放落实到位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群众来访接待率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资金及时发放率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该笔资金投入后是否能够按照规定时间发放落实到位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保障工作正常运行</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能够保障工作正常运转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100百分比</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依据部门职责</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0" w:name="_Toc67038154"/>
      <w:r>
        <w:rPr>
          <w:rFonts w:ascii="方正仿宋_GBK" w:eastAsia="方正仿宋_GBK"/>
          <w:b/>
          <w:sz w:val="28"/>
        </w:rPr>
        <w:t>17.地震群测群防岗位津贴绩效目标表</w:t>
      </w:r>
      <w:bookmarkEnd w:id="20"/>
      <w:r>
        <w:rPr>
          <w:rFonts w:ascii="方正仿宋_GBK" w:eastAsia="方正仿宋_GBK"/>
          <w:b/>
          <w:sz w:val="28"/>
        </w:rPr>
        <w:fldChar w:fldCharType="begin"/>
      </w:r>
      <w:r>
        <w:rPr>
          <w:rFonts w:ascii="方正仿宋_GBK" w:eastAsia="方正仿宋_GBK"/>
          <w:b/>
          <w:sz w:val="28"/>
        </w:rPr>
        <w:instrText xml:space="preserve"> TC 17、地震群测群防岗位津贴绩效目标表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5"/>
        <w:gridCol w:w="1225"/>
        <w:gridCol w:w="1791"/>
        <w:gridCol w:w="1464"/>
        <w:gridCol w:w="1247"/>
        <w:gridCol w:w="1113"/>
        <w:gridCol w:w="14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13062521QOOIPGXELDU3U</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5100.00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5100.00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地震群测群防岗位津贴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1.通过项目实施，维持地震群测群防队伍的稳定。</w:t>
            </w:r>
          </w:p>
          <w:p>
            <w:pPr>
              <w:spacing w:line="300" w:lineRule="exact"/>
              <w:jc w:val="left"/>
              <w:rPr>
                <w:rFonts w:ascii="方正书宋_GBK" w:eastAsia="方正书宋_GBK"/>
              </w:rPr>
            </w:pPr>
            <w:r>
              <w:rPr>
                <w:rFonts w:ascii="方正书宋_GBK" w:eastAsia="方正书宋_GBK"/>
              </w:rPr>
              <w:t>2.有效降低地震灾害造成的人身及财产损失。</w:t>
            </w:r>
          </w:p>
          <w:p>
            <w:pPr>
              <w:spacing w:line="300" w:lineRule="exact"/>
              <w:jc w:val="left"/>
              <w:rPr>
                <w:rFonts w:ascii="方正书宋_GBK" w:eastAsia="方正书宋_GBK"/>
              </w:rPr>
            </w:pPr>
            <w:r>
              <w:rPr>
                <w:rFonts w:ascii="方正书宋_GBK" w:eastAsia="方正书宋_GBK"/>
              </w:rPr>
              <w:t>3.各项任务完成及时</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地震群测群防队伍覆盖全区各乡镇（办事处）</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≥180元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镇（办事处）地震群测群防人员岗位津贴发放完成率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1" w:name="_Toc67038155"/>
      <w:r>
        <w:rPr>
          <w:rFonts w:ascii="方正仿宋_GBK" w:eastAsia="方正仿宋_GBK"/>
          <w:b/>
          <w:sz w:val="28"/>
        </w:rPr>
        <w:t>18.服务群众专项经费绩效目标表</w:t>
      </w:r>
      <w:bookmarkEnd w:id="21"/>
      <w:r>
        <w:rPr>
          <w:rFonts w:ascii="方正仿宋_GBK" w:eastAsia="方正仿宋_GBK"/>
          <w:b/>
          <w:sz w:val="28"/>
        </w:rPr>
        <w:fldChar w:fldCharType="begin"/>
      </w:r>
      <w:r>
        <w:rPr>
          <w:rFonts w:ascii="方正仿宋_GBK" w:eastAsia="方正仿宋_GBK"/>
          <w:b/>
          <w:sz w:val="28"/>
        </w:rPr>
        <w:instrText xml:space="preserve"> TC 18、服务群众专项经费绩效目标表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9"/>
        <w:gridCol w:w="1120"/>
        <w:gridCol w:w="1900"/>
        <w:gridCol w:w="1458"/>
        <w:gridCol w:w="1375"/>
        <w:gridCol w:w="1064"/>
        <w:gridCol w:w="14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13062521S7CL18LQ4QW4X</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1250000.00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1250000.00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服务群众专项经费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1.运用服务群众专项经费，保障村内组织日常活动。</w:t>
            </w:r>
          </w:p>
          <w:p>
            <w:pPr>
              <w:spacing w:line="300" w:lineRule="exact"/>
              <w:jc w:val="left"/>
              <w:rPr>
                <w:rFonts w:ascii="方正书宋_GBK" w:eastAsia="方正书宋_GBK"/>
              </w:rPr>
            </w:pPr>
            <w:r>
              <w:rPr>
                <w:rFonts w:ascii="方正书宋_GBK" w:eastAsia="方正书宋_GBK"/>
              </w:rPr>
              <w:t>2.正确使用服务群众专项经费用于村内公益事业,达到群众满意。</w:t>
            </w:r>
          </w:p>
          <w:p>
            <w:pPr>
              <w:spacing w:line="300" w:lineRule="exact"/>
              <w:jc w:val="left"/>
              <w:rPr>
                <w:rFonts w:ascii="方正书宋_GBK" w:eastAsia="方正书宋_GBK"/>
              </w:rPr>
            </w:pPr>
            <w:r>
              <w:rPr>
                <w:rFonts w:ascii="方正书宋_GBK" w:eastAsia="方正书宋_GBK"/>
              </w:rPr>
              <w:t>3.增加农村社区综合服务设施覆盖率</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运行保障成本</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达到村级组织运转保障水平</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农村社区综合服务设施覆盖率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≥85%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群众工作中心任务完成率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当年服务群众任务完成情况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社会稳定水平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通过实施此项资金，促进社会稳定水平逐步提高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逐步改善</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群众满意数量占总数的比例。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依据上级专款文件</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2" w:name="_Toc67038156"/>
      <w:r>
        <w:rPr>
          <w:rFonts w:ascii="方正仿宋_GBK" w:eastAsia="方正仿宋_GBK"/>
          <w:b/>
          <w:sz w:val="28"/>
        </w:rPr>
        <w:t>19.拨付原京原公路工役制人员落实待遇基金绩效目标表</w:t>
      </w:r>
      <w:bookmarkEnd w:id="22"/>
      <w:r>
        <w:rPr>
          <w:rFonts w:ascii="方正仿宋_GBK" w:eastAsia="方正仿宋_GBK"/>
          <w:b/>
          <w:sz w:val="28"/>
        </w:rPr>
        <w:fldChar w:fldCharType="begin"/>
      </w:r>
      <w:r>
        <w:rPr>
          <w:rFonts w:ascii="方正仿宋_GBK" w:eastAsia="方正仿宋_GBK"/>
          <w:b/>
          <w:sz w:val="28"/>
        </w:rPr>
        <w:instrText xml:space="preserve"> TC 19、拨付原京原公路工役制人员落实待遇基金绩效目标表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3"/>
        <w:gridCol w:w="1142"/>
        <w:gridCol w:w="1851"/>
        <w:gridCol w:w="1458"/>
        <w:gridCol w:w="1294"/>
        <w:gridCol w:w="1106"/>
        <w:gridCol w:w="148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13062521TQZ78700MQRK2</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拨付原京原公路工役制人员落实待遇基金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307800.00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307800.00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拨付原京原公路工役制人员落实待遇基金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1.资金及时足额发放到位，维护工役制人员利益</w:t>
            </w:r>
          </w:p>
          <w:p>
            <w:pPr>
              <w:spacing w:line="300" w:lineRule="exact"/>
              <w:jc w:val="left"/>
              <w:rPr>
                <w:rFonts w:ascii="方正书宋_GBK" w:eastAsia="方正书宋_GBK"/>
              </w:rPr>
            </w:pPr>
            <w:r>
              <w:rPr>
                <w:rFonts w:ascii="方正书宋_GBK" w:eastAsia="方正书宋_GBK"/>
              </w:rPr>
              <w:t>2.促进地区稳定发展、相关人员情绪稳定.</w:t>
            </w:r>
          </w:p>
          <w:p>
            <w:pPr>
              <w:spacing w:line="300" w:lineRule="exact"/>
              <w:jc w:val="left"/>
              <w:rPr>
                <w:rFonts w:ascii="方正书宋_GBK" w:eastAsia="方正书宋_GBK"/>
              </w:rPr>
            </w:pPr>
            <w:r>
              <w:rPr>
                <w:rFonts w:ascii="方正书宋_GBK" w:eastAsia="方正书宋_GBK"/>
              </w:rPr>
              <w:t>3.确保发放对象及时领取相应资金,维护社会稳定,得到广大受众的充分认可。.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补助金发放率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实际发放的补助金金额占计划发放补助金额的比率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补助资金发放完成率（%）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资金发放准时率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人均补贴标准</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人均补贴标准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测算标准</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3" w:name="_Toc67038157"/>
      <w:r>
        <w:rPr>
          <w:rFonts w:ascii="方正仿宋_GBK" w:eastAsia="方正仿宋_GBK"/>
          <w:b/>
          <w:sz w:val="28"/>
        </w:rPr>
        <w:t>20.大因、南白塔村学校占地租金绩效目标表</w:t>
      </w:r>
      <w:bookmarkEnd w:id="23"/>
      <w:r>
        <w:rPr>
          <w:rFonts w:ascii="方正仿宋_GBK" w:eastAsia="方正仿宋_GBK"/>
          <w:b/>
          <w:sz w:val="28"/>
        </w:rPr>
        <w:fldChar w:fldCharType="begin"/>
      </w:r>
      <w:r>
        <w:rPr>
          <w:rFonts w:ascii="方正仿宋_GBK" w:eastAsia="方正仿宋_GBK"/>
          <w:b/>
          <w:sz w:val="28"/>
        </w:rPr>
        <w:instrText xml:space="preserve"> TC 20、大因、南白塔村学校占地租金绩效目标表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1"/>
        <w:gridCol w:w="1178"/>
        <w:gridCol w:w="1817"/>
        <w:gridCol w:w="1421"/>
        <w:gridCol w:w="1273"/>
        <w:gridCol w:w="1127"/>
        <w:gridCol w:w="15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13062521TR7TKG7TM0GGP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大因、南白塔村学校占地租金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43756.80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43756.80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大因、南白塔村学校占地租金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1.资金及时足额发放到位，维护学校占地户利益，稳定乡情村情。</w:t>
            </w:r>
          </w:p>
          <w:p>
            <w:pPr>
              <w:spacing w:line="300" w:lineRule="exact"/>
              <w:jc w:val="left"/>
              <w:rPr>
                <w:rFonts w:ascii="方正书宋_GBK" w:eastAsia="方正书宋_GBK"/>
              </w:rPr>
            </w:pPr>
            <w:r>
              <w:rPr>
                <w:rFonts w:ascii="方正书宋_GBK" w:eastAsia="方正书宋_GBK"/>
              </w:rPr>
              <w:t>2.校舍面积满足教育教学需要，教学点能够正常运转。</w:t>
            </w:r>
          </w:p>
          <w:p>
            <w:pPr>
              <w:spacing w:line="300" w:lineRule="exact"/>
              <w:jc w:val="left"/>
              <w:rPr>
                <w:rFonts w:ascii="方正书宋_GBK" w:eastAsia="方正书宋_GBK"/>
              </w:rPr>
            </w:pPr>
            <w:r>
              <w:rPr>
                <w:rFonts w:ascii="方正书宋_GBK" w:eastAsia="方正书宋_GBK"/>
              </w:rPr>
              <w:t>3.得到广大受众的充分认可。</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资金拨付时效</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指资金到位后，按照时间节点及时拨付到位</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社会影响力</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得到广大受众的充分认可。</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4" w:name="_Toc67038158"/>
      <w:r>
        <w:rPr>
          <w:rFonts w:ascii="方正仿宋_GBK" w:eastAsia="方正仿宋_GBK"/>
          <w:b/>
          <w:sz w:val="28"/>
        </w:rPr>
        <w:t>21.团委综合事务管理经费绩效目标表</w:t>
      </w:r>
      <w:bookmarkEnd w:id="24"/>
      <w:r>
        <w:rPr>
          <w:rFonts w:ascii="方正仿宋_GBK" w:eastAsia="方正仿宋_GBK"/>
          <w:b/>
          <w:sz w:val="28"/>
        </w:rPr>
        <w:fldChar w:fldCharType="begin"/>
      </w:r>
      <w:r>
        <w:rPr>
          <w:rFonts w:ascii="方正仿宋_GBK" w:eastAsia="方正仿宋_GBK"/>
          <w:b/>
          <w:sz w:val="28"/>
        </w:rPr>
        <w:instrText xml:space="preserve"> TC 21、团委综合事务管理经费绩效目标表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1197"/>
        <w:gridCol w:w="1847"/>
        <w:gridCol w:w="1453"/>
        <w:gridCol w:w="1267"/>
        <w:gridCol w:w="1099"/>
        <w:gridCol w:w="14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13062521UWL68VH1S9NKV</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团委综合事务管理经费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1.资金足额支付到位，为团组织活动提供资金保障。</w:t>
            </w:r>
          </w:p>
          <w:p>
            <w:pPr>
              <w:spacing w:line="300" w:lineRule="exact"/>
              <w:jc w:val="left"/>
              <w:rPr>
                <w:rFonts w:ascii="方正书宋_GBK" w:eastAsia="方正书宋_GBK"/>
              </w:rPr>
            </w:pPr>
            <w:r>
              <w:rPr>
                <w:rFonts w:ascii="方正书宋_GBK" w:eastAsia="方正书宋_GBK"/>
              </w:rPr>
              <w:t>2.保障基层共青团建设发展资金需求，为基层青年教育创造良好环境。</w:t>
            </w:r>
          </w:p>
          <w:p>
            <w:pPr>
              <w:spacing w:line="300" w:lineRule="exact"/>
              <w:jc w:val="left"/>
              <w:rPr>
                <w:rFonts w:ascii="方正书宋_GBK" w:eastAsia="方正书宋_GBK"/>
              </w:rPr>
            </w:pPr>
            <w:r>
              <w:rPr>
                <w:rFonts w:ascii="方正书宋_GBK" w:eastAsia="方正书宋_GBK"/>
              </w:rPr>
              <w:t>3.提高受教育青年占应受教育青年人数</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组织宣传活动次数（次）</w:t>
            </w:r>
            <w:r>
              <w:rPr>
                <w:rFonts w:ascii="方正书宋_GBK" w:eastAsia="方正书宋_GBK"/>
              </w:rPr>
              <w:tab/>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组织宣传活动次数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≥3次</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资金足额拨付率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实际拨付资金占应拨付资金的比率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教育普及率（%）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受教育青年占应受教育青年人数比率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5" w:name="_Toc67038159"/>
      <w:r>
        <w:rPr>
          <w:rFonts w:ascii="方正仿宋_GBK" w:eastAsia="方正仿宋_GBK"/>
          <w:b/>
          <w:sz w:val="28"/>
        </w:rPr>
        <w:t>22.大气污染防治经费绩效目标表</w:t>
      </w:r>
      <w:bookmarkEnd w:id="25"/>
      <w:r>
        <w:rPr>
          <w:rFonts w:ascii="方正仿宋_GBK" w:eastAsia="方正仿宋_GBK"/>
          <w:b/>
          <w:sz w:val="28"/>
        </w:rPr>
        <w:fldChar w:fldCharType="begin"/>
      </w:r>
      <w:r>
        <w:rPr>
          <w:rFonts w:ascii="方正仿宋_GBK" w:eastAsia="方正仿宋_GBK"/>
          <w:b/>
          <w:sz w:val="28"/>
        </w:rPr>
        <w:instrText xml:space="preserve"> TC 22、大气污染防治经费绩效目标表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4"/>
        <w:gridCol w:w="1178"/>
        <w:gridCol w:w="1909"/>
        <w:gridCol w:w="1437"/>
        <w:gridCol w:w="1292"/>
        <w:gridCol w:w="1079"/>
        <w:gridCol w:w="14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13062521W42OG9D7CL6EM</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大气污染防治经费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205000.00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大气污染防治经费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90.00%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1.资金及时支付到位，保障大气污染防治工作正常开展。</w:t>
            </w:r>
          </w:p>
          <w:p>
            <w:pPr>
              <w:spacing w:line="300" w:lineRule="exact"/>
              <w:jc w:val="left"/>
              <w:rPr>
                <w:rFonts w:ascii="方正书宋_GBK" w:eastAsia="方正书宋_GBK"/>
              </w:rPr>
            </w:pPr>
            <w:r>
              <w:rPr>
                <w:rFonts w:ascii="方正书宋_GBK" w:eastAsia="方正书宋_GBK"/>
              </w:rPr>
              <w:t>2.加强大气污染防治，推动辖区内环境空气质量改善，为雄安新建设保驾护航。</w:t>
            </w:r>
          </w:p>
          <w:p>
            <w:pPr>
              <w:spacing w:line="300" w:lineRule="exact"/>
              <w:jc w:val="left"/>
              <w:rPr>
                <w:rFonts w:ascii="方正书宋_GBK" w:eastAsia="方正书宋_GBK"/>
              </w:rPr>
            </w:pPr>
            <w:r>
              <w:rPr>
                <w:rFonts w:ascii="方正书宋_GBK" w:eastAsia="方正书宋_GBK"/>
              </w:rPr>
              <w:t>3.村庄垃圾收集、处理完成良好</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日常巡查覆盖率(％)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日常巡查平均面积占管理范围总面积的比例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≥95%</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工作完成率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生态效益指标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村庄垃圾收集、处理完成情况</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6" w:name="_Toc67038160"/>
      <w:r>
        <w:rPr>
          <w:rFonts w:ascii="方正仿宋_GBK" w:eastAsia="方正仿宋_GBK"/>
          <w:b/>
          <w:sz w:val="28"/>
        </w:rPr>
        <w:t>23.安全生产信息员经费绩效目标表</w:t>
      </w:r>
      <w:bookmarkEnd w:id="26"/>
      <w:r>
        <w:rPr>
          <w:rFonts w:ascii="方正仿宋_GBK" w:eastAsia="方正仿宋_GBK"/>
          <w:b/>
          <w:sz w:val="28"/>
        </w:rPr>
        <w:fldChar w:fldCharType="begin"/>
      </w:r>
      <w:r>
        <w:rPr>
          <w:rFonts w:ascii="方正仿宋_GBK" w:eastAsia="方正仿宋_GBK"/>
          <w:b/>
          <w:sz w:val="28"/>
        </w:rPr>
        <w:instrText xml:space="preserve"> TC 23、安全生产信息员经费绩效目标表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61"/>
        <w:gridCol w:w="1234"/>
        <w:gridCol w:w="1903"/>
        <w:gridCol w:w="1433"/>
        <w:gridCol w:w="1262"/>
        <w:gridCol w:w="1073"/>
        <w:gridCol w:w="144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13062521WTODAHTUWF73S</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19000.00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19000.00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25.00%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50.00%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75.00%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1.通过项目实施，维持安全生产信息员队伍的稳定。</w:t>
            </w:r>
          </w:p>
          <w:p>
            <w:pPr>
              <w:spacing w:line="300" w:lineRule="exact"/>
              <w:jc w:val="left"/>
              <w:rPr>
                <w:rFonts w:ascii="方正书宋_GBK" w:eastAsia="方正书宋_GBK"/>
              </w:rPr>
            </w:pPr>
            <w:r>
              <w:rPr>
                <w:rFonts w:ascii="方正书宋_GBK" w:eastAsia="方正书宋_GBK"/>
              </w:rPr>
              <w:t>2.有效减少安全生产事故的发生，维护安全生产形势稳中向好。</w:t>
            </w:r>
          </w:p>
          <w:p>
            <w:pPr>
              <w:spacing w:line="300" w:lineRule="exact"/>
              <w:jc w:val="left"/>
              <w:rPr>
                <w:rFonts w:ascii="方正书宋_GBK" w:eastAsia="方正书宋_GBK"/>
              </w:rPr>
            </w:pPr>
            <w:r>
              <w:rPr>
                <w:rFonts w:ascii="方正书宋_GBK" w:eastAsia="方正书宋_GBK"/>
              </w:rPr>
              <w:t>3.提高报表信息质量合格率</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安全生产信息员数</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安全生产信息员设置数量</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38人</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报表信息质量合格率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各项任务完成及时率（%）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人均发放水平</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500元</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补贴发放率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安全生产信息员岗位津贴发放完成率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满意度指标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服务对象满意度（%</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调查享受安全生产信息员岗位津贴人员对津贴发放的满意程度</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≥90%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jc w:val="left"/>
      </w:pPr>
    </w:p>
    <w:p>
      <w:pPr>
        <w:ind w:firstLine="562" w:firstLineChars="200"/>
        <w:jc w:val="left"/>
        <w:outlineLvl w:val="3"/>
        <w:rPr>
          <w:rFonts w:ascii="Times New Roman" w:hAnsi="宋体" w:eastAsia="宋体"/>
          <w:b/>
          <w:sz w:val="28"/>
        </w:rPr>
      </w:pPr>
      <w:bookmarkStart w:id="27" w:name="_Toc67038161"/>
      <w:r>
        <w:rPr>
          <w:rFonts w:ascii="方正仿宋_GBK" w:eastAsia="方正仿宋_GBK"/>
          <w:b/>
          <w:sz w:val="28"/>
        </w:rPr>
        <w:t>24.公共图书馆、文化馆（站）免费开放区级配套资金绩效目标表</w:t>
      </w:r>
      <w:bookmarkEnd w:id="27"/>
      <w:r>
        <w:rPr>
          <w:rFonts w:ascii="方正仿宋_GBK" w:eastAsia="方正仿宋_GBK"/>
          <w:b/>
          <w:sz w:val="28"/>
        </w:rPr>
        <w:fldChar w:fldCharType="begin"/>
      </w:r>
      <w:r>
        <w:rPr>
          <w:rFonts w:ascii="方正仿宋_GBK" w:eastAsia="方正仿宋_GBK"/>
          <w:b/>
          <w:sz w:val="28"/>
        </w:rPr>
        <w:instrText xml:space="preserve"> TC 24、公共图书馆、文化馆（站）免费开放区级配套资金绩效目标表 \f C \l 1 </w:instrText>
      </w:r>
      <w:r>
        <w:rPr>
          <w:rFonts w:ascii="方正仿宋_GBK" w:eastAsia="方正仿宋_GBK"/>
          <w:b/>
          <w:sz w:val="28"/>
        </w:rPr>
        <w:fldChar w:fldCharType="end"/>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82"/>
        <w:gridCol w:w="1153"/>
        <w:gridCol w:w="1779"/>
        <w:gridCol w:w="1476"/>
        <w:gridCol w:w="1274"/>
        <w:gridCol w:w="1130"/>
        <w:gridCol w:w="151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711" w:type="dxa"/>
            <w:gridSpan w:val="6"/>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书宋_GBK" w:eastAsia="方正书宋_GBK"/>
                <w:b/>
              </w:rPr>
            </w:pPr>
            <w:r>
              <w:rPr>
                <w:rFonts w:ascii="方正书宋_GBK" w:eastAsia="方正书宋_GBK"/>
                <w:b/>
              </w:rPr>
              <w:t>914001大因镇本级</w:t>
            </w:r>
          </w:p>
        </w:tc>
        <w:tc>
          <w:tcPr>
            <w:tcW w:w="1701" w:type="dxa"/>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rPr>
            </w:pPr>
            <w:r>
              <w:rPr>
                <w:rFonts w:ascii="方正书宋_GBK" w:eastAsia="方正书宋_GBK"/>
              </w:rPr>
              <w:t>单位：元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项目编码</w:t>
            </w:r>
          </w:p>
        </w:tc>
        <w:tc>
          <w:tcPr>
            <w:tcW w:w="2410" w:type="dxa"/>
            <w:gridSpan w:val="2"/>
            <w:shd w:val="clear" w:color="auto" w:fill="auto"/>
            <w:vAlign w:val="center"/>
          </w:tcPr>
          <w:p>
            <w:pPr>
              <w:spacing w:line="300" w:lineRule="exact"/>
              <w:jc w:val="left"/>
              <w:rPr>
                <w:rFonts w:ascii="方正书宋_GBK" w:eastAsia="方正书宋_GBK"/>
              </w:rPr>
            </w:pPr>
            <w:r>
              <w:rPr>
                <w:rFonts w:ascii="方正书宋_GBK" w:eastAsia="方正书宋_GBK"/>
              </w:rPr>
              <w:t>13062521XU85GLK63C5GP</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项目名称</w:t>
            </w:r>
          </w:p>
        </w:tc>
        <w:tc>
          <w:tcPr>
            <w:tcW w:w="4281" w:type="dxa"/>
            <w:gridSpan w:val="3"/>
            <w:shd w:val="clear" w:color="auto" w:fill="auto"/>
            <w:vAlign w:val="center"/>
          </w:tcPr>
          <w:p>
            <w:pPr>
              <w:spacing w:line="300" w:lineRule="exact"/>
              <w:jc w:val="left"/>
              <w:rPr>
                <w:rFonts w:ascii="方正书宋_GBK" w:eastAsia="方正书宋_GBK"/>
              </w:rPr>
            </w:pPr>
            <w:r>
              <w:rPr>
                <w:rFonts w:ascii="方正书宋_GBK" w:eastAsia="方正书宋_GBK"/>
              </w:rPr>
              <w:t>公共图书馆、文化馆（站）免费开放区级配套资金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预算规模及资金用途</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预算数</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其中：财政资金</w:t>
            </w:r>
          </w:p>
        </w:tc>
        <w:tc>
          <w:tcPr>
            <w:tcW w:w="1304" w:type="dxa"/>
            <w:shd w:val="clear" w:color="auto" w:fill="auto"/>
            <w:vAlign w:val="center"/>
          </w:tcPr>
          <w:p>
            <w:pPr>
              <w:spacing w:line="300" w:lineRule="exact"/>
              <w:jc w:val="left"/>
              <w:rPr>
                <w:rFonts w:ascii="方正书宋_GBK" w:eastAsia="方正书宋_GBK"/>
              </w:rPr>
            </w:pPr>
            <w:r>
              <w:rPr>
                <w:rFonts w:ascii="方正书宋_GBK" w:eastAsia="方正书宋_GBK"/>
              </w:rPr>
              <w:t>15000.00</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其他资金</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shd w:val="clear" w:color="auto" w:fill="auto"/>
            <w:vAlign w:val="center"/>
          </w:tcPr>
          <w:p>
            <w:pPr>
              <w:spacing w:line="300" w:lineRule="exact"/>
              <w:jc w:val="left"/>
              <w:outlineLvl w:val="3"/>
            </w:pPr>
          </w:p>
        </w:tc>
        <w:tc>
          <w:tcPr>
            <w:tcW w:w="8278" w:type="dxa"/>
            <w:gridSpan w:val="6"/>
            <w:shd w:val="clear" w:color="auto" w:fill="auto"/>
            <w:vAlign w:val="center"/>
          </w:tcPr>
          <w:p>
            <w:pPr>
              <w:spacing w:line="300" w:lineRule="exact"/>
              <w:jc w:val="left"/>
              <w:rPr>
                <w:rFonts w:ascii="方正书宋_GBK" w:eastAsia="方正书宋_GBK"/>
              </w:rPr>
            </w:pPr>
            <w:r>
              <w:rPr>
                <w:rFonts w:ascii="方正书宋_GBK" w:eastAsia="方正书宋_GBK"/>
              </w:rPr>
              <w:t>资金用途及支出范围：组织公益性群众文化活动，举办公益行讲座和展览宣传，村级文化骨干业务辅导，文化信息资源共享工程、公共电子阅览室服务及设备运行维护，业务活动用房小型修缮及零星业务设备更新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b/>
              </w:rPr>
            </w:pPr>
            <w:r>
              <w:rPr>
                <w:rFonts w:ascii="方正书宋_GBK" w:eastAsia="方正书宋_GBK"/>
                <w:b/>
              </w:rPr>
              <w:t>资金支出计划（%）</w:t>
            </w:r>
          </w:p>
        </w:tc>
        <w:tc>
          <w:tcPr>
            <w:tcW w:w="2410"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3月底</w:t>
            </w:r>
          </w:p>
        </w:tc>
        <w:tc>
          <w:tcPr>
            <w:tcW w:w="1587" w:type="dxa"/>
            <w:shd w:val="clear" w:color="auto" w:fill="auto"/>
            <w:vAlign w:val="center"/>
          </w:tcPr>
          <w:p>
            <w:pPr>
              <w:spacing w:line="300" w:lineRule="exact"/>
              <w:jc w:val="center"/>
              <w:rPr>
                <w:rFonts w:ascii="方正书宋_GBK" w:eastAsia="方正书宋_GBK"/>
                <w:b/>
              </w:rPr>
            </w:pPr>
            <w:r>
              <w:rPr>
                <w:rFonts w:ascii="方正书宋_GBK" w:eastAsia="方正书宋_GBK"/>
                <w:b/>
              </w:rPr>
              <w:t>6月底</w:t>
            </w:r>
          </w:p>
        </w:tc>
        <w:tc>
          <w:tcPr>
            <w:tcW w:w="1304" w:type="dxa"/>
            <w:shd w:val="clear" w:color="auto" w:fill="auto"/>
            <w:vAlign w:val="center"/>
          </w:tcPr>
          <w:p>
            <w:pPr>
              <w:spacing w:line="300" w:lineRule="exact"/>
              <w:jc w:val="center"/>
              <w:rPr>
                <w:rFonts w:ascii="方正书宋_GBK" w:eastAsia="方正书宋_GBK"/>
                <w:b/>
              </w:rPr>
            </w:pPr>
            <w:r>
              <w:rPr>
                <w:rFonts w:ascii="方正书宋_GBK" w:eastAsia="方正书宋_GBK"/>
                <w:b/>
              </w:rPr>
              <w:t>10月底</w:t>
            </w:r>
          </w:p>
        </w:tc>
        <w:tc>
          <w:tcPr>
            <w:tcW w:w="2977" w:type="dxa"/>
            <w:gridSpan w:val="2"/>
            <w:shd w:val="clear" w:color="auto" w:fill="auto"/>
            <w:vAlign w:val="center"/>
          </w:tcPr>
          <w:p>
            <w:pPr>
              <w:spacing w:line="300" w:lineRule="exact"/>
              <w:jc w:val="center"/>
              <w:rPr>
                <w:rFonts w:ascii="方正书宋_GBK" w:eastAsia="方正书宋_GBK"/>
                <w:b/>
              </w:rPr>
            </w:pPr>
            <w:r>
              <w:rPr>
                <w:rFonts w:ascii="方正书宋_GBK" w:eastAsia="方正书宋_GBK"/>
                <w:b/>
              </w:rPr>
              <w:t>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vMerge w:val="continue"/>
            <w:tcBorders>
              <w:bottom w:val="single" w:color="000000" w:sz="6" w:space="0"/>
            </w:tcBorders>
            <w:shd w:val="clear" w:color="auto" w:fill="auto"/>
            <w:vAlign w:val="center"/>
          </w:tcPr>
          <w:p>
            <w:pPr>
              <w:spacing w:line="300" w:lineRule="exact"/>
              <w:jc w:val="left"/>
              <w:outlineLvl w:val="3"/>
            </w:pPr>
          </w:p>
        </w:tc>
        <w:tc>
          <w:tcPr>
            <w:tcW w:w="2410"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30.00%</w:t>
            </w:r>
          </w:p>
        </w:tc>
        <w:tc>
          <w:tcPr>
            <w:tcW w:w="1587"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60.00%</w:t>
            </w:r>
          </w:p>
        </w:tc>
        <w:tc>
          <w:tcPr>
            <w:tcW w:w="1304" w:type="dxa"/>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80.00%</w:t>
            </w:r>
          </w:p>
        </w:tc>
        <w:tc>
          <w:tcPr>
            <w:tcW w:w="2977" w:type="dxa"/>
            <w:gridSpan w:val="2"/>
            <w:tcBorders>
              <w:bottom w:val="single" w:color="000000" w:sz="6" w:space="0"/>
            </w:tcBorders>
            <w:shd w:val="clear" w:color="auto" w:fill="auto"/>
            <w:vAlign w:val="center"/>
          </w:tcPr>
          <w:p>
            <w:pPr>
              <w:spacing w:line="300" w:lineRule="exact"/>
              <w:jc w:val="center"/>
              <w:rPr>
                <w:rFonts w:ascii="方正书宋_GBK" w:eastAsia="方正书宋_GBK"/>
              </w:rPr>
            </w:pPr>
            <w:r>
              <w:rPr>
                <w:rFonts w:ascii="方正书宋_GBK" w:eastAsia="方正书宋_GBK"/>
              </w:rP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34" w:type="dxa"/>
            <w:tcBorders>
              <w:bottom w:val="nil"/>
            </w:tcBorders>
            <w:shd w:val="clear" w:color="auto" w:fill="auto"/>
            <w:vAlign w:val="center"/>
          </w:tcPr>
          <w:p>
            <w:pPr>
              <w:spacing w:line="300" w:lineRule="exact"/>
              <w:jc w:val="center"/>
              <w:rPr>
                <w:rFonts w:ascii="方正书宋_GBK" w:eastAsia="方正书宋_GBK"/>
                <w:b/>
              </w:rPr>
            </w:pPr>
            <w:r>
              <w:rPr>
                <w:rFonts w:ascii="方正书宋_GBK" w:eastAsia="方正书宋_GBK"/>
                <w:b/>
              </w:rPr>
              <w:t>绩效目标</w:t>
            </w:r>
          </w:p>
        </w:tc>
        <w:tc>
          <w:tcPr>
            <w:tcW w:w="8278" w:type="dxa"/>
            <w:gridSpan w:val="6"/>
            <w:tcBorders>
              <w:bottom w:val="nil"/>
            </w:tcBorders>
            <w:shd w:val="clear" w:color="auto" w:fill="auto"/>
            <w:vAlign w:val="center"/>
          </w:tcPr>
          <w:p>
            <w:pPr>
              <w:spacing w:line="300" w:lineRule="exact"/>
              <w:jc w:val="left"/>
              <w:rPr>
                <w:rFonts w:ascii="方正书宋_GBK" w:eastAsia="方正书宋_GBK"/>
              </w:rPr>
            </w:pPr>
            <w:r>
              <w:rPr>
                <w:rFonts w:ascii="方正书宋_GBK" w:eastAsia="方正书宋_GBK"/>
              </w:rPr>
              <w:t>1.公共文化设施达标，机构和队伍健全，实现公共文化资源共享，形成城乡一体公共文化服务网络</w:t>
            </w:r>
          </w:p>
          <w:p>
            <w:pPr>
              <w:spacing w:line="300" w:lineRule="exact"/>
              <w:jc w:val="left"/>
              <w:rPr>
                <w:rFonts w:ascii="方正书宋_GBK" w:eastAsia="方正书宋_GBK"/>
              </w:rPr>
            </w:pPr>
            <w:r>
              <w:rPr>
                <w:rFonts w:ascii="方正书宋_GBK" w:eastAsia="方正书宋_GBK"/>
              </w:rPr>
              <w:t>2.公共文化产品生产和服务能力提高，基本公共文化服务标准化、均等化水平不断提高</w:t>
            </w:r>
          </w:p>
          <w:p>
            <w:pPr>
              <w:spacing w:line="300" w:lineRule="exact"/>
              <w:jc w:val="left"/>
              <w:rPr>
                <w:rFonts w:ascii="方正书宋_GBK" w:eastAsia="方正书宋_GBK"/>
              </w:rPr>
            </w:pPr>
            <w:r>
              <w:rPr>
                <w:rFonts w:ascii="方正书宋_GBK" w:eastAsia="方正书宋_GBK"/>
              </w:rPr>
              <w:t>3.全部免费向社会公众开展基本公共文化服务</w:t>
            </w:r>
          </w:p>
        </w:tc>
      </w:tr>
    </w:tbl>
    <w:p>
      <w:pPr>
        <w:spacing w:line="14" w:lineRule="exact"/>
        <w:jc w:val="center"/>
        <w:rPr>
          <w:rFonts w:ascii="Times New Roman" w:hAnsi="宋体" w:eastAsia="宋体"/>
        </w:rPr>
      </w:pPr>
      <w:r>
        <w:rPr>
          <w:rFonts w:ascii="方正书宋_GBK" w:eastAsia="方正书宋_GBK"/>
        </w:rPr>
        <w:t xml:space="preserve"> </w:t>
      </w:r>
    </w:p>
    <w:tbl>
      <w:tblPr>
        <w:tblStyle w:val="7"/>
        <w:tblW w:w="941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34"/>
        <w:gridCol w:w="1134"/>
        <w:gridCol w:w="1276"/>
        <w:gridCol w:w="2891"/>
        <w:gridCol w:w="1276"/>
        <w:gridCol w:w="170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一级指标</w:t>
            </w:r>
          </w:p>
        </w:tc>
        <w:tc>
          <w:tcPr>
            <w:tcW w:w="1134" w:type="dxa"/>
            <w:shd w:val="clear" w:color="auto" w:fill="auto"/>
            <w:vAlign w:val="center"/>
          </w:tcPr>
          <w:p>
            <w:pPr>
              <w:spacing w:line="300" w:lineRule="exact"/>
              <w:jc w:val="center"/>
              <w:rPr>
                <w:rFonts w:ascii="方正书宋_GBK" w:eastAsia="方正书宋_GBK"/>
                <w:b/>
              </w:rPr>
            </w:pPr>
            <w:r>
              <w:rPr>
                <w:rFonts w:ascii="方正书宋_GBK" w:eastAsia="方正书宋_GBK"/>
                <w:b/>
              </w:rPr>
              <w:t>二级指标</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三级指标</w:t>
            </w:r>
          </w:p>
        </w:tc>
        <w:tc>
          <w:tcPr>
            <w:tcW w:w="2891" w:type="dxa"/>
            <w:shd w:val="clear" w:color="auto" w:fill="auto"/>
            <w:vAlign w:val="center"/>
          </w:tcPr>
          <w:p>
            <w:pPr>
              <w:spacing w:line="300" w:lineRule="exact"/>
              <w:jc w:val="center"/>
              <w:rPr>
                <w:rFonts w:ascii="方正书宋_GBK" w:eastAsia="方正书宋_GBK"/>
                <w:b/>
              </w:rPr>
            </w:pPr>
            <w:r>
              <w:rPr>
                <w:rFonts w:ascii="方正书宋_GBK" w:eastAsia="方正书宋_GBK"/>
                <w:b/>
              </w:rPr>
              <w:t>绩效指标描述</w:t>
            </w:r>
          </w:p>
        </w:tc>
        <w:tc>
          <w:tcPr>
            <w:tcW w:w="1276"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w:t>
            </w:r>
          </w:p>
        </w:tc>
        <w:tc>
          <w:tcPr>
            <w:tcW w:w="1701" w:type="dxa"/>
            <w:shd w:val="clear" w:color="auto" w:fill="auto"/>
            <w:vAlign w:val="center"/>
          </w:tcPr>
          <w:p>
            <w:pPr>
              <w:spacing w:line="300" w:lineRule="exact"/>
              <w:jc w:val="center"/>
              <w:rPr>
                <w:rFonts w:ascii="方正书宋_GBK" w:eastAsia="方正书宋_GBK"/>
                <w:b/>
              </w:rPr>
            </w:pPr>
            <w:r>
              <w:rPr>
                <w:rFonts w:ascii="方正书宋_GBK" w:eastAsia="方正书宋_GBK"/>
                <w:b/>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restart"/>
            <w:shd w:val="clear" w:color="auto" w:fill="auto"/>
            <w:vAlign w:val="center"/>
          </w:tcPr>
          <w:p>
            <w:pPr>
              <w:spacing w:line="300" w:lineRule="exact"/>
              <w:jc w:val="center"/>
              <w:rPr>
                <w:rFonts w:ascii="方正书宋_GBK" w:eastAsia="方正书宋_GBK"/>
              </w:rPr>
            </w:pPr>
            <w:r>
              <w:rPr>
                <w:rFonts w:ascii="方正书宋_GBK" w:eastAsia="方正书宋_GBK"/>
              </w:rPr>
              <w:t>产出指标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数量指标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资金到位率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专项资金补助到位率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质量指标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群众参与人次较上年增长</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活动参与人数较上年增长</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时效指标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控制资金支出</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资金支出进度占预算全额的比例</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vMerge w:val="continue"/>
            <w:shd w:val="clear" w:color="auto" w:fill="auto"/>
            <w:vAlign w:val="center"/>
          </w:tcPr>
          <w:p>
            <w:pPr>
              <w:spacing w:line="300" w:lineRule="exact"/>
              <w:jc w:val="center"/>
              <w:rPr>
                <w:rFonts w:ascii="方正书宋_GBK" w:eastAsia="方正书宋_GBK"/>
              </w:rPr>
            </w:pP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成本指标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预算执行率</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按照支出进度要求和预算构成执行</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100%</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1134" w:type="dxa"/>
            <w:shd w:val="clear" w:color="auto" w:fill="auto"/>
            <w:vAlign w:val="center"/>
          </w:tcPr>
          <w:p>
            <w:pPr>
              <w:spacing w:line="300" w:lineRule="exact"/>
              <w:jc w:val="center"/>
              <w:rPr>
                <w:rFonts w:ascii="方正书宋_GBK" w:eastAsia="方正书宋_GBK"/>
              </w:rPr>
            </w:pPr>
            <w:r>
              <w:rPr>
                <w:rFonts w:ascii="方正书宋_GBK" w:eastAsia="方正书宋_GBK"/>
              </w:rPr>
              <w:t>效益指标</w:t>
            </w:r>
          </w:p>
        </w:tc>
        <w:tc>
          <w:tcPr>
            <w:tcW w:w="1134" w:type="dxa"/>
            <w:shd w:val="clear" w:color="auto" w:fill="auto"/>
            <w:vAlign w:val="center"/>
          </w:tcPr>
          <w:p>
            <w:pPr>
              <w:spacing w:line="300" w:lineRule="exact"/>
              <w:jc w:val="left"/>
              <w:rPr>
                <w:rFonts w:ascii="方正书宋_GBK" w:eastAsia="方正书宋_GBK"/>
              </w:rPr>
            </w:pPr>
            <w:r>
              <w:rPr>
                <w:rFonts w:ascii="方正书宋_GBK" w:eastAsia="方正书宋_GBK"/>
              </w:rPr>
              <w:t>社会效益指标</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免费开放服务水平稳步提高</w:t>
            </w:r>
          </w:p>
        </w:tc>
        <w:tc>
          <w:tcPr>
            <w:tcW w:w="2891" w:type="dxa"/>
            <w:shd w:val="clear" w:color="auto" w:fill="auto"/>
            <w:vAlign w:val="center"/>
          </w:tcPr>
          <w:p>
            <w:pPr>
              <w:spacing w:line="300" w:lineRule="exact"/>
              <w:jc w:val="left"/>
              <w:rPr>
                <w:rFonts w:ascii="方正书宋_GBK" w:eastAsia="方正书宋_GBK"/>
              </w:rPr>
            </w:pPr>
            <w:r>
              <w:rPr>
                <w:rFonts w:ascii="方正书宋_GBK" w:eastAsia="方正书宋_GBK"/>
              </w:rPr>
              <w:t>文化站免费开放服务水平稳步提高</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w:t>
            </w:r>
          </w:p>
        </w:tc>
        <w:tc>
          <w:tcPr>
            <w:tcW w:w="1701" w:type="dxa"/>
            <w:shd w:val="clear" w:color="auto" w:fill="auto"/>
            <w:vAlign w:val="center"/>
          </w:tcPr>
          <w:p>
            <w:pPr>
              <w:spacing w:line="300" w:lineRule="exact"/>
              <w:jc w:val="left"/>
              <w:rPr>
                <w:rFonts w:ascii="方正书宋_GBK" w:eastAsia="方正书宋_GBK"/>
              </w:rPr>
            </w:pPr>
            <w:r>
              <w:rPr>
                <w:rFonts w:ascii="方正书宋_GBK" w:eastAsia="方正书宋_GBK"/>
              </w:rPr>
              <w:t>依据工作方案</w:t>
            </w:r>
          </w:p>
        </w:tc>
      </w:tr>
    </w:tbl>
    <w:p>
      <w:pPr>
        <w:spacing w:line="300" w:lineRule="exact"/>
        <w:jc w:val="left"/>
        <w:sectPr>
          <w:pgSz w:w="11907" w:h="16839"/>
          <w:pgMar w:top="1984" w:right="1304" w:bottom="1134" w:left="1304" w:header="851" w:footer="992" w:gutter="0"/>
          <w:cols w:space="425" w:num="1"/>
          <w:docGrid w:type="lines" w:linePitch="312" w:charSpace="0"/>
        </w:sectPr>
      </w:pPr>
    </w:p>
    <w:p>
      <w:pPr>
        <w:spacing w:line="300" w:lineRule="exact"/>
        <w:ind w:firstLine="420" w:firstLineChars="200"/>
        <w:jc w:val="left"/>
        <w:sectPr>
          <w:pgSz w:w="11907" w:h="16839"/>
          <w:pgMar w:top="1984" w:right="1304" w:bottom="1134" w:left="1304" w:header="851" w:footer="992" w:gutter="0"/>
          <w:cols w:space="425" w:num="1"/>
          <w:docGrid w:type="lines" w:linePitch="312" w:charSpace="0"/>
        </w:sectPr>
      </w:pPr>
    </w:p>
    <w:p>
      <w:pPr>
        <w:jc w:val="center"/>
        <w:outlineLvl w:val="0"/>
        <w:rPr>
          <w:rFonts w:ascii="方正小标宋_GBK" w:eastAsia="方正小标宋_GBK"/>
          <w:sz w:val="44"/>
        </w:rPr>
      </w:pPr>
      <w:r>
        <w:rPr>
          <w:rFonts w:hint="eastAsia" w:ascii="方正小标宋_GBK" w:eastAsia="方正小标宋_GBK"/>
          <w:sz w:val="44"/>
        </w:rPr>
        <w:t>第六部分：政府采购预算情况</w:t>
      </w:r>
    </w:p>
    <w:p>
      <w:pPr>
        <w:spacing w:line="360" w:lineRule="auto"/>
        <w:rPr>
          <w:rFonts w:ascii="仿宋" w:hAnsi="仿宋" w:eastAsia="仿宋"/>
          <w:sz w:val="32"/>
          <w:szCs w:val="32"/>
        </w:rPr>
      </w:pPr>
      <w:r>
        <w:rPr>
          <w:rFonts w:ascii="仿宋" w:hAnsi="仿宋" w:eastAsia="仿宋"/>
          <w:sz w:val="32"/>
          <w:szCs w:val="32"/>
        </w:rPr>
        <w:t>202</w:t>
      </w:r>
      <w:r>
        <w:rPr>
          <w:rFonts w:hint="eastAsia" w:ascii="仿宋" w:hAnsi="仿宋" w:eastAsia="仿宋"/>
          <w:sz w:val="32"/>
          <w:szCs w:val="32"/>
        </w:rPr>
        <w:t>1</w:t>
      </w:r>
      <w:r>
        <w:rPr>
          <w:rFonts w:ascii="仿宋" w:hAnsi="仿宋" w:eastAsia="仿宋"/>
          <w:sz w:val="32"/>
          <w:szCs w:val="32"/>
        </w:rPr>
        <w:t>年，我部门安排政府采购预算</w:t>
      </w:r>
      <w:r>
        <w:rPr>
          <w:rFonts w:hint="eastAsia" w:ascii="仿宋" w:hAnsi="仿宋" w:eastAsia="仿宋"/>
          <w:sz w:val="32"/>
          <w:szCs w:val="32"/>
        </w:rPr>
        <w:t>2.8</w:t>
      </w:r>
      <w:r>
        <w:rPr>
          <w:rFonts w:ascii="仿宋" w:hAnsi="仿宋" w:eastAsia="仿宋"/>
          <w:sz w:val="32"/>
          <w:szCs w:val="32"/>
        </w:rPr>
        <w:t>万元，具体内容见下表：</w:t>
      </w:r>
    </w:p>
    <w:p>
      <w:pPr>
        <w:spacing w:line="360" w:lineRule="auto"/>
        <w:ind w:firstLine="640" w:firstLineChars="200"/>
        <w:rPr>
          <w:rFonts w:ascii="方正小标宋_GBK" w:eastAsia="方正小标宋_GBK"/>
          <w:sz w:val="24"/>
        </w:rPr>
      </w:pPr>
      <w:r>
        <w:rPr>
          <w:rFonts w:hint="eastAsia" w:ascii="仿宋" w:hAnsi="仿宋" w:eastAsia="仿宋"/>
          <w:sz w:val="32"/>
          <w:szCs w:val="32"/>
        </w:rPr>
        <w:t>附部门政府采购预算表。</w:t>
      </w:r>
    </w:p>
    <w:p>
      <w:pPr>
        <w:spacing w:line="360" w:lineRule="auto"/>
        <w:ind w:firstLine="480" w:firstLineChars="200"/>
        <w:rPr>
          <w:rFonts w:ascii="方正小标宋_GBK" w:eastAsia="方正小标宋_GBK"/>
          <w:sz w:val="24"/>
        </w:rPr>
      </w:pPr>
      <w:r>
        <w:rPr>
          <w:rFonts w:ascii="方正小标宋_GBK" w:eastAsia="方正小标宋_GBK"/>
          <w:sz w:val="24"/>
        </w:rPr>
        <w:t>914保定市徐水区大因镇人民政府</w:t>
      </w:r>
    </w:p>
    <w:tbl>
      <w:tblPr>
        <w:tblStyle w:val="7"/>
        <w:tblW w:w="8805" w:type="dxa"/>
        <w:tblInd w:w="0" w:type="dxa"/>
        <w:tblLayout w:type="fixed"/>
        <w:tblCellMar>
          <w:top w:w="15" w:type="dxa"/>
          <w:left w:w="15" w:type="dxa"/>
          <w:bottom w:w="15" w:type="dxa"/>
          <w:right w:w="15" w:type="dxa"/>
        </w:tblCellMar>
      </w:tblPr>
      <w:tblGrid>
        <w:gridCol w:w="814"/>
        <w:gridCol w:w="830"/>
        <w:gridCol w:w="722"/>
        <w:gridCol w:w="1164"/>
        <w:gridCol w:w="497"/>
        <w:gridCol w:w="453"/>
        <w:gridCol w:w="574"/>
        <w:gridCol w:w="519"/>
        <w:gridCol w:w="703"/>
        <w:gridCol w:w="495"/>
        <w:gridCol w:w="805"/>
        <w:gridCol w:w="805"/>
        <w:gridCol w:w="424"/>
      </w:tblGrid>
      <w:tr>
        <w:tblPrEx>
          <w:tblCellMar>
            <w:top w:w="15" w:type="dxa"/>
            <w:left w:w="15" w:type="dxa"/>
            <w:bottom w:w="15" w:type="dxa"/>
            <w:right w:w="15" w:type="dxa"/>
          </w:tblCellMar>
        </w:tblPrEx>
        <w:trPr>
          <w:trHeight w:val="795" w:hRule="atLeast"/>
        </w:trPr>
        <w:tc>
          <w:tcPr>
            <w:tcW w:w="1644"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政府采购项目来源</w:t>
            </w:r>
          </w:p>
        </w:tc>
        <w:tc>
          <w:tcPr>
            <w:tcW w:w="722"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采购物品名称</w:t>
            </w:r>
          </w:p>
        </w:tc>
        <w:tc>
          <w:tcPr>
            <w:tcW w:w="116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政府采购目录序号</w:t>
            </w:r>
          </w:p>
        </w:tc>
        <w:tc>
          <w:tcPr>
            <w:tcW w:w="497"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计量  单位</w:t>
            </w:r>
          </w:p>
        </w:tc>
        <w:tc>
          <w:tcPr>
            <w:tcW w:w="453"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数量</w:t>
            </w:r>
          </w:p>
        </w:tc>
        <w:tc>
          <w:tcPr>
            <w:tcW w:w="57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单价</w:t>
            </w:r>
          </w:p>
        </w:tc>
        <w:tc>
          <w:tcPr>
            <w:tcW w:w="3751" w:type="dxa"/>
            <w:gridSpan w:val="6"/>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政府采购金额（当年部门预算安排资金）</w:t>
            </w:r>
          </w:p>
        </w:tc>
      </w:tr>
      <w:tr>
        <w:tblPrEx>
          <w:tblCellMar>
            <w:top w:w="15" w:type="dxa"/>
            <w:left w:w="15" w:type="dxa"/>
            <w:bottom w:w="15" w:type="dxa"/>
            <w:right w:w="15" w:type="dxa"/>
          </w:tblCellMar>
        </w:tblPrEx>
        <w:trPr>
          <w:trHeight w:val="1335" w:hRule="atLeast"/>
        </w:trPr>
        <w:tc>
          <w:tcPr>
            <w:tcW w:w="814"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项目名称</w:t>
            </w:r>
          </w:p>
        </w:tc>
        <w:tc>
          <w:tcPr>
            <w:tcW w:w="830"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预算资金</w:t>
            </w:r>
          </w:p>
        </w:tc>
        <w:tc>
          <w:tcPr>
            <w:tcW w:w="722"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1164"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497"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453"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574" w:type="dxa"/>
            <w:tcBorders>
              <w:bottom w:val="single" w:color="000000" w:sz="12" w:space="0"/>
              <w:right w:val="single" w:color="000000" w:sz="12" w:space="0"/>
            </w:tcBorders>
            <w:shd w:val="clear" w:color="auto" w:fill="auto"/>
            <w:vAlign w:val="center"/>
          </w:tcPr>
          <w:p>
            <w:pPr>
              <w:jc w:val="left"/>
              <w:rPr>
                <w:rFonts w:ascii="Times New Roman" w:hAnsi="Times New Roman" w:eastAsia="宋体" w:cs="Times New Roman"/>
                <w:color w:val="000000"/>
                <w:sz w:val="18"/>
                <w:szCs w:val="18"/>
              </w:rPr>
            </w:pPr>
          </w:p>
        </w:tc>
        <w:tc>
          <w:tcPr>
            <w:tcW w:w="519"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合计</w:t>
            </w:r>
          </w:p>
        </w:tc>
        <w:tc>
          <w:tcPr>
            <w:tcW w:w="703"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一般公共预算拨款</w:t>
            </w:r>
          </w:p>
        </w:tc>
        <w:tc>
          <w:tcPr>
            <w:tcW w:w="49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基金预算拨款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国有资本经营预算拨款</w:t>
            </w:r>
          </w:p>
        </w:tc>
        <w:tc>
          <w:tcPr>
            <w:tcW w:w="805"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财政专户核拨</w:t>
            </w:r>
          </w:p>
        </w:tc>
        <w:tc>
          <w:tcPr>
            <w:tcW w:w="424" w:type="dxa"/>
            <w:tcBorders>
              <w:top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8"/>
                <w:szCs w:val="18"/>
              </w:rPr>
            </w:pPr>
            <w:r>
              <w:rPr>
                <w:rFonts w:ascii="方正书宋_GBK" w:hAnsi="方正书宋_GBK" w:eastAsia="方正书宋_GBK" w:cs="方正书宋_GBK"/>
                <w:b/>
                <w:color w:val="000000"/>
                <w:kern w:val="0"/>
                <w:sz w:val="18"/>
                <w:szCs w:val="18"/>
              </w:rPr>
              <w:t>其他来源收入</w:t>
            </w: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 w:val="16"/>
                <w:szCs w:val="16"/>
              </w:rPr>
            </w:pPr>
            <w:r>
              <w:rPr>
                <w:rFonts w:ascii="方正书宋_GBK" w:hAnsi="方正书宋_GBK" w:eastAsia="方正书宋_GBK" w:cs="方正书宋_GBK"/>
                <w:b/>
                <w:color w:val="000000"/>
                <w:kern w:val="0"/>
                <w:sz w:val="16"/>
                <w:szCs w:val="16"/>
              </w:rPr>
              <w:t>大因镇（行政）小计</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519"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rPr>
              <w:t>2.8</w:t>
            </w:r>
          </w:p>
        </w:tc>
        <w:tc>
          <w:tcPr>
            <w:tcW w:w="703" w:type="dxa"/>
            <w:tcBorders>
              <w:bottom w:val="single" w:color="000000" w:sz="12" w:space="0"/>
              <w:right w:val="single" w:color="000000" w:sz="12" w:space="0"/>
            </w:tcBorders>
            <w:shd w:val="clear" w:color="auto" w:fill="auto"/>
            <w:vAlign w:val="center"/>
          </w:tcPr>
          <w:p>
            <w:pPr>
              <w:widowControl/>
              <w:jc w:val="center"/>
              <w:textAlignment w:val="center"/>
              <w:rPr>
                <w:rFonts w:ascii="方正书宋_GBK" w:hAnsi="方正书宋_GBK" w:eastAsia="方正书宋_GBK" w:cs="方正书宋_GBK"/>
                <w:b/>
                <w:color w:val="000000"/>
                <w:szCs w:val="21"/>
              </w:rPr>
            </w:pPr>
            <w:r>
              <w:rPr>
                <w:rFonts w:hint="eastAsia" w:ascii="方正书宋_GBK" w:hAnsi="方正书宋_GBK" w:eastAsia="方正书宋_GBK" w:cs="方正书宋_GBK"/>
                <w:b/>
                <w:color w:val="000000"/>
                <w:kern w:val="0"/>
                <w:szCs w:val="21"/>
              </w:rPr>
              <w:t>2.8</w:t>
            </w:r>
          </w:p>
        </w:tc>
        <w:tc>
          <w:tcPr>
            <w:tcW w:w="495"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团委综合事务管理经费</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1</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495" w:type="dxa"/>
            <w:tcBorders>
              <w:bottom w:val="single" w:color="000000" w:sz="12" w:space="0"/>
              <w:right w:val="single" w:color="000000" w:sz="12" w:space="0"/>
            </w:tcBorders>
            <w:shd w:val="clear" w:color="auto" w:fill="auto"/>
            <w:vAlign w:val="center"/>
          </w:tcPr>
          <w:p>
            <w:pPr>
              <w:jc w:val="left"/>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645"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人大工作经费</w:t>
            </w:r>
          </w:p>
          <w:p>
            <w:pPr>
              <w:jc w:val="center"/>
              <w:rPr>
                <w:rFonts w:ascii="方正书宋_GBK" w:hAnsi="方正书宋_GBK" w:eastAsia="方正书宋_GBK" w:cs="方正书宋_GBK"/>
                <w:color w:val="000000"/>
                <w:kern w:val="0"/>
                <w:sz w:val="18"/>
                <w:szCs w:val="18"/>
              </w:rPr>
            </w:pP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3.0</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1</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0.4</w:t>
            </w:r>
          </w:p>
        </w:tc>
        <w:tc>
          <w:tcPr>
            <w:tcW w:w="495"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kern w:val="0"/>
                <w:sz w:val="18"/>
                <w:szCs w:val="18"/>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c>
          <w:tcPr>
            <w:tcW w:w="424"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b/>
                <w:color w:val="000000"/>
                <w:szCs w:val="21"/>
              </w:rPr>
            </w:pPr>
          </w:p>
        </w:tc>
      </w:tr>
      <w:tr>
        <w:tblPrEx>
          <w:tblCellMar>
            <w:top w:w="15" w:type="dxa"/>
            <w:left w:w="15" w:type="dxa"/>
            <w:bottom w:w="15" w:type="dxa"/>
            <w:right w:w="15" w:type="dxa"/>
          </w:tblCellMar>
        </w:tblPrEx>
        <w:trPr>
          <w:trHeight w:val="900" w:hRule="atLeast"/>
        </w:trPr>
        <w:tc>
          <w:tcPr>
            <w:tcW w:w="814" w:type="dxa"/>
            <w:tcBorders>
              <w:left w:val="single" w:color="000000" w:sz="12" w:space="0"/>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政府机关运行维护专项经费</w:t>
            </w:r>
          </w:p>
        </w:tc>
        <w:tc>
          <w:tcPr>
            <w:tcW w:w="830"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30.43</w:t>
            </w:r>
          </w:p>
        </w:tc>
        <w:tc>
          <w:tcPr>
            <w:tcW w:w="722"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台式计算机</w:t>
            </w:r>
          </w:p>
        </w:tc>
        <w:tc>
          <w:tcPr>
            <w:tcW w:w="116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A02010104</w:t>
            </w:r>
          </w:p>
        </w:tc>
        <w:tc>
          <w:tcPr>
            <w:tcW w:w="497"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台</w:t>
            </w:r>
          </w:p>
        </w:tc>
        <w:tc>
          <w:tcPr>
            <w:tcW w:w="45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5</w:t>
            </w:r>
          </w:p>
        </w:tc>
        <w:tc>
          <w:tcPr>
            <w:tcW w:w="574"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ascii="方正书宋_GBK" w:hAnsi="方正书宋_GBK" w:eastAsia="方正书宋_GBK" w:cs="方正书宋_GBK"/>
                <w:color w:val="000000"/>
                <w:kern w:val="0"/>
                <w:sz w:val="18"/>
                <w:szCs w:val="18"/>
              </w:rPr>
              <w:t>0.4</w:t>
            </w:r>
          </w:p>
        </w:tc>
        <w:tc>
          <w:tcPr>
            <w:tcW w:w="519"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703" w:type="dxa"/>
            <w:tcBorders>
              <w:bottom w:val="single" w:color="000000" w:sz="12" w:space="0"/>
              <w:right w:val="single" w:color="000000" w:sz="12" w:space="0"/>
            </w:tcBorders>
            <w:shd w:val="clear" w:color="auto" w:fill="auto"/>
            <w:vAlign w:val="center"/>
          </w:tcPr>
          <w:p>
            <w:pPr>
              <w:jc w:val="center"/>
              <w:rPr>
                <w:rFonts w:ascii="方正书宋_GBK" w:hAnsi="方正书宋_GBK" w:eastAsia="方正书宋_GBK" w:cs="方正书宋_GBK"/>
                <w:color w:val="000000"/>
                <w:kern w:val="0"/>
                <w:sz w:val="18"/>
                <w:szCs w:val="18"/>
              </w:rPr>
            </w:pPr>
            <w:r>
              <w:rPr>
                <w:rFonts w:hint="eastAsia" w:ascii="方正书宋_GBK" w:hAnsi="方正书宋_GBK" w:eastAsia="方正书宋_GBK" w:cs="方正书宋_GBK"/>
                <w:color w:val="000000"/>
                <w:kern w:val="0"/>
                <w:sz w:val="18"/>
                <w:szCs w:val="18"/>
              </w:rPr>
              <w:t>2.0</w:t>
            </w:r>
          </w:p>
        </w:tc>
        <w:tc>
          <w:tcPr>
            <w:tcW w:w="49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805" w:type="dxa"/>
            <w:tcBorders>
              <w:bottom w:val="single" w:color="000000" w:sz="12" w:space="0"/>
              <w:right w:val="single" w:color="000000" w:sz="12" w:space="0"/>
            </w:tcBorders>
            <w:shd w:val="clear" w:color="auto" w:fill="auto"/>
            <w:vAlign w:val="center"/>
          </w:tcPr>
          <w:p>
            <w:pPr>
              <w:jc w:val="right"/>
              <w:rPr>
                <w:rFonts w:ascii="方正书宋_GBK" w:hAnsi="方正书宋_GBK" w:eastAsia="方正书宋_GBK" w:cs="方正书宋_GBK"/>
                <w:color w:val="000000"/>
                <w:szCs w:val="21"/>
              </w:rPr>
            </w:pPr>
          </w:p>
        </w:tc>
        <w:tc>
          <w:tcPr>
            <w:tcW w:w="424" w:type="dxa"/>
            <w:tcBorders>
              <w:bottom w:val="single" w:color="000000" w:sz="12" w:space="0"/>
              <w:right w:val="single" w:color="000000" w:sz="12" w:space="0"/>
            </w:tcBorders>
            <w:shd w:val="clear" w:color="auto" w:fill="auto"/>
            <w:vAlign w:val="center"/>
          </w:tcPr>
          <w:p>
            <w:pPr>
              <w:rPr>
                <w:rFonts w:ascii="宋体" w:hAnsi="宋体" w:eastAsia="宋体" w:cs="宋体"/>
                <w:color w:val="000000"/>
                <w:sz w:val="18"/>
                <w:szCs w:val="18"/>
              </w:rPr>
            </w:pPr>
          </w:p>
        </w:tc>
      </w:tr>
    </w:tbl>
    <w:p>
      <w:pPr>
        <w:spacing w:line="700" w:lineRule="exact"/>
        <w:jc w:val="left"/>
        <w:rPr>
          <w:rFonts w:ascii="方正小标宋_GBK" w:eastAsia="方正小标宋_GBK"/>
          <w:sz w:val="24"/>
        </w:rPr>
        <w:sectPr>
          <w:pgSz w:w="11906" w:h="16838"/>
          <w:pgMar w:top="1440" w:right="1800" w:bottom="1440" w:left="1800" w:header="851" w:footer="992" w:gutter="0"/>
          <w:cols w:space="425" w:num="1"/>
          <w:docGrid w:type="lines" w:linePitch="312" w:charSpace="0"/>
        </w:sectPr>
      </w:pPr>
    </w:p>
    <w:p>
      <w:pPr>
        <w:outlineLvl w:val="0"/>
        <w:rPr>
          <w:rFonts w:ascii="方正小标宋_GBK" w:eastAsia="方正小标宋_GBK"/>
          <w:sz w:val="44"/>
        </w:rPr>
      </w:pPr>
      <w:r>
        <w:rPr>
          <w:rFonts w:hint="eastAsia" w:ascii="方正小标宋_GBK" w:eastAsia="方正小标宋_GBK"/>
          <w:sz w:val="44"/>
        </w:rPr>
        <w:t>第七部分：国有资产信息</w:t>
      </w:r>
    </w:p>
    <w:p>
      <w:pPr>
        <w:spacing w:line="360" w:lineRule="auto"/>
        <w:ind w:firstLine="640" w:firstLineChars="200"/>
        <w:rPr>
          <w:rFonts w:ascii="仿宋" w:hAnsi="仿宋" w:eastAsia="仿宋"/>
          <w:sz w:val="32"/>
          <w:szCs w:val="32"/>
        </w:rPr>
      </w:pPr>
      <w:r>
        <w:rPr>
          <w:rFonts w:hint="eastAsia" w:ascii="仿宋" w:hAnsi="仿宋" w:eastAsia="仿宋"/>
          <w:sz w:val="32"/>
          <w:szCs w:val="32"/>
        </w:rPr>
        <w:t>上年末我部门固定资产总金额为538.78万元（详见下表）。</w:t>
      </w:r>
      <w:r>
        <w:rPr>
          <w:rFonts w:ascii="仿宋" w:hAnsi="仿宋" w:eastAsia="仿宋"/>
          <w:sz w:val="32"/>
          <w:szCs w:val="32"/>
        </w:rPr>
        <w:t xml:space="preserve"> 本年度拟购置固定资产总额为</w:t>
      </w:r>
      <w:r>
        <w:rPr>
          <w:rFonts w:hint="eastAsia" w:ascii="仿宋" w:hAnsi="仿宋" w:eastAsia="仿宋"/>
          <w:sz w:val="32"/>
          <w:szCs w:val="32"/>
        </w:rPr>
        <w:t>2.8</w:t>
      </w:r>
      <w:r>
        <w:rPr>
          <w:rFonts w:ascii="仿宋" w:hAnsi="仿宋" w:eastAsia="仿宋"/>
          <w:sz w:val="32"/>
          <w:szCs w:val="32"/>
        </w:rPr>
        <w:t>万元，已列入政府采购预算，详见政府采购预算表。</w:t>
      </w:r>
    </w:p>
    <w:tbl>
      <w:tblPr>
        <w:tblStyle w:val="7"/>
        <w:tblW w:w="10084" w:type="dxa"/>
        <w:jc w:val="center"/>
        <w:tblLayout w:type="fixed"/>
        <w:tblCellMar>
          <w:top w:w="0" w:type="dxa"/>
          <w:left w:w="108" w:type="dxa"/>
          <w:bottom w:w="0" w:type="dxa"/>
          <w:right w:w="108" w:type="dxa"/>
        </w:tblCellMar>
      </w:tblPr>
      <w:tblGrid>
        <w:gridCol w:w="4788"/>
        <w:gridCol w:w="1035"/>
        <w:gridCol w:w="4261"/>
      </w:tblGrid>
      <w:tr>
        <w:trPr>
          <w:trHeight w:val="510" w:hRule="atLeast"/>
          <w:jc w:val="center"/>
        </w:trPr>
        <w:tc>
          <w:tcPr>
            <w:tcW w:w="10084" w:type="dxa"/>
            <w:gridSpan w:val="3"/>
            <w:tcBorders>
              <w:top w:val="nil"/>
              <w:left w:val="nil"/>
              <w:bottom w:val="nil"/>
              <w:right w:val="nil"/>
            </w:tcBorders>
            <w:shd w:val="clear" w:color="auto" w:fill="auto"/>
            <w:vAlign w:val="center"/>
          </w:tcPr>
          <w:p>
            <w:pPr>
              <w:widowControl/>
              <w:jc w:val="center"/>
              <w:rPr>
                <w:rFonts w:ascii="宋体" w:hAnsi="宋体" w:cs="宋体"/>
                <w:kern w:val="0"/>
                <w:sz w:val="28"/>
                <w:szCs w:val="28"/>
              </w:rPr>
            </w:pPr>
            <w:r>
              <w:rPr>
                <w:rFonts w:hint="eastAsia" w:ascii="宋体" w:hAnsi="宋体"/>
                <w:sz w:val="32"/>
                <w:szCs w:val="32"/>
              </w:rPr>
              <w:t>固定资产占用情况表</w:t>
            </w:r>
          </w:p>
        </w:tc>
      </w:tr>
      <w:tr>
        <w:tblPrEx>
          <w:tblCellMar>
            <w:top w:w="0" w:type="dxa"/>
            <w:left w:w="108" w:type="dxa"/>
            <w:bottom w:w="0" w:type="dxa"/>
            <w:right w:w="108" w:type="dxa"/>
          </w:tblCellMar>
        </w:tblPrEx>
        <w:trPr>
          <w:trHeight w:val="510" w:hRule="atLeast"/>
          <w:jc w:val="center"/>
        </w:trPr>
        <w:tc>
          <w:tcPr>
            <w:tcW w:w="10084" w:type="dxa"/>
            <w:gridSpan w:val="3"/>
            <w:tcBorders>
              <w:top w:val="nil"/>
              <w:left w:val="nil"/>
              <w:bottom w:val="single" w:color="auto" w:sz="4" w:space="0"/>
              <w:right w:val="nil"/>
            </w:tcBorders>
            <w:shd w:val="clear" w:color="auto" w:fill="auto"/>
            <w:vAlign w:val="center"/>
          </w:tcPr>
          <w:p>
            <w:pPr>
              <w:widowControl/>
              <w:jc w:val="center"/>
              <w:rPr>
                <w:rFonts w:ascii="仿宋_GB2312" w:hAnsi="仿宋" w:eastAsia="仿宋_GB2312" w:cs="宋体"/>
                <w:kern w:val="0"/>
                <w:sz w:val="28"/>
                <w:szCs w:val="28"/>
              </w:rPr>
            </w:pPr>
            <w:r>
              <w:rPr>
                <w:rFonts w:hint="eastAsia" w:ascii="仿宋_GB2312" w:hAnsi="仿宋" w:eastAsia="仿宋_GB2312" w:cs="宋体"/>
                <w:bCs/>
                <w:kern w:val="0"/>
                <w:sz w:val="28"/>
                <w:szCs w:val="28"/>
              </w:rPr>
              <w:t>截止时间：</w:t>
            </w:r>
            <w:r>
              <w:rPr>
                <w:rFonts w:ascii="仿宋_GB2312" w:hAnsi="仿宋" w:eastAsia="仿宋_GB2312" w:cs="宋体"/>
                <w:bCs/>
                <w:kern w:val="0"/>
                <w:sz w:val="28"/>
                <w:szCs w:val="28"/>
              </w:rPr>
              <w:t>20</w:t>
            </w:r>
            <w:r>
              <w:rPr>
                <w:rFonts w:hint="eastAsia" w:ascii="仿宋_GB2312" w:hAnsi="仿宋" w:eastAsia="仿宋_GB2312" w:cs="宋体"/>
                <w:bCs/>
                <w:kern w:val="0"/>
                <w:sz w:val="28"/>
                <w:szCs w:val="28"/>
              </w:rPr>
              <w:t>20年12月31日</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项　　目</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数量</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价值（单位：万元）</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b/>
                <w:bCs/>
                <w:kern w:val="0"/>
                <w:sz w:val="24"/>
                <w:szCs w:val="24"/>
              </w:rPr>
            </w:pPr>
            <w:r>
              <w:rPr>
                <w:rFonts w:hint="eastAsia" w:ascii="仿宋_GB2312" w:hAnsi="仿宋" w:eastAsia="仿宋_GB2312" w:cs="宋体"/>
                <w:b/>
                <w:bCs/>
                <w:kern w:val="0"/>
                <w:sz w:val="24"/>
                <w:szCs w:val="24"/>
              </w:rPr>
              <w:t>固定资产总额</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14179</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b/>
                <w:kern w:val="0"/>
                <w:sz w:val="24"/>
                <w:szCs w:val="24"/>
              </w:rPr>
            </w:pPr>
            <w:r>
              <w:rPr>
                <w:rFonts w:hint="eastAsia" w:ascii="仿宋_GB2312" w:hAnsi="仿宋" w:eastAsia="仿宋_GB2312" w:cs="宋体"/>
                <w:b/>
                <w:kern w:val="0"/>
                <w:sz w:val="24"/>
                <w:szCs w:val="24"/>
              </w:rPr>
              <w:t>538.78</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1、房屋（平方米）</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其中：办公用房（平方米）</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2683</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宋体" w:hAnsi="宋体" w:cs="宋体"/>
                <w:color w:val="000000"/>
                <w:kern w:val="0"/>
                <w:sz w:val="24"/>
                <w:szCs w:val="24"/>
              </w:rPr>
              <w:t>211.12</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2、车辆（台、辆）</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w:t>
            </w: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40.43</w:t>
            </w:r>
          </w:p>
        </w:tc>
      </w:tr>
      <w:tr>
        <w:tblPrEx>
          <w:tblCellMar>
            <w:top w:w="0" w:type="dxa"/>
            <w:left w:w="108" w:type="dxa"/>
            <w:bottom w:w="0" w:type="dxa"/>
            <w:right w:w="108" w:type="dxa"/>
          </w:tblCellMar>
        </w:tblPrEx>
        <w:trPr>
          <w:trHeight w:val="510" w:hRule="atLeast"/>
          <w:jc w:val="center"/>
        </w:trPr>
        <w:tc>
          <w:tcPr>
            <w:tcW w:w="478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3、单价在50万元以上的设备(台、套)</w:t>
            </w:r>
          </w:p>
        </w:tc>
        <w:tc>
          <w:tcPr>
            <w:tcW w:w="1035"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nil"/>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其中：单价50万元（含）以上的通用设备</w:t>
            </w:r>
          </w:p>
        </w:tc>
        <w:tc>
          <w:tcPr>
            <w:tcW w:w="10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单价100万元（含）以上的专用设备</w:t>
            </w:r>
          </w:p>
        </w:tc>
        <w:tc>
          <w:tcPr>
            <w:tcW w:w="10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c>
          <w:tcPr>
            <w:tcW w:w="426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_GB2312" w:hAnsi="仿宋" w:eastAsia="仿宋_GB2312" w:cs="宋体"/>
                <w:kern w:val="0"/>
                <w:sz w:val="24"/>
                <w:szCs w:val="24"/>
              </w:rPr>
            </w:pPr>
          </w:p>
        </w:tc>
      </w:tr>
      <w:tr>
        <w:tblPrEx>
          <w:tblCellMar>
            <w:top w:w="0" w:type="dxa"/>
            <w:left w:w="108" w:type="dxa"/>
            <w:bottom w:w="0" w:type="dxa"/>
            <w:right w:w="108" w:type="dxa"/>
          </w:tblCellMar>
        </w:tblPrEx>
        <w:trPr>
          <w:trHeight w:val="510" w:hRule="atLeast"/>
          <w:jc w:val="center"/>
        </w:trPr>
        <w:tc>
          <w:tcPr>
            <w:tcW w:w="4788" w:type="dxa"/>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ascii="仿宋_GB2312" w:hAnsi="仿宋" w:eastAsia="仿宋_GB2312" w:cs="宋体"/>
                <w:kern w:val="0"/>
                <w:sz w:val="24"/>
                <w:szCs w:val="24"/>
              </w:rPr>
            </w:pPr>
            <w:r>
              <w:rPr>
                <w:rFonts w:hint="eastAsia" w:ascii="仿宋_GB2312" w:hAnsi="仿宋" w:eastAsia="仿宋_GB2312" w:cs="宋体"/>
                <w:kern w:val="0"/>
                <w:sz w:val="24"/>
                <w:szCs w:val="24"/>
              </w:rPr>
              <w:t xml:space="preserve">  4、其他固定资产</w:t>
            </w:r>
          </w:p>
        </w:tc>
        <w:tc>
          <w:tcPr>
            <w:tcW w:w="1035"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11492</w:t>
            </w:r>
          </w:p>
        </w:tc>
        <w:tc>
          <w:tcPr>
            <w:tcW w:w="4261" w:type="dxa"/>
            <w:tcBorders>
              <w:top w:val="single" w:color="auto" w:sz="4" w:space="0"/>
              <w:left w:val="nil"/>
              <w:bottom w:val="single" w:color="auto" w:sz="4" w:space="0"/>
              <w:right w:val="single" w:color="auto" w:sz="4" w:space="0"/>
            </w:tcBorders>
            <w:shd w:val="clear" w:color="auto" w:fill="auto"/>
            <w:vAlign w:val="center"/>
          </w:tcPr>
          <w:p>
            <w:pPr>
              <w:jc w:val="center"/>
              <w:rPr>
                <w:rFonts w:ascii="仿宋_GB2312" w:hAnsi="仿宋" w:eastAsia="仿宋_GB2312" w:cs="宋体"/>
                <w:kern w:val="0"/>
                <w:sz w:val="24"/>
                <w:szCs w:val="24"/>
              </w:rPr>
            </w:pPr>
            <w:r>
              <w:rPr>
                <w:rFonts w:hint="eastAsia" w:ascii="仿宋_GB2312" w:hAnsi="仿宋" w:eastAsia="仿宋_GB2312" w:cs="宋体"/>
                <w:kern w:val="0"/>
                <w:sz w:val="24"/>
                <w:szCs w:val="24"/>
              </w:rPr>
              <w:t>287.23</w:t>
            </w:r>
          </w:p>
        </w:tc>
      </w:tr>
    </w:tbl>
    <w:p>
      <w:pPr>
        <w:spacing w:line="360" w:lineRule="auto"/>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第八部分：名词解释</w:t>
      </w:r>
    </w:p>
    <w:p>
      <w:pPr>
        <w:spacing w:line="360" w:lineRule="auto"/>
        <w:ind w:firstLine="640" w:firstLineChars="200"/>
        <w:rPr>
          <w:rFonts w:ascii="仿宋" w:hAnsi="仿宋" w:eastAsia="仿宋"/>
          <w:sz w:val="32"/>
          <w:szCs w:val="32"/>
        </w:rPr>
      </w:pPr>
      <w:r>
        <w:rPr>
          <w:rFonts w:ascii="仿宋" w:hAnsi="仿宋" w:eastAsia="仿宋"/>
          <w:sz w:val="32"/>
          <w:szCs w:val="32"/>
        </w:rPr>
        <w:t>1、一般公共预算财政拨款收入：指区级财政当年拨付的资金。</w:t>
      </w:r>
    </w:p>
    <w:p>
      <w:pPr>
        <w:spacing w:line="360" w:lineRule="auto"/>
        <w:ind w:firstLine="640" w:firstLineChars="200"/>
        <w:rPr>
          <w:rFonts w:ascii="仿宋" w:hAnsi="仿宋" w:eastAsia="仿宋"/>
          <w:sz w:val="32"/>
          <w:szCs w:val="32"/>
        </w:rPr>
      </w:pPr>
      <w:r>
        <w:rPr>
          <w:rFonts w:ascii="仿宋" w:hAnsi="仿宋" w:eastAsia="仿宋"/>
          <w:sz w:val="32"/>
          <w:szCs w:val="32"/>
        </w:rPr>
        <w:t>2、其他收入：指除上述“财政拨款收入”、“事业收入”等以外的收入。</w:t>
      </w:r>
    </w:p>
    <w:p>
      <w:pPr>
        <w:spacing w:line="360" w:lineRule="auto"/>
        <w:ind w:firstLine="640" w:firstLineChars="200"/>
        <w:rPr>
          <w:rFonts w:ascii="仿宋" w:hAnsi="仿宋" w:eastAsia="仿宋"/>
          <w:sz w:val="32"/>
          <w:szCs w:val="32"/>
        </w:rPr>
      </w:pPr>
      <w:r>
        <w:rPr>
          <w:rFonts w:ascii="仿宋" w:hAnsi="仿宋" w:eastAsia="仿宋"/>
          <w:sz w:val="32"/>
          <w:szCs w:val="32"/>
        </w:rPr>
        <w:t>3、基本支出：指为保障机构正常运转、完成日常工作任务而发生的人员支出和公用支出。</w:t>
      </w:r>
    </w:p>
    <w:p>
      <w:pPr>
        <w:spacing w:line="360" w:lineRule="auto"/>
        <w:ind w:firstLine="640" w:firstLineChars="200"/>
        <w:rPr>
          <w:rFonts w:ascii="仿宋" w:hAnsi="仿宋" w:eastAsia="仿宋"/>
          <w:sz w:val="32"/>
          <w:szCs w:val="32"/>
        </w:rPr>
      </w:pPr>
      <w:r>
        <w:rPr>
          <w:rFonts w:ascii="仿宋" w:hAnsi="仿宋" w:eastAsia="仿宋"/>
          <w:sz w:val="32"/>
          <w:szCs w:val="32"/>
        </w:rPr>
        <w:t>4、项目支出：指在基本支出之外为完成特定行政任务和事业发展目标所发生的支出。</w:t>
      </w:r>
    </w:p>
    <w:p>
      <w:pPr>
        <w:spacing w:line="360" w:lineRule="auto"/>
        <w:ind w:firstLine="640" w:firstLineChars="200"/>
        <w:rPr>
          <w:rFonts w:ascii="仿宋" w:hAnsi="仿宋" w:eastAsia="仿宋"/>
          <w:sz w:val="32"/>
          <w:szCs w:val="32"/>
        </w:rPr>
      </w:pPr>
      <w:r>
        <w:rPr>
          <w:rFonts w:ascii="仿宋" w:hAnsi="仿宋" w:eastAsia="仿宋"/>
          <w:sz w:val="32"/>
          <w:szCs w:val="32"/>
        </w:rPr>
        <w:t>5、“三公”经费：纳入区级财政预算管理的“三公”经费，是指区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spacing w:line="360" w:lineRule="auto"/>
        <w:ind w:firstLine="640" w:firstLineChars="200"/>
        <w:rPr>
          <w:rFonts w:ascii="仿宋" w:hAnsi="仿宋" w:eastAsia="仿宋"/>
          <w:sz w:val="32"/>
          <w:szCs w:val="32"/>
        </w:rPr>
      </w:pPr>
      <w:r>
        <w:rPr>
          <w:rFonts w:ascii="仿宋" w:hAnsi="仿宋" w:eastAsia="仿宋"/>
          <w:sz w:val="32"/>
          <w:szCs w:val="32"/>
        </w:rPr>
        <w:t>6、机关运行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jc w:val="center"/>
        <w:rPr>
          <w:rFonts w:ascii="黑体" w:hAnsi="黑体" w:eastAsia="黑体" w:cs="Times New Roman"/>
          <w:sz w:val="32"/>
          <w:szCs w:val="32"/>
        </w:rPr>
      </w:pPr>
    </w:p>
    <w:p>
      <w:pPr>
        <w:jc w:val="center"/>
        <w:outlineLvl w:val="0"/>
        <w:rPr>
          <w:rFonts w:ascii="方正小标宋_GBK" w:eastAsia="方正小标宋_GBK"/>
          <w:sz w:val="44"/>
        </w:rPr>
      </w:pPr>
      <w:r>
        <w:rPr>
          <w:rFonts w:hint="eastAsia" w:ascii="方正小标宋_GBK" w:eastAsia="方正小标宋_GBK"/>
          <w:sz w:val="44"/>
        </w:rPr>
        <w:t>第九部分：其他需说明的事项</w:t>
      </w:r>
    </w:p>
    <w:p>
      <w:pPr>
        <w:spacing w:line="360" w:lineRule="auto"/>
        <w:ind w:firstLine="640" w:firstLineChars="200"/>
        <w:rPr>
          <w:rFonts w:ascii="仿宋" w:hAnsi="仿宋" w:eastAsia="仿宋"/>
          <w:sz w:val="32"/>
          <w:szCs w:val="32"/>
        </w:rPr>
      </w:pPr>
      <w:r>
        <w:rPr>
          <w:rFonts w:hint="eastAsia" w:ascii="仿宋" w:hAnsi="仿宋" w:eastAsia="仿宋"/>
          <w:sz w:val="32"/>
          <w:szCs w:val="32"/>
        </w:rPr>
        <w:t>我部门无其他需说明的事项。</w:t>
      </w:r>
    </w:p>
    <w:p>
      <w:pPr>
        <w:autoSpaceDE w:val="0"/>
        <w:autoSpaceDN w:val="0"/>
        <w:adjustRightInd w:val="0"/>
        <w:jc w:val="left"/>
        <w:rPr>
          <w:rFonts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宋体"/>
    <w:panose1 w:val="00000000000000000000"/>
    <w:charset w:val="86"/>
    <w:family w:val="roman"/>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宋体"/>
    <w:panose1 w:val="00000000000000000000"/>
    <w:charset w:val="86"/>
    <w:family w:val="roman"/>
    <w:pitch w:val="default"/>
    <w:sig w:usb0="00000000" w:usb1="00000000" w:usb2="00000000" w:usb3="00000000" w:csb0="00000000" w:csb1="00000000"/>
  </w:font>
  <w:font w:name="方正书宋_GBK">
    <w:altName w:val="微软雅黑"/>
    <w:panose1 w:val="00000000000000000000"/>
    <w:charset w:val="86"/>
    <w:family w:val="script"/>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F1F"/>
    <w:rsid w:val="00013B8A"/>
    <w:rsid w:val="00044FBC"/>
    <w:rsid w:val="00055F1F"/>
    <w:rsid w:val="000577EF"/>
    <w:rsid w:val="00057F18"/>
    <w:rsid w:val="000A445D"/>
    <w:rsid w:val="000B4CBB"/>
    <w:rsid w:val="000C178B"/>
    <w:rsid w:val="00131DEC"/>
    <w:rsid w:val="00136AB3"/>
    <w:rsid w:val="001462BD"/>
    <w:rsid w:val="00152380"/>
    <w:rsid w:val="001638BE"/>
    <w:rsid w:val="00163B4B"/>
    <w:rsid w:val="00172C7A"/>
    <w:rsid w:val="00181777"/>
    <w:rsid w:val="001B4688"/>
    <w:rsid w:val="001B6235"/>
    <w:rsid w:val="001F4875"/>
    <w:rsid w:val="00212335"/>
    <w:rsid w:val="00221A5B"/>
    <w:rsid w:val="00252D14"/>
    <w:rsid w:val="002918C6"/>
    <w:rsid w:val="00296524"/>
    <w:rsid w:val="002E01F6"/>
    <w:rsid w:val="002F1ACB"/>
    <w:rsid w:val="002F530F"/>
    <w:rsid w:val="00305E97"/>
    <w:rsid w:val="00310532"/>
    <w:rsid w:val="0032782B"/>
    <w:rsid w:val="00340B3D"/>
    <w:rsid w:val="0034253A"/>
    <w:rsid w:val="003656A7"/>
    <w:rsid w:val="00367A30"/>
    <w:rsid w:val="00377BA0"/>
    <w:rsid w:val="003A06D2"/>
    <w:rsid w:val="003A6366"/>
    <w:rsid w:val="003B2BCD"/>
    <w:rsid w:val="003C2317"/>
    <w:rsid w:val="003C442E"/>
    <w:rsid w:val="003D1092"/>
    <w:rsid w:val="003D37CD"/>
    <w:rsid w:val="003E025D"/>
    <w:rsid w:val="003E5531"/>
    <w:rsid w:val="003E6AF3"/>
    <w:rsid w:val="0040243C"/>
    <w:rsid w:val="00406BD1"/>
    <w:rsid w:val="00426C19"/>
    <w:rsid w:val="00450FD9"/>
    <w:rsid w:val="00453CE0"/>
    <w:rsid w:val="00465644"/>
    <w:rsid w:val="00470736"/>
    <w:rsid w:val="00470BBB"/>
    <w:rsid w:val="0048611E"/>
    <w:rsid w:val="004B6929"/>
    <w:rsid w:val="004E2F43"/>
    <w:rsid w:val="004E3572"/>
    <w:rsid w:val="004F3C52"/>
    <w:rsid w:val="00510A1E"/>
    <w:rsid w:val="005158E2"/>
    <w:rsid w:val="00524204"/>
    <w:rsid w:val="00533FA4"/>
    <w:rsid w:val="00550049"/>
    <w:rsid w:val="00570142"/>
    <w:rsid w:val="00586C35"/>
    <w:rsid w:val="005B1B6F"/>
    <w:rsid w:val="005B6CCB"/>
    <w:rsid w:val="005C54AA"/>
    <w:rsid w:val="005C7B89"/>
    <w:rsid w:val="005E3AD6"/>
    <w:rsid w:val="005E5D24"/>
    <w:rsid w:val="005E78FA"/>
    <w:rsid w:val="0062788A"/>
    <w:rsid w:val="00641F8A"/>
    <w:rsid w:val="0066383B"/>
    <w:rsid w:val="006A0EFB"/>
    <w:rsid w:val="006B5117"/>
    <w:rsid w:val="006C62DF"/>
    <w:rsid w:val="006E72FF"/>
    <w:rsid w:val="006F169C"/>
    <w:rsid w:val="006F5104"/>
    <w:rsid w:val="006F6549"/>
    <w:rsid w:val="00735B02"/>
    <w:rsid w:val="007657C8"/>
    <w:rsid w:val="00767A77"/>
    <w:rsid w:val="00771E49"/>
    <w:rsid w:val="00782208"/>
    <w:rsid w:val="00791938"/>
    <w:rsid w:val="007C7FD7"/>
    <w:rsid w:val="007E1731"/>
    <w:rsid w:val="007F3746"/>
    <w:rsid w:val="00833132"/>
    <w:rsid w:val="00840AF0"/>
    <w:rsid w:val="0086454E"/>
    <w:rsid w:val="008672EA"/>
    <w:rsid w:val="00891680"/>
    <w:rsid w:val="008A0099"/>
    <w:rsid w:val="008A0B5F"/>
    <w:rsid w:val="008B5402"/>
    <w:rsid w:val="008D11BC"/>
    <w:rsid w:val="0090527E"/>
    <w:rsid w:val="00905BB7"/>
    <w:rsid w:val="0090620C"/>
    <w:rsid w:val="00912DA4"/>
    <w:rsid w:val="009302B8"/>
    <w:rsid w:val="009305C6"/>
    <w:rsid w:val="009752AE"/>
    <w:rsid w:val="00982F3D"/>
    <w:rsid w:val="009A278A"/>
    <w:rsid w:val="009A30C4"/>
    <w:rsid w:val="009C06A9"/>
    <w:rsid w:val="009D22B9"/>
    <w:rsid w:val="009E2C18"/>
    <w:rsid w:val="00A15F1E"/>
    <w:rsid w:val="00A16957"/>
    <w:rsid w:val="00A6155C"/>
    <w:rsid w:val="00A8079E"/>
    <w:rsid w:val="00A90328"/>
    <w:rsid w:val="00A92D66"/>
    <w:rsid w:val="00AA4262"/>
    <w:rsid w:val="00AB5A90"/>
    <w:rsid w:val="00AB7449"/>
    <w:rsid w:val="00AC775E"/>
    <w:rsid w:val="00AE4AA5"/>
    <w:rsid w:val="00AE7FA9"/>
    <w:rsid w:val="00B147EB"/>
    <w:rsid w:val="00B22155"/>
    <w:rsid w:val="00B76AA9"/>
    <w:rsid w:val="00B80FAB"/>
    <w:rsid w:val="00B81C88"/>
    <w:rsid w:val="00BA5C83"/>
    <w:rsid w:val="00BC6A7D"/>
    <w:rsid w:val="00BD4829"/>
    <w:rsid w:val="00BD6002"/>
    <w:rsid w:val="00BD719F"/>
    <w:rsid w:val="00BF5442"/>
    <w:rsid w:val="00C177A5"/>
    <w:rsid w:val="00C27B25"/>
    <w:rsid w:val="00C35FEE"/>
    <w:rsid w:val="00C50535"/>
    <w:rsid w:val="00C6153C"/>
    <w:rsid w:val="00C906EF"/>
    <w:rsid w:val="00CC7D74"/>
    <w:rsid w:val="00CF0B9F"/>
    <w:rsid w:val="00D02F97"/>
    <w:rsid w:val="00D45530"/>
    <w:rsid w:val="00D45A0E"/>
    <w:rsid w:val="00D45D23"/>
    <w:rsid w:val="00D60D89"/>
    <w:rsid w:val="00D723D1"/>
    <w:rsid w:val="00D7767E"/>
    <w:rsid w:val="00D80C60"/>
    <w:rsid w:val="00D8525F"/>
    <w:rsid w:val="00DA0C4D"/>
    <w:rsid w:val="00DA5DA7"/>
    <w:rsid w:val="00DE3935"/>
    <w:rsid w:val="00DE6B32"/>
    <w:rsid w:val="00DF26B8"/>
    <w:rsid w:val="00E12C68"/>
    <w:rsid w:val="00E2325B"/>
    <w:rsid w:val="00E24075"/>
    <w:rsid w:val="00E270C9"/>
    <w:rsid w:val="00E35F38"/>
    <w:rsid w:val="00E46F27"/>
    <w:rsid w:val="00E509CC"/>
    <w:rsid w:val="00E71A04"/>
    <w:rsid w:val="00E96342"/>
    <w:rsid w:val="00EA2FEA"/>
    <w:rsid w:val="00EA56CB"/>
    <w:rsid w:val="00EA7853"/>
    <w:rsid w:val="00EF69C1"/>
    <w:rsid w:val="00F000B1"/>
    <w:rsid w:val="00F012D3"/>
    <w:rsid w:val="00F044C3"/>
    <w:rsid w:val="00F05EF4"/>
    <w:rsid w:val="00F10D04"/>
    <w:rsid w:val="00F169E3"/>
    <w:rsid w:val="00F35D4B"/>
    <w:rsid w:val="00F3746B"/>
    <w:rsid w:val="00F572CB"/>
    <w:rsid w:val="00F621AF"/>
    <w:rsid w:val="00F8024E"/>
    <w:rsid w:val="00F82447"/>
    <w:rsid w:val="00F868E5"/>
    <w:rsid w:val="00FB2F32"/>
    <w:rsid w:val="00FE0F1F"/>
    <w:rsid w:val="00FF61F3"/>
    <w:rsid w:val="1DDB25FA"/>
    <w:rsid w:val="205816E5"/>
    <w:rsid w:val="218F157F"/>
    <w:rsid w:val="22D27409"/>
    <w:rsid w:val="270056DB"/>
    <w:rsid w:val="389247A5"/>
    <w:rsid w:val="3F4F1A1D"/>
    <w:rsid w:val="4793773E"/>
    <w:rsid w:val="51B25060"/>
    <w:rsid w:val="54B24500"/>
    <w:rsid w:val="59073D15"/>
    <w:rsid w:val="655A35C9"/>
    <w:rsid w:val="73F05219"/>
    <w:rsid w:val="7C2274E8"/>
    <w:rsid w:val="7F651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semiHidden="0"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3"/>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toc 4"/>
    <w:basedOn w:val="1"/>
    <w:next w:val="1"/>
    <w:unhideWhenUsed/>
    <w:qFormat/>
    <w:uiPriority w:val="39"/>
    <w:pPr>
      <w:ind w:left="1260" w:leftChars="600"/>
    </w:pPr>
    <w:rPr>
      <w:rFonts w:ascii="等线" w:hAnsi="等线" w:eastAsia="等线" w:cs="Times New Roman"/>
    </w:rPr>
  </w:style>
  <w:style w:type="paragraph" w:styleId="6">
    <w:name w:val="toc 2"/>
    <w:basedOn w:val="1"/>
    <w:next w:val="1"/>
    <w:unhideWhenUsed/>
    <w:uiPriority w:val="39"/>
    <w:pPr>
      <w:ind w:left="420" w:leftChars="200"/>
    </w:pPr>
    <w:rPr>
      <w:rFonts w:ascii="等线" w:hAnsi="等线" w:eastAsia="等线" w:cs="Times New Roman"/>
    </w:rPr>
  </w:style>
  <w:style w:type="character" w:styleId="9">
    <w:name w:val="page number"/>
    <w:semiHidden/>
    <w:unhideWhenUsed/>
    <w:qFormat/>
    <w:uiPriority w:val="99"/>
  </w:style>
  <w:style w:type="character" w:styleId="10">
    <w:name w:val="Hyperlink"/>
    <w:unhideWhenUsed/>
    <w:qFormat/>
    <w:uiPriority w:val="99"/>
    <w:rPr>
      <w:color w:val="0563C1"/>
      <w:u w:val="single"/>
    </w:rPr>
  </w:style>
  <w:style w:type="character" w:customStyle="1" w:styleId="11">
    <w:name w:val="页眉 字符1"/>
    <w:basedOn w:val="8"/>
    <w:link w:val="4"/>
    <w:uiPriority w:val="99"/>
    <w:rPr>
      <w:sz w:val="18"/>
      <w:szCs w:val="18"/>
    </w:rPr>
  </w:style>
  <w:style w:type="character" w:customStyle="1" w:styleId="12">
    <w:name w:val="页脚 字符1"/>
    <w:basedOn w:val="8"/>
    <w:link w:val="3"/>
    <w:qFormat/>
    <w:uiPriority w:val="99"/>
    <w:rPr>
      <w:sz w:val="18"/>
      <w:szCs w:val="18"/>
    </w:rPr>
  </w:style>
  <w:style w:type="character" w:customStyle="1" w:styleId="13">
    <w:name w:val="批注框文本 字符"/>
    <w:basedOn w:val="8"/>
    <w:link w:val="2"/>
    <w:semiHidden/>
    <w:uiPriority w:val="99"/>
    <w:rPr>
      <w:sz w:val="18"/>
      <w:szCs w:val="18"/>
    </w:rPr>
  </w:style>
  <w:style w:type="character" w:customStyle="1" w:styleId="14">
    <w:name w:val="页眉 字符"/>
    <w:uiPriority w:val="99"/>
    <w:rPr>
      <w:kern w:val="2"/>
      <w:sz w:val="18"/>
      <w:szCs w:val="18"/>
    </w:rPr>
  </w:style>
  <w:style w:type="character" w:customStyle="1" w:styleId="15">
    <w:name w:val="页脚 字符"/>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2FD38A-CE43-47D7-850E-783019BC8EB4}">
  <ds:schemaRefs/>
</ds:datastoreItem>
</file>

<file path=docProps/app.xml><?xml version="1.0" encoding="utf-8"?>
<Properties xmlns="http://schemas.openxmlformats.org/officeDocument/2006/extended-properties" xmlns:vt="http://schemas.openxmlformats.org/officeDocument/2006/docPropsVTypes">
  <Template>Normal</Template>
  <Company>DoubleOX</Company>
  <Pages>1</Pages>
  <Words>45</Words>
  <Characters>261</Characters>
  <Lines>2</Lines>
  <Paragraphs>1</Paragraphs>
  <TotalTime>3</TotalTime>
  <ScaleCrop>false</ScaleCrop>
  <LinksUpToDate>false</LinksUpToDate>
  <CharactersWithSpaces>305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2019-02-15T06:58:00Z</dcterms:created>
  <dc:creator>Windows 用户</dc:creator>
  <cp:lastModifiedBy>simple smile</cp:lastModifiedBy>
  <cp:lastPrinted>2019-02-19T07:03:00Z</cp:lastPrinted>
  <dcterms:modified xsi:type="dcterms:W3CDTF">2025-05-12T02:22:39Z</dcterms:modified>
  <cp:revision>180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4E4AF3BC48F54732A9A43A473E4C71F3</vt:lpwstr>
  </property>
</Properties>
</file>