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64149E" w:rsidRDefault="0064149E">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F4291B">
      <w:pPr>
        <w:widowControl w:val="0"/>
        <w:adjustRightInd/>
        <w:snapToGrid/>
        <w:spacing w:after="0" w:line="580" w:lineRule="exact"/>
        <w:jc w:val="center"/>
        <w:rPr>
          <w:rFonts w:asciiTheme="majorEastAsia" w:eastAsiaTheme="majorEastAsia" w:hAnsiTheme="majorEastAsia" w:cstheme="majorEastAsia"/>
          <w:b/>
          <w:kern w:val="2"/>
          <w:sz w:val="44"/>
          <w:szCs w:val="44"/>
        </w:rPr>
      </w:pPr>
      <w:r>
        <w:rPr>
          <w:rFonts w:asciiTheme="majorEastAsia" w:eastAsiaTheme="majorEastAsia" w:hAnsiTheme="majorEastAsia" w:cstheme="majorEastAsia" w:hint="eastAsia"/>
          <w:b/>
          <w:kern w:val="2"/>
          <w:sz w:val="44"/>
          <w:szCs w:val="44"/>
        </w:rPr>
        <w:t>保定市徐水区</w:t>
      </w:r>
      <w:r w:rsidR="00A93F55">
        <w:rPr>
          <w:rFonts w:asciiTheme="majorEastAsia" w:eastAsiaTheme="majorEastAsia" w:hAnsiTheme="majorEastAsia" w:cstheme="majorEastAsia" w:hint="eastAsia"/>
          <w:b/>
          <w:kern w:val="2"/>
          <w:sz w:val="44"/>
          <w:szCs w:val="44"/>
        </w:rPr>
        <w:t>人民检察院</w:t>
      </w:r>
      <w:r>
        <w:rPr>
          <w:rFonts w:asciiTheme="majorEastAsia" w:eastAsiaTheme="majorEastAsia" w:hAnsiTheme="majorEastAsia" w:cstheme="majorEastAsia" w:hint="eastAsia"/>
          <w:b/>
          <w:kern w:val="2"/>
          <w:sz w:val="44"/>
          <w:szCs w:val="44"/>
        </w:rPr>
        <w:t>202</w:t>
      </w:r>
      <w:r>
        <w:rPr>
          <w:rFonts w:asciiTheme="majorEastAsia" w:eastAsiaTheme="majorEastAsia" w:hAnsiTheme="majorEastAsia" w:cstheme="majorEastAsia"/>
          <w:b/>
          <w:kern w:val="2"/>
          <w:sz w:val="44"/>
          <w:szCs w:val="44"/>
        </w:rPr>
        <w:t>1</w:t>
      </w:r>
      <w:r>
        <w:rPr>
          <w:rFonts w:asciiTheme="majorEastAsia" w:eastAsiaTheme="majorEastAsia" w:hAnsiTheme="majorEastAsia" w:cstheme="majorEastAsia" w:hint="eastAsia"/>
          <w:b/>
          <w:kern w:val="2"/>
          <w:sz w:val="44"/>
          <w:szCs w:val="44"/>
        </w:rPr>
        <w:t>年部门</w:t>
      </w:r>
    </w:p>
    <w:p w:rsidR="00E04566" w:rsidRDefault="00F4291B">
      <w:pPr>
        <w:widowControl w:val="0"/>
        <w:adjustRightInd/>
        <w:snapToGrid/>
        <w:spacing w:after="0" w:line="580" w:lineRule="exact"/>
        <w:jc w:val="center"/>
        <w:rPr>
          <w:rFonts w:ascii="黑体" w:eastAsia="黑体" w:hAnsi="黑体" w:cs="Times New Roman"/>
          <w:bCs/>
          <w:kern w:val="2"/>
          <w:sz w:val="48"/>
          <w:szCs w:val="48"/>
        </w:rPr>
      </w:pPr>
      <w:r>
        <w:rPr>
          <w:rFonts w:asciiTheme="majorEastAsia" w:eastAsiaTheme="majorEastAsia" w:hAnsiTheme="majorEastAsia" w:cstheme="majorEastAsia" w:hint="eastAsia"/>
          <w:b/>
          <w:kern w:val="2"/>
          <w:sz w:val="44"/>
          <w:szCs w:val="44"/>
        </w:rPr>
        <w:t>整体支出绩效评价自评报告</w:t>
      </w: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64149E" w:rsidRDefault="0064149E">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F4291B">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Pr>
          <w:rFonts w:asciiTheme="minorEastAsia" w:eastAsiaTheme="minorEastAsia" w:hAnsiTheme="minorEastAsia" w:cs="Times New Roman" w:hint="eastAsia"/>
          <w:bCs/>
          <w:kern w:val="2"/>
          <w:sz w:val="36"/>
          <w:szCs w:val="36"/>
        </w:rPr>
        <w:t>20</w:t>
      </w:r>
      <w:r>
        <w:rPr>
          <w:rFonts w:asciiTheme="minorEastAsia" w:eastAsiaTheme="minorEastAsia" w:hAnsiTheme="minorEastAsia" w:cs="Times New Roman"/>
          <w:bCs/>
          <w:kern w:val="2"/>
          <w:sz w:val="36"/>
          <w:szCs w:val="36"/>
        </w:rPr>
        <w:t>22</w:t>
      </w:r>
      <w:r>
        <w:rPr>
          <w:rFonts w:asciiTheme="minorEastAsia" w:eastAsiaTheme="minorEastAsia" w:hAnsiTheme="minorEastAsia" w:cs="Times New Roman" w:hint="eastAsia"/>
          <w:bCs/>
          <w:kern w:val="2"/>
          <w:sz w:val="36"/>
          <w:szCs w:val="36"/>
        </w:rPr>
        <w:t>年</w:t>
      </w:r>
      <w:r w:rsidR="00A93F55">
        <w:rPr>
          <w:rFonts w:asciiTheme="minorEastAsia" w:eastAsiaTheme="minorEastAsia" w:hAnsiTheme="minorEastAsia" w:cs="Times New Roman" w:hint="eastAsia"/>
          <w:bCs/>
          <w:kern w:val="2"/>
          <w:sz w:val="36"/>
          <w:szCs w:val="36"/>
        </w:rPr>
        <w:t>11</w:t>
      </w:r>
      <w:r>
        <w:rPr>
          <w:rFonts w:asciiTheme="minorEastAsia" w:eastAsiaTheme="minorEastAsia" w:hAnsiTheme="minorEastAsia" w:cs="Times New Roman" w:hint="eastAsia"/>
          <w:bCs/>
          <w:kern w:val="2"/>
          <w:sz w:val="36"/>
          <w:szCs w:val="36"/>
        </w:rPr>
        <w:t>月</w:t>
      </w: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rsidR="00E04566" w:rsidRDefault="00E04566">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rsidR="00E04566" w:rsidRDefault="00F4291B">
          <w:pPr>
            <w:pStyle w:val="TOC1"/>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rsidR="00E04566" w:rsidRDefault="00F4291B">
          <w:pPr>
            <w:pStyle w:val="20"/>
            <w:tabs>
              <w:tab w:val="right" w:leader="dot" w:pos="8312"/>
            </w:tabs>
            <w:spacing w:line="312" w:lineRule="auto"/>
            <w:ind w:leftChars="0" w:left="0"/>
            <w:rPr>
              <w:rFonts w:asciiTheme="majorEastAsia" w:eastAsiaTheme="majorEastAsia" w:hAnsiTheme="majorEastAsia" w:cstheme="majorEastAsia"/>
              <w:b/>
              <w:bCs/>
              <w:noProof/>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"1-3" \h \z \u </w:instrText>
          </w:r>
          <w:r>
            <w:rPr>
              <w:rFonts w:asciiTheme="minorEastAsia" w:eastAsiaTheme="minorEastAsia" w:hAnsiTheme="minorEastAsia"/>
              <w:sz w:val="24"/>
            </w:rPr>
            <w:fldChar w:fldCharType="separate"/>
          </w:r>
          <w:hyperlink w:anchor="_Toc25184" w:history="1">
            <w:r>
              <w:rPr>
                <w:rFonts w:asciiTheme="majorEastAsia" w:eastAsiaTheme="majorEastAsia" w:hAnsiTheme="majorEastAsia" w:cstheme="majorEastAsia" w:hint="eastAsia"/>
                <w:b/>
                <w:bCs/>
                <w:noProof/>
                <w:sz w:val="24"/>
              </w:rPr>
              <w:t>第一部分   摘  要</w:t>
            </w:r>
            <w:r>
              <w:rPr>
                <w:rFonts w:asciiTheme="majorEastAsia" w:eastAsiaTheme="majorEastAsia" w:hAnsiTheme="majorEastAsia" w:cstheme="majorEastAsia" w:hint="eastAsia"/>
                <w:b/>
                <w:bCs/>
                <w:noProof/>
                <w:sz w:val="24"/>
              </w:rPr>
              <w:tab/>
            </w:r>
            <w:r>
              <w:rPr>
                <w:rFonts w:asciiTheme="majorEastAsia" w:eastAsiaTheme="majorEastAsia" w:hAnsiTheme="majorEastAsia" w:cstheme="majorEastAsia" w:hint="eastAsia"/>
                <w:b/>
                <w:bCs/>
                <w:noProof/>
                <w:sz w:val="24"/>
              </w:rPr>
              <w:fldChar w:fldCharType="begin"/>
            </w:r>
            <w:r>
              <w:rPr>
                <w:rFonts w:asciiTheme="majorEastAsia" w:eastAsiaTheme="majorEastAsia" w:hAnsiTheme="majorEastAsia" w:cstheme="majorEastAsia" w:hint="eastAsia"/>
                <w:b/>
                <w:bCs/>
                <w:noProof/>
                <w:sz w:val="24"/>
              </w:rPr>
              <w:instrText xml:space="preserve"> PAGEREF _Toc25184 </w:instrText>
            </w:r>
            <w:r>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1</w:t>
            </w:r>
            <w:r>
              <w:rPr>
                <w:rFonts w:asciiTheme="majorEastAsia" w:eastAsiaTheme="majorEastAsia" w:hAnsiTheme="majorEastAsia" w:cstheme="majorEastAsia" w:hint="eastAsia"/>
                <w:b/>
                <w:bCs/>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noProof/>
              <w:sz w:val="24"/>
            </w:rPr>
          </w:pPr>
          <w:hyperlink w:anchor="_Toc4346" w:history="1">
            <w:r w:rsidR="00F4291B">
              <w:rPr>
                <w:rFonts w:asciiTheme="majorEastAsia" w:eastAsiaTheme="majorEastAsia" w:hAnsiTheme="majorEastAsia" w:cstheme="majorEastAsia" w:hint="eastAsia"/>
                <w:b/>
                <w:bCs/>
                <w:noProof/>
                <w:sz w:val="24"/>
              </w:rPr>
              <w:t>第二部分   绩效评价报告</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_Toc4346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5</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b/>
              <w:bCs/>
              <w:noProof/>
              <w:sz w:val="24"/>
            </w:rPr>
          </w:pPr>
          <w:hyperlink w:anchor="_Toc427" w:history="1">
            <w:r w:rsidR="00F4291B">
              <w:rPr>
                <w:rFonts w:asciiTheme="majorEastAsia" w:eastAsiaTheme="majorEastAsia" w:hAnsiTheme="majorEastAsia" w:cstheme="majorEastAsia" w:hint="eastAsia"/>
                <w:b/>
                <w:bCs/>
                <w:noProof/>
                <w:sz w:val="24"/>
              </w:rPr>
              <w:t>一、保定市徐水区</w:t>
            </w:r>
            <w:r w:rsidR="00266F21">
              <w:rPr>
                <w:rFonts w:asciiTheme="majorEastAsia" w:eastAsiaTheme="majorEastAsia" w:hAnsiTheme="majorEastAsia" w:cstheme="majorEastAsia" w:hint="eastAsia"/>
                <w:b/>
                <w:bCs/>
                <w:noProof/>
                <w:sz w:val="24"/>
              </w:rPr>
              <w:t>人民检察院</w:t>
            </w:r>
            <w:r w:rsidR="00F4291B">
              <w:rPr>
                <w:rFonts w:asciiTheme="majorEastAsia" w:eastAsiaTheme="majorEastAsia" w:hAnsiTheme="majorEastAsia" w:cstheme="majorEastAsia" w:hint="eastAsia"/>
                <w:b/>
                <w:bCs/>
                <w:noProof/>
                <w:sz w:val="24"/>
              </w:rPr>
              <w:t>基本情况</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_Toc427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6</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1473" w:history="1">
            <w:r w:rsidR="00F4291B">
              <w:rPr>
                <w:rFonts w:asciiTheme="majorEastAsia" w:eastAsiaTheme="majorEastAsia" w:hAnsiTheme="majorEastAsia" w:cstheme="majorEastAsia" w:hint="eastAsia"/>
                <w:noProof/>
                <w:sz w:val="24"/>
              </w:rPr>
              <w:t>（一）部门职责和工作活动</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_Toc11473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6</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7075" w:history="1">
            <w:r w:rsidR="00F4291B">
              <w:rPr>
                <w:rFonts w:asciiTheme="majorEastAsia" w:eastAsiaTheme="majorEastAsia" w:hAnsiTheme="majorEastAsia" w:cstheme="majorEastAsia" w:hint="eastAsia"/>
                <w:noProof/>
                <w:sz w:val="24"/>
              </w:rPr>
              <w:t>（二）部门年度发展规划总体目标和职责分类绩效目标</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_Toc7075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6</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678" w:history="1">
            <w:r w:rsidR="00F4291B">
              <w:rPr>
                <w:rFonts w:asciiTheme="majorEastAsia" w:eastAsiaTheme="majorEastAsia" w:hAnsiTheme="majorEastAsia" w:cstheme="majorEastAsia" w:hint="eastAsia"/>
                <w:noProof/>
                <w:sz w:val="24"/>
              </w:rPr>
              <w:t>（三）部门预算收入及决算收入</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_Toc1678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7</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8197" w:history="1">
            <w:r w:rsidR="00F4291B">
              <w:rPr>
                <w:rFonts w:asciiTheme="majorEastAsia" w:eastAsiaTheme="majorEastAsia" w:hAnsiTheme="majorEastAsia" w:cstheme="majorEastAsia" w:hint="eastAsia"/>
                <w:noProof/>
                <w:sz w:val="24"/>
              </w:rPr>
              <w:t>（四）预算支出及决算支出</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_Toc18197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9</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9291" w:history="1">
            <w:r w:rsidR="00F4291B">
              <w:rPr>
                <w:rFonts w:asciiTheme="majorEastAsia" w:eastAsiaTheme="majorEastAsia" w:hAnsiTheme="majorEastAsia" w:cstheme="majorEastAsia" w:hint="eastAsia"/>
                <w:noProof/>
                <w:sz w:val="24"/>
              </w:rPr>
              <w:t>（五）“三公”经费预算安排及支出情况</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_Toc19291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11</w:t>
            </w:r>
            <w:r w:rsidR="00F4291B">
              <w:rPr>
                <w:rFonts w:asciiTheme="majorEastAsia" w:eastAsiaTheme="majorEastAsia" w:hAnsiTheme="majorEastAsia" w:cstheme="majorEastAsia" w:hint="eastAsia"/>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b/>
              <w:bCs/>
              <w:noProof/>
              <w:sz w:val="24"/>
            </w:rPr>
          </w:pPr>
          <w:hyperlink w:anchor="_Toc20454" w:history="1">
            <w:r w:rsidR="00F4291B">
              <w:rPr>
                <w:rFonts w:asciiTheme="majorEastAsia" w:eastAsiaTheme="majorEastAsia" w:hAnsiTheme="majorEastAsia" w:cstheme="majorEastAsia" w:hint="eastAsia"/>
                <w:b/>
                <w:bCs/>
                <w:noProof/>
                <w:sz w:val="24"/>
              </w:rPr>
              <w:t>二、部门整体支出绩效评价指标体系设定情况</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_Toc20454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12</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20"/>
            <w:tabs>
              <w:tab w:val="right" w:leader="dot" w:pos="8312"/>
            </w:tabs>
            <w:spacing w:line="312" w:lineRule="auto"/>
            <w:ind w:leftChars="0" w:left="0" w:firstLineChars="100" w:firstLine="300"/>
            <w:rPr>
              <w:rFonts w:asciiTheme="majorEastAsia" w:eastAsiaTheme="majorEastAsia" w:hAnsiTheme="majorEastAsia" w:cstheme="majorEastAsia"/>
              <w:noProof/>
              <w:sz w:val="24"/>
            </w:rPr>
          </w:pPr>
          <w:hyperlink w:anchor="_Toc9569" w:history="1">
            <w:r w:rsidR="00F4291B">
              <w:rPr>
                <w:rFonts w:asciiTheme="majorEastAsia" w:eastAsiaTheme="majorEastAsia" w:hAnsiTheme="majorEastAsia" w:cstheme="majorEastAsia" w:hint="eastAsia"/>
                <w:noProof/>
                <w:sz w:val="24"/>
              </w:rPr>
              <w:t>（一）投入</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_Toc9569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12</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30221" w:history="1">
            <w:r w:rsidR="00F4291B">
              <w:rPr>
                <w:rFonts w:asciiTheme="majorEastAsia" w:eastAsiaTheme="majorEastAsia" w:hAnsiTheme="majorEastAsia" w:cstheme="majorEastAsia" w:hint="eastAsia"/>
                <w:noProof/>
                <w:sz w:val="24"/>
              </w:rPr>
              <w:t>（二）过程</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_Toc30221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13</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24932" w:history="1">
            <w:r w:rsidR="00F4291B">
              <w:rPr>
                <w:rFonts w:asciiTheme="majorEastAsia" w:eastAsiaTheme="majorEastAsia" w:hAnsiTheme="majorEastAsia" w:cstheme="majorEastAsia" w:hint="eastAsia"/>
                <w:noProof/>
                <w:sz w:val="24"/>
              </w:rPr>
              <w:t>（三）产出</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_Toc24932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13</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21821" w:history="1">
            <w:r w:rsidR="00F4291B">
              <w:rPr>
                <w:rFonts w:asciiTheme="majorEastAsia" w:eastAsiaTheme="majorEastAsia" w:hAnsiTheme="majorEastAsia" w:cstheme="majorEastAsia" w:hint="eastAsia"/>
                <w:noProof/>
                <w:sz w:val="24"/>
              </w:rPr>
              <w:t>（四）效果</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_Toc21821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13</w:t>
            </w:r>
            <w:r w:rsidR="00F4291B">
              <w:rPr>
                <w:rFonts w:asciiTheme="majorEastAsia" w:eastAsiaTheme="majorEastAsia" w:hAnsiTheme="majorEastAsia" w:cstheme="majorEastAsia" w:hint="eastAsia"/>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b/>
              <w:bCs/>
              <w:noProof/>
              <w:sz w:val="24"/>
            </w:rPr>
          </w:pPr>
          <w:hyperlink w:anchor="_Toc11842" w:history="1">
            <w:r w:rsidR="00F4291B">
              <w:rPr>
                <w:rFonts w:asciiTheme="majorEastAsia" w:eastAsiaTheme="majorEastAsia" w:hAnsiTheme="majorEastAsia" w:cstheme="majorEastAsia" w:hint="eastAsia"/>
                <w:b/>
                <w:bCs/>
                <w:noProof/>
                <w:sz w:val="24"/>
              </w:rPr>
              <w:t>三、综合绩效评价工作情况</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_Toc11842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14</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7138" w:history="1">
            <w:r w:rsidR="00F4291B">
              <w:rPr>
                <w:rFonts w:asciiTheme="majorEastAsia" w:eastAsiaTheme="majorEastAsia" w:hAnsiTheme="majorEastAsia" w:cstheme="majorEastAsia" w:hint="eastAsia"/>
                <w:noProof/>
                <w:sz w:val="24"/>
              </w:rPr>
              <w:t>（一）绩效评价目的</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_Toc17138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14</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1607" w:history="1">
            <w:r w:rsidR="00F4291B">
              <w:rPr>
                <w:rFonts w:asciiTheme="majorEastAsia" w:eastAsiaTheme="majorEastAsia" w:hAnsiTheme="majorEastAsia" w:cstheme="majorEastAsia" w:hint="eastAsia"/>
                <w:noProof/>
                <w:sz w:val="24"/>
              </w:rPr>
              <w:t>（二）绩效评价依据</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_Toc11607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14</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7609" w:history="1">
            <w:r w:rsidR="00F4291B">
              <w:rPr>
                <w:rFonts w:asciiTheme="majorEastAsia" w:eastAsiaTheme="majorEastAsia" w:hAnsiTheme="majorEastAsia" w:cstheme="majorEastAsia" w:hint="eastAsia"/>
                <w:noProof/>
                <w:sz w:val="24"/>
              </w:rPr>
              <w:t>（三）绩效评价内容</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_Toc7609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15</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789" w:history="1">
            <w:r w:rsidR="00F4291B">
              <w:rPr>
                <w:rFonts w:asciiTheme="majorEastAsia" w:eastAsiaTheme="majorEastAsia" w:hAnsiTheme="majorEastAsia" w:cstheme="majorEastAsia" w:hint="eastAsia"/>
                <w:noProof/>
                <w:sz w:val="24"/>
              </w:rPr>
              <w:t>（四）绩效评价原则</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_Toc789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15</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8171" w:history="1">
            <w:r w:rsidR="00F4291B">
              <w:rPr>
                <w:rFonts w:asciiTheme="majorEastAsia" w:eastAsiaTheme="majorEastAsia" w:hAnsiTheme="majorEastAsia" w:cstheme="majorEastAsia" w:hint="eastAsia"/>
                <w:noProof/>
                <w:sz w:val="24"/>
              </w:rPr>
              <w:t>（五）绩效评价方法</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_Toc8171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16</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20821" w:history="1">
            <w:r w:rsidR="00F4291B">
              <w:rPr>
                <w:rFonts w:asciiTheme="majorEastAsia" w:eastAsiaTheme="majorEastAsia" w:hAnsiTheme="majorEastAsia" w:cstheme="majorEastAsia" w:hint="eastAsia"/>
                <w:noProof/>
                <w:sz w:val="24"/>
              </w:rPr>
              <w:t>（六）绩效评价工作过程</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_Toc20821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16</w:t>
            </w:r>
            <w:r w:rsidR="00F4291B">
              <w:rPr>
                <w:rFonts w:asciiTheme="majorEastAsia" w:eastAsiaTheme="majorEastAsia" w:hAnsiTheme="majorEastAsia" w:cstheme="majorEastAsia" w:hint="eastAsia"/>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b/>
              <w:bCs/>
              <w:noProof/>
              <w:sz w:val="24"/>
            </w:rPr>
          </w:pPr>
          <w:hyperlink w:anchor="_Toc6467" w:history="1">
            <w:r w:rsidR="00F4291B">
              <w:rPr>
                <w:rFonts w:asciiTheme="majorEastAsia" w:eastAsiaTheme="majorEastAsia" w:hAnsiTheme="majorEastAsia" w:cstheme="majorEastAsia" w:hint="eastAsia"/>
                <w:b/>
                <w:bCs/>
                <w:noProof/>
                <w:sz w:val="24"/>
              </w:rPr>
              <w:t>四、绩效评价评分情况</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_Toc6467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18</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4390" w:history="1">
            <w:r w:rsidR="00F4291B">
              <w:rPr>
                <w:rFonts w:asciiTheme="majorEastAsia" w:eastAsiaTheme="majorEastAsia" w:hAnsiTheme="majorEastAsia" w:cstheme="majorEastAsia" w:hint="eastAsia"/>
                <w:noProof/>
                <w:sz w:val="24"/>
              </w:rPr>
              <w:t>（一）投入</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_Toc4390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18</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9940" w:history="1">
            <w:r w:rsidR="00F4291B">
              <w:rPr>
                <w:rFonts w:asciiTheme="majorEastAsia" w:eastAsiaTheme="majorEastAsia" w:hAnsiTheme="majorEastAsia" w:cstheme="majorEastAsia" w:hint="eastAsia"/>
                <w:noProof/>
                <w:sz w:val="24"/>
              </w:rPr>
              <w:t>（二）过程</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_Toc19940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21</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12330" w:history="1">
            <w:r w:rsidR="00F4291B">
              <w:rPr>
                <w:rFonts w:asciiTheme="majorEastAsia" w:eastAsiaTheme="majorEastAsia" w:hAnsiTheme="majorEastAsia" w:cstheme="majorEastAsia" w:hint="eastAsia"/>
                <w:noProof/>
                <w:sz w:val="24"/>
              </w:rPr>
              <w:t>（三）产出</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_Toc12330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28</w:t>
            </w:r>
            <w:r w:rsidR="00F4291B">
              <w:rPr>
                <w:rFonts w:asciiTheme="majorEastAsia" w:eastAsiaTheme="majorEastAsia" w:hAnsiTheme="majorEastAsia" w:cstheme="majorEastAsia" w:hint="eastAsia"/>
                <w:noProof/>
                <w:sz w:val="24"/>
              </w:rPr>
              <w:fldChar w:fldCharType="end"/>
            </w:r>
          </w:hyperlink>
        </w:p>
        <w:p w:rsidR="00E04566" w:rsidRDefault="00653187">
          <w:pPr>
            <w:pStyle w:val="30"/>
            <w:tabs>
              <w:tab w:val="right" w:leader="dot" w:pos="8312"/>
            </w:tabs>
            <w:spacing w:line="312" w:lineRule="auto"/>
            <w:ind w:leftChars="0" w:left="0" w:firstLineChars="100" w:firstLine="280"/>
            <w:rPr>
              <w:rFonts w:asciiTheme="majorEastAsia" w:eastAsiaTheme="majorEastAsia" w:hAnsiTheme="majorEastAsia" w:cstheme="majorEastAsia"/>
              <w:noProof/>
              <w:sz w:val="24"/>
            </w:rPr>
          </w:pPr>
          <w:hyperlink w:anchor="_Toc28363" w:history="1">
            <w:r w:rsidR="00F4291B">
              <w:rPr>
                <w:rFonts w:asciiTheme="majorEastAsia" w:eastAsiaTheme="majorEastAsia" w:hAnsiTheme="majorEastAsia" w:cstheme="majorEastAsia" w:hint="eastAsia"/>
                <w:noProof/>
                <w:sz w:val="24"/>
              </w:rPr>
              <w:t>（四）效果</w:t>
            </w:r>
            <w:r w:rsidR="00F4291B">
              <w:rPr>
                <w:rFonts w:asciiTheme="majorEastAsia" w:eastAsiaTheme="majorEastAsia" w:hAnsiTheme="majorEastAsia" w:cstheme="majorEastAsia" w:hint="eastAsia"/>
                <w:noProof/>
                <w:sz w:val="24"/>
              </w:rPr>
              <w:tab/>
            </w:r>
            <w:r w:rsidR="00F4291B">
              <w:rPr>
                <w:rFonts w:asciiTheme="majorEastAsia" w:eastAsiaTheme="majorEastAsia" w:hAnsiTheme="majorEastAsia" w:cstheme="majorEastAsia" w:hint="eastAsia"/>
                <w:noProof/>
                <w:sz w:val="24"/>
              </w:rPr>
              <w:fldChar w:fldCharType="begin"/>
            </w:r>
            <w:r w:rsidR="00F4291B">
              <w:rPr>
                <w:rFonts w:asciiTheme="majorEastAsia" w:eastAsiaTheme="majorEastAsia" w:hAnsiTheme="majorEastAsia" w:cstheme="majorEastAsia" w:hint="eastAsia"/>
                <w:noProof/>
                <w:sz w:val="24"/>
              </w:rPr>
              <w:instrText xml:space="preserve"> PAGEREF _Toc28363 </w:instrText>
            </w:r>
            <w:r w:rsidR="00F4291B">
              <w:rPr>
                <w:rFonts w:asciiTheme="majorEastAsia" w:eastAsiaTheme="majorEastAsia" w:hAnsiTheme="majorEastAsia" w:cstheme="majorEastAsia" w:hint="eastAsia"/>
                <w:noProof/>
                <w:sz w:val="24"/>
              </w:rPr>
              <w:fldChar w:fldCharType="separate"/>
            </w:r>
            <w:r w:rsidR="008757FD">
              <w:rPr>
                <w:rFonts w:asciiTheme="majorEastAsia" w:eastAsiaTheme="majorEastAsia" w:hAnsiTheme="majorEastAsia" w:cstheme="majorEastAsia"/>
                <w:noProof/>
                <w:sz w:val="24"/>
              </w:rPr>
              <w:t>31</w:t>
            </w:r>
            <w:r w:rsidR="00F4291B">
              <w:rPr>
                <w:rFonts w:asciiTheme="majorEastAsia" w:eastAsiaTheme="majorEastAsia" w:hAnsiTheme="majorEastAsia" w:cstheme="majorEastAsia" w:hint="eastAsia"/>
                <w:noProof/>
                <w:sz w:val="24"/>
              </w:rPr>
              <w:fldChar w:fldCharType="end"/>
            </w:r>
          </w:hyperlink>
        </w:p>
        <w:p w:rsidR="00E04566" w:rsidRDefault="00653187">
          <w:pPr>
            <w:pStyle w:val="20"/>
            <w:tabs>
              <w:tab w:val="right" w:leader="dot" w:pos="8312"/>
            </w:tabs>
            <w:spacing w:line="312" w:lineRule="auto"/>
            <w:ind w:leftChars="0" w:left="0"/>
            <w:rPr>
              <w:rFonts w:asciiTheme="majorEastAsia" w:eastAsiaTheme="majorEastAsia" w:hAnsiTheme="majorEastAsia" w:cstheme="majorEastAsia"/>
              <w:noProof/>
              <w:sz w:val="24"/>
            </w:rPr>
          </w:pPr>
          <w:hyperlink w:anchor="_Toc13757" w:history="1">
            <w:r w:rsidR="00F4291B">
              <w:rPr>
                <w:rFonts w:asciiTheme="majorEastAsia" w:eastAsiaTheme="majorEastAsia" w:hAnsiTheme="majorEastAsia" w:cstheme="majorEastAsia" w:hint="eastAsia"/>
                <w:b/>
                <w:bCs/>
                <w:noProof/>
                <w:sz w:val="24"/>
              </w:rPr>
              <w:t>五、绩效评价发现的问题</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_Toc13757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32</w:t>
            </w:r>
            <w:r w:rsidR="00F4291B">
              <w:rPr>
                <w:rFonts w:asciiTheme="majorEastAsia" w:eastAsiaTheme="majorEastAsia" w:hAnsiTheme="majorEastAsia" w:cstheme="majorEastAsia" w:hint="eastAsia"/>
                <w:b/>
                <w:bCs/>
                <w:noProof/>
                <w:sz w:val="24"/>
              </w:rPr>
              <w:fldChar w:fldCharType="end"/>
            </w:r>
          </w:hyperlink>
        </w:p>
        <w:p w:rsidR="00E04566" w:rsidRDefault="00653187">
          <w:pPr>
            <w:pStyle w:val="20"/>
            <w:tabs>
              <w:tab w:val="right" w:leader="dot" w:pos="8312"/>
            </w:tabs>
            <w:spacing w:line="312" w:lineRule="auto"/>
            <w:ind w:leftChars="0" w:left="0"/>
            <w:rPr>
              <w:b/>
              <w:bCs/>
              <w:noProof/>
            </w:rPr>
          </w:pPr>
          <w:hyperlink w:anchor="_Toc20723" w:history="1">
            <w:r w:rsidR="00F4291B">
              <w:rPr>
                <w:rFonts w:asciiTheme="majorEastAsia" w:eastAsiaTheme="majorEastAsia" w:hAnsiTheme="majorEastAsia" w:cstheme="majorEastAsia" w:hint="eastAsia"/>
                <w:b/>
                <w:bCs/>
                <w:noProof/>
                <w:sz w:val="24"/>
              </w:rPr>
              <w:t>六、绩效评价意见及建议</w:t>
            </w:r>
            <w:r w:rsidR="00F4291B">
              <w:rPr>
                <w:rFonts w:asciiTheme="majorEastAsia" w:eastAsiaTheme="majorEastAsia" w:hAnsiTheme="majorEastAsia" w:cstheme="majorEastAsia" w:hint="eastAsia"/>
                <w:b/>
                <w:bCs/>
                <w:noProof/>
                <w:sz w:val="24"/>
              </w:rPr>
              <w:tab/>
            </w:r>
            <w:r w:rsidR="00F4291B">
              <w:rPr>
                <w:rFonts w:asciiTheme="majorEastAsia" w:eastAsiaTheme="majorEastAsia" w:hAnsiTheme="majorEastAsia" w:cstheme="majorEastAsia" w:hint="eastAsia"/>
                <w:b/>
                <w:bCs/>
                <w:noProof/>
                <w:sz w:val="24"/>
              </w:rPr>
              <w:fldChar w:fldCharType="begin"/>
            </w:r>
            <w:r w:rsidR="00F4291B">
              <w:rPr>
                <w:rFonts w:asciiTheme="majorEastAsia" w:eastAsiaTheme="majorEastAsia" w:hAnsiTheme="majorEastAsia" w:cstheme="majorEastAsia" w:hint="eastAsia"/>
                <w:b/>
                <w:bCs/>
                <w:noProof/>
                <w:sz w:val="24"/>
              </w:rPr>
              <w:instrText xml:space="preserve"> PAGEREF _Toc20723 </w:instrText>
            </w:r>
            <w:r w:rsidR="00F4291B">
              <w:rPr>
                <w:rFonts w:asciiTheme="majorEastAsia" w:eastAsiaTheme="majorEastAsia" w:hAnsiTheme="majorEastAsia" w:cstheme="majorEastAsia" w:hint="eastAsia"/>
                <w:b/>
                <w:bCs/>
                <w:noProof/>
                <w:sz w:val="24"/>
              </w:rPr>
              <w:fldChar w:fldCharType="separate"/>
            </w:r>
            <w:r w:rsidR="008757FD">
              <w:rPr>
                <w:rFonts w:asciiTheme="majorEastAsia" w:eastAsiaTheme="majorEastAsia" w:hAnsiTheme="majorEastAsia" w:cstheme="majorEastAsia"/>
                <w:b/>
                <w:bCs/>
                <w:noProof/>
                <w:sz w:val="24"/>
              </w:rPr>
              <w:t>33</w:t>
            </w:r>
            <w:r w:rsidR="00F4291B">
              <w:rPr>
                <w:rFonts w:asciiTheme="majorEastAsia" w:eastAsiaTheme="majorEastAsia" w:hAnsiTheme="majorEastAsia" w:cstheme="majorEastAsia" w:hint="eastAsia"/>
                <w:b/>
                <w:bCs/>
                <w:noProof/>
                <w:sz w:val="24"/>
              </w:rPr>
              <w:fldChar w:fldCharType="end"/>
            </w:r>
          </w:hyperlink>
        </w:p>
        <w:p w:rsidR="00E04566" w:rsidRDefault="00F4291B">
          <w:pPr>
            <w:spacing w:line="312" w:lineRule="auto"/>
            <w:ind w:firstLineChars="200" w:firstLine="440"/>
            <w:jc w:val="both"/>
            <w:sectPr w:rsidR="00E04566">
              <w:footerReference w:type="default" r:id="rId10"/>
              <w:pgSz w:w="11906" w:h="16838"/>
              <w:pgMar w:top="1440" w:right="1797" w:bottom="1191" w:left="1797" w:header="709" w:footer="709" w:gutter="0"/>
              <w:pgNumType w:start="1"/>
              <w:cols w:space="708"/>
              <w:docGrid w:linePitch="360"/>
            </w:sectPr>
          </w:pPr>
          <w:r>
            <w:rPr>
              <w:rFonts w:asciiTheme="minorEastAsia" w:eastAsiaTheme="minorEastAsia" w:hAnsiTheme="minorEastAsia"/>
              <w:szCs w:val="24"/>
            </w:rPr>
            <w:fldChar w:fldCharType="end"/>
          </w:r>
        </w:p>
      </w:sdtContent>
    </w:sdt>
    <w:p w:rsidR="00E04566" w:rsidRDefault="00F4291B">
      <w:pPr>
        <w:pStyle w:val="2"/>
        <w:spacing w:line="540" w:lineRule="exact"/>
        <w:jc w:val="center"/>
        <w:rPr>
          <w:rFonts w:ascii="黑体" w:hAnsi="黑体"/>
          <w:b w:val="0"/>
        </w:rPr>
      </w:pPr>
      <w:bookmarkStart w:id="0" w:name="_Toc25184"/>
      <w:r>
        <w:rPr>
          <w:rFonts w:ascii="黑体" w:hAnsi="黑体" w:hint="eastAsia"/>
          <w:b w:val="0"/>
        </w:rPr>
        <w:lastRenderedPageBreak/>
        <w:t>第一部分   摘  要</w:t>
      </w:r>
      <w:bookmarkEnd w:id="0"/>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ascii="仿宋_GB2312" w:eastAsia="仿宋_GB2312" w:cs="DengXian-Regular" w:hint="eastAsia"/>
          <w:sz w:val="32"/>
          <w:szCs w:val="32"/>
        </w:rPr>
        <w:t>年部门整体支出情况开展了绩效</w:t>
      </w:r>
      <w:proofErr w:type="gramStart"/>
      <w:r>
        <w:rPr>
          <w:rFonts w:ascii="仿宋_GB2312" w:eastAsia="仿宋_GB2312" w:cs="DengXian-Regular" w:hint="eastAsia"/>
          <w:sz w:val="32"/>
          <w:szCs w:val="32"/>
        </w:rPr>
        <w:t>自评价</w:t>
      </w:r>
      <w:proofErr w:type="gramEnd"/>
      <w:r>
        <w:rPr>
          <w:rFonts w:ascii="仿宋_GB2312" w:eastAsia="仿宋_GB2312" w:cs="DengXian-Regular" w:hint="eastAsia"/>
          <w:sz w:val="32"/>
          <w:szCs w:val="32"/>
        </w:rPr>
        <w:t>工作。</w:t>
      </w:r>
    </w:p>
    <w:p w:rsidR="00A93F55"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保定市徐水区</w:t>
      </w:r>
      <w:r w:rsidR="00A93F55">
        <w:rPr>
          <w:rFonts w:ascii="仿宋_GB2312" w:eastAsia="仿宋_GB2312" w:cs="DengXian-Regular" w:hint="eastAsia"/>
          <w:sz w:val="32"/>
          <w:szCs w:val="32"/>
        </w:rPr>
        <w:t>人民检察院</w:t>
      </w:r>
      <w:r>
        <w:rPr>
          <w:rFonts w:ascii="仿宋_GB2312" w:eastAsia="仿宋_GB2312" w:cs="DengXian-Regular" w:hint="eastAsia"/>
          <w:sz w:val="32"/>
          <w:szCs w:val="32"/>
        </w:rPr>
        <w:t>为正科级行政单位，经费保障形式为财政拨款，</w:t>
      </w:r>
      <w:r w:rsidR="00A93F55" w:rsidRPr="00A93F55">
        <w:rPr>
          <w:rFonts w:ascii="仿宋_GB2312" w:eastAsia="仿宋_GB2312" w:cs="DengXian-Regular" w:hint="eastAsia"/>
          <w:sz w:val="32"/>
          <w:szCs w:val="32"/>
        </w:rPr>
        <w:t>下设5个股室，分别为办公室、第一检察部、第二检察部、第三检察部、政治部（司法警察大队），主要职责包括：</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 xml:space="preserve"> </w:t>
      </w:r>
      <w:r w:rsidRPr="00A93F55">
        <w:rPr>
          <w:rFonts w:ascii="仿宋_GB2312" w:eastAsia="仿宋_GB2312" w:cs="DengXian-Regular" w:hint="eastAsia"/>
          <w:sz w:val="32"/>
          <w:szCs w:val="32"/>
        </w:rPr>
        <w:t>（一）深入贯彻习近平新时代中国特色社会主义思想，深入贯彻党的路线方针和决策部署，坚持党对检察工作的绝对领导，坚决维护习近平总书记的核心地位，坚决维护党中央权威和集中统一领导。</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（二）依法向区人民代表大会及其常务委员会提出议案。</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（三）贯彻落实检察工作方针、总体规划，研究制定检察工作计划并组织实施。</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（四）依照法律规定对直接受理的刑事案件行使侦查权。</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lastRenderedPageBreak/>
        <w:t>（五）负责对管辖的各类刑事案件依法审查批准逮捕、决定逮捕、提取公诉。</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（六）负责由本院承担的刑事、民事、行政诉讼活动及刑事、民事、行政判决和裁定等生效法律文书执行的法律监督工作。</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（七）负责应由本院承办的提起公益诉讼工作。</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（八）依法受理核准追诉案件，审查是否上报。</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（九）负责应由本院承办的对看守所、社区矫正等执法活动的法律监督工作。</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（十）受理向本院的控告申诉。</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（十一）组织检察工作中法律政策具体应用问题的研究；组织开展检察理论研究工作。</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（十二）负责检察人员思想政治教育和业务培训工作；按照权限管理检察官和其他工作人员。</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（十三）负责本院检务督察工作。</w:t>
      </w:r>
    </w:p>
    <w:p w:rsidR="00A93F55" w:rsidRPr="00A93F55"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（十四）负责本院检务保障以及检察技术、信息化建设工作。</w:t>
      </w:r>
    </w:p>
    <w:p w:rsidR="00E04566" w:rsidRDefault="00A93F55" w:rsidP="00A93F55">
      <w:pPr>
        <w:spacing w:after="0" w:line="360" w:lineRule="auto"/>
        <w:ind w:firstLineChars="200" w:firstLine="640"/>
        <w:jc w:val="both"/>
        <w:textAlignment w:val="baseline"/>
        <w:rPr>
          <w:rFonts w:ascii="仿宋_GB2312" w:eastAsia="仿宋_GB2312" w:cs="DengXian-Regular"/>
          <w:sz w:val="32"/>
          <w:szCs w:val="32"/>
        </w:rPr>
      </w:pPr>
      <w:r w:rsidRPr="00A93F55">
        <w:rPr>
          <w:rFonts w:ascii="仿宋_GB2312" w:eastAsia="仿宋_GB2312" w:cs="DengXian-Regular" w:hint="eastAsia"/>
          <w:sz w:val="32"/>
          <w:szCs w:val="32"/>
        </w:rPr>
        <w:t>（十五）完成其他应当由本院负责的工作。</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w:t>
      </w:r>
      <w:r>
        <w:rPr>
          <w:rFonts w:ascii="仿宋_GB2312" w:eastAsia="仿宋_GB2312" w:cs="DengXian-Regular" w:hint="eastAsia"/>
          <w:sz w:val="32"/>
          <w:szCs w:val="32"/>
        </w:rPr>
        <w:lastRenderedPageBreak/>
        <w:t>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w:t>
      </w:r>
      <w:r w:rsidR="003C67E7">
        <w:rPr>
          <w:rFonts w:ascii="仿宋_GB2312" w:eastAsia="仿宋_GB2312" w:cs="DengXian-Regular" w:hint="eastAsia"/>
          <w:sz w:val="32"/>
          <w:szCs w:val="32"/>
        </w:rPr>
        <w:t>客观公正地完成了</w:t>
      </w:r>
      <w:r w:rsidR="003C67E7" w:rsidRPr="00A02101">
        <w:rPr>
          <w:rFonts w:ascii="仿宋_GB2312" w:eastAsia="仿宋_GB2312" w:cs="DengXian-Regular" w:hint="eastAsia"/>
          <w:sz w:val="32"/>
          <w:szCs w:val="32"/>
        </w:rPr>
        <w:t>保定市徐水区人民检察院</w:t>
      </w:r>
      <w:r w:rsidR="003C67E7">
        <w:rPr>
          <w:rFonts w:ascii="仿宋_GB2312" w:eastAsia="仿宋_GB2312" w:cs="DengXian-Regular" w:hint="eastAsia"/>
          <w:sz w:val="32"/>
          <w:szCs w:val="32"/>
        </w:rPr>
        <w:t>2020年部门整体支出绩效评价工作。</w:t>
      </w:r>
    </w:p>
    <w:p w:rsidR="00E04566" w:rsidRDefault="003C67E7" w:rsidP="003C67E7">
      <w:pPr>
        <w:spacing w:after="0" w:line="360" w:lineRule="auto"/>
        <w:ind w:firstLineChars="200" w:firstLine="640"/>
        <w:jc w:val="both"/>
        <w:textAlignment w:val="baseline"/>
        <w:rPr>
          <w:rFonts w:ascii="仿宋_GB2312" w:eastAsia="仿宋_GB2312" w:cs="DengXian-Regular"/>
          <w:sz w:val="32"/>
          <w:szCs w:val="32"/>
        </w:rPr>
      </w:pPr>
      <w:r w:rsidRPr="003C67E7">
        <w:rPr>
          <w:rFonts w:ascii="仿宋_GB2312" w:eastAsia="仿宋_GB2312" w:cs="DengXian-Regular" w:hint="eastAsia"/>
          <w:sz w:val="32"/>
          <w:szCs w:val="32"/>
        </w:rPr>
        <w:t>区检察院</w:t>
      </w:r>
      <w:r w:rsidR="00F4291B">
        <w:rPr>
          <w:rFonts w:ascii="仿宋_GB2312" w:eastAsia="仿宋_GB2312" w:cs="DengXian-Regular" w:hint="eastAsia"/>
          <w:sz w:val="32"/>
          <w:szCs w:val="32"/>
        </w:rPr>
        <w:t>202</w:t>
      </w:r>
      <w:r w:rsidR="00F4291B">
        <w:rPr>
          <w:rFonts w:ascii="仿宋_GB2312" w:eastAsia="仿宋_GB2312" w:cs="DengXian-Regular"/>
          <w:sz w:val="32"/>
          <w:szCs w:val="32"/>
        </w:rPr>
        <w:t>1</w:t>
      </w:r>
      <w:r w:rsidR="00F4291B">
        <w:rPr>
          <w:rFonts w:ascii="仿宋_GB2312" w:eastAsia="仿宋_GB2312" w:cs="DengXian-Regular" w:hint="eastAsia"/>
          <w:sz w:val="32"/>
          <w:szCs w:val="32"/>
        </w:rPr>
        <w:t>年部门整体支出绩效评价指标体系共设置4个一级指标、7个二级指标、27个三级指标，从投入、过程、产出、效果四个方面对区</w:t>
      </w:r>
      <w:r>
        <w:rPr>
          <w:rFonts w:ascii="仿宋_GB2312" w:eastAsia="仿宋_GB2312" w:cs="DengXian-Regular" w:hint="eastAsia"/>
          <w:sz w:val="32"/>
          <w:szCs w:val="32"/>
        </w:rPr>
        <w:t>检察院</w:t>
      </w:r>
      <w:r w:rsidR="00F4291B">
        <w:rPr>
          <w:rFonts w:ascii="仿宋_GB2312" w:eastAsia="仿宋_GB2312" w:cs="DengXian-Regular" w:hint="eastAsia"/>
          <w:sz w:val="32"/>
          <w:szCs w:val="32"/>
        </w:rPr>
        <w:t>部</w:t>
      </w:r>
      <w:proofErr w:type="gramStart"/>
      <w:r w:rsidR="00F4291B">
        <w:rPr>
          <w:rFonts w:ascii="仿宋_GB2312" w:eastAsia="仿宋_GB2312" w:cs="DengXian-Regular" w:hint="eastAsia"/>
          <w:sz w:val="32"/>
          <w:szCs w:val="32"/>
        </w:rPr>
        <w:t>门整体</w:t>
      </w:r>
      <w:proofErr w:type="gramEnd"/>
      <w:r w:rsidR="00F4291B">
        <w:rPr>
          <w:rFonts w:ascii="仿宋_GB2312" w:eastAsia="仿宋_GB2312" w:cs="DengXian-Regular" w:hint="eastAsia"/>
          <w:sz w:val="32"/>
          <w:szCs w:val="32"/>
        </w:rPr>
        <w:t>支出情况评分定级。指标体系设定满分为100分，绩效评价分值≥90为“优”；80≤分值＜90为“良”；60≤分值＜80为“合格”；60分以下为“差”。</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sidRPr="00266F21">
        <w:rPr>
          <w:rFonts w:ascii="仿宋_GB2312" w:eastAsia="仿宋_GB2312" w:cs="DengXian-Regular" w:hint="eastAsia"/>
          <w:sz w:val="32"/>
          <w:szCs w:val="32"/>
        </w:rPr>
        <w:lastRenderedPageBreak/>
        <w:t>区</w:t>
      </w:r>
      <w:r w:rsidR="003C67E7" w:rsidRPr="00266F21">
        <w:rPr>
          <w:rFonts w:ascii="仿宋_GB2312" w:eastAsia="仿宋_GB2312" w:cs="DengXian-Regular" w:hint="eastAsia"/>
          <w:sz w:val="32"/>
          <w:szCs w:val="32"/>
        </w:rPr>
        <w:t>检察院</w:t>
      </w:r>
      <w:r w:rsidRPr="00266F21">
        <w:rPr>
          <w:rFonts w:ascii="仿宋_GB2312" w:eastAsia="仿宋_GB2312" w:cs="DengXian-Regular" w:hint="eastAsia"/>
          <w:sz w:val="32"/>
          <w:szCs w:val="32"/>
        </w:rPr>
        <w:t>202</w:t>
      </w:r>
      <w:r w:rsidRPr="00266F21">
        <w:rPr>
          <w:rFonts w:ascii="仿宋_GB2312" w:eastAsia="仿宋_GB2312" w:cs="DengXian-Regular"/>
          <w:sz w:val="32"/>
          <w:szCs w:val="32"/>
        </w:rPr>
        <w:t>1</w:t>
      </w:r>
      <w:r w:rsidRPr="00266F21">
        <w:rPr>
          <w:rFonts w:ascii="仿宋_GB2312" w:eastAsia="仿宋_GB2312" w:cs="DengXian-Regular" w:hint="eastAsia"/>
          <w:sz w:val="32"/>
          <w:szCs w:val="32"/>
        </w:rPr>
        <w:t>年部门整体支出综合评价得分为</w:t>
      </w:r>
      <w:r w:rsidR="00266F21" w:rsidRPr="00266F21">
        <w:rPr>
          <w:rFonts w:ascii="仿宋_GB2312" w:eastAsia="仿宋_GB2312" w:cs="DengXian-Regular" w:hint="eastAsia"/>
          <w:sz w:val="32"/>
          <w:szCs w:val="32"/>
        </w:rPr>
        <w:t>95.99</w:t>
      </w:r>
      <w:r w:rsidRPr="00266F21">
        <w:rPr>
          <w:rFonts w:ascii="仿宋_GB2312" w:eastAsia="仿宋_GB2312" w:cs="DengXian-Regular" w:hint="eastAsia"/>
          <w:sz w:val="32"/>
          <w:szCs w:val="32"/>
        </w:rPr>
        <w:t>分，评价等级为“</w:t>
      </w:r>
      <w:r w:rsidR="00266F21" w:rsidRPr="00266F21">
        <w:rPr>
          <w:rFonts w:ascii="仿宋_GB2312" w:eastAsia="仿宋_GB2312" w:cs="DengXian-Regular" w:hint="eastAsia"/>
          <w:sz w:val="32"/>
          <w:szCs w:val="32"/>
        </w:rPr>
        <w:t>优</w:t>
      </w:r>
      <w:r w:rsidRPr="00266F21">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经评价，区</w:t>
      </w:r>
      <w:r w:rsidR="009778A5">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年部门预算编制完整性、项目预算细化率、在职人员控制率、收入完成率、财政拨款支出完成率、“三公经费”控制率、资金使用合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性、决算真实性、管理制度健全性、预决算信息公开、资产管理规范性、绩效自评覆盖率、绩效评价优等率、结转结余率、部门整体效益等指标完成情况较好。</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通过本次绩效评价工作，发现我单位在以下几个方面存在一些不足之处，具体如下：</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1.绩效指标方面</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2.预算决算比较</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3.预算追加方面</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4.政府采购方面</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5.项目资金使用率</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6.部分基础数据信息方面</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针对此次绩效评价过程中发现的问题，我们建议：</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1.增强绩效指标设置的明确性</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工作活动、预算项目绩效指标应当清晰、可评价、可衡量。建议在设置职责活动绩效指标时，将绩效目标细化分解为具体的工作任务数，从而使绩效目标可量化，便于对目标实现情况进行考核。</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2.提高预算编制质量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部门预算编制工作要全面反映和体现部门职责，根据具体情况及时调整预算的编制，缩小预算与决算差额，减少中期预算追加，提高预算编制质量，发挥预算约束作用。</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3.强化政府采购执行</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建议严格按照《中华人民共和国政府采购法》及河北省2017年《政府采购集中采购目录和限额标准》的相关规定，执行政府采购，加快预算执行进度，提高政府采购效率。</w:t>
      </w:r>
      <w:bookmarkStart w:id="1" w:name="_Toc4346"/>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4.提高项目资金使用率</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建议区</w:t>
      </w:r>
      <w:r w:rsidR="009778A5">
        <w:rPr>
          <w:rFonts w:ascii="仿宋_GB2312" w:eastAsia="仿宋_GB2312" w:hAnsiTheme="minorEastAsia" w:cs="Times New Roman" w:hint="eastAsia"/>
          <w:sz w:val="32"/>
          <w:szCs w:val="32"/>
          <w:u w:color="000000"/>
        </w:rPr>
        <w:t>检察院</w:t>
      </w:r>
      <w:r>
        <w:rPr>
          <w:rFonts w:ascii="仿宋_GB2312" w:eastAsia="仿宋_GB2312" w:hAnsiTheme="minorEastAsia" w:cs="Times New Roman" w:hint="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w:t>
      </w:r>
      <w:proofErr w:type="gramStart"/>
      <w:r>
        <w:rPr>
          <w:rFonts w:ascii="仿宋_GB2312" w:eastAsia="仿宋_GB2312" w:cs="DengXian-Regular"/>
          <w:sz w:val="32"/>
          <w:szCs w:val="32"/>
        </w:rPr>
        <w:t>可</w:t>
      </w:r>
      <w:proofErr w:type="gramEnd"/>
      <w:r>
        <w:rPr>
          <w:rFonts w:ascii="仿宋_GB2312" w:eastAsia="仿宋_GB2312" w:cs="DengXian-Regular"/>
          <w:sz w:val="32"/>
          <w:szCs w:val="32"/>
        </w:rPr>
        <w:t>查阅性。</w:t>
      </w:r>
    </w:p>
    <w:p w:rsidR="00E04566" w:rsidRPr="00684375" w:rsidRDefault="00F4291B">
      <w:pPr>
        <w:spacing w:after="0" w:line="360" w:lineRule="auto"/>
        <w:ind w:firstLineChars="200" w:firstLine="640"/>
        <w:jc w:val="both"/>
        <w:textAlignment w:val="baseline"/>
        <w:rPr>
          <w:rFonts w:ascii="仿宋_GB2312" w:eastAsia="仿宋_GB2312" w:cs="DengXian-Regular"/>
          <w:sz w:val="32"/>
          <w:szCs w:val="32"/>
        </w:rPr>
      </w:pPr>
      <w:r w:rsidRPr="00684375">
        <w:rPr>
          <w:rFonts w:ascii="仿宋_GB2312" w:eastAsia="仿宋_GB2312" w:cs="DengXian-Regular" w:hint="eastAsia"/>
          <w:sz w:val="32"/>
          <w:szCs w:val="32"/>
        </w:rPr>
        <w:t>6.预算安排建议</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sidRPr="00684375">
        <w:rPr>
          <w:rFonts w:ascii="仿宋_GB2312" w:eastAsia="仿宋_GB2312" w:cs="DengXian-Regular" w:hint="eastAsia"/>
          <w:sz w:val="32"/>
          <w:szCs w:val="32"/>
        </w:rPr>
        <w:t>人员经费方面：</w:t>
      </w:r>
      <w:r w:rsidRPr="00684375">
        <w:rPr>
          <w:rFonts w:ascii="仿宋_GB2312" w:eastAsia="仿宋_GB2312" w:cs="DengXian-Regular"/>
          <w:sz w:val="32"/>
          <w:szCs w:val="32"/>
        </w:rPr>
        <w:t>202</w:t>
      </w:r>
      <w:r w:rsidR="009778A5" w:rsidRPr="00684375">
        <w:rPr>
          <w:rFonts w:ascii="仿宋_GB2312" w:eastAsia="仿宋_GB2312" w:cs="DengXian-Regular" w:hint="eastAsia"/>
          <w:sz w:val="32"/>
          <w:szCs w:val="32"/>
        </w:rPr>
        <w:t>1</w:t>
      </w:r>
      <w:r w:rsidRPr="00684375">
        <w:rPr>
          <w:rFonts w:ascii="仿宋_GB2312" w:eastAsia="仿宋_GB2312" w:cs="DengXian-Regular"/>
          <w:sz w:val="32"/>
          <w:szCs w:val="32"/>
        </w:rPr>
        <w:t>年基本支出决算数</w:t>
      </w:r>
      <w:proofErr w:type="gramStart"/>
      <w:r w:rsidRPr="00684375">
        <w:rPr>
          <w:rFonts w:ascii="仿宋_GB2312" w:eastAsia="仿宋_GB2312" w:cs="DengXian-Regular"/>
          <w:sz w:val="32"/>
          <w:szCs w:val="32"/>
        </w:rPr>
        <w:t>较预算</w:t>
      </w:r>
      <w:proofErr w:type="gramEnd"/>
      <w:r w:rsidRPr="00684375">
        <w:rPr>
          <w:rFonts w:ascii="仿宋_GB2312" w:eastAsia="仿宋_GB2312" w:cs="DengXian-Regular"/>
          <w:sz w:val="32"/>
          <w:szCs w:val="32"/>
        </w:rPr>
        <w:t>数</w:t>
      </w:r>
      <w:r w:rsidR="00684375" w:rsidRPr="00684375">
        <w:rPr>
          <w:rFonts w:ascii="仿宋_GB2312" w:eastAsia="仿宋_GB2312" w:cs="DengXian-Regular" w:hint="eastAsia"/>
          <w:sz w:val="32"/>
          <w:szCs w:val="32"/>
        </w:rPr>
        <w:t>减少</w:t>
      </w:r>
      <w:r w:rsidRPr="00684375">
        <w:rPr>
          <w:rFonts w:ascii="仿宋_GB2312" w:eastAsia="仿宋_GB2312" w:cs="DengXian-Regular"/>
          <w:sz w:val="32"/>
          <w:szCs w:val="32"/>
        </w:rPr>
        <w:t>比例较大，主要原因为</w:t>
      </w:r>
      <w:r w:rsidR="00684375">
        <w:rPr>
          <w:rFonts w:ascii="仿宋_GB2312" w:eastAsia="仿宋_GB2312" w:cs="DengXian-Regular" w:hint="eastAsia"/>
          <w:sz w:val="32"/>
          <w:szCs w:val="32"/>
        </w:rPr>
        <w:t>当年</w:t>
      </w:r>
      <w:r w:rsidR="00791120">
        <w:rPr>
          <w:rFonts w:ascii="仿宋_GB2312" w:eastAsia="仿宋_GB2312" w:cs="DengXian-Regular" w:hint="eastAsia"/>
          <w:sz w:val="32"/>
          <w:szCs w:val="32"/>
        </w:rPr>
        <w:t>增加</w:t>
      </w:r>
      <w:r w:rsidR="00684375">
        <w:rPr>
          <w:rFonts w:ascii="仿宋_GB2312" w:eastAsia="仿宋_GB2312" w:cs="DengXian-Regular" w:hint="eastAsia"/>
          <w:sz w:val="32"/>
          <w:szCs w:val="32"/>
        </w:rPr>
        <w:t>退休人员</w:t>
      </w:r>
      <w:r w:rsidR="00791120">
        <w:rPr>
          <w:rFonts w:ascii="仿宋_GB2312" w:eastAsia="仿宋_GB2312" w:cs="DengXian-Regular" w:hint="eastAsia"/>
          <w:sz w:val="32"/>
          <w:szCs w:val="32"/>
        </w:rPr>
        <w:t>，</w:t>
      </w:r>
      <w:proofErr w:type="gramStart"/>
      <w:r w:rsidR="00791120">
        <w:rPr>
          <w:rFonts w:ascii="仿宋_GB2312" w:eastAsia="仿宋_GB2312" w:cs="DengXian-Regular" w:hint="eastAsia"/>
          <w:sz w:val="32"/>
          <w:szCs w:val="32"/>
        </w:rPr>
        <w:t>故</w:t>
      </w:r>
      <w:r w:rsidR="00684375">
        <w:rPr>
          <w:rFonts w:ascii="仿宋_GB2312" w:eastAsia="仿宋_GB2312" w:cs="DengXian-Regular" w:hint="eastAsia"/>
          <w:sz w:val="32"/>
          <w:szCs w:val="32"/>
        </w:rPr>
        <w:t>减少</w:t>
      </w:r>
      <w:proofErr w:type="gramEnd"/>
      <w:r w:rsidR="00791120">
        <w:rPr>
          <w:rFonts w:ascii="仿宋_GB2312" w:eastAsia="仿宋_GB2312" w:cs="DengXian-Regular" w:hint="eastAsia"/>
          <w:sz w:val="32"/>
          <w:szCs w:val="32"/>
        </w:rPr>
        <w:t>人员经</w:t>
      </w:r>
      <w:r w:rsidR="00791120">
        <w:rPr>
          <w:rFonts w:ascii="仿宋_GB2312" w:eastAsia="仿宋_GB2312" w:cs="DengXian-Regular" w:hint="eastAsia"/>
          <w:sz w:val="32"/>
          <w:szCs w:val="32"/>
        </w:rPr>
        <w:lastRenderedPageBreak/>
        <w:t>费</w:t>
      </w:r>
      <w:r>
        <w:rPr>
          <w:rFonts w:ascii="仿宋_GB2312" w:eastAsia="仿宋_GB2312" w:cs="DengXian-Regular"/>
          <w:sz w:val="32"/>
          <w:szCs w:val="32"/>
        </w:rPr>
        <w:t>，建议202</w:t>
      </w:r>
      <w:r w:rsidR="00684375">
        <w:rPr>
          <w:rFonts w:ascii="仿宋_GB2312" w:eastAsia="仿宋_GB2312" w:cs="DengXian-Regular" w:hint="eastAsia"/>
          <w:sz w:val="32"/>
          <w:szCs w:val="32"/>
        </w:rPr>
        <w:t>2</w:t>
      </w:r>
      <w:r>
        <w:rPr>
          <w:rFonts w:ascii="仿宋_GB2312" w:eastAsia="仿宋_GB2312" w:cs="DengXian-Regular"/>
          <w:sz w:val="32"/>
          <w:szCs w:val="32"/>
        </w:rPr>
        <w:t>年预算根据</w:t>
      </w:r>
      <w:r>
        <w:rPr>
          <w:rFonts w:ascii="仿宋_GB2312" w:eastAsia="仿宋_GB2312" w:cs="DengXian-Regular" w:hint="eastAsia"/>
          <w:sz w:val="32"/>
          <w:szCs w:val="32"/>
        </w:rPr>
        <w:t>202</w:t>
      </w:r>
      <w:r w:rsidR="00684375">
        <w:rPr>
          <w:rFonts w:ascii="仿宋_GB2312" w:eastAsia="仿宋_GB2312" w:cs="DengXian-Regular" w:hint="eastAsia"/>
          <w:sz w:val="32"/>
          <w:szCs w:val="32"/>
        </w:rPr>
        <w:t>1</w:t>
      </w:r>
      <w:r>
        <w:rPr>
          <w:rFonts w:ascii="仿宋_GB2312" w:eastAsia="仿宋_GB2312" w:cs="DengXian-Regular" w:hint="eastAsia"/>
          <w:sz w:val="32"/>
          <w:szCs w:val="32"/>
        </w:rPr>
        <w:t>年实际发生人员经费支出、人员数量和工资标准适当安排人员经费预算。</w:t>
      </w:r>
    </w:p>
    <w:p w:rsidR="009778A5" w:rsidRDefault="00F4291B" w:rsidP="009778A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项目资金方面：</w:t>
      </w:r>
      <w:r>
        <w:rPr>
          <w:rFonts w:ascii="仿宋_GB2312" w:eastAsia="仿宋_GB2312" w:cs="DengXian-Regular"/>
          <w:sz w:val="32"/>
          <w:szCs w:val="32"/>
        </w:rPr>
        <w:t>20</w:t>
      </w:r>
      <w:r w:rsidR="009778A5">
        <w:rPr>
          <w:rFonts w:ascii="仿宋_GB2312" w:eastAsia="仿宋_GB2312" w:cs="DengXian-Regular"/>
          <w:sz w:val="32"/>
          <w:szCs w:val="32"/>
        </w:rPr>
        <w:t>2</w:t>
      </w:r>
      <w:r w:rsidR="009778A5">
        <w:rPr>
          <w:rFonts w:ascii="仿宋_GB2312" w:eastAsia="仿宋_GB2312" w:cs="DengXian-Regular" w:hint="eastAsia"/>
          <w:sz w:val="32"/>
          <w:szCs w:val="32"/>
        </w:rPr>
        <w:t>1</w:t>
      </w:r>
      <w:r>
        <w:rPr>
          <w:rFonts w:ascii="仿宋_GB2312" w:eastAsia="仿宋_GB2312" w:cs="DengXian-Regular"/>
          <w:sz w:val="32"/>
          <w:szCs w:val="32"/>
        </w:rPr>
        <w:t>年项目支出资金</w:t>
      </w:r>
      <w:r w:rsidR="009778A5">
        <w:rPr>
          <w:rFonts w:ascii="仿宋_GB2312" w:eastAsia="仿宋_GB2312" w:cs="DengXian-Regular" w:hint="eastAsia"/>
          <w:sz w:val="32"/>
          <w:szCs w:val="32"/>
        </w:rPr>
        <w:t>执行</w:t>
      </w:r>
      <w:r>
        <w:rPr>
          <w:rFonts w:ascii="仿宋_GB2312" w:eastAsia="仿宋_GB2312" w:cs="DengXian-Regular"/>
          <w:sz w:val="32"/>
          <w:szCs w:val="32"/>
        </w:rPr>
        <w:t>率较低，</w:t>
      </w:r>
      <w:r w:rsidR="009778A5">
        <w:rPr>
          <w:rFonts w:ascii="仿宋_GB2312" w:eastAsia="仿宋_GB2312" w:cs="DengXian-Regular" w:hint="eastAsia"/>
          <w:sz w:val="32"/>
          <w:szCs w:val="32"/>
        </w:rPr>
        <w:t>资金支出进度缓慢，</w:t>
      </w:r>
      <w:r w:rsidR="009778A5" w:rsidRPr="004A6973">
        <w:rPr>
          <w:rFonts w:ascii="仿宋_GB2312" w:eastAsia="仿宋_GB2312" w:cs="DengXian-Regular" w:hint="eastAsia"/>
          <w:sz w:val="32"/>
          <w:szCs w:val="32"/>
        </w:rPr>
        <w:t>建议</w:t>
      </w:r>
      <w:r w:rsidR="009778A5">
        <w:rPr>
          <w:rFonts w:ascii="仿宋_GB2312" w:eastAsia="仿宋_GB2312" w:cs="DengXian-Regular" w:hint="eastAsia"/>
          <w:sz w:val="32"/>
          <w:szCs w:val="32"/>
        </w:rPr>
        <w:t>2022</w:t>
      </w:r>
      <w:r w:rsidR="009778A5" w:rsidRPr="004A6973">
        <w:rPr>
          <w:rFonts w:ascii="仿宋_GB2312" w:eastAsia="仿宋_GB2312" w:cs="DengXian-Regular" w:hint="eastAsia"/>
          <w:sz w:val="32"/>
          <w:szCs w:val="32"/>
        </w:rPr>
        <w:t>年提高预算编制的科学性；建立预算执行分析机制；建立全过程预算绩效管理机制等。</w:t>
      </w:r>
    </w:p>
    <w:p w:rsidR="00E04566" w:rsidRDefault="00F4291B">
      <w:pPr>
        <w:pStyle w:val="2"/>
        <w:spacing w:line="540" w:lineRule="exact"/>
        <w:jc w:val="center"/>
        <w:rPr>
          <w:rFonts w:ascii="黑体" w:hAnsi="黑体"/>
          <w:b w:val="0"/>
        </w:rPr>
      </w:pPr>
      <w:r>
        <w:rPr>
          <w:rFonts w:ascii="黑体" w:hAnsi="黑体" w:hint="eastAsia"/>
          <w:b w:val="0"/>
        </w:rPr>
        <w:t>第二部分   绩效评价报告</w:t>
      </w:r>
      <w:bookmarkEnd w:id="1"/>
    </w:p>
    <w:p w:rsidR="00E04566" w:rsidRDefault="00945894">
      <w:pPr>
        <w:pStyle w:val="2"/>
        <w:spacing w:before="0" w:after="0" w:line="360" w:lineRule="auto"/>
        <w:ind w:firstLineChars="200" w:firstLine="643"/>
        <w:rPr>
          <w:rFonts w:ascii="楷体" w:eastAsia="楷体" w:hAnsi="楷体" w:cs="楷体"/>
        </w:rPr>
      </w:pPr>
      <w:bookmarkStart w:id="2" w:name="_Toc492652763"/>
      <w:bookmarkStart w:id="3" w:name="_Toc427"/>
      <w:r>
        <w:rPr>
          <w:rFonts w:ascii="楷体" w:eastAsia="楷体" w:hAnsi="楷体" w:cs="楷体" w:hint="eastAsia"/>
        </w:rPr>
        <w:t>一、保定市徐水区人民检察院</w:t>
      </w:r>
      <w:r w:rsidR="00F4291B">
        <w:rPr>
          <w:rFonts w:ascii="楷体" w:eastAsia="楷体" w:hAnsi="楷体" w:cs="楷体" w:hint="eastAsia"/>
        </w:rPr>
        <w:t>基本情况</w:t>
      </w:r>
      <w:bookmarkStart w:id="4" w:name="_Toc492652764"/>
      <w:bookmarkEnd w:id="2"/>
      <w:bookmarkEnd w:id="3"/>
    </w:p>
    <w:p w:rsidR="00E04566" w:rsidRDefault="00F4291B">
      <w:pPr>
        <w:pStyle w:val="3"/>
        <w:spacing w:before="0" w:after="0"/>
        <w:ind w:firstLineChars="200" w:firstLine="643"/>
        <w:jc w:val="both"/>
        <w:rPr>
          <w:rFonts w:ascii="仿宋_GB2312" w:hAnsi="Tahoma" w:cs="DengXian-Regular"/>
          <w:sz w:val="32"/>
        </w:rPr>
      </w:pPr>
      <w:bookmarkStart w:id="5" w:name="_Toc11473"/>
      <w:r>
        <w:rPr>
          <w:rFonts w:ascii="仿宋_GB2312" w:hAnsi="Tahoma" w:cs="DengXian-Regular" w:hint="eastAsia"/>
          <w:sz w:val="32"/>
        </w:rPr>
        <w:t>（一）部门职责和工作活动</w:t>
      </w:r>
      <w:bookmarkEnd w:id="4"/>
      <w:bookmarkEnd w:id="5"/>
    </w:p>
    <w:p w:rsidR="00945894" w:rsidRDefault="00945894" w:rsidP="00945894">
      <w:pPr>
        <w:spacing w:after="0" w:line="360" w:lineRule="auto"/>
        <w:ind w:firstLineChars="200" w:firstLine="640"/>
        <w:jc w:val="both"/>
        <w:textAlignment w:val="baseline"/>
        <w:rPr>
          <w:rFonts w:ascii="仿宋_GB2312" w:eastAsia="仿宋_GB2312" w:cs="DengXian-Regular"/>
          <w:sz w:val="32"/>
          <w:szCs w:val="32"/>
        </w:rPr>
      </w:pPr>
      <w:bookmarkStart w:id="6" w:name="_Toc465149499"/>
      <w:bookmarkStart w:id="7" w:name="_Toc492652765"/>
      <w:bookmarkStart w:id="8" w:name="_Toc7075"/>
      <w:r>
        <w:rPr>
          <w:rFonts w:ascii="仿宋_GB2312" w:eastAsia="仿宋_GB2312" w:cs="DengXian-Regular" w:hint="eastAsia"/>
          <w:sz w:val="32"/>
          <w:szCs w:val="32"/>
        </w:rPr>
        <w:t>根据中共河北省</w:t>
      </w:r>
      <w:proofErr w:type="gramStart"/>
      <w:r>
        <w:rPr>
          <w:rFonts w:ascii="仿宋_GB2312" w:eastAsia="仿宋_GB2312" w:cs="DengXian-Regular" w:hint="eastAsia"/>
          <w:sz w:val="32"/>
          <w:szCs w:val="32"/>
        </w:rPr>
        <w:t>委机构</w:t>
      </w:r>
      <w:proofErr w:type="gramEnd"/>
      <w:r>
        <w:rPr>
          <w:rFonts w:ascii="仿宋_GB2312" w:eastAsia="仿宋_GB2312" w:cs="DengXian-Regular" w:hint="eastAsia"/>
          <w:sz w:val="32"/>
          <w:szCs w:val="32"/>
        </w:rPr>
        <w:t>编制委员会办公室、河北省人民检察院关于印发《河北省设区市和基层人民检察院职能配置、内设机构和人员编制规定》的通知，区检察院为区政府工作部门，正科级单位，下设5个股室。</w:t>
      </w:r>
      <w:r w:rsidRPr="00BB6F4E">
        <w:rPr>
          <w:rFonts w:ascii="仿宋_GB2312" w:eastAsia="仿宋_GB2312" w:cs="DengXian-Regular" w:hint="eastAsia"/>
          <w:sz w:val="32"/>
          <w:szCs w:val="32"/>
        </w:rPr>
        <w:t>区检察院</w:t>
      </w:r>
      <w:r>
        <w:rPr>
          <w:rFonts w:ascii="仿宋_GB2312" w:eastAsia="仿宋_GB2312" w:cs="DengXian-Regular" w:hint="eastAsia"/>
          <w:sz w:val="32"/>
          <w:szCs w:val="32"/>
        </w:rPr>
        <w:t>根据绩效预算管理改革的相关要求，按照“部门职责—工作活动绩效目标”的层级设立了绩效预算架构，职责活动包括</w:t>
      </w:r>
      <w:r w:rsidRPr="00BB6F4E">
        <w:rPr>
          <w:rFonts w:ascii="仿宋_GB2312" w:eastAsia="仿宋_GB2312" w:cs="DengXian-Regular" w:hint="eastAsia"/>
          <w:sz w:val="32"/>
          <w:szCs w:val="32"/>
        </w:rPr>
        <w:t>检察监督、控告和刑事申诉检察、检察事务</w:t>
      </w:r>
      <w:proofErr w:type="gramStart"/>
      <w:r w:rsidRPr="00BB6F4E">
        <w:rPr>
          <w:rFonts w:ascii="仿宋_GB2312" w:eastAsia="仿宋_GB2312" w:cs="DengXian-Regular" w:hint="eastAsia"/>
          <w:sz w:val="32"/>
          <w:szCs w:val="32"/>
        </w:rPr>
        <w:t>管理共</w:t>
      </w:r>
      <w:proofErr w:type="gramEnd"/>
      <w:r w:rsidRPr="00BB6F4E">
        <w:rPr>
          <w:rFonts w:ascii="仿宋_GB2312" w:eastAsia="仿宋_GB2312" w:cs="DengXian-Regular" w:hint="eastAsia"/>
          <w:sz w:val="32"/>
          <w:szCs w:val="32"/>
        </w:rPr>
        <w:t>3部分。</w:t>
      </w:r>
    </w:p>
    <w:p w:rsidR="00E04566" w:rsidRDefault="00F4291B">
      <w:pPr>
        <w:pStyle w:val="3"/>
        <w:spacing w:before="0" w:after="0"/>
        <w:ind w:firstLineChars="200" w:firstLine="643"/>
        <w:jc w:val="both"/>
        <w:rPr>
          <w:rFonts w:ascii="仿宋_GB2312" w:hAnsi="Tahoma" w:cs="DengXian-Regular"/>
          <w:sz w:val="32"/>
        </w:rPr>
      </w:pPr>
      <w:r>
        <w:rPr>
          <w:rFonts w:ascii="仿宋_GB2312" w:hAnsi="Tahoma" w:cs="DengXian-Regular" w:hint="eastAsia"/>
          <w:sz w:val="32"/>
        </w:rPr>
        <w:t>（二）</w:t>
      </w:r>
      <w:bookmarkEnd w:id="6"/>
      <w:r>
        <w:rPr>
          <w:rFonts w:ascii="仿宋_GB2312" w:hAnsi="Tahoma" w:cs="DengXian-Regular" w:hint="eastAsia"/>
          <w:sz w:val="32"/>
        </w:rPr>
        <w:t>部门年度发展规划总体目标和职责分类绩效目标</w:t>
      </w:r>
      <w:bookmarkEnd w:id="7"/>
      <w:bookmarkEnd w:id="8"/>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按照202</w:t>
      </w:r>
      <w:r>
        <w:rPr>
          <w:rFonts w:ascii="仿宋_GB2312" w:eastAsia="仿宋_GB2312" w:cs="DengXian-Regular"/>
          <w:sz w:val="32"/>
          <w:szCs w:val="32"/>
        </w:rPr>
        <w:t>1</w:t>
      </w:r>
      <w:r>
        <w:rPr>
          <w:rFonts w:ascii="仿宋_GB2312" w:eastAsia="仿宋_GB2312" w:cs="DengXian-Regular" w:hint="eastAsia"/>
          <w:sz w:val="32"/>
          <w:szCs w:val="32"/>
        </w:rPr>
        <w:t>年绩效预算编制要求，</w:t>
      </w:r>
      <w:r w:rsidR="002B1E29">
        <w:rPr>
          <w:rFonts w:ascii="仿宋_GB2312" w:eastAsia="仿宋_GB2312" w:cs="DengXian-Regular" w:hint="eastAsia"/>
          <w:sz w:val="32"/>
          <w:szCs w:val="32"/>
        </w:rPr>
        <w:t>检察院</w:t>
      </w:r>
      <w:r>
        <w:rPr>
          <w:rFonts w:ascii="仿宋_GB2312" w:eastAsia="仿宋_GB2312" w:cs="DengXian-Regular" w:hint="eastAsia"/>
          <w:sz w:val="32"/>
          <w:szCs w:val="32"/>
        </w:rPr>
        <w:t>设置的年度发展规划总体目标为：</w:t>
      </w:r>
    </w:p>
    <w:p w:rsidR="002B1E29" w:rsidRDefault="002B1E29" w:rsidP="002B1E29">
      <w:pPr>
        <w:spacing w:after="0" w:line="360" w:lineRule="auto"/>
        <w:ind w:firstLineChars="200" w:firstLine="640"/>
        <w:jc w:val="both"/>
        <w:textAlignment w:val="baseline"/>
        <w:rPr>
          <w:rFonts w:ascii="仿宋_GB2312" w:eastAsia="仿宋_GB2312" w:cs="DengXian-Regular"/>
          <w:sz w:val="32"/>
          <w:szCs w:val="32"/>
        </w:rPr>
      </w:pPr>
      <w:r w:rsidRPr="00A10379">
        <w:rPr>
          <w:rFonts w:ascii="仿宋_GB2312" w:eastAsia="仿宋_GB2312" w:cs="DengXian-Regular" w:hint="eastAsia"/>
          <w:sz w:val="32"/>
          <w:szCs w:val="32"/>
        </w:rPr>
        <w:lastRenderedPageBreak/>
        <w:t>高举习近平新时代中国特色社会</w:t>
      </w:r>
      <w:r w:rsidR="00FC7AB2">
        <w:rPr>
          <w:rFonts w:ascii="仿宋_GB2312" w:eastAsia="仿宋_GB2312" w:cs="DengXian-Regular" w:hint="eastAsia"/>
          <w:sz w:val="32"/>
          <w:szCs w:val="32"/>
        </w:rPr>
        <w:t>主</w:t>
      </w:r>
      <w:r w:rsidRPr="00A10379">
        <w:rPr>
          <w:rFonts w:ascii="仿宋_GB2312" w:eastAsia="仿宋_GB2312" w:cs="DengXian-Regular" w:hint="eastAsia"/>
          <w:sz w:val="32"/>
          <w:szCs w:val="32"/>
        </w:rPr>
        <w:t>义思想伟大旗帜，全面履行法律监督职责，为徐水区经济发展提供优质服务。开展专项活动，依法严厉打击严重刑事犯罪。注重定</w:t>
      </w:r>
      <w:proofErr w:type="gramStart"/>
      <w:r w:rsidRPr="00A10379">
        <w:rPr>
          <w:rFonts w:ascii="仿宋_GB2312" w:eastAsia="仿宋_GB2312" w:cs="DengXian-Regular" w:hint="eastAsia"/>
          <w:sz w:val="32"/>
          <w:szCs w:val="32"/>
        </w:rPr>
        <w:t>纷</w:t>
      </w:r>
      <w:proofErr w:type="gramEnd"/>
      <w:r w:rsidRPr="00A10379">
        <w:rPr>
          <w:rFonts w:ascii="仿宋_GB2312" w:eastAsia="仿宋_GB2312" w:cs="DengXian-Regular" w:hint="eastAsia"/>
          <w:sz w:val="32"/>
          <w:szCs w:val="32"/>
        </w:rPr>
        <w:t>止争，妥善解决群众合理诉求。强化对诉讼活动的法律监督，促进社会公平公正。转变司法理念，推动“四大检察”工作全面协调充分发展。</w:t>
      </w:r>
    </w:p>
    <w:p w:rsidR="00E04566" w:rsidRDefault="00F4291B" w:rsidP="002B1E2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rsidR="002B1E29" w:rsidRDefault="002B1E29" w:rsidP="002B1E29">
      <w:pPr>
        <w:spacing w:after="0" w:line="360" w:lineRule="auto"/>
        <w:ind w:firstLineChars="200" w:firstLine="640"/>
        <w:jc w:val="both"/>
        <w:textAlignment w:val="baseline"/>
        <w:rPr>
          <w:rFonts w:ascii="仿宋_GB2312" w:eastAsia="仿宋_GB2312" w:cs="DengXian-Regular"/>
          <w:sz w:val="32"/>
          <w:szCs w:val="32"/>
        </w:rPr>
      </w:pPr>
      <w:bookmarkStart w:id="9" w:name="_Toc1678"/>
      <w:bookmarkStart w:id="10" w:name="_Toc492652766"/>
      <w:bookmarkStart w:id="11" w:name="_Toc465149500"/>
      <w:r w:rsidRPr="002B1E29">
        <w:rPr>
          <w:rFonts w:ascii="仿宋_GB2312" w:eastAsia="仿宋_GB2312" w:cs="DengXian-Regular" w:hint="eastAsia"/>
          <w:sz w:val="32"/>
          <w:szCs w:val="32"/>
        </w:rPr>
        <w:t>我单位承担检察事务管理职责,开展综合事务管理工作，通过开展严打整治专项工作和其他检察事务工作，同时对全区检察人员的教育培训工作和对外交流工作；开展法律宣传工作；进行基础设施建设和维护。通过各项活动的开展为确保检察有效履行职责，维护社会和谐稳定，促进社会公平正义具有重要意义。各项综合事务工作完成率达到90%以上。</w:t>
      </w:r>
    </w:p>
    <w:p w:rsidR="00E04566" w:rsidRDefault="00F4291B" w:rsidP="002B1E29">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（三）部门预算收入及决算收入</w:t>
      </w:r>
      <w:bookmarkEnd w:id="9"/>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年区</w:t>
      </w:r>
      <w:r w:rsidR="002B1E29">
        <w:rPr>
          <w:rFonts w:ascii="仿宋_GB2312" w:eastAsia="仿宋_GB2312" w:cs="DengXian-Regular" w:hint="eastAsia"/>
          <w:sz w:val="32"/>
          <w:szCs w:val="32"/>
        </w:rPr>
        <w:t>检察院</w:t>
      </w:r>
      <w:r>
        <w:rPr>
          <w:rFonts w:ascii="仿宋_GB2312" w:eastAsia="仿宋_GB2312" w:cs="DengXian-Regular" w:hint="eastAsia"/>
          <w:sz w:val="32"/>
          <w:szCs w:val="32"/>
        </w:rPr>
        <w:t>预算收入</w:t>
      </w:r>
      <w:r w:rsidR="00CD3EA1">
        <w:rPr>
          <w:rFonts w:ascii="仿宋_GB2312" w:eastAsia="仿宋_GB2312" w:cs="DengXian-Regular" w:hint="eastAsia"/>
          <w:sz w:val="32"/>
          <w:szCs w:val="32"/>
        </w:rPr>
        <w:t>1229.55</w:t>
      </w:r>
      <w:r>
        <w:rPr>
          <w:rFonts w:ascii="仿宋_GB2312" w:eastAsia="仿宋_GB2312" w:cs="DengXian-Regular" w:hint="eastAsia"/>
          <w:sz w:val="32"/>
          <w:szCs w:val="32"/>
        </w:rPr>
        <w:t>万元，均为一般公共预算拨款，其中：财政拨款</w:t>
      </w:r>
      <w:r w:rsidR="00CD3EA1">
        <w:rPr>
          <w:rFonts w:ascii="仿宋_GB2312" w:eastAsia="仿宋_GB2312" w:cs="DengXian-Regular" w:hint="eastAsia"/>
          <w:sz w:val="32"/>
          <w:szCs w:val="32"/>
        </w:rPr>
        <w:t>1229.55</w:t>
      </w:r>
      <w:r>
        <w:rPr>
          <w:rFonts w:ascii="仿宋_GB2312" w:eastAsia="仿宋_GB2312" w:cs="DengXian-Regular" w:hint="eastAsia"/>
          <w:sz w:val="32"/>
          <w:szCs w:val="32"/>
        </w:rPr>
        <w:t>万元，中央财政提前通知转移支付</w:t>
      </w:r>
      <w:r w:rsidR="00CD3EA1">
        <w:rPr>
          <w:rFonts w:ascii="仿宋_GB2312" w:eastAsia="仿宋_GB2312" w:cs="DengXian-Regular" w:hint="eastAsia"/>
          <w:sz w:val="32"/>
          <w:szCs w:val="32"/>
        </w:rPr>
        <w:t>0</w:t>
      </w:r>
      <w:r>
        <w:rPr>
          <w:rFonts w:ascii="仿宋_GB2312" w:eastAsia="仿宋_GB2312" w:cs="DengXian-Regular" w:hint="eastAsia"/>
          <w:sz w:val="32"/>
          <w:szCs w:val="32"/>
        </w:rPr>
        <w:t>万元。预算收入按功能分类包含：公共安全支出</w:t>
      </w:r>
      <w:r w:rsidR="00CD3EA1">
        <w:rPr>
          <w:rFonts w:ascii="仿宋_GB2312" w:eastAsia="仿宋_GB2312" w:cs="DengXian-Regular" w:hint="eastAsia"/>
          <w:sz w:val="32"/>
          <w:szCs w:val="32"/>
        </w:rPr>
        <w:t>1035.02</w:t>
      </w:r>
      <w:r>
        <w:rPr>
          <w:rFonts w:ascii="仿宋_GB2312" w:eastAsia="仿宋_GB2312" w:cs="DengXian-Regular" w:hint="eastAsia"/>
          <w:sz w:val="32"/>
          <w:szCs w:val="32"/>
        </w:rPr>
        <w:t>万元，社会保障和就业支出</w:t>
      </w:r>
      <w:r w:rsidR="00CD3EA1">
        <w:rPr>
          <w:rFonts w:ascii="仿宋_GB2312" w:eastAsia="仿宋_GB2312" w:cs="DengXian-Regular" w:hint="eastAsia"/>
          <w:sz w:val="32"/>
          <w:szCs w:val="32"/>
        </w:rPr>
        <w:t>111.58</w:t>
      </w:r>
      <w:r>
        <w:rPr>
          <w:rFonts w:ascii="仿宋_GB2312" w:eastAsia="仿宋_GB2312" w:cs="DengXian-Regular" w:hint="eastAsia"/>
          <w:sz w:val="32"/>
          <w:szCs w:val="32"/>
        </w:rPr>
        <w:t>万元，医疗卫生与计划生育支出</w:t>
      </w:r>
      <w:r w:rsidR="00CD3EA1">
        <w:rPr>
          <w:rFonts w:ascii="仿宋_GB2312" w:eastAsia="仿宋_GB2312" w:cs="DengXian-Regular" w:hint="eastAsia"/>
          <w:sz w:val="32"/>
          <w:szCs w:val="32"/>
        </w:rPr>
        <w:t>37.77</w:t>
      </w:r>
      <w:r>
        <w:rPr>
          <w:rFonts w:ascii="仿宋_GB2312" w:eastAsia="仿宋_GB2312" w:cs="DengXian-Regular" w:hint="eastAsia"/>
          <w:sz w:val="32"/>
          <w:szCs w:val="32"/>
        </w:rPr>
        <w:t>万元，住房保障支出</w:t>
      </w:r>
      <w:r w:rsidR="00CD3EA1">
        <w:rPr>
          <w:rFonts w:ascii="仿宋_GB2312" w:eastAsia="仿宋_GB2312" w:cs="DengXian-Regular" w:hint="eastAsia"/>
          <w:sz w:val="32"/>
          <w:szCs w:val="32"/>
        </w:rPr>
        <w:t>45.18</w:t>
      </w:r>
      <w:r>
        <w:rPr>
          <w:rFonts w:ascii="仿宋_GB2312" w:eastAsia="仿宋_GB2312" w:cs="DengXian-Regular" w:hint="eastAsia"/>
          <w:sz w:val="32"/>
          <w:szCs w:val="32"/>
        </w:rPr>
        <w:t>万元。具体预算收入详见附件2。</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202</w:t>
      </w:r>
      <w:r>
        <w:rPr>
          <w:rFonts w:ascii="仿宋_GB2312" w:eastAsia="仿宋_GB2312" w:cs="DengXian-Regular"/>
          <w:sz w:val="32"/>
          <w:szCs w:val="32"/>
        </w:rPr>
        <w:t>1</w:t>
      </w:r>
      <w:r>
        <w:rPr>
          <w:rFonts w:ascii="仿宋_GB2312" w:eastAsia="仿宋_GB2312" w:cs="DengXian-Regular" w:hint="eastAsia"/>
          <w:sz w:val="32"/>
          <w:szCs w:val="32"/>
        </w:rPr>
        <w:t>年区</w:t>
      </w:r>
      <w:r w:rsidR="00D60F49">
        <w:rPr>
          <w:rFonts w:ascii="仿宋_GB2312" w:eastAsia="仿宋_GB2312" w:cs="DengXian-Regular" w:hint="eastAsia"/>
          <w:sz w:val="32"/>
          <w:szCs w:val="32"/>
        </w:rPr>
        <w:t>检察院</w:t>
      </w:r>
      <w:r>
        <w:rPr>
          <w:rFonts w:ascii="仿宋_GB2312" w:eastAsia="仿宋_GB2312" w:cs="DengXian-Regular" w:hint="eastAsia"/>
          <w:sz w:val="32"/>
          <w:szCs w:val="32"/>
        </w:rPr>
        <w:t>决算收入</w:t>
      </w:r>
      <w:r w:rsidR="00D60F49">
        <w:rPr>
          <w:rFonts w:ascii="仿宋_GB2312" w:eastAsia="仿宋_GB2312" w:cs="DengXian-Regular" w:hint="eastAsia"/>
          <w:sz w:val="32"/>
          <w:szCs w:val="32"/>
        </w:rPr>
        <w:t>1260.95</w:t>
      </w:r>
      <w:r>
        <w:rPr>
          <w:rFonts w:ascii="仿宋_GB2312" w:eastAsia="仿宋_GB2312" w:cs="DengXian-Regular" w:hint="eastAsia"/>
          <w:sz w:val="32"/>
          <w:szCs w:val="32"/>
        </w:rPr>
        <w:t>万元，其中：财政拨款收入</w:t>
      </w:r>
      <w:r w:rsidR="00D60F49">
        <w:rPr>
          <w:rFonts w:ascii="仿宋_GB2312" w:eastAsia="仿宋_GB2312" w:cs="DengXian-Regular" w:hint="eastAsia"/>
          <w:sz w:val="32"/>
          <w:szCs w:val="32"/>
        </w:rPr>
        <w:t>1260.87</w:t>
      </w:r>
      <w:r>
        <w:rPr>
          <w:rFonts w:ascii="仿宋_GB2312" w:eastAsia="仿宋_GB2312" w:cs="DengXian-Regular" w:hint="eastAsia"/>
          <w:sz w:val="32"/>
          <w:szCs w:val="32"/>
        </w:rPr>
        <w:t>万元，其他收入</w:t>
      </w:r>
      <w:r w:rsidR="00D60F49">
        <w:rPr>
          <w:rFonts w:ascii="仿宋_GB2312" w:eastAsia="仿宋_GB2312" w:cs="DengXian-Regular" w:hint="eastAsia"/>
          <w:sz w:val="32"/>
          <w:szCs w:val="32"/>
        </w:rPr>
        <w:t>0.08</w:t>
      </w:r>
      <w:r>
        <w:rPr>
          <w:rFonts w:ascii="仿宋_GB2312" w:eastAsia="仿宋_GB2312" w:cs="DengXian-Regular" w:hint="eastAsia"/>
          <w:sz w:val="32"/>
          <w:szCs w:val="32"/>
        </w:rPr>
        <w:t>万元（全部为利息收入）。决算收入按功能分类包含：公共安全支出</w:t>
      </w:r>
      <w:r w:rsidR="00DC0BD4">
        <w:rPr>
          <w:rFonts w:ascii="仿宋_GB2312" w:eastAsia="仿宋_GB2312" w:cs="DengXian-Regular" w:hint="eastAsia"/>
          <w:sz w:val="32"/>
          <w:szCs w:val="32"/>
        </w:rPr>
        <w:t>1041.17</w:t>
      </w:r>
      <w:r>
        <w:rPr>
          <w:rFonts w:ascii="仿宋_GB2312" w:eastAsia="仿宋_GB2312" w:cs="DengXian-Regular" w:hint="eastAsia"/>
          <w:sz w:val="32"/>
          <w:szCs w:val="32"/>
        </w:rPr>
        <w:t>万元，占比</w:t>
      </w:r>
      <w:r w:rsidR="00DC0BD4">
        <w:rPr>
          <w:rFonts w:ascii="仿宋_GB2312" w:eastAsia="仿宋_GB2312" w:cs="DengXian-Regular" w:hint="eastAsia"/>
          <w:sz w:val="32"/>
          <w:szCs w:val="32"/>
        </w:rPr>
        <w:t>8</w:t>
      </w:r>
      <w:r w:rsidR="00384B9E">
        <w:rPr>
          <w:rFonts w:ascii="仿宋_GB2312" w:eastAsia="仿宋_GB2312" w:cs="DengXian-Regular" w:hint="eastAsia"/>
          <w:sz w:val="32"/>
          <w:szCs w:val="32"/>
        </w:rPr>
        <w:t>2.5</w:t>
      </w:r>
      <w:r w:rsidR="0011206E">
        <w:rPr>
          <w:rFonts w:ascii="仿宋_GB2312" w:eastAsia="仿宋_GB2312" w:cs="DengXian-Regular" w:hint="eastAsia"/>
          <w:sz w:val="32"/>
          <w:szCs w:val="32"/>
        </w:rPr>
        <w:t>7</w:t>
      </w:r>
      <w:r>
        <w:rPr>
          <w:rFonts w:ascii="仿宋_GB2312" w:eastAsia="仿宋_GB2312" w:cs="DengXian-Regular" w:hint="eastAsia"/>
          <w:sz w:val="32"/>
          <w:szCs w:val="32"/>
        </w:rPr>
        <w:t>%；社会保障和就业支出</w:t>
      </w:r>
      <w:r w:rsidR="00D60F49">
        <w:rPr>
          <w:rFonts w:ascii="仿宋_GB2312" w:eastAsia="仿宋_GB2312" w:cs="DengXian-Regular" w:hint="eastAsia"/>
          <w:sz w:val="32"/>
          <w:szCs w:val="32"/>
        </w:rPr>
        <w:t>150.15</w:t>
      </w:r>
      <w:r>
        <w:rPr>
          <w:rFonts w:ascii="仿宋_GB2312" w:eastAsia="仿宋_GB2312" w:cs="DengXian-Regular" w:hint="eastAsia"/>
          <w:sz w:val="32"/>
          <w:szCs w:val="32"/>
        </w:rPr>
        <w:t>万元，占比</w:t>
      </w:r>
      <w:r w:rsidR="00DC0BD4">
        <w:rPr>
          <w:rFonts w:ascii="仿宋_GB2312" w:eastAsia="仿宋_GB2312" w:cs="DengXian-Regular" w:hint="eastAsia"/>
          <w:sz w:val="32"/>
          <w:szCs w:val="32"/>
        </w:rPr>
        <w:t>1</w:t>
      </w:r>
      <w:r w:rsidR="00384B9E">
        <w:rPr>
          <w:rFonts w:ascii="仿宋_GB2312" w:eastAsia="仿宋_GB2312" w:cs="DengXian-Regular" w:hint="eastAsia"/>
          <w:sz w:val="32"/>
          <w:szCs w:val="32"/>
        </w:rPr>
        <w:t>1.9</w:t>
      </w:r>
      <w:r w:rsidR="0044318E">
        <w:rPr>
          <w:rFonts w:ascii="仿宋_GB2312" w:eastAsia="仿宋_GB2312" w:cs="DengXian-Regular" w:hint="eastAsia"/>
          <w:sz w:val="32"/>
          <w:szCs w:val="32"/>
        </w:rPr>
        <w:t>1</w:t>
      </w:r>
      <w:r>
        <w:rPr>
          <w:rFonts w:ascii="仿宋_GB2312" w:eastAsia="仿宋_GB2312" w:cs="DengXian-Regular" w:hint="eastAsia"/>
          <w:sz w:val="32"/>
          <w:szCs w:val="32"/>
        </w:rPr>
        <w:t>%；医疗卫生与计划生育支出</w:t>
      </w:r>
      <w:r w:rsidR="00D60F49">
        <w:rPr>
          <w:rFonts w:ascii="仿宋_GB2312" w:eastAsia="仿宋_GB2312" w:cs="DengXian-Regular" w:hint="eastAsia"/>
          <w:sz w:val="32"/>
          <w:szCs w:val="32"/>
        </w:rPr>
        <w:t>24.36</w:t>
      </w:r>
      <w:r>
        <w:rPr>
          <w:rFonts w:ascii="仿宋_GB2312" w:eastAsia="仿宋_GB2312" w:cs="DengXian-Regular" w:hint="eastAsia"/>
          <w:sz w:val="32"/>
          <w:szCs w:val="32"/>
        </w:rPr>
        <w:t>万元，占比</w:t>
      </w:r>
      <w:r w:rsidR="00384B9E">
        <w:rPr>
          <w:rFonts w:ascii="仿宋_GB2312" w:eastAsia="仿宋_GB2312" w:cs="DengXian-Regular" w:hint="eastAsia"/>
          <w:sz w:val="32"/>
          <w:szCs w:val="32"/>
        </w:rPr>
        <w:t>1.9</w:t>
      </w:r>
      <w:r w:rsidR="0011206E">
        <w:rPr>
          <w:rFonts w:ascii="仿宋_GB2312" w:eastAsia="仿宋_GB2312" w:cs="DengXian-Regular" w:hint="eastAsia"/>
          <w:sz w:val="32"/>
          <w:szCs w:val="32"/>
        </w:rPr>
        <w:t>3</w:t>
      </w:r>
      <w:r>
        <w:rPr>
          <w:rFonts w:ascii="仿宋_GB2312" w:eastAsia="仿宋_GB2312" w:cs="DengXian-Regular" w:hint="eastAsia"/>
          <w:sz w:val="32"/>
          <w:szCs w:val="32"/>
        </w:rPr>
        <w:t>%；住房保障支出</w:t>
      </w:r>
      <w:r w:rsidR="00D60F49">
        <w:rPr>
          <w:rFonts w:ascii="仿宋_GB2312" w:eastAsia="仿宋_GB2312" w:cs="DengXian-Regular" w:hint="eastAsia"/>
          <w:sz w:val="32"/>
          <w:szCs w:val="32"/>
        </w:rPr>
        <w:t>45.27</w:t>
      </w:r>
      <w:r>
        <w:rPr>
          <w:rFonts w:ascii="仿宋_GB2312" w:eastAsia="仿宋_GB2312" w:cs="DengXian-Regular" w:hint="eastAsia"/>
          <w:sz w:val="32"/>
          <w:szCs w:val="32"/>
        </w:rPr>
        <w:t>万元，占比</w:t>
      </w:r>
      <w:r w:rsidR="00384B9E">
        <w:rPr>
          <w:rFonts w:ascii="仿宋_GB2312" w:eastAsia="仿宋_GB2312" w:cs="DengXian-Regular" w:hint="eastAsia"/>
          <w:sz w:val="32"/>
          <w:szCs w:val="32"/>
        </w:rPr>
        <w:t>3.59</w:t>
      </w:r>
      <w:r>
        <w:rPr>
          <w:rFonts w:ascii="仿宋_GB2312" w:eastAsia="仿宋_GB2312" w:cs="DengXian-Regular" w:hint="eastAsia"/>
          <w:sz w:val="32"/>
          <w:szCs w:val="32"/>
        </w:rPr>
        <w:t>%。具体决算收入详见附件</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2。决算收入结构如图1。</w:t>
      </w:r>
    </w:p>
    <w:p w:rsidR="00E04566" w:rsidRDefault="00F4291B">
      <w:pPr>
        <w:spacing w:after="0" w:line="360" w:lineRule="auto"/>
        <w:jc w:val="center"/>
        <w:textAlignment w:val="baseline"/>
        <w:rPr>
          <w:rFonts w:ascii="仿宋_GB2312" w:eastAsia="仿宋_GB2312" w:cs="DengXian-Regular"/>
          <w:sz w:val="32"/>
          <w:szCs w:val="32"/>
        </w:rPr>
      </w:pPr>
      <w:r>
        <w:rPr>
          <w:rFonts w:asciiTheme="minorEastAsia" w:eastAsiaTheme="minorEastAsia" w:hAnsiTheme="minorEastAsia" w:cstheme="minorEastAsia" w:hint="eastAsia"/>
          <w:b/>
          <w:bCs/>
          <w:sz w:val="32"/>
          <w:szCs w:val="32"/>
        </w:rPr>
        <w:t>图1  202</w:t>
      </w:r>
      <w:r>
        <w:rPr>
          <w:rFonts w:asciiTheme="minorEastAsia" w:eastAsiaTheme="minorEastAsia" w:hAnsiTheme="minorEastAsia" w:cstheme="minorEastAsia"/>
          <w:b/>
          <w:bCs/>
          <w:sz w:val="32"/>
          <w:szCs w:val="32"/>
        </w:rPr>
        <w:t>1</w:t>
      </w:r>
      <w:r>
        <w:rPr>
          <w:rFonts w:asciiTheme="minorEastAsia" w:eastAsiaTheme="minorEastAsia" w:hAnsiTheme="minorEastAsia" w:cstheme="minorEastAsia" w:hint="eastAsia"/>
          <w:b/>
          <w:bCs/>
          <w:sz w:val="32"/>
          <w:szCs w:val="32"/>
        </w:rPr>
        <w:t>年度区</w:t>
      </w:r>
      <w:r w:rsidR="006C24F8">
        <w:rPr>
          <w:rFonts w:ascii="仿宋_GB2312" w:eastAsia="仿宋_GB2312" w:cs="DengXian-Regular" w:hint="eastAsia"/>
          <w:sz w:val="32"/>
          <w:szCs w:val="32"/>
        </w:rPr>
        <w:t>检察院</w:t>
      </w:r>
      <w:r>
        <w:rPr>
          <w:rFonts w:asciiTheme="minorEastAsia" w:eastAsiaTheme="minorEastAsia" w:hAnsiTheme="minorEastAsia" w:cstheme="minorEastAsia" w:hint="eastAsia"/>
          <w:b/>
          <w:bCs/>
          <w:sz w:val="32"/>
          <w:szCs w:val="32"/>
        </w:rPr>
        <w:t>决算收入结构图</w:t>
      </w:r>
    </w:p>
    <w:p w:rsidR="00E04566" w:rsidRDefault="00F4291B">
      <w:pPr>
        <w:spacing w:after="0" w:line="540" w:lineRule="exact"/>
        <w:ind w:firstLineChars="200" w:firstLine="440"/>
        <w:jc w:val="both"/>
        <w:rPr>
          <w:rFonts w:ascii="仿宋_GB2312" w:eastAsia="仿宋_GB2312" w:hAnsiTheme="minorEastAsia" w:cs="Times New Roman"/>
          <w:sz w:val="32"/>
          <w:szCs w:val="32"/>
          <w:u w:color="000000"/>
        </w:rPr>
      </w:pPr>
      <w:r>
        <w:rPr>
          <w:noProof/>
        </w:rPr>
        <w:drawing>
          <wp:anchor distT="0" distB="0" distL="114300" distR="114300" simplePos="0" relativeHeight="251659264" behindDoc="0" locked="0" layoutInCell="1" allowOverlap="1" wp14:anchorId="6F8009F5" wp14:editId="1E0AF58A">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04566" w:rsidRDefault="00E04566">
      <w:pPr>
        <w:spacing w:after="0" w:line="540" w:lineRule="exact"/>
        <w:ind w:firstLineChars="200" w:firstLine="640"/>
        <w:jc w:val="both"/>
        <w:rPr>
          <w:rFonts w:ascii="仿宋_GB2312" w:eastAsia="仿宋_GB2312" w:hAnsiTheme="minorEastAsia" w:cs="Times New Roman"/>
          <w:sz w:val="32"/>
          <w:szCs w:val="32"/>
          <w:u w:color="000000"/>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E04566">
      <w:pPr>
        <w:spacing w:after="0" w:line="540" w:lineRule="exact"/>
        <w:ind w:firstLineChars="200" w:firstLine="640"/>
        <w:jc w:val="both"/>
        <w:rPr>
          <w:rFonts w:ascii="仿宋_GB2312" w:eastAsia="仿宋_GB2312" w:cs="DengXian-Regular"/>
          <w:sz w:val="32"/>
          <w:szCs w:val="32"/>
        </w:rPr>
      </w:pPr>
    </w:p>
    <w:p w:rsidR="00E04566" w:rsidRDefault="006C24F8">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区检察院</w:t>
      </w:r>
      <w:r w:rsidR="00F4291B">
        <w:rPr>
          <w:rFonts w:ascii="仿宋_GB2312" w:eastAsia="仿宋_GB2312" w:cs="DengXian-Regular" w:hint="eastAsia"/>
          <w:sz w:val="32"/>
          <w:szCs w:val="32"/>
        </w:rPr>
        <w:t>一般公共预算财政拨款决算收入比年初预算增加</w:t>
      </w:r>
      <w:r>
        <w:rPr>
          <w:rFonts w:ascii="仿宋_GB2312" w:eastAsia="仿宋_GB2312" w:cs="DengXian-Regular" w:hint="eastAsia"/>
          <w:sz w:val="32"/>
          <w:szCs w:val="32"/>
        </w:rPr>
        <w:t>31.</w:t>
      </w:r>
      <w:r w:rsidR="005E4599">
        <w:rPr>
          <w:rFonts w:ascii="仿宋_GB2312" w:eastAsia="仿宋_GB2312" w:cs="DengXian-Regular" w:hint="eastAsia"/>
          <w:sz w:val="32"/>
          <w:szCs w:val="32"/>
        </w:rPr>
        <w:t>32</w:t>
      </w:r>
      <w:r w:rsidR="00F4291B">
        <w:rPr>
          <w:rFonts w:ascii="仿宋_GB2312" w:eastAsia="仿宋_GB2312" w:cs="DengXian-Regular" w:hint="eastAsia"/>
          <w:sz w:val="32"/>
          <w:szCs w:val="32"/>
        </w:rPr>
        <w:t>万元，完成年初预算的</w:t>
      </w:r>
      <w:r>
        <w:rPr>
          <w:rFonts w:ascii="仿宋_GB2312" w:eastAsia="仿宋_GB2312" w:cs="DengXian-Regular" w:hint="eastAsia"/>
          <w:sz w:val="32"/>
          <w:szCs w:val="32"/>
        </w:rPr>
        <w:t>10</w:t>
      </w:r>
      <w:r w:rsidR="005E4599">
        <w:rPr>
          <w:rFonts w:ascii="仿宋_GB2312" w:eastAsia="仿宋_GB2312" w:cs="DengXian-Regular" w:hint="eastAsia"/>
          <w:sz w:val="32"/>
          <w:szCs w:val="32"/>
        </w:rPr>
        <w:t>2.55</w:t>
      </w:r>
      <w:r w:rsidR="00F4291B">
        <w:rPr>
          <w:rFonts w:ascii="仿宋_GB2312" w:eastAsia="仿宋_GB2312" w:cs="DengXian-Regular" w:hint="eastAsia"/>
          <w:sz w:val="32"/>
          <w:szCs w:val="32"/>
        </w:rPr>
        <w:t>%。决算收入大于预算收入的主要原因为202</w:t>
      </w:r>
      <w:r w:rsidR="00F4291B">
        <w:rPr>
          <w:rFonts w:ascii="仿宋_GB2312" w:eastAsia="仿宋_GB2312" w:cs="DengXian-Regular"/>
          <w:sz w:val="32"/>
          <w:szCs w:val="32"/>
        </w:rPr>
        <w:t>1</w:t>
      </w:r>
      <w:r w:rsidR="00F4291B">
        <w:rPr>
          <w:rFonts w:ascii="仿宋_GB2312" w:eastAsia="仿宋_GB2312" w:cs="DengXian-Regular" w:hint="eastAsia"/>
          <w:sz w:val="32"/>
          <w:szCs w:val="32"/>
        </w:rPr>
        <w:t>年度区</w:t>
      </w:r>
      <w:r w:rsidR="00076CAC">
        <w:rPr>
          <w:rFonts w:ascii="仿宋_GB2312" w:eastAsia="仿宋_GB2312" w:cs="DengXian-Regular" w:hint="eastAsia"/>
          <w:sz w:val="32"/>
          <w:szCs w:val="32"/>
        </w:rPr>
        <w:t>检察院当年追加丧葬费及抚恤金等人员经费。</w:t>
      </w:r>
      <w:r w:rsidR="00F4291B">
        <w:rPr>
          <w:rFonts w:ascii="仿宋_GB2312" w:eastAsia="仿宋_GB2312" w:cs="DengXian-Regular" w:hint="eastAsia"/>
          <w:sz w:val="32"/>
          <w:szCs w:val="32"/>
        </w:rPr>
        <w:t>预算收入与决算收入对比情况见图2。</w:t>
      </w:r>
    </w:p>
    <w:p w:rsidR="00E04566" w:rsidRDefault="00F4291B">
      <w:pPr>
        <w:spacing w:after="0" w:line="360" w:lineRule="auto"/>
        <w:jc w:val="center"/>
        <w:rPr>
          <w:rFonts w:ascii="仿宋_GB2312" w:eastAsia="仿宋_GB2312" w:hAnsiTheme="minorEastAsia" w:cs="Times New Roman"/>
          <w:bCs/>
          <w:sz w:val="32"/>
          <w:szCs w:val="32"/>
          <w:u w:color="000000"/>
        </w:rPr>
      </w:pPr>
      <w:r>
        <w:rPr>
          <w:rFonts w:asciiTheme="minorEastAsia" w:eastAsiaTheme="minorEastAsia" w:hAnsiTheme="minorEastAsia" w:cstheme="minorEastAsia" w:hint="eastAsia"/>
          <w:b/>
          <w:sz w:val="32"/>
          <w:szCs w:val="32"/>
          <w:u w:color="000000"/>
        </w:rPr>
        <w:lastRenderedPageBreak/>
        <w:t>图2  202</w:t>
      </w:r>
      <w:r>
        <w:rPr>
          <w:rFonts w:asciiTheme="minorEastAsia" w:eastAsiaTheme="minorEastAsia" w:hAnsiTheme="minorEastAsia" w:cstheme="minorEastAsia"/>
          <w:b/>
          <w:sz w:val="32"/>
          <w:szCs w:val="32"/>
          <w:u w:color="000000"/>
        </w:rPr>
        <w:t>1</w:t>
      </w:r>
      <w:r>
        <w:rPr>
          <w:rFonts w:asciiTheme="minorEastAsia" w:eastAsiaTheme="minorEastAsia" w:hAnsiTheme="minorEastAsia" w:cstheme="minorEastAsia" w:hint="eastAsia"/>
          <w:b/>
          <w:sz w:val="32"/>
          <w:szCs w:val="32"/>
          <w:u w:color="000000"/>
        </w:rPr>
        <w:t>年度区</w:t>
      </w:r>
      <w:r w:rsidR="00071AF1">
        <w:rPr>
          <w:rFonts w:ascii="仿宋_GB2312" w:eastAsia="仿宋_GB2312" w:cs="DengXian-Regular" w:hint="eastAsia"/>
          <w:sz w:val="32"/>
          <w:szCs w:val="32"/>
        </w:rPr>
        <w:t>检察院</w:t>
      </w:r>
      <w:r>
        <w:rPr>
          <w:rFonts w:asciiTheme="minorEastAsia" w:eastAsiaTheme="minorEastAsia" w:hAnsiTheme="minorEastAsia" w:cstheme="minorEastAsia" w:hint="eastAsia"/>
          <w:b/>
          <w:sz w:val="32"/>
          <w:szCs w:val="32"/>
          <w:u w:color="000000"/>
        </w:rPr>
        <w:t>预算收入与决算收入对比图</w:t>
      </w:r>
    </w:p>
    <w:p w:rsidR="00E04566" w:rsidRDefault="00F4291B">
      <w:pPr>
        <w:pStyle w:val="3"/>
        <w:spacing w:before="0" w:after="0"/>
        <w:ind w:firstLineChars="200" w:firstLine="643"/>
        <w:jc w:val="both"/>
        <w:rPr>
          <w:rFonts w:ascii="仿宋_GB2312" w:hAnsiTheme="minorEastAsia"/>
          <w:sz w:val="32"/>
        </w:rPr>
      </w:pPr>
      <w:bookmarkStart w:id="12" w:name="_Toc18197"/>
      <w:r>
        <w:rPr>
          <w:rFonts w:ascii="仿宋_GB2312" w:hAnsiTheme="minorEastAsia" w:hint="eastAsia"/>
          <w:noProof/>
          <w:sz w:val="32"/>
        </w:rPr>
        <w:drawing>
          <wp:anchor distT="0" distB="0" distL="114300" distR="114300" simplePos="0" relativeHeight="251660288" behindDoc="0" locked="0" layoutInCell="1" allowOverlap="1" wp14:anchorId="257A7A70" wp14:editId="66B7E337">
            <wp:simplePos x="0" y="0"/>
            <wp:positionH relativeFrom="column">
              <wp:posOffset>77470</wp:posOffset>
            </wp:positionH>
            <wp:positionV relativeFrom="paragraph">
              <wp:posOffset>126365</wp:posOffset>
            </wp:positionV>
            <wp:extent cx="5122545" cy="2747010"/>
            <wp:effectExtent l="0" t="0" r="1905"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hAnsiTheme="minorEastAsia" w:hint="eastAsia"/>
          <w:sz w:val="32"/>
        </w:rPr>
        <w:t>（四）预算支出及决算</w:t>
      </w:r>
      <w:bookmarkEnd w:id="10"/>
      <w:bookmarkEnd w:id="11"/>
      <w:r>
        <w:rPr>
          <w:rFonts w:ascii="仿宋_GB2312" w:hAnsiTheme="minorEastAsia" w:hint="eastAsia"/>
          <w:sz w:val="32"/>
        </w:rPr>
        <w:t>支出</w:t>
      </w:r>
      <w:bookmarkEnd w:id="12"/>
    </w:p>
    <w:p w:rsidR="00E04566" w:rsidRDefault="00F4291B">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年度区</w:t>
      </w:r>
      <w:r w:rsidR="009171BA">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预算支出安排</w:t>
      </w:r>
      <w:r w:rsidR="009171BA">
        <w:rPr>
          <w:rFonts w:ascii="仿宋_GB2312" w:eastAsia="仿宋_GB2312" w:hAnsiTheme="minorEastAsia" w:cs="Times New Roman" w:hint="eastAsia"/>
          <w:sz w:val="32"/>
          <w:szCs w:val="32"/>
          <w:u w:color="000000"/>
        </w:rPr>
        <w:t>1229.55</w:t>
      </w:r>
      <w:r>
        <w:rPr>
          <w:rFonts w:ascii="仿宋_GB2312" w:eastAsia="仿宋_GB2312" w:hAnsiTheme="minorEastAsia" w:cs="Times New Roman" w:hint="eastAsia"/>
          <w:sz w:val="32"/>
          <w:szCs w:val="32"/>
          <w:u w:color="000000"/>
        </w:rPr>
        <w:t>万元，其中：基本支出</w:t>
      </w:r>
      <w:r w:rsidR="009171BA">
        <w:rPr>
          <w:rFonts w:ascii="仿宋_GB2312" w:eastAsia="仿宋_GB2312" w:hAnsiTheme="minorEastAsia" w:cs="Times New Roman" w:hint="eastAsia"/>
          <w:sz w:val="32"/>
          <w:szCs w:val="32"/>
          <w:u w:color="000000"/>
        </w:rPr>
        <w:t>966.39</w:t>
      </w:r>
      <w:r>
        <w:rPr>
          <w:rFonts w:ascii="仿宋_GB2312" w:eastAsia="仿宋_GB2312" w:hAnsiTheme="minorEastAsia" w:cs="Times New Roman" w:hint="eastAsia"/>
          <w:sz w:val="32"/>
          <w:szCs w:val="32"/>
          <w:u w:color="000000"/>
        </w:rPr>
        <w:t>万元，项目支出</w:t>
      </w:r>
      <w:r w:rsidR="009171BA">
        <w:rPr>
          <w:rFonts w:ascii="仿宋_GB2312" w:eastAsia="仿宋_GB2312" w:hAnsiTheme="minorEastAsia" w:cs="Times New Roman" w:hint="eastAsia"/>
          <w:sz w:val="32"/>
          <w:szCs w:val="32"/>
          <w:u w:color="000000"/>
        </w:rPr>
        <w:t>263.16</w:t>
      </w:r>
      <w:r>
        <w:rPr>
          <w:rFonts w:ascii="仿宋_GB2312" w:eastAsia="仿宋_GB2312" w:hAnsiTheme="minorEastAsia" w:cs="Times New Roman" w:hint="eastAsia"/>
          <w:sz w:val="32"/>
          <w:szCs w:val="32"/>
          <w:u w:color="000000"/>
        </w:rPr>
        <w:t>万元。预算支出按功能分类包含：公共安全支出</w:t>
      </w:r>
      <w:r w:rsidR="009171BA">
        <w:rPr>
          <w:rFonts w:ascii="仿宋_GB2312" w:eastAsia="仿宋_GB2312" w:hAnsiTheme="minorEastAsia" w:cs="Times New Roman" w:hint="eastAsia"/>
          <w:sz w:val="32"/>
          <w:szCs w:val="32"/>
          <w:u w:color="000000"/>
        </w:rPr>
        <w:t>1035.02</w:t>
      </w:r>
      <w:r>
        <w:rPr>
          <w:rFonts w:ascii="仿宋_GB2312" w:eastAsia="仿宋_GB2312" w:hAnsiTheme="minorEastAsia" w:cs="Times New Roman" w:hint="eastAsia"/>
          <w:sz w:val="32"/>
          <w:szCs w:val="32"/>
          <w:u w:color="000000"/>
        </w:rPr>
        <w:t>万元，社会保障和就业支出</w:t>
      </w:r>
      <w:r w:rsidR="009171BA">
        <w:rPr>
          <w:rFonts w:ascii="仿宋_GB2312" w:eastAsia="仿宋_GB2312" w:hAnsiTheme="minorEastAsia" w:cs="Times New Roman" w:hint="eastAsia"/>
          <w:sz w:val="32"/>
          <w:szCs w:val="32"/>
          <w:u w:color="000000"/>
        </w:rPr>
        <w:t>111.58</w:t>
      </w:r>
      <w:r>
        <w:rPr>
          <w:rFonts w:ascii="仿宋_GB2312" w:eastAsia="仿宋_GB2312" w:hAnsiTheme="minorEastAsia" w:cs="Times New Roman" w:hint="eastAsia"/>
          <w:sz w:val="32"/>
          <w:szCs w:val="32"/>
          <w:u w:color="000000"/>
        </w:rPr>
        <w:t>万元，医疗卫生与计划教育支出</w:t>
      </w:r>
      <w:r w:rsidR="009171BA">
        <w:rPr>
          <w:rFonts w:ascii="仿宋_GB2312" w:eastAsia="仿宋_GB2312" w:hAnsiTheme="minorEastAsia" w:cs="Times New Roman" w:hint="eastAsia"/>
          <w:sz w:val="32"/>
          <w:szCs w:val="32"/>
          <w:u w:color="000000"/>
        </w:rPr>
        <w:t>37.77</w:t>
      </w:r>
      <w:r>
        <w:rPr>
          <w:rFonts w:ascii="仿宋_GB2312" w:eastAsia="仿宋_GB2312" w:hAnsiTheme="minorEastAsia" w:cs="Times New Roman" w:hint="eastAsia"/>
          <w:sz w:val="32"/>
          <w:szCs w:val="32"/>
          <w:u w:color="000000"/>
        </w:rPr>
        <w:t>万元，住房保障支出</w:t>
      </w:r>
      <w:r w:rsidR="009171BA">
        <w:rPr>
          <w:rFonts w:ascii="仿宋_GB2312" w:eastAsia="仿宋_GB2312" w:hAnsiTheme="minorEastAsia" w:cs="Times New Roman" w:hint="eastAsia"/>
          <w:sz w:val="32"/>
          <w:szCs w:val="32"/>
          <w:u w:color="000000"/>
        </w:rPr>
        <w:t>45.18</w:t>
      </w:r>
      <w:r>
        <w:rPr>
          <w:rFonts w:ascii="仿宋_GB2312" w:eastAsia="仿宋_GB2312" w:hAnsiTheme="minorEastAsia" w:cs="Times New Roman" w:hint="eastAsia"/>
          <w:sz w:val="32"/>
          <w:szCs w:val="32"/>
          <w:u w:color="000000"/>
        </w:rPr>
        <w:t>万元。具体预算支出详见附件2。</w:t>
      </w:r>
    </w:p>
    <w:p w:rsidR="00E04566" w:rsidRDefault="00F4291B">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年度区</w:t>
      </w:r>
      <w:r w:rsidR="00301ABC">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决算支出为</w:t>
      </w:r>
      <w:r w:rsidR="00301ABC">
        <w:rPr>
          <w:rFonts w:ascii="仿宋_GB2312" w:eastAsia="仿宋_GB2312" w:hAnsiTheme="minorEastAsia" w:cs="Times New Roman" w:hint="eastAsia"/>
          <w:sz w:val="32"/>
          <w:szCs w:val="32"/>
          <w:u w:color="000000"/>
        </w:rPr>
        <w:t>1475.95</w:t>
      </w:r>
      <w:r>
        <w:rPr>
          <w:rFonts w:ascii="仿宋_GB2312" w:eastAsia="仿宋_GB2312" w:hAnsiTheme="minorEastAsia" w:cs="Times New Roman" w:hint="eastAsia"/>
          <w:sz w:val="32"/>
          <w:szCs w:val="32"/>
          <w:u w:color="000000"/>
        </w:rPr>
        <w:t>万元，其中：基本支出</w:t>
      </w:r>
      <w:r w:rsidR="00301ABC">
        <w:rPr>
          <w:rFonts w:ascii="仿宋_GB2312" w:eastAsia="仿宋_GB2312" w:hAnsiTheme="minorEastAsia" w:cs="Times New Roman" w:hint="eastAsia"/>
          <w:sz w:val="32"/>
          <w:szCs w:val="32"/>
          <w:u w:color="000000"/>
        </w:rPr>
        <w:t>909.06</w:t>
      </w:r>
      <w:r>
        <w:rPr>
          <w:rFonts w:ascii="仿宋_GB2312" w:eastAsia="仿宋_GB2312" w:hAnsiTheme="minorEastAsia" w:cs="Times New Roman" w:hint="eastAsia"/>
          <w:sz w:val="32"/>
          <w:szCs w:val="32"/>
          <w:u w:color="000000"/>
        </w:rPr>
        <w:t>万元，项目支出</w:t>
      </w:r>
      <w:r w:rsidR="00301ABC">
        <w:rPr>
          <w:rFonts w:ascii="仿宋_GB2312" w:eastAsia="仿宋_GB2312" w:hAnsiTheme="minorEastAsia" w:cs="Times New Roman" w:hint="eastAsia"/>
          <w:sz w:val="32"/>
          <w:szCs w:val="32"/>
          <w:u w:color="000000"/>
        </w:rPr>
        <w:t>566.89</w:t>
      </w:r>
      <w:r>
        <w:rPr>
          <w:rFonts w:ascii="仿宋_GB2312" w:eastAsia="仿宋_GB2312" w:hAnsiTheme="minorEastAsia" w:cs="Times New Roman" w:hint="eastAsia"/>
          <w:sz w:val="32"/>
          <w:szCs w:val="32"/>
          <w:u w:color="000000"/>
        </w:rPr>
        <w:t>万元。决算支出按功能分类包含：公共安全支出</w:t>
      </w:r>
      <w:r w:rsidR="00301ABC">
        <w:rPr>
          <w:rFonts w:ascii="仿宋_GB2312" w:eastAsia="仿宋_GB2312" w:hAnsiTheme="minorEastAsia" w:cs="Times New Roman" w:hint="eastAsia"/>
          <w:sz w:val="32"/>
          <w:szCs w:val="32"/>
          <w:u w:color="000000"/>
        </w:rPr>
        <w:t>1256.17</w:t>
      </w:r>
      <w:r>
        <w:rPr>
          <w:rFonts w:ascii="仿宋_GB2312" w:eastAsia="仿宋_GB2312" w:hAnsiTheme="minorEastAsia" w:cs="Times New Roman" w:hint="eastAsia"/>
          <w:sz w:val="32"/>
          <w:szCs w:val="32"/>
          <w:u w:color="000000"/>
        </w:rPr>
        <w:t>万元，占比</w:t>
      </w:r>
      <w:r w:rsidR="004A5926">
        <w:rPr>
          <w:rFonts w:ascii="仿宋_GB2312" w:eastAsia="仿宋_GB2312" w:hAnsiTheme="minorEastAsia" w:cs="Times New Roman" w:hint="eastAsia"/>
          <w:sz w:val="32"/>
          <w:szCs w:val="32"/>
          <w:u w:color="000000"/>
        </w:rPr>
        <w:t>85.11</w:t>
      </w:r>
      <w:r>
        <w:rPr>
          <w:rFonts w:ascii="仿宋_GB2312" w:eastAsia="仿宋_GB2312" w:hAnsiTheme="minorEastAsia" w:cs="Times New Roman" w:hint="eastAsia"/>
          <w:sz w:val="32"/>
          <w:szCs w:val="32"/>
          <w:u w:color="000000"/>
        </w:rPr>
        <w:t>%；社会保障和就业支出</w:t>
      </w:r>
      <w:r w:rsidR="00301ABC">
        <w:rPr>
          <w:rFonts w:ascii="仿宋_GB2312" w:eastAsia="仿宋_GB2312" w:hAnsiTheme="minorEastAsia" w:cs="Times New Roman" w:hint="eastAsia"/>
          <w:sz w:val="32"/>
          <w:szCs w:val="32"/>
          <w:u w:color="000000"/>
        </w:rPr>
        <w:t>150.15</w:t>
      </w:r>
      <w:r>
        <w:rPr>
          <w:rFonts w:ascii="仿宋_GB2312" w:eastAsia="仿宋_GB2312" w:hAnsiTheme="minorEastAsia" w:cs="Times New Roman" w:hint="eastAsia"/>
          <w:sz w:val="32"/>
          <w:szCs w:val="32"/>
          <w:u w:color="000000"/>
        </w:rPr>
        <w:t>万元，占比</w:t>
      </w:r>
      <w:r w:rsidR="004A5926">
        <w:rPr>
          <w:rFonts w:ascii="仿宋_GB2312" w:eastAsia="仿宋_GB2312" w:hAnsiTheme="minorEastAsia" w:cs="Times New Roman" w:hint="eastAsia"/>
          <w:sz w:val="32"/>
          <w:szCs w:val="32"/>
          <w:u w:color="000000"/>
        </w:rPr>
        <w:t>10.17</w:t>
      </w:r>
      <w:r>
        <w:rPr>
          <w:rFonts w:ascii="仿宋_GB2312" w:eastAsia="仿宋_GB2312" w:hAnsiTheme="minorEastAsia" w:cs="Times New Roman" w:hint="eastAsia"/>
          <w:sz w:val="32"/>
          <w:szCs w:val="32"/>
          <w:u w:color="000000"/>
        </w:rPr>
        <w:t>%；医疗卫生与计划教育支出</w:t>
      </w:r>
      <w:r w:rsidR="00301ABC">
        <w:rPr>
          <w:rFonts w:ascii="仿宋_GB2312" w:eastAsia="仿宋_GB2312" w:hAnsiTheme="minorEastAsia" w:cs="Times New Roman" w:hint="eastAsia"/>
          <w:sz w:val="32"/>
          <w:szCs w:val="32"/>
          <w:u w:color="000000"/>
        </w:rPr>
        <w:t>24.36</w:t>
      </w:r>
      <w:r>
        <w:rPr>
          <w:rFonts w:ascii="仿宋_GB2312" w:eastAsia="仿宋_GB2312" w:hAnsiTheme="minorEastAsia" w:cs="Times New Roman" w:hint="eastAsia"/>
          <w:sz w:val="32"/>
          <w:szCs w:val="32"/>
          <w:u w:color="000000"/>
        </w:rPr>
        <w:t>万元，占比</w:t>
      </w:r>
      <w:r w:rsidR="004A5926">
        <w:rPr>
          <w:rFonts w:ascii="仿宋_GB2312" w:eastAsia="仿宋_GB2312" w:hAnsiTheme="minorEastAsia" w:cs="Times New Roman" w:hint="eastAsia"/>
          <w:sz w:val="32"/>
          <w:szCs w:val="32"/>
          <w:u w:color="000000"/>
        </w:rPr>
        <w:t>1.65</w:t>
      </w:r>
      <w:r>
        <w:rPr>
          <w:rFonts w:ascii="仿宋_GB2312" w:eastAsia="仿宋_GB2312" w:hAnsiTheme="minorEastAsia" w:cs="Times New Roman" w:hint="eastAsia"/>
          <w:sz w:val="32"/>
          <w:szCs w:val="32"/>
          <w:u w:color="000000"/>
        </w:rPr>
        <w:t>%；住房保障支出</w:t>
      </w:r>
      <w:r w:rsidR="00301ABC">
        <w:rPr>
          <w:rFonts w:ascii="仿宋_GB2312" w:eastAsia="仿宋_GB2312" w:hAnsiTheme="minorEastAsia" w:cs="Times New Roman" w:hint="eastAsia"/>
          <w:sz w:val="32"/>
          <w:szCs w:val="32"/>
          <w:u w:color="000000"/>
        </w:rPr>
        <w:t>45.27</w:t>
      </w:r>
      <w:r>
        <w:rPr>
          <w:rFonts w:ascii="仿宋_GB2312" w:eastAsia="仿宋_GB2312" w:hAnsiTheme="minorEastAsia" w:cs="Times New Roman" w:hint="eastAsia"/>
          <w:sz w:val="32"/>
          <w:szCs w:val="32"/>
          <w:u w:color="000000"/>
        </w:rPr>
        <w:t>万元，占比</w:t>
      </w:r>
      <w:r w:rsidR="004A5926">
        <w:rPr>
          <w:rFonts w:ascii="仿宋_GB2312" w:eastAsia="仿宋_GB2312" w:hAnsiTheme="minorEastAsia" w:cs="Times New Roman" w:hint="eastAsia"/>
          <w:sz w:val="32"/>
          <w:szCs w:val="32"/>
          <w:u w:color="000000"/>
        </w:rPr>
        <w:t>3.07</w:t>
      </w:r>
      <w:r>
        <w:rPr>
          <w:rFonts w:ascii="仿宋_GB2312" w:eastAsia="仿宋_GB2312" w:hAnsiTheme="minorEastAsia" w:cs="Times New Roman" w:hint="eastAsia"/>
          <w:sz w:val="32"/>
          <w:szCs w:val="32"/>
          <w:u w:color="000000"/>
        </w:rPr>
        <w:t>%。具体决算支出详见附件2。</w:t>
      </w:r>
    </w:p>
    <w:p w:rsidR="00E04566" w:rsidRDefault="00F4291B">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决算支出结构如图3。</w:t>
      </w:r>
    </w:p>
    <w:p w:rsidR="00E04566" w:rsidRDefault="00F4291B">
      <w:pPr>
        <w:spacing w:after="0" w:line="360" w:lineRule="auto"/>
        <w:jc w:val="center"/>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b/>
          <w:bCs/>
          <w:sz w:val="32"/>
          <w:szCs w:val="32"/>
          <w:u w:color="000000"/>
        </w:rPr>
        <w:t xml:space="preserve">图3  </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年度区</w:t>
      </w:r>
      <w:r w:rsidR="00654F8D">
        <w:rPr>
          <w:rFonts w:ascii="仿宋_GB2312" w:eastAsia="仿宋_GB2312" w:cs="DengXian-Regular" w:hint="eastAsia"/>
          <w:sz w:val="32"/>
          <w:szCs w:val="32"/>
        </w:rPr>
        <w:t>检察院</w:t>
      </w:r>
      <w:r>
        <w:rPr>
          <w:rFonts w:asciiTheme="minorEastAsia" w:eastAsiaTheme="minorEastAsia" w:hAnsiTheme="minorEastAsia" w:cstheme="minorEastAsia" w:hint="eastAsia"/>
          <w:b/>
          <w:bCs/>
          <w:sz w:val="32"/>
          <w:szCs w:val="32"/>
          <w:u w:color="000000"/>
        </w:rPr>
        <w:t>决算支出结构图</w:t>
      </w:r>
    </w:p>
    <w:p w:rsidR="00E04566" w:rsidRDefault="00F4291B">
      <w:pPr>
        <w:spacing w:after="0" w:line="360" w:lineRule="auto"/>
        <w:ind w:firstLineChars="200" w:firstLine="440"/>
        <w:jc w:val="both"/>
        <w:rPr>
          <w:rFonts w:ascii="仿宋" w:eastAsia="仿宋" w:hAnsi="仿宋"/>
          <w:snapToGrid w:val="0"/>
          <w:sz w:val="32"/>
          <w:szCs w:val="32"/>
        </w:rPr>
      </w:pPr>
      <w:r>
        <w:rPr>
          <w:noProof/>
        </w:rP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_GB2312" w:eastAsia="仿宋_GB2312" w:cs="DengXian-Regular" w:hint="eastAsia"/>
          <w:sz w:val="32"/>
          <w:szCs w:val="32"/>
        </w:rPr>
        <w:t>财政拨款决算支出比年初预算增加</w:t>
      </w:r>
      <w:r w:rsidR="00654F8D">
        <w:rPr>
          <w:rFonts w:ascii="仿宋_GB2312" w:eastAsia="仿宋_GB2312" w:cs="DengXian-Regular" w:hint="eastAsia"/>
          <w:sz w:val="32"/>
          <w:szCs w:val="32"/>
        </w:rPr>
        <w:t>24</w:t>
      </w:r>
      <w:r w:rsidR="001B052A">
        <w:rPr>
          <w:rFonts w:ascii="仿宋_GB2312" w:eastAsia="仿宋_GB2312" w:cs="DengXian-Regular" w:hint="eastAsia"/>
          <w:sz w:val="32"/>
          <w:szCs w:val="32"/>
        </w:rPr>
        <w:t>3.51</w:t>
      </w:r>
      <w:r>
        <w:rPr>
          <w:rFonts w:ascii="仿宋_GB2312" w:eastAsia="仿宋_GB2312" w:cs="DengXian-Regular" w:hint="eastAsia"/>
          <w:sz w:val="32"/>
          <w:szCs w:val="32"/>
        </w:rPr>
        <w:t>万元。决算支出完成年初预算的</w:t>
      </w:r>
      <w:r w:rsidR="001B052A">
        <w:rPr>
          <w:rFonts w:ascii="仿宋_GB2312" w:eastAsia="仿宋_GB2312" w:cs="DengXian-Regular" w:hint="eastAsia"/>
          <w:sz w:val="32"/>
          <w:szCs w:val="32"/>
        </w:rPr>
        <w:t>119.8</w:t>
      </w:r>
      <w:r>
        <w:rPr>
          <w:rFonts w:ascii="仿宋_GB2312" w:eastAsia="仿宋_GB2312" w:cs="DengXian-Regular" w:hint="eastAsia"/>
          <w:sz w:val="32"/>
          <w:szCs w:val="32"/>
        </w:rPr>
        <w:t>%。</w:t>
      </w:r>
      <w:r>
        <w:rPr>
          <w:rFonts w:ascii="仿宋_GB2312" w:eastAsia="仿宋_GB2312" w:hAnsiTheme="minorEastAsia" w:cs="Times New Roman" w:hint="eastAsia"/>
          <w:sz w:val="32"/>
          <w:szCs w:val="32"/>
          <w:u w:color="000000"/>
        </w:rPr>
        <w:t>决算支出大于预算支出的</w:t>
      </w:r>
      <w:r>
        <w:rPr>
          <w:rFonts w:ascii="仿宋_GB2312" w:eastAsia="仿宋_GB2312" w:cs="DengXian-Regular" w:hint="eastAsia"/>
          <w:sz w:val="32"/>
          <w:szCs w:val="32"/>
        </w:rPr>
        <w:t>主要原因为</w:t>
      </w:r>
      <w:r w:rsidR="00654F8D">
        <w:rPr>
          <w:rFonts w:ascii="仿宋_GB2312" w:eastAsia="仿宋_GB2312" w:cs="DengXian-Regular" w:hint="eastAsia"/>
          <w:sz w:val="32"/>
          <w:szCs w:val="32"/>
        </w:rPr>
        <w:t>当年决算支出含上年结转经费</w:t>
      </w:r>
      <w:r>
        <w:rPr>
          <w:rFonts w:ascii="仿宋" w:eastAsia="仿宋" w:hAnsi="仿宋" w:hint="eastAsia"/>
          <w:snapToGrid w:val="0"/>
          <w:sz w:val="32"/>
          <w:szCs w:val="32"/>
        </w:rPr>
        <w:t>。预算支出与决算支出对比情况如图4。</w:t>
      </w:r>
    </w:p>
    <w:p w:rsidR="00E04566" w:rsidRDefault="00F4291B">
      <w:pPr>
        <w:spacing w:after="0" w:line="360" w:lineRule="auto"/>
        <w:jc w:val="center"/>
        <w:rPr>
          <w:rFonts w:ascii="仿宋_GB2312" w:eastAsia="仿宋_GB2312" w:cs="DengXian-Regular"/>
          <w:sz w:val="32"/>
          <w:szCs w:val="32"/>
        </w:rPr>
      </w:pPr>
      <w:r>
        <w:rPr>
          <w:rFonts w:asciiTheme="minorEastAsia" w:eastAsiaTheme="minorEastAsia" w:hAnsiTheme="minorEastAsia" w:cstheme="minorEastAsia" w:hint="eastAsia"/>
          <w:b/>
          <w:bCs/>
          <w:noProof/>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0" t="0" r="3175" b="6985"/>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heme="minorEastAsia" w:eastAsiaTheme="minorEastAsia" w:hAnsiTheme="minorEastAsia" w:cstheme="minorEastAsia" w:hint="eastAsia"/>
          <w:b/>
          <w:bCs/>
          <w:sz w:val="32"/>
          <w:szCs w:val="32"/>
        </w:rPr>
        <w:t xml:space="preserve">图4  </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年度区</w:t>
      </w:r>
      <w:r w:rsidR="00262F14">
        <w:rPr>
          <w:rFonts w:ascii="仿宋_GB2312" w:eastAsia="仿宋_GB2312" w:cs="DengXian-Regular" w:hint="eastAsia"/>
          <w:sz w:val="32"/>
          <w:szCs w:val="32"/>
        </w:rPr>
        <w:t>检察院</w:t>
      </w:r>
      <w:r>
        <w:rPr>
          <w:rFonts w:asciiTheme="minorEastAsia" w:eastAsiaTheme="minorEastAsia" w:hAnsiTheme="minorEastAsia" w:cstheme="minorEastAsia" w:hint="eastAsia"/>
          <w:b/>
          <w:bCs/>
          <w:sz w:val="32"/>
          <w:szCs w:val="32"/>
        </w:rPr>
        <w:t>预算支出与决算支出对比图</w:t>
      </w:r>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lastRenderedPageBreak/>
        <w:t>区</w:t>
      </w:r>
      <w:r w:rsidR="00AD7492">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年实际项目支出</w:t>
      </w:r>
      <w:r w:rsidR="007C552E">
        <w:rPr>
          <w:rFonts w:ascii="仿宋_GB2312" w:eastAsia="仿宋_GB2312" w:cs="DengXian-Regular" w:hint="eastAsia"/>
          <w:sz w:val="32"/>
          <w:szCs w:val="32"/>
        </w:rPr>
        <w:t>566.89</w:t>
      </w:r>
      <w:r>
        <w:rPr>
          <w:rFonts w:ascii="仿宋_GB2312" w:eastAsia="仿宋_GB2312" w:cs="DengXian-Regular" w:hint="eastAsia"/>
          <w:sz w:val="32"/>
          <w:szCs w:val="32"/>
        </w:rPr>
        <w:t>万元，决算报表</w:t>
      </w:r>
      <w:proofErr w:type="gramStart"/>
      <w:r>
        <w:rPr>
          <w:rFonts w:ascii="仿宋_GB2312" w:eastAsia="仿宋_GB2312" w:cs="DengXian-Regular" w:hint="eastAsia"/>
          <w:sz w:val="32"/>
          <w:szCs w:val="32"/>
        </w:rPr>
        <w:t>中项目</w:t>
      </w:r>
      <w:proofErr w:type="gramEnd"/>
      <w:r>
        <w:rPr>
          <w:rFonts w:ascii="仿宋_GB2312" w:eastAsia="仿宋_GB2312" w:cs="DengXian-Regular" w:hint="eastAsia"/>
          <w:sz w:val="32"/>
          <w:szCs w:val="32"/>
        </w:rPr>
        <w:t>支出</w:t>
      </w:r>
      <w:r w:rsidR="00D51E6F">
        <w:rPr>
          <w:rFonts w:ascii="仿宋_GB2312" w:eastAsia="仿宋_GB2312" w:cs="DengXian-Regular" w:hint="eastAsia"/>
          <w:sz w:val="32"/>
          <w:szCs w:val="32"/>
        </w:rPr>
        <w:t>566.89</w:t>
      </w:r>
      <w:r>
        <w:rPr>
          <w:rFonts w:ascii="仿宋_GB2312" w:eastAsia="仿宋_GB2312" w:cs="DengXian-Regular" w:hint="eastAsia"/>
          <w:sz w:val="32"/>
          <w:szCs w:val="32"/>
        </w:rPr>
        <w:t>万元，实际支出与决算报表差</w:t>
      </w:r>
      <w:r w:rsidR="007C552E">
        <w:rPr>
          <w:rFonts w:ascii="仿宋_GB2312" w:eastAsia="仿宋_GB2312" w:cs="DengXian-Regular" w:hint="eastAsia"/>
          <w:sz w:val="32"/>
          <w:szCs w:val="32"/>
        </w:rPr>
        <w:t>0</w:t>
      </w:r>
      <w:r>
        <w:rPr>
          <w:rFonts w:ascii="仿宋_GB2312" w:eastAsia="仿宋_GB2312" w:cs="DengXian-Regular" w:hint="eastAsia"/>
          <w:sz w:val="32"/>
          <w:szCs w:val="32"/>
        </w:rPr>
        <w:t>万元。</w:t>
      </w:r>
    </w:p>
    <w:p w:rsidR="00E04566" w:rsidRDefault="00F4291B">
      <w:pPr>
        <w:pStyle w:val="3"/>
        <w:spacing w:before="0" w:after="0"/>
        <w:ind w:firstLineChars="200" w:firstLine="643"/>
        <w:jc w:val="both"/>
        <w:rPr>
          <w:rFonts w:ascii="仿宋_GB2312" w:hAnsi="Tahoma" w:cs="DengXian-Regular"/>
          <w:sz w:val="32"/>
        </w:rPr>
      </w:pPr>
      <w:bookmarkStart w:id="13" w:name="_Toc19291"/>
      <w:bookmarkStart w:id="14" w:name="_Toc465149503"/>
      <w:bookmarkStart w:id="15" w:name="_Toc492652769"/>
      <w:r>
        <w:rPr>
          <w:rFonts w:ascii="仿宋_GB2312" w:hAnsi="Tahoma" w:cs="DengXian-Regular" w:hint="eastAsia"/>
          <w:sz w:val="32"/>
        </w:rPr>
        <w:t>（五）“三公”经费预算安排及支出情况</w:t>
      </w:r>
      <w:bookmarkEnd w:id="13"/>
      <w:bookmarkEnd w:id="14"/>
      <w:bookmarkEnd w:id="15"/>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年区</w:t>
      </w:r>
      <w:r w:rsidR="005E4599">
        <w:rPr>
          <w:rFonts w:ascii="仿宋_GB2312" w:eastAsia="仿宋_GB2312" w:cs="DengXian-Regular" w:hint="eastAsia"/>
          <w:sz w:val="32"/>
          <w:szCs w:val="32"/>
        </w:rPr>
        <w:t>检察院</w:t>
      </w:r>
      <w:r>
        <w:rPr>
          <w:rFonts w:ascii="仿宋_GB2312" w:eastAsia="仿宋_GB2312" w:cs="DengXian-Regular" w:hint="eastAsia"/>
          <w:sz w:val="32"/>
          <w:szCs w:val="32"/>
        </w:rPr>
        <w:t>“三公”经费预算</w:t>
      </w:r>
      <w:r w:rsidR="00B12A45">
        <w:rPr>
          <w:rFonts w:ascii="仿宋_GB2312" w:eastAsia="仿宋_GB2312" w:cs="DengXian-Regular" w:hint="eastAsia"/>
          <w:sz w:val="32"/>
          <w:szCs w:val="32"/>
        </w:rPr>
        <w:t>41</w:t>
      </w:r>
      <w:r>
        <w:rPr>
          <w:rFonts w:ascii="仿宋_GB2312" w:eastAsia="仿宋_GB2312" w:cs="DengXian-Regular" w:hint="eastAsia"/>
          <w:sz w:val="32"/>
          <w:szCs w:val="32"/>
        </w:rPr>
        <w:t>万元（公务用车运行维护费</w:t>
      </w:r>
      <w:r w:rsidR="00B12A45">
        <w:rPr>
          <w:rFonts w:ascii="仿宋_GB2312" w:eastAsia="仿宋_GB2312" w:cs="DengXian-Regular" w:hint="eastAsia"/>
          <w:sz w:val="32"/>
          <w:szCs w:val="32"/>
        </w:rPr>
        <w:t>33</w:t>
      </w:r>
      <w:r>
        <w:rPr>
          <w:rFonts w:ascii="仿宋_GB2312" w:eastAsia="仿宋_GB2312" w:cs="DengXian-Regular" w:hint="eastAsia"/>
          <w:sz w:val="32"/>
          <w:szCs w:val="32"/>
        </w:rPr>
        <w:t>万元，公务接待费</w:t>
      </w:r>
      <w:r w:rsidR="00B12A45">
        <w:rPr>
          <w:rFonts w:ascii="仿宋_GB2312" w:eastAsia="仿宋_GB2312" w:cs="DengXian-Regular" w:hint="eastAsia"/>
          <w:sz w:val="32"/>
          <w:szCs w:val="32"/>
        </w:rPr>
        <w:t>8</w:t>
      </w:r>
      <w:r>
        <w:rPr>
          <w:rFonts w:ascii="仿宋_GB2312" w:eastAsia="仿宋_GB2312" w:cs="DengXian-Regular" w:hint="eastAsia"/>
          <w:sz w:val="32"/>
          <w:szCs w:val="32"/>
        </w:rPr>
        <w:t>万元），实际支出</w:t>
      </w:r>
      <w:r w:rsidR="00B12A45">
        <w:rPr>
          <w:rFonts w:ascii="仿宋_GB2312" w:eastAsia="仿宋_GB2312" w:cs="DengXian-Regular" w:hint="eastAsia"/>
          <w:sz w:val="32"/>
          <w:szCs w:val="32"/>
        </w:rPr>
        <w:t>19.15</w:t>
      </w:r>
      <w:r>
        <w:rPr>
          <w:rFonts w:ascii="仿宋_GB2312" w:eastAsia="仿宋_GB2312" w:cs="DengXian-Regular" w:hint="eastAsia"/>
          <w:sz w:val="32"/>
          <w:szCs w:val="32"/>
        </w:rPr>
        <w:t>万元（公务用车运行维护费</w:t>
      </w:r>
      <w:r w:rsidR="00B12A45">
        <w:rPr>
          <w:rFonts w:ascii="仿宋_GB2312" w:eastAsia="仿宋_GB2312" w:cs="DengXian-Regular" w:hint="eastAsia"/>
          <w:sz w:val="32"/>
          <w:szCs w:val="32"/>
        </w:rPr>
        <w:t>18.71</w:t>
      </w:r>
      <w:r>
        <w:rPr>
          <w:rFonts w:ascii="仿宋_GB2312" w:eastAsia="仿宋_GB2312" w:cs="DengXian-Regular" w:hint="eastAsia"/>
          <w:sz w:val="32"/>
          <w:szCs w:val="32"/>
        </w:rPr>
        <w:t>万元，公务接待费</w:t>
      </w:r>
      <w:r w:rsidR="00B12A45">
        <w:rPr>
          <w:rFonts w:ascii="仿宋_GB2312" w:eastAsia="仿宋_GB2312" w:cs="DengXian-Regular" w:hint="eastAsia"/>
          <w:sz w:val="32"/>
          <w:szCs w:val="32"/>
        </w:rPr>
        <w:t>0.44</w:t>
      </w:r>
      <w:r>
        <w:rPr>
          <w:rFonts w:ascii="仿宋_GB2312" w:eastAsia="仿宋_GB2312" w:cs="DengXian-Regular" w:hint="eastAsia"/>
          <w:sz w:val="32"/>
          <w:szCs w:val="32"/>
        </w:rPr>
        <w:t>万元），比预算减少</w:t>
      </w:r>
      <w:r w:rsidR="00B12A45" w:rsidRPr="00B12A45">
        <w:rPr>
          <w:rFonts w:ascii="仿宋_GB2312" w:eastAsia="仿宋_GB2312" w:cs="DengXian-Regular"/>
          <w:sz w:val="32"/>
          <w:szCs w:val="32"/>
        </w:rPr>
        <w:t>21.85</w:t>
      </w:r>
      <w:r>
        <w:rPr>
          <w:rFonts w:ascii="仿宋_GB2312" w:eastAsia="仿宋_GB2312" w:cs="DengXian-Regular" w:hint="eastAsia"/>
          <w:sz w:val="32"/>
          <w:szCs w:val="32"/>
        </w:rPr>
        <w:t>万元，节约率</w:t>
      </w:r>
      <w:r w:rsidR="00B12A45">
        <w:rPr>
          <w:rFonts w:ascii="仿宋_GB2312" w:eastAsia="仿宋_GB2312" w:cs="DengXian-Regular" w:hint="eastAsia"/>
          <w:sz w:val="32"/>
          <w:szCs w:val="32"/>
        </w:rPr>
        <w:t>53.29</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年“三公”经费预算数与</w:t>
      </w:r>
      <w:r>
        <w:rPr>
          <w:rFonts w:ascii="仿宋_GB2312" w:eastAsia="仿宋_GB2312" w:cs="DengXian-Regular"/>
          <w:sz w:val="32"/>
          <w:szCs w:val="32"/>
        </w:rPr>
        <w:t>2020</w:t>
      </w:r>
      <w:r>
        <w:rPr>
          <w:rFonts w:ascii="仿宋_GB2312" w:eastAsia="仿宋_GB2312" w:cs="DengXian-Regular" w:hint="eastAsia"/>
          <w:sz w:val="32"/>
          <w:szCs w:val="32"/>
        </w:rPr>
        <w:t>年预算数相比无变化，决算数与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年实际支出相比，减少</w:t>
      </w:r>
      <w:r w:rsidR="008D1AC2">
        <w:rPr>
          <w:rFonts w:ascii="仿宋_GB2312" w:eastAsia="仿宋_GB2312" w:hAnsi="Times New Roman" w:cs="DengXian-Regular" w:hint="eastAsia"/>
          <w:sz w:val="32"/>
          <w:szCs w:val="32"/>
        </w:rPr>
        <w:t>2.78</w:t>
      </w:r>
      <w:r>
        <w:rPr>
          <w:rFonts w:ascii="仿宋_GB2312" w:eastAsia="仿宋_GB2312" w:cs="DengXian-Regular" w:hint="eastAsia"/>
          <w:sz w:val="32"/>
          <w:szCs w:val="32"/>
        </w:rPr>
        <w:t>万元。具体详见表1。</w:t>
      </w:r>
    </w:p>
    <w:p w:rsidR="00E04566" w:rsidRDefault="00F4291B">
      <w:pPr>
        <w:spacing w:after="0" w:line="360" w:lineRule="auto"/>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 xml:space="preserve">表1  </w:t>
      </w:r>
      <w:r>
        <w:rPr>
          <w:rFonts w:ascii="仿宋_GB2312" w:eastAsia="仿宋_GB2312" w:cs="DengXian-Regular" w:hint="eastAsia"/>
          <w:sz w:val="32"/>
          <w:szCs w:val="32"/>
        </w:rPr>
        <w:t>区</w:t>
      </w:r>
      <w:r w:rsidR="003E215B">
        <w:rPr>
          <w:rFonts w:ascii="仿宋_GB2312" w:eastAsia="仿宋_GB2312" w:cs="DengXian-Regular" w:hint="eastAsia"/>
          <w:sz w:val="32"/>
          <w:szCs w:val="32"/>
        </w:rPr>
        <w:t>检察院</w:t>
      </w:r>
      <w:r>
        <w:rPr>
          <w:rFonts w:asciiTheme="minorEastAsia" w:eastAsiaTheme="minorEastAsia" w:hAnsiTheme="minorEastAsia" w:cstheme="minorEastAsia" w:hint="eastAsia"/>
          <w:b/>
          <w:bCs/>
          <w:sz w:val="32"/>
          <w:szCs w:val="32"/>
        </w:rPr>
        <w:t>“三公”经费预算及决算明细表</w:t>
      </w:r>
    </w:p>
    <w:p w:rsidR="00E04566" w:rsidRDefault="00F4291B">
      <w:pPr>
        <w:spacing w:after="0" w:line="540" w:lineRule="exact"/>
        <w:ind w:firstLineChars="200" w:firstLine="640"/>
        <w:jc w:val="both"/>
        <w:rPr>
          <w:rFonts w:asciiTheme="minorEastAsia" w:eastAsiaTheme="minorEastAsia" w:hAnsiTheme="minorEastAsia" w:cstheme="minorEastAsia"/>
          <w:sz w:val="21"/>
          <w:szCs w:val="21"/>
        </w:rPr>
      </w:pPr>
      <w:r>
        <w:rPr>
          <w:rFonts w:ascii="仿宋_GB2312" w:eastAsia="仿宋_GB2312" w:cs="DengXian-Regular" w:hint="eastAsia"/>
          <w:sz w:val="32"/>
          <w:szCs w:val="32"/>
        </w:rPr>
        <w:t xml:space="preserve">                                         </w:t>
      </w:r>
      <w:r>
        <w:rPr>
          <w:rFonts w:asciiTheme="minorEastAsia" w:eastAsiaTheme="minorEastAsia" w:hAnsiTheme="minorEastAsia" w:cstheme="minorEastAsia" w:hint="eastAsia"/>
          <w:sz w:val="21"/>
          <w:szCs w:val="21"/>
        </w:rPr>
        <w:t>单位：万元</w:t>
      </w:r>
    </w:p>
    <w:tbl>
      <w:tblPr>
        <w:tblW w:w="8565" w:type="dxa"/>
        <w:tblLayout w:type="fixed"/>
        <w:tblCellMar>
          <w:left w:w="0" w:type="dxa"/>
          <w:right w:w="0" w:type="dxa"/>
        </w:tblCellMar>
        <w:tblLook w:val="04A0" w:firstRow="1" w:lastRow="0" w:firstColumn="1" w:lastColumn="0" w:noHBand="0" w:noVBand="1"/>
      </w:tblPr>
      <w:tblGrid>
        <w:gridCol w:w="549"/>
        <w:gridCol w:w="1818"/>
        <w:gridCol w:w="993"/>
        <w:gridCol w:w="932"/>
        <w:gridCol w:w="1022"/>
        <w:gridCol w:w="947"/>
        <w:gridCol w:w="1149"/>
        <w:gridCol w:w="1155"/>
      </w:tblGrid>
      <w:tr w:rsidR="00E04566">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04566" w:rsidRDefault="00F4291B">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2020</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rsidR="00E04566" w:rsidRDefault="00F4291B">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202</w:t>
            </w:r>
            <w:r>
              <w:rPr>
                <w:rFonts w:ascii="宋体" w:eastAsia="宋体" w:hAnsi="宋体" w:cs="宋体"/>
                <w:b/>
                <w:bCs/>
                <w:color w:val="000000"/>
                <w:sz w:val="21"/>
                <w:szCs w:val="21"/>
              </w:rPr>
              <w:t>1</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04566" w:rsidRDefault="00F4291B">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E04566">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04566" w:rsidRDefault="00E04566">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04566" w:rsidRDefault="00E04566">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较上年预算增减金额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较上年支出增减金额</w:t>
            </w:r>
          </w:p>
        </w:tc>
      </w:tr>
      <w:tr w:rsidR="00E04566">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r>
      <w:tr w:rsidR="00E04566">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33</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21.93</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33</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18.71</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-3.22</w:t>
            </w:r>
          </w:p>
        </w:tc>
      </w:tr>
      <w:tr w:rsidR="00E04566">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8</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8</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0.44</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0.44</w:t>
            </w:r>
          </w:p>
        </w:tc>
      </w:tr>
      <w:tr w:rsidR="00E04566">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E04566" w:rsidRDefault="00F4291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41</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21.93</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41</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19.15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E04566" w:rsidRDefault="003E215B">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-2.78</w:t>
            </w:r>
          </w:p>
        </w:tc>
      </w:tr>
    </w:tbl>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1、公务用车：202</w:t>
      </w:r>
      <w:r>
        <w:rPr>
          <w:rFonts w:ascii="仿宋_GB2312" w:eastAsia="仿宋_GB2312" w:cs="DengXian-Regular"/>
          <w:sz w:val="32"/>
          <w:szCs w:val="32"/>
        </w:rPr>
        <w:t>1</w:t>
      </w:r>
      <w:r>
        <w:rPr>
          <w:rFonts w:ascii="仿宋_GB2312" w:eastAsia="仿宋_GB2312" w:cs="DengXian-Regular" w:hint="eastAsia"/>
          <w:sz w:val="32"/>
          <w:szCs w:val="32"/>
        </w:rPr>
        <w:t>年底区</w:t>
      </w:r>
      <w:r w:rsidR="00A410F8">
        <w:rPr>
          <w:rFonts w:ascii="仿宋_GB2312" w:eastAsia="仿宋_GB2312" w:cs="DengXian-Regular" w:hint="eastAsia"/>
          <w:sz w:val="32"/>
          <w:szCs w:val="32"/>
        </w:rPr>
        <w:t>检察院</w:t>
      </w:r>
      <w:r>
        <w:rPr>
          <w:rFonts w:ascii="仿宋_GB2312" w:eastAsia="仿宋_GB2312" w:cs="DengXian-Regular" w:hint="eastAsia"/>
          <w:sz w:val="32"/>
          <w:szCs w:val="32"/>
        </w:rPr>
        <w:t>车辆合计</w:t>
      </w:r>
      <w:r w:rsidR="00A410F8">
        <w:rPr>
          <w:rFonts w:ascii="仿宋_GB2312" w:eastAsia="仿宋_GB2312" w:cs="DengXian-Regular" w:hint="eastAsia"/>
          <w:sz w:val="32"/>
          <w:szCs w:val="32"/>
        </w:rPr>
        <w:t>11</w:t>
      </w:r>
      <w:r>
        <w:rPr>
          <w:rFonts w:ascii="仿宋_GB2312" w:eastAsia="仿宋_GB2312" w:cs="DengXian-Regular" w:hint="eastAsia"/>
          <w:sz w:val="32"/>
          <w:szCs w:val="32"/>
        </w:rPr>
        <w:t>辆，</w:t>
      </w:r>
      <w:r w:rsidR="00A410F8" w:rsidRPr="00D1265F">
        <w:rPr>
          <w:rFonts w:ascii="仿宋_GB2312" w:eastAsia="仿宋_GB2312" w:cs="DengXian-Regular" w:hint="eastAsia"/>
          <w:sz w:val="32"/>
          <w:szCs w:val="32"/>
        </w:rPr>
        <w:t>其中机要通信用车2辆，执法执勤用车9辆</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年公务用车购置及运维费年初预算</w:t>
      </w:r>
      <w:r w:rsidR="00A410F8">
        <w:rPr>
          <w:rFonts w:ascii="仿宋_GB2312" w:eastAsia="仿宋_GB2312" w:cs="DengXian-Regular" w:hint="eastAsia"/>
          <w:sz w:val="32"/>
          <w:szCs w:val="32"/>
        </w:rPr>
        <w:t>33</w:t>
      </w:r>
      <w:r>
        <w:rPr>
          <w:rFonts w:ascii="仿宋_GB2312" w:eastAsia="仿宋_GB2312" w:cs="DengXian-Regular" w:hint="eastAsia"/>
          <w:sz w:val="32"/>
          <w:szCs w:val="32"/>
        </w:rPr>
        <w:t>万元，全部为公务用车运行维护费，实际支出</w:t>
      </w:r>
      <w:r w:rsidR="00A410F8">
        <w:rPr>
          <w:rFonts w:ascii="仿宋_GB2312" w:eastAsia="仿宋_GB2312" w:cs="DengXian-Regular" w:hint="eastAsia"/>
          <w:sz w:val="32"/>
          <w:szCs w:val="32"/>
        </w:rPr>
        <w:t>18.71</w:t>
      </w:r>
      <w:r>
        <w:rPr>
          <w:rFonts w:ascii="仿宋_GB2312" w:eastAsia="仿宋_GB2312" w:cs="DengXian-Regular" w:hint="eastAsia"/>
          <w:sz w:val="32"/>
          <w:szCs w:val="32"/>
        </w:rPr>
        <w:t>万元，比预算减少</w:t>
      </w:r>
      <w:r w:rsidR="00A410F8">
        <w:rPr>
          <w:rFonts w:ascii="仿宋_GB2312" w:eastAsia="仿宋_GB2312" w:cs="DengXian-Regular" w:hint="eastAsia"/>
          <w:sz w:val="32"/>
          <w:szCs w:val="32"/>
        </w:rPr>
        <w:t>14.29</w:t>
      </w:r>
      <w:r>
        <w:rPr>
          <w:rFonts w:ascii="仿宋_GB2312" w:eastAsia="仿宋_GB2312" w:cs="DengXian-Regular" w:hint="eastAsia"/>
          <w:sz w:val="32"/>
          <w:szCs w:val="32"/>
        </w:rPr>
        <w:t>万元，节</w:t>
      </w:r>
      <w:r>
        <w:rPr>
          <w:rFonts w:ascii="仿宋_GB2312" w:eastAsia="仿宋_GB2312" w:cs="DengXian-Regular" w:hint="eastAsia"/>
          <w:sz w:val="32"/>
          <w:szCs w:val="32"/>
        </w:rPr>
        <w:lastRenderedPageBreak/>
        <w:t>约率</w:t>
      </w:r>
      <w:r w:rsidR="00A410F8">
        <w:rPr>
          <w:rFonts w:ascii="仿宋_GB2312" w:eastAsia="仿宋_GB2312" w:hAnsi="Times New Roman" w:cs="DengXian-Regular" w:hint="eastAsia"/>
          <w:sz w:val="32"/>
          <w:szCs w:val="32"/>
        </w:rPr>
        <w:t>43.30</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年预算数与</w:t>
      </w:r>
      <w:r>
        <w:rPr>
          <w:rFonts w:ascii="仿宋_GB2312" w:eastAsia="仿宋_GB2312" w:cs="DengXian-Regular"/>
          <w:sz w:val="32"/>
          <w:szCs w:val="32"/>
        </w:rPr>
        <w:t>2020</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年实际支出相比，减少</w:t>
      </w:r>
      <w:r w:rsidR="00A410F8">
        <w:rPr>
          <w:rFonts w:ascii="仿宋_GB2312" w:eastAsia="仿宋_GB2312" w:cs="DengXian-Regular" w:hint="eastAsia"/>
          <w:sz w:val="32"/>
          <w:szCs w:val="32"/>
        </w:rPr>
        <w:t>3.22</w:t>
      </w:r>
      <w:r>
        <w:rPr>
          <w:rFonts w:ascii="仿宋_GB2312" w:eastAsia="仿宋_GB2312" w:cs="DengXian-Regular" w:hint="eastAsia"/>
          <w:sz w:val="32"/>
          <w:szCs w:val="32"/>
        </w:rPr>
        <w:t>万元。</w:t>
      </w:r>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2、公务接待：202</w:t>
      </w:r>
      <w:r>
        <w:rPr>
          <w:rFonts w:ascii="仿宋_GB2312" w:eastAsia="仿宋_GB2312" w:cs="DengXian-Regular"/>
          <w:sz w:val="32"/>
          <w:szCs w:val="32"/>
        </w:rPr>
        <w:t>1</w:t>
      </w:r>
      <w:r>
        <w:rPr>
          <w:rFonts w:ascii="仿宋_GB2312" w:eastAsia="仿宋_GB2312" w:cs="DengXian-Regular" w:hint="eastAsia"/>
          <w:sz w:val="32"/>
          <w:szCs w:val="32"/>
        </w:rPr>
        <w:t>年区</w:t>
      </w:r>
      <w:r w:rsidR="00A410F8">
        <w:rPr>
          <w:rFonts w:ascii="仿宋_GB2312" w:eastAsia="仿宋_GB2312" w:cs="DengXian-Regular" w:hint="eastAsia"/>
          <w:sz w:val="32"/>
          <w:szCs w:val="32"/>
        </w:rPr>
        <w:t>检察院</w:t>
      </w:r>
      <w:r>
        <w:rPr>
          <w:rFonts w:ascii="仿宋_GB2312" w:eastAsia="仿宋_GB2312" w:cs="DengXian-Regular" w:hint="eastAsia"/>
          <w:sz w:val="32"/>
          <w:szCs w:val="32"/>
        </w:rPr>
        <w:t>公务接待费年初预算</w:t>
      </w:r>
      <w:r w:rsidR="00A410F8">
        <w:rPr>
          <w:rFonts w:ascii="仿宋_GB2312" w:eastAsia="仿宋_GB2312" w:cs="DengXian-Regular" w:hint="eastAsia"/>
          <w:sz w:val="32"/>
          <w:szCs w:val="32"/>
        </w:rPr>
        <w:t>8</w:t>
      </w:r>
      <w:r>
        <w:rPr>
          <w:rFonts w:ascii="仿宋_GB2312" w:eastAsia="仿宋_GB2312" w:cs="DengXian-Regular" w:hint="eastAsia"/>
          <w:sz w:val="32"/>
          <w:szCs w:val="32"/>
        </w:rPr>
        <w:t>万元，实际支出</w:t>
      </w:r>
      <w:r w:rsidR="00A410F8">
        <w:rPr>
          <w:rFonts w:ascii="仿宋_GB2312" w:eastAsia="仿宋_GB2312" w:cs="DengXian-Regular" w:hint="eastAsia"/>
          <w:sz w:val="32"/>
          <w:szCs w:val="32"/>
        </w:rPr>
        <w:t>0.44</w:t>
      </w:r>
      <w:r>
        <w:rPr>
          <w:rFonts w:ascii="仿宋_GB2312" w:eastAsia="仿宋_GB2312" w:cs="DengXian-Regular" w:hint="eastAsia"/>
          <w:sz w:val="32"/>
          <w:szCs w:val="32"/>
        </w:rPr>
        <w:t>万元，比预算减少了</w:t>
      </w:r>
      <w:r w:rsidR="00A410F8">
        <w:rPr>
          <w:rFonts w:ascii="仿宋_GB2312" w:eastAsia="仿宋_GB2312" w:cs="DengXian-Regular" w:hint="eastAsia"/>
          <w:sz w:val="32"/>
          <w:szCs w:val="32"/>
        </w:rPr>
        <w:t>7.56</w:t>
      </w:r>
      <w:r>
        <w:rPr>
          <w:rFonts w:ascii="仿宋_GB2312" w:eastAsia="仿宋_GB2312" w:cs="DengXian-Regular" w:hint="eastAsia"/>
          <w:sz w:val="32"/>
          <w:szCs w:val="32"/>
        </w:rPr>
        <w:t>万元，节约率</w:t>
      </w:r>
      <w:r w:rsidR="00A410F8">
        <w:rPr>
          <w:rFonts w:ascii="仿宋_GB2312" w:eastAsia="仿宋_GB2312" w:cs="DengXian-Regular" w:hint="eastAsia"/>
          <w:sz w:val="32"/>
          <w:szCs w:val="32"/>
        </w:rPr>
        <w:t>94.5</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年预算数与</w:t>
      </w:r>
      <w:r>
        <w:rPr>
          <w:rFonts w:ascii="仿宋_GB2312" w:eastAsia="仿宋_GB2312" w:cs="DengXian-Regular"/>
          <w:sz w:val="32"/>
          <w:szCs w:val="32"/>
        </w:rPr>
        <w:t>2020</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年实际支出相比，增加</w:t>
      </w:r>
      <w:r w:rsidR="00A410F8">
        <w:rPr>
          <w:rFonts w:ascii="仿宋_GB2312" w:eastAsia="仿宋_GB2312" w:cs="DengXian-Regular" w:hint="eastAsia"/>
          <w:sz w:val="32"/>
          <w:szCs w:val="32"/>
        </w:rPr>
        <w:t>0.44</w:t>
      </w:r>
      <w:r>
        <w:rPr>
          <w:rFonts w:ascii="仿宋_GB2312" w:eastAsia="仿宋_GB2312" w:cs="DengXian-Regular" w:hint="eastAsia"/>
          <w:sz w:val="32"/>
          <w:szCs w:val="32"/>
        </w:rPr>
        <w:t>万元。</w:t>
      </w:r>
    </w:p>
    <w:p w:rsidR="00E04566" w:rsidRDefault="00F4291B">
      <w:pPr>
        <w:pStyle w:val="2"/>
        <w:spacing w:before="0" w:after="0" w:line="360" w:lineRule="auto"/>
        <w:ind w:firstLineChars="200" w:firstLine="643"/>
        <w:rPr>
          <w:rFonts w:ascii="黑体" w:hAnsiTheme="minorEastAsia"/>
          <w:u w:color="000000"/>
        </w:rPr>
      </w:pPr>
      <w:bookmarkStart w:id="16" w:name="_Toc20454"/>
      <w:bookmarkStart w:id="17" w:name="_Toc492652770"/>
      <w:bookmarkStart w:id="18" w:name="_Toc465149504"/>
      <w:r>
        <w:rPr>
          <w:rFonts w:ascii="黑体" w:hint="eastAsia"/>
        </w:rPr>
        <w:t>二、部门整体支出绩效评价指标体系设定情况</w:t>
      </w:r>
      <w:bookmarkEnd w:id="16"/>
      <w:bookmarkEnd w:id="17"/>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根据绩效预算管理改革的有关政策和文件规定，并与区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沟通，绩效评价工作组以绩效预算架构为指导，以部门预算文本及相关资料为基础，制定了部门整体支出绩效评价指标体系。</w:t>
      </w:r>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rsidR="00E04566" w:rsidRDefault="00F4291B">
      <w:pPr>
        <w:spacing w:after="0" w:line="360" w:lineRule="auto"/>
        <w:ind w:firstLineChars="200" w:firstLine="643"/>
        <w:jc w:val="both"/>
        <w:rPr>
          <w:rFonts w:ascii="楷体_GB2312" w:eastAsia="楷体_GB2312" w:hAnsiTheme="minorEastAsia" w:cs="Times New Roman"/>
          <w:b/>
          <w:bCs/>
          <w:kern w:val="2"/>
          <w:sz w:val="32"/>
          <w:szCs w:val="32"/>
          <w:u w:color="000000"/>
        </w:rPr>
      </w:pPr>
      <w:r>
        <w:rPr>
          <w:rFonts w:ascii="楷体_GB2312" w:eastAsia="楷体_GB2312" w:hAnsiTheme="minorEastAsia" w:cs="Times New Roman" w:hint="eastAsia"/>
          <w:b/>
          <w:bCs/>
          <w:kern w:val="2"/>
          <w:sz w:val="32"/>
          <w:szCs w:val="32"/>
          <w:u w:color="000000"/>
        </w:rPr>
        <w:t>（一）投入（12分）</w:t>
      </w:r>
      <w:bookmarkEnd w:id="19"/>
      <w:bookmarkEnd w:id="20"/>
    </w:p>
    <w:p w:rsidR="00E04566" w:rsidRDefault="00F4291B">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主要反映绩效目标设定是否合理、科学，绩效指标的制定是否清晰、可衡量，预算编制是否完整，项目预算是否细化及在职人员控制情况。</w:t>
      </w:r>
    </w:p>
    <w:p w:rsidR="00E04566" w:rsidRDefault="00F4291B">
      <w:pPr>
        <w:keepNext/>
        <w:widowControl w:val="0"/>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投入</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分值为12分，下设2个二级指标：绩效目标设定和预算配置，6个三级指标：绩效目标合理性、绩</w:t>
      </w:r>
      <w:r>
        <w:rPr>
          <w:rFonts w:ascii="仿宋_GB2312" w:eastAsia="仿宋_GB2312" w:cs="DengXian-Regular" w:hint="eastAsia"/>
          <w:sz w:val="32"/>
          <w:szCs w:val="32"/>
        </w:rPr>
        <w:lastRenderedPageBreak/>
        <w:t>效目标科学性、绩效指标明确性、预算编制完整性、项目预算细化率、在职人员控制率。</w:t>
      </w:r>
    </w:p>
    <w:p w:rsidR="00E04566" w:rsidRDefault="00F4291B">
      <w:pPr>
        <w:pStyle w:val="3"/>
        <w:spacing w:before="0" w:after="0"/>
        <w:ind w:firstLineChars="200" w:firstLine="643"/>
        <w:jc w:val="both"/>
        <w:rPr>
          <w:rFonts w:ascii="楷体" w:eastAsia="楷体" w:hAnsi="楷体"/>
          <w:sz w:val="32"/>
        </w:rPr>
      </w:pPr>
      <w:bookmarkStart w:id="21" w:name="_Toc30221"/>
      <w:bookmarkStart w:id="22" w:name="_Toc492652772"/>
      <w:r>
        <w:rPr>
          <w:rFonts w:ascii="楷体" w:eastAsia="楷体" w:hAnsi="楷体" w:hint="eastAsia"/>
          <w:kern w:val="2"/>
          <w:sz w:val="32"/>
        </w:rPr>
        <w:t>（二）过程（48分）</w:t>
      </w:r>
      <w:bookmarkEnd w:id="21"/>
      <w:bookmarkEnd w:id="22"/>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分值为48分，下设3个二级指标：预算执行、预算管理和绩效评价，14个三级指标：预算收入调整率、收入完成率、预算支出调整率、财政拨款支出完成率、“三公”经费控制率、政府采购执行率、资金使用合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性、决算真实性、管理制度健全性、预决算信息公开性、基础信息完整性、资产管理规范性、绩效自评覆盖率、绩效评价优等率。</w:t>
      </w:r>
    </w:p>
    <w:p w:rsidR="00E04566" w:rsidRDefault="00F4291B">
      <w:pPr>
        <w:pStyle w:val="3"/>
        <w:spacing w:before="0" w:after="0"/>
        <w:ind w:firstLineChars="200" w:firstLine="643"/>
        <w:jc w:val="both"/>
        <w:rPr>
          <w:rFonts w:ascii="楷体" w:eastAsia="楷体" w:hAnsi="楷体"/>
          <w:kern w:val="2"/>
          <w:sz w:val="32"/>
        </w:rPr>
      </w:pPr>
      <w:bookmarkStart w:id="23" w:name="_Toc492652773"/>
      <w:bookmarkStart w:id="24" w:name="_Toc24932"/>
      <w:r>
        <w:rPr>
          <w:rFonts w:ascii="楷体" w:eastAsia="楷体" w:hAnsi="楷体" w:hint="eastAsia"/>
          <w:kern w:val="2"/>
          <w:sz w:val="32"/>
        </w:rPr>
        <w:t>（三）产出（25分）</w:t>
      </w:r>
      <w:bookmarkEnd w:id="23"/>
      <w:bookmarkEnd w:id="24"/>
    </w:p>
    <w:p w:rsidR="00E04566" w:rsidRDefault="00DB3EBB">
      <w:pPr>
        <w:spacing w:after="0" w:line="360" w:lineRule="auto"/>
        <w:ind w:firstLineChars="200" w:firstLine="640"/>
        <w:jc w:val="both"/>
        <w:textAlignment w:val="baseline"/>
        <w:rPr>
          <w:rFonts w:ascii="仿宋_GB2312" w:eastAsia="仿宋_GB2312" w:cs="DengXian-Regular"/>
          <w:sz w:val="32"/>
          <w:szCs w:val="32"/>
        </w:rPr>
      </w:pPr>
      <w:bookmarkStart w:id="25" w:name="_Toc492652774"/>
      <w:r>
        <w:rPr>
          <w:rFonts w:ascii="仿宋_GB2312" w:eastAsia="仿宋_GB2312" w:cs="DengXian-Regular" w:hint="eastAsia"/>
          <w:sz w:val="32"/>
          <w:szCs w:val="32"/>
        </w:rPr>
        <w:t>主要反映结转结余率，项目资金使用率</w:t>
      </w:r>
      <w:bookmarkStart w:id="26" w:name="_GoBack"/>
      <w:bookmarkEnd w:id="26"/>
      <w:r w:rsidR="00F4291B">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产出</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分值为25分，下设1个二级指标：责任履行，5个三级指标：结转结余率、项目资金使用率。</w:t>
      </w:r>
    </w:p>
    <w:p w:rsidR="00E04566" w:rsidRDefault="00F4291B">
      <w:pPr>
        <w:pStyle w:val="3"/>
        <w:spacing w:before="0" w:after="0"/>
        <w:ind w:firstLineChars="200" w:firstLine="643"/>
        <w:jc w:val="both"/>
        <w:rPr>
          <w:rFonts w:ascii="楷体_GB2312" w:eastAsia="楷体_GB2312" w:hAnsiTheme="minorEastAsia"/>
          <w:sz w:val="32"/>
        </w:rPr>
      </w:pPr>
      <w:bookmarkStart w:id="27" w:name="_Toc21821"/>
      <w:r>
        <w:rPr>
          <w:rFonts w:ascii="楷体_GB2312" w:eastAsia="楷体_GB2312" w:hAnsiTheme="minorEastAsia" w:hint="eastAsia"/>
          <w:kern w:val="2"/>
          <w:sz w:val="32"/>
        </w:rPr>
        <w:t>（四）效果（15分）</w:t>
      </w:r>
      <w:bookmarkEnd w:id="25"/>
      <w:bookmarkEnd w:id="27"/>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28"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效果</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分值15分，下设1个二级指标：履职效率，2个三级指标：部门整体效益和考核满意度。</w:t>
      </w:r>
    </w:p>
    <w:p w:rsidR="00E04566" w:rsidRDefault="00F4291B">
      <w:pPr>
        <w:pStyle w:val="2"/>
        <w:spacing w:before="0" w:after="0" w:line="360" w:lineRule="auto"/>
        <w:ind w:firstLineChars="200" w:firstLine="643"/>
        <w:rPr>
          <w:rFonts w:ascii="黑体"/>
        </w:rPr>
      </w:pPr>
      <w:bookmarkStart w:id="29" w:name="_Toc11842"/>
      <w:r>
        <w:rPr>
          <w:rFonts w:ascii="黑体" w:hint="eastAsia"/>
        </w:rPr>
        <w:t>三、综合绩效评价工作情况</w:t>
      </w:r>
      <w:bookmarkStart w:id="30" w:name="_Toc465149505"/>
      <w:bookmarkStart w:id="31" w:name="_Toc492652776"/>
      <w:bookmarkEnd w:id="18"/>
      <w:bookmarkEnd w:id="28"/>
      <w:bookmarkEnd w:id="29"/>
    </w:p>
    <w:p w:rsidR="00E04566" w:rsidRDefault="00F4291B">
      <w:pPr>
        <w:pStyle w:val="3"/>
        <w:spacing w:before="0" w:after="0"/>
        <w:ind w:firstLineChars="200" w:firstLine="643"/>
        <w:jc w:val="both"/>
        <w:rPr>
          <w:rFonts w:ascii="楷体_GB2312" w:eastAsia="楷体_GB2312" w:hAnsiTheme="minorEastAsia"/>
          <w:sz w:val="32"/>
        </w:rPr>
      </w:pPr>
      <w:bookmarkStart w:id="32" w:name="_Toc17138"/>
      <w:r>
        <w:rPr>
          <w:rFonts w:ascii="楷体_GB2312" w:eastAsia="楷体_GB2312" w:hAnsiTheme="minorEastAsia" w:hint="eastAsia"/>
          <w:kern w:val="2"/>
          <w:sz w:val="32"/>
        </w:rPr>
        <w:t>（一）绩效评价目的</w:t>
      </w:r>
      <w:bookmarkEnd w:id="30"/>
      <w:bookmarkEnd w:id="31"/>
      <w:bookmarkEnd w:id="32"/>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33" w:name="_Toc465149506"/>
      <w:bookmarkStart w:id="34" w:name="_Toc492652777"/>
      <w:r>
        <w:rPr>
          <w:rFonts w:ascii="仿宋_GB2312" w:eastAsia="仿宋_GB2312" w:cs="DengXian-Regular" w:hint="eastAsia"/>
          <w:sz w:val="32"/>
          <w:szCs w:val="32"/>
        </w:rPr>
        <w:t>通过对区</w:t>
      </w:r>
      <w:r w:rsidR="00A410F8">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rsidR="00E04566" w:rsidRDefault="00F4291B">
      <w:pPr>
        <w:pStyle w:val="3"/>
        <w:spacing w:before="0" w:after="0"/>
        <w:ind w:firstLineChars="200" w:firstLine="643"/>
        <w:jc w:val="both"/>
        <w:rPr>
          <w:rFonts w:ascii="楷体_GB2312" w:eastAsia="楷体_GB2312" w:hAnsiTheme="minorEastAsia"/>
          <w:kern w:val="2"/>
          <w:sz w:val="32"/>
        </w:rPr>
      </w:pPr>
      <w:bookmarkStart w:id="35" w:name="_Toc11607"/>
      <w:r>
        <w:rPr>
          <w:rFonts w:ascii="楷体_GB2312" w:eastAsia="楷体_GB2312" w:hAnsiTheme="minorEastAsia" w:hint="eastAsia"/>
          <w:kern w:val="2"/>
          <w:sz w:val="32"/>
        </w:rPr>
        <w:t>（二）绩效评价依据</w:t>
      </w:r>
      <w:bookmarkEnd w:id="33"/>
      <w:bookmarkEnd w:id="34"/>
      <w:bookmarkEnd w:id="35"/>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36" w:name="_Toc465149507"/>
      <w:r>
        <w:rPr>
          <w:rFonts w:ascii="仿宋_GB2312" w:eastAsia="仿宋_GB2312" w:cs="DengXian-Regular" w:hint="eastAsia"/>
          <w:sz w:val="32"/>
          <w:szCs w:val="32"/>
        </w:rPr>
        <w:t>1.</w:t>
      </w:r>
      <w:r>
        <w:rPr>
          <w:rFonts w:ascii="仿宋_GB2312" w:eastAsia="仿宋_GB2312" w:cs="DengXian-Regular"/>
          <w:sz w:val="32"/>
          <w:szCs w:val="32"/>
        </w:rPr>
        <w:t>《中华人民共和国预算法》；</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2.中共中央国务院《关于全面实施预算绩效管理的意见》（中发〔2018〕34号）；</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Pr>
          <w:rFonts w:ascii="仿宋_GB2312" w:eastAsia="仿宋_GB2312" w:cs="DengXian-Regular"/>
          <w:sz w:val="32"/>
          <w:szCs w:val="32"/>
        </w:rPr>
        <w:t>《河北省财政支出绩效评价管理办法》（冀财预</w:t>
      </w:r>
      <w:r>
        <w:rPr>
          <w:rFonts w:ascii="仿宋_GB2312" w:eastAsia="仿宋_GB2312" w:cs="DengXian-Regular" w:hint="eastAsia"/>
          <w:sz w:val="32"/>
          <w:szCs w:val="32"/>
        </w:rPr>
        <w:t xml:space="preserve">〔2011〕68号）； </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4.中共河北省委河北省人民政府</w:t>
      </w:r>
      <w:r>
        <w:rPr>
          <w:rFonts w:ascii="仿宋_GB2312" w:eastAsia="仿宋_GB2312" w:cs="DengXian-Regular"/>
          <w:sz w:val="32"/>
          <w:szCs w:val="32"/>
        </w:rPr>
        <w:t>《</w:t>
      </w:r>
      <w:r>
        <w:rPr>
          <w:rFonts w:ascii="仿宋_GB2312" w:eastAsia="仿宋_GB2312" w:cs="DengXian-Regular" w:hint="eastAsia"/>
          <w:sz w:val="32"/>
          <w:szCs w:val="32"/>
        </w:rPr>
        <w:t>关于全面实施预算绩效管理的实施意见</w:t>
      </w:r>
      <w:r>
        <w:rPr>
          <w:rFonts w:ascii="仿宋_GB2312" w:eastAsia="仿宋_GB2312" w:cs="DengXian-Regular"/>
          <w:sz w:val="32"/>
          <w:szCs w:val="32"/>
        </w:rPr>
        <w:t>》（</w:t>
      </w:r>
      <w:proofErr w:type="gramStart"/>
      <w:r>
        <w:rPr>
          <w:rFonts w:ascii="仿宋_GB2312" w:eastAsia="仿宋_GB2312" w:cs="DengXian-Regular"/>
          <w:sz w:val="32"/>
          <w:szCs w:val="32"/>
        </w:rPr>
        <w:t>冀</w:t>
      </w:r>
      <w:r>
        <w:rPr>
          <w:rFonts w:ascii="仿宋_GB2312" w:eastAsia="仿宋_GB2312" w:cs="DengXian-Regular" w:hint="eastAsia"/>
          <w:sz w:val="32"/>
          <w:szCs w:val="32"/>
        </w:rPr>
        <w:t>发〔2018〕</w:t>
      </w:r>
      <w:proofErr w:type="gramEnd"/>
      <w:r>
        <w:rPr>
          <w:rFonts w:ascii="仿宋_GB2312" w:eastAsia="仿宋_GB2312" w:cs="DengXian-Regular" w:hint="eastAsia"/>
          <w:sz w:val="32"/>
          <w:szCs w:val="32"/>
        </w:rPr>
        <w:t>54</w:t>
      </w:r>
      <w:r>
        <w:rPr>
          <w:rFonts w:ascii="仿宋_GB2312" w:eastAsia="仿宋_GB2312" w:cs="DengXian-Regular"/>
          <w:sz w:val="32"/>
          <w:szCs w:val="32"/>
        </w:rPr>
        <w:t>号）</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5.保定市徐水区财政局《关于印发绩效评价工作规划（2016-2020年）的通知》（徐政财字〔2016〕45号）；</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6.保定市徐水区财政局《关于印发&lt;全面实施预算绩效管理推进工作方案&gt;的通知》（徐政财字〔2019〕33号）；</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w:t>
      </w:r>
      <w:r>
        <w:rPr>
          <w:rFonts w:ascii="仿宋_GB2312" w:eastAsia="仿宋_GB2312" w:cs="DengXian-Regular"/>
          <w:sz w:val="32"/>
          <w:szCs w:val="32"/>
        </w:rPr>
        <w:t>.</w:t>
      </w:r>
      <w:r>
        <w:rPr>
          <w:rFonts w:hint="eastAsia"/>
        </w:rPr>
        <w:t xml:space="preserve"> </w:t>
      </w:r>
      <w:r>
        <w:rPr>
          <w:rFonts w:ascii="仿宋_GB2312" w:eastAsia="仿宋_GB2312" w:cs="DengXian-Regular" w:hint="eastAsia"/>
          <w:sz w:val="32"/>
          <w:szCs w:val="32"/>
        </w:rPr>
        <w:t>保定市徐水区财政局《关于印发保定市徐水区区级部门预算项目绩效自评管理办法的通知》（徐政财字〔2020〕9号）</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8.其他与部门绩效评价工作相关的文件。</w:t>
      </w:r>
      <w:bookmarkStart w:id="37" w:name="_Toc492652778"/>
    </w:p>
    <w:p w:rsidR="00E04566" w:rsidRDefault="00F4291B">
      <w:pPr>
        <w:pStyle w:val="3"/>
        <w:spacing w:before="0" w:after="0"/>
        <w:ind w:firstLineChars="200" w:firstLine="643"/>
        <w:jc w:val="both"/>
        <w:rPr>
          <w:rFonts w:ascii="楷体_GB2312" w:eastAsia="楷体_GB2312" w:hAnsiTheme="minorEastAsia"/>
          <w:kern w:val="2"/>
          <w:sz w:val="32"/>
        </w:rPr>
      </w:pPr>
      <w:bookmarkStart w:id="38" w:name="_Toc7609"/>
      <w:r>
        <w:rPr>
          <w:rFonts w:ascii="楷体_GB2312" w:eastAsia="楷体_GB2312" w:hAnsiTheme="minorEastAsia" w:hint="eastAsia"/>
          <w:kern w:val="2"/>
          <w:sz w:val="32"/>
        </w:rPr>
        <w:t>（三）绩效评价</w:t>
      </w:r>
      <w:bookmarkEnd w:id="37"/>
      <w:r>
        <w:rPr>
          <w:rFonts w:ascii="楷体_GB2312" w:eastAsia="楷体_GB2312" w:hAnsiTheme="minorEastAsia" w:hint="eastAsia"/>
          <w:kern w:val="2"/>
          <w:sz w:val="32"/>
        </w:rPr>
        <w:t>内容</w:t>
      </w:r>
      <w:bookmarkEnd w:id="38"/>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39" w:name="_Toc465149508"/>
      <w:bookmarkStart w:id="40" w:name="_Toc492652779"/>
      <w:bookmarkEnd w:id="36"/>
      <w:r>
        <w:rPr>
          <w:rFonts w:ascii="仿宋_GB2312" w:eastAsia="仿宋_GB2312" w:cs="DengXian-Regular" w:hint="eastAsia"/>
          <w:sz w:val="32"/>
          <w:szCs w:val="32"/>
        </w:rPr>
        <w:t>区</w:t>
      </w:r>
      <w:r w:rsidR="00EC7509">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年部门整体支出绩效目标和指标的设置及完成情况；资金预算情况、实际收支情况及结转结余情况；部门履职对社会发展所带来的直接或间接影响及服务对象对部门履职效果的满意程度。</w:t>
      </w:r>
    </w:p>
    <w:p w:rsidR="00E04566" w:rsidRDefault="00F4291B">
      <w:pPr>
        <w:pStyle w:val="3"/>
        <w:spacing w:before="0" w:after="0"/>
        <w:ind w:firstLineChars="200" w:firstLine="643"/>
        <w:jc w:val="both"/>
        <w:rPr>
          <w:rFonts w:ascii="楷体_GB2312" w:eastAsia="楷体_GB2312" w:hAnsiTheme="minorEastAsia"/>
          <w:kern w:val="2"/>
          <w:sz w:val="32"/>
        </w:rPr>
      </w:pPr>
      <w:bookmarkStart w:id="41" w:name="_Toc789"/>
      <w:r>
        <w:rPr>
          <w:rFonts w:ascii="楷体_GB2312" w:eastAsia="楷体_GB2312" w:hAnsiTheme="minorEastAsia" w:hint="eastAsia"/>
          <w:kern w:val="2"/>
          <w:sz w:val="32"/>
        </w:rPr>
        <w:t>（四）绩效评价原则</w:t>
      </w:r>
      <w:bookmarkEnd w:id="41"/>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1.价值导向原则：财政支出绩效评价体系应能够反映财政支出的经济性、效益性、有效性原则，体现财政部门和项目主管部门的价值导向。</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2.重要性原则：根据指标在整个指标体系中的地位和作用进行筛选，选择最具代表性、最能反映评价要求的指标。</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3.综合性原则：将定性指标和定量指标相结合，定性分析是定量分析的基础，定量分析是定性分析的深化，两者相结合系统反映财政支出所产生的社会效益。</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4.经济性原则：指标的选取要考虑现实条件及可操作性，数据的获得应符合成本效益原则，在合理成本的基础上收集信息。</w:t>
      </w:r>
    </w:p>
    <w:p w:rsidR="00E04566" w:rsidRDefault="00F4291B">
      <w:pPr>
        <w:pStyle w:val="3"/>
        <w:spacing w:before="0" w:after="0"/>
        <w:ind w:firstLineChars="200" w:firstLine="643"/>
        <w:jc w:val="both"/>
        <w:rPr>
          <w:rFonts w:ascii="楷体_GB2312" w:eastAsia="楷体_GB2312" w:hAnsiTheme="minorEastAsia"/>
          <w:kern w:val="2"/>
          <w:sz w:val="32"/>
        </w:rPr>
      </w:pPr>
      <w:bookmarkStart w:id="42" w:name="_Toc8171"/>
      <w:r>
        <w:rPr>
          <w:rFonts w:ascii="楷体_GB2312" w:eastAsia="楷体_GB2312" w:hAnsiTheme="minorEastAsia" w:hint="eastAsia"/>
          <w:kern w:val="2"/>
          <w:sz w:val="32"/>
        </w:rPr>
        <w:t>（五）</w:t>
      </w:r>
      <w:bookmarkStart w:id="43" w:name="_Toc465149509"/>
      <w:bookmarkEnd w:id="39"/>
      <w:r>
        <w:rPr>
          <w:rFonts w:ascii="楷体_GB2312" w:eastAsia="楷体_GB2312" w:hAnsiTheme="minorEastAsia" w:hint="eastAsia"/>
          <w:kern w:val="2"/>
          <w:sz w:val="32"/>
        </w:rPr>
        <w:t>绩效评价方法</w:t>
      </w:r>
      <w:bookmarkEnd w:id="40"/>
      <w:bookmarkEnd w:id="42"/>
      <w:bookmarkEnd w:id="43"/>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44" w:name="_Toc422314152"/>
      <w:bookmarkStart w:id="45" w:name="_Toc421623217"/>
      <w:bookmarkStart w:id="46" w:name="_Toc465149510"/>
      <w:bookmarkStart w:id="47" w:name="_Toc492652780"/>
      <w:r>
        <w:rPr>
          <w:rFonts w:ascii="仿宋_GB2312" w:eastAsia="仿宋_GB2312" w:cs="DengXian-Regular"/>
          <w:sz w:val="32"/>
          <w:szCs w:val="32"/>
        </w:rPr>
        <w:t>本次评价采取</w:t>
      </w:r>
      <w:r>
        <w:rPr>
          <w:rFonts w:ascii="仿宋_GB2312" w:eastAsia="仿宋_GB2312" w:cs="DengXian-Regular" w:hint="eastAsia"/>
          <w:sz w:val="32"/>
          <w:szCs w:val="32"/>
        </w:rPr>
        <w:t>目标比较法、</w:t>
      </w:r>
      <w:r>
        <w:rPr>
          <w:rFonts w:ascii="仿宋_GB2312" w:eastAsia="仿宋_GB2312" w:cs="DengXian-Regular"/>
          <w:sz w:val="32"/>
          <w:szCs w:val="32"/>
        </w:rPr>
        <w:t>定量和定性评价相结合和综合评价相结合</w:t>
      </w:r>
      <w:r>
        <w:rPr>
          <w:rFonts w:ascii="仿宋_GB2312" w:eastAsia="仿宋_GB2312" w:cs="DengXian-Regular" w:hint="eastAsia"/>
          <w:sz w:val="32"/>
          <w:szCs w:val="32"/>
        </w:rPr>
        <w:t>的方式</w:t>
      </w:r>
      <w:r>
        <w:rPr>
          <w:rFonts w:ascii="仿宋_GB2312" w:eastAsia="仿宋_GB2312" w:cs="DengXian-Regular"/>
          <w:sz w:val="32"/>
          <w:szCs w:val="32"/>
        </w:rPr>
        <w:t>，运用审查、</w:t>
      </w:r>
      <w:r>
        <w:rPr>
          <w:rFonts w:ascii="仿宋_GB2312" w:eastAsia="仿宋_GB2312" w:cs="DengXian-Regular" w:hint="eastAsia"/>
          <w:sz w:val="32"/>
          <w:szCs w:val="32"/>
        </w:rPr>
        <w:t>询问查证和问卷调查</w:t>
      </w:r>
      <w:r>
        <w:rPr>
          <w:rFonts w:ascii="仿宋_GB2312" w:eastAsia="仿宋_GB2312" w:cs="DengXian-Regular"/>
          <w:sz w:val="32"/>
          <w:szCs w:val="32"/>
        </w:rPr>
        <w:t>等方法开展</w:t>
      </w:r>
      <w:r>
        <w:rPr>
          <w:rFonts w:ascii="仿宋_GB2312" w:eastAsia="仿宋_GB2312" w:cs="DengXian-Regular" w:hint="eastAsia"/>
          <w:sz w:val="32"/>
          <w:szCs w:val="32"/>
        </w:rPr>
        <w:t>绩效</w:t>
      </w:r>
      <w:r>
        <w:rPr>
          <w:rFonts w:ascii="仿宋_GB2312" w:eastAsia="仿宋_GB2312" w:cs="DengXian-Regular"/>
          <w:sz w:val="32"/>
          <w:szCs w:val="32"/>
        </w:rPr>
        <w:t>评价工作。</w:t>
      </w:r>
      <w:bookmarkEnd w:id="44"/>
      <w:bookmarkEnd w:id="45"/>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48" w:name="_Toc421623218"/>
      <w:bookmarkStart w:id="49" w:name="_Toc422314153"/>
      <w:r>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审查法：通过审查被评价单位的</w:t>
      </w:r>
      <w:r>
        <w:rPr>
          <w:rFonts w:ascii="仿宋_GB2312" w:eastAsia="仿宋_GB2312" w:cs="DengXian-Regular" w:hint="eastAsia"/>
          <w:sz w:val="32"/>
          <w:szCs w:val="32"/>
        </w:rPr>
        <w:t>预算文本</w:t>
      </w:r>
      <w:r>
        <w:rPr>
          <w:rFonts w:ascii="仿宋_GB2312" w:eastAsia="仿宋_GB2312" w:cs="DengXian-Regular"/>
          <w:sz w:val="32"/>
          <w:szCs w:val="32"/>
        </w:rPr>
        <w:t>、</w:t>
      </w:r>
      <w:r>
        <w:rPr>
          <w:rFonts w:ascii="仿宋_GB2312" w:eastAsia="仿宋_GB2312" w:cs="DengXian-Regular" w:hint="eastAsia"/>
          <w:sz w:val="32"/>
          <w:szCs w:val="32"/>
        </w:rPr>
        <w:t>决算文本</w:t>
      </w:r>
      <w:r>
        <w:rPr>
          <w:rFonts w:ascii="仿宋_GB2312" w:eastAsia="仿宋_GB2312" w:cs="DengXian-Regular"/>
          <w:sz w:val="32"/>
          <w:szCs w:val="32"/>
        </w:rPr>
        <w:t>、</w:t>
      </w:r>
      <w:r>
        <w:rPr>
          <w:rFonts w:ascii="仿宋_GB2312" w:eastAsia="仿宋_GB2312" w:cs="DengXian-Regular" w:hint="eastAsia"/>
          <w:sz w:val="32"/>
          <w:szCs w:val="32"/>
        </w:rPr>
        <w:t>会计账簿、支出凭证、项目完成情况</w:t>
      </w:r>
      <w:r>
        <w:rPr>
          <w:rFonts w:ascii="仿宋_GB2312" w:eastAsia="仿宋_GB2312" w:cs="DengXian-Regular"/>
          <w:sz w:val="32"/>
          <w:szCs w:val="32"/>
        </w:rPr>
        <w:t>等</w:t>
      </w:r>
      <w:r>
        <w:rPr>
          <w:rFonts w:ascii="仿宋_GB2312" w:eastAsia="仿宋_GB2312" w:cs="DengXian-Regular" w:hint="eastAsia"/>
          <w:sz w:val="32"/>
          <w:szCs w:val="32"/>
        </w:rPr>
        <w:t>相关</w:t>
      </w:r>
      <w:r>
        <w:rPr>
          <w:rFonts w:ascii="仿宋_GB2312" w:eastAsia="仿宋_GB2312" w:cs="DengXian-Regular"/>
          <w:sz w:val="32"/>
          <w:szCs w:val="32"/>
        </w:rPr>
        <w:t>资料，分析资金</w:t>
      </w:r>
      <w:r>
        <w:rPr>
          <w:rFonts w:ascii="仿宋_GB2312" w:eastAsia="仿宋_GB2312" w:cs="DengXian-Regular" w:hint="eastAsia"/>
          <w:sz w:val="32"/>
          <w:szCs w:val="32"/>
        </w:rPr>
        <w:t>收</w:t>
      </w:r>
      <w:r>
        <w:rPr>
          <w:rFonts w:ascii="仿宋_GB2312" w:eastAsia="仿宋_GB2312" w:cs="DengXian-Regular"/>
          <w:sz w:val="32"/>
          <w:szCs w:val="32"/>
        </w:rPr>
        <w:t>支的合理性</w:t>
      </w:r>
      <w:r>
        <w:rPr>
          <w:rFonts w:ascii="仿宋_GB2312" w:eastAsia="仿宋_GB2312" w:cs="DengXian-Regular" w:hint="eastAsia"/>
          <w:sz w:val="32"/>
          <w:szCs w:val="32"/>
        </w:rPr>
        <w:t>和</w:t>
      </w:r>
      <w:r>
        <w:rPr>
          <w:rFonts w:ascii="仿宋_GB2312" w:eastAsia="仿宋_GB2312" w:cs="DengXian-Regular"/>
          <w:sz w:val="32"/>
          <w:szCs w:val="32"/>
        </w:rPr>
        <w:t>合</w:t>
      </w:r>
      <w:proofErr w:type="gramStart"/>
      <w:r>
        <w:rPr>
          <w:rFonts w:ascii="仿宋_GB2312" w:eastAsia="仿宋_GB2312" w:cs="DengXian-Regular"/>
          <w:sz w:val="32"/>
          <w:szCs w:val="32"/>
        </w:rPr>
        <w:t>规</w:t>
      </w:r>
      <w:proofErr w:type="gramEnd"/>
      <w:r>
        <w:rPr>
          <w:rFonts w:ascii="仿宋_GB2312" w:eastAsia="仿宋_GB2312" w:cs="DengXian-Regular"/>
          <w:sz w:val="32"/>
          <w:szCs w:val="32"/>
        </w:rPr>
        <w:t>性</w:t>
      </w:r>
      <w:r>
        <w:rPr>
          <w:rFonts w:ascii="仿宋_GB2312" w:eastAsia="仿宋_GB2312" w:cs="DengXian-Regular" w:hint="eastAsia"/>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50" w:name="_Toc422314155"/>
      <w:bookmarkStart w:id="51" w:name="_Toc421623220"/>
      <w:r>
        <w:rPr>
          <w:rFonts w:ascii="仿宋_GB2312" w:eastAsia="仿宋_GB2312" w:cs="DengXian-Regular" w:hint="eastAsia"/>
          <w:sz w:val="32"/>
          <w:szCs w:val="32"/>
        </w:rPr>
        <w:t>2.询问查证</w:t>
      </w:r>
      <w:r>
        <w:rPr>
          <w:rFonts w:ascii="仿宋_GB2312" w:eastAsia="仿宋_GB2312" w:cs="DengXian-Regular"/>
          <w:sz w:val="32"/>
          <w:szCs w:val="32"/>
        </w:rPr>
        <w:t>法：</w:t>
      </w:r>
      <w:r>
        <w:rPr>
          <w:rFonts w:ascii="仿宋_GB2312" w:eastAsia="仿宋_GB2312" w:cs="DengXian-Regular" w:hint="eastAsia"/>
          <w:sz w:val="32"/>
          <w:szCs w:val="32"/>
        </w:rPr>
        <w:t>在比较分析相关资料的基础上，通过询问的形式，核查项目资料是否真实、合理，从而对部门整体支出情况</w:t>
      </w:r>
      <w:proofErr w:type="gramStart"/>
      <w:r>
        <w:rPr>
          <w:rFonts w:ascii="仿宋_GB2312" w:eastAsia="仿宋_GB2312" w:cs="DengXian-Regular" w:hint="eastAsia"/>
          <w:sz w:val="32"/>
          <w:szCs w:val="32"/>
        </w:rPr>
        <w:t>作出</w:t>
      </w:r>
      <w:proofErr w:type="gramEnd"/>
      <w:r>
        <w:rPr>
          <w:rFonts w:ascii="仿宋_GB2312" w:eastAsia="仿宋_GB2312" w:cs="DengXian-Regular" w:hint="eastAsia"/>
          <w:sz w:val="32"/>
          <w:szCs w:val="32"/>
        </w:rPr>
        <w:t>初步的判断和评价</w:t>
      </w:r>
      <w:r>
        <w:rPr>
          <w:rFonts w:ascii="仿宋_GB2312" w:eastAsia="仿宋_GB2312" w:cs="DengXian-Regular"/>
          <w:sz w:val="32"/>
          <w:szCs w:val="32"/>
        </w:rPr>
        <w:t>。</w:t>
      </w:r>
      <w:bookmarkEnd w:id="50"/>
      <w:bookmarkEnd w:id="51"/>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52" w:name="_Toc421623221"/>
      <w:bookmarkStart w:id="53" w:name="_Toc422314156"/>
      <w:r>
        <w:rPr>
          <w:rFonts w:ascii="仿宋_GB2312" w:eastAsia="仿宋_GB2312" w:cs="DengXian-Regular" w:hint="eastAsia"/>
          <w:sz w:val="32"/>
          <w:szCs w:val="32"/>
        </w:rPr>
        <w:t>3.问卷调查</w:t>
      </w:r>
      <w:r>
        <w:rPr>
          <w:rFonts w:ascii="仿宋_GB2312" w:eastAsia="仿宋_GB2312" w:cs="DengXian-Regular"/>
          <w:sz w:val="32"/>
          <w:szCs w:val="32"/>
        </w:rPr>
        <w:t>法：通过</w:t>
      </w:r>
      <w:r>
        <w:rPr>
          <w:rFonts w:ascii="仿宋_GB2312" w:eastAsia="仿宋_GB2312" w:cs="DengXian-Regular" w:hint="eastAsia"/>
          <w:sz w:val="32"/>
          <w:szCs w:val="32"/>
        </w:rPr>
        <w:t>设计调查问卷，在一定范围内随机发放，并收集分析调查问卷，</w:t>
      </w:r>
      <w:r>
        <w:rPr>
          <w:rFonts w:ascii="仿宋_GB2312" w:eastAsia="仿宋_GB2312" w:cs="DengXian-Regular"/>
          <w:sz w:val="32"/>
          <w:szCs w:val="32"/>
        </w:rPr>
        <w:t>对财政支出的效果进行</w:t>
      </w:r>
      <w:r>
        <w:rPr>
          <w:rFonts w:ascii="仿宋_GB2312" w:eastAsia="仿宋_GB2312" w:cs="DengXian-Regular" w:hint="eastAsia"/>
          <w:sz w:val="32"/>
          <w:szCs w:val="32"/>
        </w:rPr>
        <w:t>评价</w:t>
      </w:r>
      <w:r>
        <w:rPr>
          <w:rFonts w:ascii="仿宋_GB2312" w:eastAsia="仿宋_GB2312" w:cs="DengXian-Regular"/>
          <w:sz w:val="32"/>
          <w:szCs w:val="32"/>
        </w:rPr>
        <w:t>，</w:t>
      </w:r>
      <w:r>
        <w:rPr>
          <w:rFonts w:ascii="仿宋_GB2312" w:eastAsia="仿宋_GB2312" w:cs="DengXian-Regular" w:hint="eastAsia"/>
          <w:sz w:val="32"/>
          <w:szCs w:val="32"/>
        </w:rPr>
        <w:t>了解服务对象对部门履职效果</w:t>
      </w:r>
      <w:r>
        <w:rPr>
          <w:rFonts w:ascii="仿宋_GB2312" w:eastAsia="仿宋_GB2312" w:cs="DengXian-Regular"/>
          <w:sz w:val="32"/>
          <w:szCs w:val="32"/>
        </w:rPr>
        <w:t>的满意</w:t>
      </w:r>
      <w:r>
        <w:rPr>
          <w:rFonts w:ascii="仿宋_GB2312" w:eastAsia="仿宋_GB2312" w:cs="DengXian-Regular" w:hint="eastAsia"/>
          <w:sz w:val="32"/>
          <w:szCs w:val="32"/>
        </w:rPr>
        <w:t>程</w:t>
      </w:r>
      <w:r>
        <w:rPr>
          <w:rFonts w:ascii="仿宋_GB2312" w:eastAsia="仿宋_GB2312" w:cs="DengXian-Regular"/>
          <w:sz w:val="32"/>
          <w:szCs w:val="32"/>
        </w:rPr>
        <w:t>度。</w:t>
      </w:r>
      <w:bookmarkStart w:id="54" w:name="_Toc20821"/>
      <w:bookmarkEnd w:id="52"/>
      <w:bookmarkEnd w:id="53"/>
    </w:p>
    <w:p w:rsidR="00E04566" w:rsidRDefault="00F4291B">
      <w:pPr>
        <w:spacing w:after="0" w:line="360" w:lineRule="auto"/>
        <w:ind w:firstLineChars="200" w:firstLine="643"/>
        <w:jc w:val="both"/>
        <w:textAlignment w:val="baseline"/>
        <w:rPr>
          <w:rFonts w:ascii="楷体_GB2312" w:eastAsia="楷体_GB2312" w:hAnsiTheme="minorEastAsia"/>
          <w:b/>
          <w:bCs/>
          <w:kern w:val="2"/>
          <w:sz w:val="32"/>
        </w:rPr>
      </w:pPr>
      <w:r>
        <w:rPr>
          <w:rFonts w:ascii="楷体_GB2312" w:eastAsia="楷体_GB2312" w:hAnsiTheme="minorEastAsia" w:hint="eastAsia"/>
          <w:b/>
          <w:bCs/>
          <w:kern w:val="2"/>
          <w:sz w:val="32"/>
        </w:rPr>
        <w:t>（六）绩效评价工作过程</w:t>
      </w:r>
      <w:bookmarkEnd w:id="46"/>
      <w:bookmarkEnd w:id="47"/>
      <w:bookmarkEnd w:id="54"/>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本次绩效评价工作经过了前期准备、绩效评价实施方案和指标体系制定、组织实施、绩效评价报告撰写四个阶段。</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1.前期准备阶段</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经与区</w:t>
      </w:r>
      <w:r w:rsidR="00030929">
        <w:rPr>
          <w:rFonts w:ascii="仿宋_GB2312" w:eastAsia="仿宋_GB2312" w:cs="DengXian-Regular" w:hint="eastAsia"/>
          <w:sz w:val="32"/>
          <w:szCs w:val="32"/>
        </w:rPr>
        <w:t>检察院</w:t>
      </w:r>
      <w:r>
        <w:rPr>
          <w:rFonts w:ascii="仿宋_GB2312" w:eastAsia="仿宋_GB2312" w:cs="DengXian-Regular" w:hint="eastAsia"/>
          <w:sz w:val="32"/>
          <w:szCs w:val="32"/>
        </w:rPr>
        <w:t>充分沟通，并充分收集相关资料，主要包括部门职责、工作活动、预决算文本、相关管理制度、资金使用等相关资料，为制定绩效评价实施方案和指标体系奠定了基础。</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2.制定绩效评价实施方案和体系</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基于对区</w:t>
      </w:r>
      <w:r w:rsidR="00030929">
        <w:rPr>
          <w:rFonts w:ascii="仿宋_GB2312" w:eastAsia="仿宋_GB2312" w:cs="DengXian-Regular" w:hint="eastAsia"/>
          <w:sz w:val="32"/>
          <w:szCs w:val="32"/>
        </w:rPr>
        <w:t>检察院</w:t>
      </w:r>
      <w:r>
        <w:rPr>
          <w:rFonts w:ascii="仿宋_GB2312" w:eastAsia="仿宋_GB2312" w:cs="DengXian-Regular" w:hint="eastAsia"/>
          <w:sz w:val="32"/>
          <w:szCs w:val="32"/>
        </w:rPr>
        <w:t>相关资料的收集，制定绩效评价实施方案和体系,确定最终方案。</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3.组织实施阶段</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根据绩效评价实施方案和指标体系，对区</w:t>
      </w:r>
      <w:r w:rsidR="00030929">
        <w:rPr>
          <w:rFonts w:ascii="仿宋_GB2312" w:eastAsia="仿宋_GB2312" w:cs="DengXian-Regular" w:hint="eastAsia"/>
          <w:sz w:val="32"/>
          <w:szCs w:val="32"/>
        </w:rPr>
        <w:t>检察院</w:t>
      </w:r>
      <w:r>
        <w:rPr>
          <w:rFonts w:ascii="仿宋_GB2312" w:eastAsia="仿宋_GB2312" w:cs="DengXian-Regular" w:hint="eastAsia"/>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4.撰写绩效评价报告</w:t>
      </w:r>
      <w:bookmarkStart w:id="55" w:name="_Toc492652781"/>
      <w:bookmarkStart w:id="56" w:name="_Toc465149511"/>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在完成对各评价指标评分定级的基础上，开始进行报告撰写工作。</w:t>
      </w:r>
    </w:p>
    <w:p w:rsidR="00E04566" w:rsidRDefault="00F4291B">
      <w:pPr>
        <w:pStyle w:val="2"/>
        <w:spacing w:before="0" w:after="0" w:line="360" w:lineRule="auto"/>
        <w:ind w:firstLineChars="200" w:firstLine="643"/>
        <w:rPr>
          <w:rFonts w:ascii="黑体"/>
        </w:rPr>
      </w:pPr>
      <w:bookmarkStart w:id="57" w:name="_Toc6467"/>
      <w:r>
        <w:rPr>
          <w:rFonts w:ascii="黑体" w:hint="eastAsia"/>
        </w:rPr>
        <w:t>四、</w:t>
      </w:r>
      <w:bookmarkStart w:id="58" w:name="_Toc492652782"/>
      <w:bookmarkEnd w:id="55"/>
      <w:bookmarkEnd w:id="56"/>
      <w:r>
        <w:rPr>
          <w:rFonts w:ascii="黑体" w:hint="eastAsia"/>
        </w:rPr>
        <w:t>绩效评价评分情况</w:t>
      </w:r>
      <w:bookmarkEnd w:id="57"/>
    </w:p>
    <w:bookmarkEnd w:id="58"/>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sidRPr="00906CF0">
        <w:rPr>
          <w:rFonts w:ascii="仿宋_GB2312" w:eastAsia="仿宋_GB2312" w:cs="DengXian-Regular" w:hint="eastAsia"/>
          <w:sz w:val="32"/>
          <w:szCs w:val="32"/>
        </w:rPr>
        <w:t>区</w:t>
      </w:r>
      <w:r w:rsidR="00030929" w:rsidRPr="00906CF0">
        <w:rPr>
          <w:rFonts w:ascii="仿宋_GB2312" w:eastAsia="仿宋_GB2312" w:cs="DengXian-Regular" w:hint="eastAsia"/>
          <w:sz w:val="32"/>
          <w:szCs w:val="32"/>
        </w:rPr>
        <w:t>检察院</w:t>
      </w:r>
      <w:r w:rsidRPr="00906CF0">
        <w:rPr>
          <w:rFonts w:ascii="仿宋_GB2312" w:eastAsia="仿宋_GB2312" w:cs="DengXian-Regular" w:hint="eastAsia"/>
          <w:sz w:val="32"/>
          <w:szCs w:val="32"/>
        </w:rPr>
        <w:t>部</w:t>
      </w:r>
      <w:proofErr w:type="gramStart"/>
      <w:r w:rsidRPr="00906CF0">
        <w:rPr>
          <w:rFonts w:ascii="仿宋_GB2312" w:eastAsia="仿宋_GB2312" w:cs="DengXian-Regular" w:hint="eastAsia"/>
          <w:sz w:val="32"/>
          <w:szCs w:val="32"/>
        </w:rPr>
        <w:t>门整体</w:t>
      </w:r>
      <w:proofErr w:type="gramEnd"/>
      <w:r w:rsidRPr="00906CF0">
        <w:rPr>
          <w:rFonts w:ascii="仿宋_GB2312" w:eastAsia="仿宋_GB2312" w:cs="DengXian-Regular" w:hint="eastAsia"/>
          <w:sz w:val="32"/>
          <w:szCs w:val="32"/>
        </w:rPr>
        <w:t>支出绩效评价总得分为</w:t>
      </w:r>
      <w:r w:rsidR="00026CA2" w:rsidRPr="00906CF0">
        <w:rPr>
          <w:rFonts w:ascii="仿宋_GB2312" w:eastAsia="仿宋_GB2312" w:cs="DengXian-Regular" w:hint="eastAsia"/>
          <w:sz w:val="32"/>
          <w:szCs w:val="32"/>
        </w:rPr>
        <w:t>95.99</w:t>
      </w:r>
      <w:r w:rsidRPr="00906CF0">
        <w:rPr>
          <w:rFonts w:ascii="仿宋_GB2312" w:eastAsia="仿宋_GB2312" w:cs="DengXian-Regular" w:hint="eastAsia"/>
          <w:sz w:val="32"/>
          <w:szCs w:val="32"/>
        </w:rPr>
        <w:t>分，综合绩效评价等级为“</w:t>
      </w:r>
      <w:r w:rsidR="00026CA2" w:rsidRPr="00906CF0">
        <w:rPr>
          <w:rFonts w:ascii="仿宋_GB2312" w:eastAsia="仿宋_GB2312" w:cs="DengXian-Regular" w:hint="eastAsia"/>
          <w:sz w:val="32"/>
          <w:szCs w:val="32"/>
        </w:rPr>
        <w:t>优</w:t>
      </w:r>
      <w:r w:rsidRPr="00906CF0">
        <w:rPr>
          <w:rFonts w:ascii="仿宋_GB2312" w:eastAsia="仿宋_GB2312" w:cs="DengXian-Regular" w:hint="eastAsia"/>
          <w:sz w:val="32"/>
          <w:szCs w:val="32"/>
        </w:rPr>
        <w:t>”。各项得分情况如下</w:t>
      </w:r>
      <w:r w:rsidRPr="00906CF0">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 xml:space="preserve"> </w:t>
      </w:r>
    </w:p>
    <w:p w:rsidR="00E04566" w:rsidRDefault="00F4291B">
      <w:pPr>
        <w:pStyle w:val="3"/>
        <w:spacing w:before="0" w:after="0"/>
        <w:ind w:firstLineChars="200" w:firstLine="643"/>
        <w:jc w:val="both"/>
        <w:rPr>
          <w:rFonts w:ascii="楷体_GB2312" w:eastAsia="楷体_GB2312" w:hAnsiTheme="minorEastAsia"/>
          <w:kern w:val="2"/>
          <w:sz w:val="32"/>
        </w:rPr>
      </w:pPr>
      <w:bookmarkStart w:id="59" w:name="_Toc492652783"/>
      <w:bookmarkStart w:id="60" w:name="_Toc4390"/>
      <w:r>
        <w:rPr>
          <w:rFonts w:ascii="楷体_GB2312" w:eastAsia="楷体_GB2312" w:hAnsiTheme="minorEastAsia" w:hint="eastAsia"/>
          <w:kern w:val="2"/>
          <w:sz w:val="32"/>
        </w:rPr>
        <w:t>（一）</w:t>
      </w:r>
      <w:bookmarkEnd w:id="59"/>
      <w:r>
        <w:rPr>
          <w:rFonts w:ascii="楷体_GB2312" w:eastAsia="楷体_GB2312" w:hAnsiTheme="minorEastAsia" w:hint="eastAsia"/>
          <w:kern w:val="2"/>
          <w:sz w:val="32"/>
        </w:rPr>
        <w:t>投入（12分）</w:t>
      </w:r>
      <w:bookmarkEnd w:id="60"/>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eastAsia="仿宋_GB2312" w:hAnsiTheme="minorEastAsia" w:cs="Times New Roman" w:hint="eastAsia"/>
          <w:sz w:val="32"/>
          <w:szCs w:val="32"/>
          <w:u w:color="000000"/>
        </w:rPr>
        <w:tab/>
      </w:r>
    </w:p>
    <w:p w:rsidR="00E04566" w:rsidRDefault="00F4291B">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1701"/>
        <w:gridCol w:w="1276"/>
        <w:gridCol w:w="1134"/>
      </w:tblGrid>
      <w:tr w:rsidR="00E04566">
        <w:trPr>
          <w:trHeight w:hRule="exact" w:val="454"/>
        </w:trPr>
        <w:tc>
          <w:tcPr>
            <w:tcW w:w="1559" w:type="dxa"/>
            <w:vAlign w:val="center"/>
          </w:tcPr>
          <w:p w:rsidR="00E04566" w:rsidRDefault="00F4291B">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一级指标</w:t>
            </w:r>
          </w:p>
        </w:tc>
        <w:tc>
          <w:tcPr>
            <w:tcW w:w="1418" w:type="dxa"/>
            <w:vAlign w:val="center"/>
          </w:tcPr>
          <w:p w:rsidR="00E04566" w:rsidRDefault="00F4291B">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二级指标</w:t>
            </w:r>
          </w:p>
        </w:tc>
        <w:tc>
          <w:tcPr>
            <w:tcW w:w="1701" w:type="dxa"/>
            <w:vAlign w:val="center"/>
          </w:tcPr>
          <w:p w:rsidR="00E04566" w:rsidRDefault="00F4291B">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三级指标</w:t>
            </w:r>
          </w:p>
        </w:tc>
        <w:tc>
          <w:tcPr>
            <w:tcW w:w="1276" w:type="dxa"/>
            <w:vAlign w:val="center"/>
          </w:tcPr>
          <w:p w:rsidR="00E04566" w:rsidRDefault="00F4291B">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分值权重</w:t>
            </w:r>
          </w:p>
        </w:tc>
        <w:tc>
          <w:tcPr>
            <w:tcW w:w="1134" w:type="dxa"/>
            <w:vAlign w:val="center"/>
          </w:tcPr>
          <w:p w:rsidR="00E04566" w:rsidRDefault="00F4291B">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得分</w:t>
            </w:r>
          </w:p>
        </w:tc>
      </w:tr>
      <w:tr w:rsidR="00E04566">
        <w:trPr>
          <w:trHeight w:hRule="exact" w:val="454"/>
        </w:trPr>
        <w:tc>
          <w:tcPr>
            <w:tcW w:w="1559"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投入</w:t>
            </w:r>
          </w:p>
          <w:p w:rsidR="00E04566" w:rsidRDefault="00F4291B">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（12分）</w:t>
            </w:r>
          </w:p>
        </w:tc>
        <w:tc>
          <w:tcPr>
            <w:tcW w:w="1418" w:type="dxa"/>
            <w:vMerge w:val="restart"/>
            <w:vAlign w:val="center"/>
          </w:tcPr>
          <w:p w:rsidR="00E04566" w:rsidRDefault="00F4291B">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绩效目标设定（6分）</w:t>
            </w: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绩效目标合理性</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7D371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p w:rsidR="007D371A" w:rsidRDefault="007D371A">
            <w:pPr>
              <w:spacing w:line="420" w:lineRule="exact"/>
              <w:jc w:val="center"/>
              <w:rPr>
                <w:rFonts w:asciiTheme="minorEastAsia" w:eastAsiaTheme="minorEastAsia" w:hAnsiTheme="minorEastAsia" w:cs="宋体"/>
                <w:sz w:val="21"/>
                <w:szCs w:val="21"/>
              </w:rPr>
            </w:pPr>
          </w:p>
        </w:tc>
      </w:tr>
      <w:tr w:rsidR="00E04566">
        <w:trPr>
          <w:trHeight w:hRule="exact" w:val="454"/>
        </w:trPr>
        <w:tc>
          <w:tcPr>
            <w:tcW w:w="1559"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绩效目标科学性</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7D371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E04566">
        <w:trPr>
          <w:trHeight w:hRule="exact" w:val="454"/>
        </w:trPr>
        <w:tc>
          <w:tcPr>
            <w:tcW w:w="1559"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绩效指标明确性</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E7776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E04566">
        <w:trPr>
          <w:trHeight w:hRule="exact" w:val="454"/>
        </w:trPr>
        <w:tc>
          <w:tcPr>
            <w:tcW w:w="1559"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预算配置</w:t>
            </w:r>
          </w:p>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（6分）</w:t>
            </w: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预算编制完整性</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7D371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E04566">
        <w:trPr>
          <w:trHeight w:hRule="exact" w:val="454"/>
        </w:trPr>
        <w:tc>
          <w:tcPr>
            <w:tcW w:w="1559"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项目预算细化率</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034DB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E04566">
        <w:trPr>
          <w:trHeight w:hRule="exact" w:val="454"/>
        </w:trPr>
        <w:tc>
          <w:tcPr>
            <w:tcW w:w="1559"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在职人员控制率</w:t>
            </w: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rsidR="00E04566" w:rsidRDefault="00237E4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r>
      <w:tr w:rsidR="00E04566">
        <w:trPr>
          <w:trHeight w:hRule="exact" w:val="454"/>
        </w:trPr>
        <w:tc>
          <w:tcPr>
            <w:tcW w:w="2977" w:type="dxa"/>
            <w:gridSpan w:val="2"/>
            <w:vAlign w:val="center"/>
          </w:tcPr>
          <w:p w:rsidR="00E04566" w:rsidRDefault="00F4291B">
            <w:pPr>
              <w:spacing w:line="420" w:lineRule="exact"/>
              <w:ind w:firstLineChars="200" w:firstLine="420"/>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合计</w:t>
            </w:r>
          </w:p>
        </w:tc>
        <w:tc>
          <w:tcPr>
            <w:tcW w:w="1701" w:type="dxa"/>
            <w:vAlign w:val="center"/>
          </w:tcPr>
          <w:p w:rsidR="00E04566" w:rsidRDefault="00E04566">
            <w:pPr>
              <w:spacing w:line="420" w:lineRule="exact"/>
              <w:ind w:firstLineChars="200" w:firstLine="420"/>
              <w:jc w:val="center"/>
              <w:rPr>
                <w:rFonts w:asciiTheme="minorEastAsia" w:eastAsiaTheme="minorEastAsia" w:hAnsiTheme="minorEastAsia" w:cs="宋体"/>
                <w:sz w:val="21"/>
                <w:szCs w:val="21"/>
                <w:highlight w:val="yellow"/>
              </w:rPr>
            </w:pPr>
          </w:p>
        </w:tc>
        <w:tc>
          <w:tcPr>
            <w:tcW w:w="1276"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134" w:type="dxa"/>
            <w:vAlign w:val="center"/>
          </w:tcPr>
          <w:p w:rsidR="00E04566" w:rsidRDefault="00E7776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bl>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61" w:name="_Toc464638478"/>
      <w:bookmarkStart w:id="62" w:name="_Toc465149513"/>
      <w:r>
        <w:rPr>
          <w:rFonts w:ascii="仿宋_GB2312" w:eastAsia="仿宋_GB2312" w:cs="DengXian-Regular" w:hint="eastAsia"/>
          <w:sz w:val="32"/>
          <w:szCs w:val="32"/>
        </w:rPr>
        <w:t>1.绩效目标设定（6分）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（1）绩效目标合理性(2分)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w:t>
      </w:r>
      <w:r>
        <w:rPr>
          <w:rFonts w:ascii="仿宋_GB2312" w:eastAsia="仿宋_GB2312" w:cs="DengXian-Regular" w:hint="eastAsia"/>
          <w:sz w:val="32"/>
          <w:szCs w:val="32"/>
        </w:rPr>
        <w:lastRenderedPageBreak/>
        <w:t>理，是否与工作活动密切相关；工作活动和项目预算安排是否合理。</w:t>
      </w:r>
    </w:p>
    <w:p w:rsidR="00E9212D" w:rsidRDefault="00E9212D" w:rsidP="00E9212D">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通过对比</w:t>
      </w:r>
      <w:r w:rsidRPr="003F130E">
        <w:rPr>
          <w:rFonts w:ascii="仿宋_GB2312" w:eastAsia="仿宋_GB2312" w:cs="DengXian-Regular" w:hint="eastAsia"/>
          <w:sz w:val="32"/>
          <w:szCs w:val="32"/>
        </w:rPr>
        <w:t>中共河北省</w:t>
      </w:r>
      <w:proofErr w:type="gramStart"/>
      <w:r w:rsidRPr="003F130E">
        <w:rPr>
          <w:rFonts w:ascii="仿宋_GB2312" w:eastAsia="仿宋_GB2312" w:cs="DengXian-Regular" w:hint="eastAsia"/>
          <w:sz w:val="32"/>
          <w:szCs w:val="32"/>
        </w:rPr>
        <w:t>委机构</w:t>
      </w:r>
      <w:proofErr w:type="gramEnd"/>
      <w:r w:rsidRPr="003F130E">
        <w:rPr>
          <w:rFonts w:ascii="仿宋_GB2312" w:eastAsia="仿宋_GB2312" w:cs="DengXian-Regular" w:hint="eastAsia"/>
          <w:sz w:val="32"/>
          <w:szCs w:val="32"/>
        </w:rPr>
        <w:t>编制委员会办公室、河北省人民检察院关于印发《河北省设区市和基层人民检察院职能配置、内设机构和人员编制规定》</w:t>
      </w:r>
      <w:r>
        <w:rPr>
          <w:rFonts w:ascii="仿宋_GB2312" w:eastAsia="仿宋_GB2312" w:cs="DengXian-Regular" w:hint="eastAsia"/>
          <w:sz w:val="32"/>
          <w:szCs w:val="32"/>
        </w:rPr>
        <w:t>和徐水区人民检察院202</w:t>
      </w:r>
      <w:r w:rsidR="00034DBE">
        <w:rPr>
          <w:rFonts w:ascii="仿宋_GB2312" w:eastAsia="仿宋_GB2312" w:cs="DengXian-Regular" w:hint="eastAsia"/>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职责工作活动绩效目标，评价工作组认为区检察院部门职责符合“三定”方案中所赋予的职责，绩效目标设立依据充分，符合客观实际，与部门职责、工作规划和重点工作相关，工作活动和项目预算安排合理。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（2）绩效目标科学性（2分）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rsidR="00E9212D" w:rsidRDefault="00E9212D" w:rsidP="00E9212D">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根据区检察院202</w:t>
      </w:r>
      <w:r w:rsidR="00034DBE">
        <w:rPr>
          <w:rFonts w:ascii="仿宋_GB2312" w:eastAsia="仿宋_GB2312" w:cs="DengXian-Regular" w:hint="eastAsia"/>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职责工作活动绩效目标（详见附件4），绩效目标与部门履职、年度工作任务相符；工作活动有明确的绩效目标，绩效目标与部门职责目标、部门年度工作目标一致。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（3）绩效目标明确性（2分）</w:t>
      </w:r>
    </w:p>
    <w:p w:rsidR="00E04566" w:rsidRDefault="00F4291B">
      <w:pPr>
        <w:spacing w:after="0" w:line="360" w:lineRule="auto"/>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711E70">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职责工作活动绩效目标,该指标实际得分</w:t>
      </w:r>
      <w:r w:rsidR="00711E70">
        <w:rPr>
          <w:rFonts w:ascii="仿宋_GB2312" w:eastAsia="仿宋_GB2312" w:cs="DengXian-Regular" w:hint="eastAsia"/>
          <w:sz w:val="32"/>
          <w:szCs w:val="32"/>
        </w:rPr>
        <w:t>1.5</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2.预算配置（6分）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（1）预算编制完整性（2分）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0907A4">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年预算文本及相关会计资料，区</w:t>
      </w:r>
      <w:r w:rsidR="000907A4">
        <w:rPr>
          <w:rFonts w:ascii="仿宋_GB2312" w:eastAsia="仿宋_GB2312" w:cs="DengXian-Regular" w:hint="eastAsia"/>
          <w:sz w:val="32"/>
          <w:szCs w:val="32"/>
        </w:rPr>
        <w:t>检察院</w:t>
      </w:r>
      <w:r>
        <w:rPr>
          <w:rFonts w:ascii="仿宋_GB2312" w:eastAsia="仿宋_GB2312" w:cs="DengXian-Regular" w:hint="eastAsia"/>
          <w:sz w:val="32"/>
          <w:szCs w:val="32"/>
        </w:rPr>
        <w:t>所有收入均已纳入部门预算，部门支出按基本支出、项目支出分别编制。</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907A4">
        <w:rPr>
          <w:rFonts w:ascii="仿宋_GB2312" w:eastAsia="仿宋_GB2312" w:cs="DengXian-Regular" w:hint="eastAsia"/>
          <w:sz w:val="32"/>
          <w:szCs w:val="32"/>
        </w:rPr>
        <w:t>2</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（2）项目预算细化率（2分）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该指标主要评价编报的项目支出是否细化到具体用款单位和项目的资金额度，通过项目预算细化率衡量。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项目预算细化率=细化的项目金额/实际编报的项目金额×100%。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根据区</w:t>
      </w:r>
      <w:r w:rsidR="0071048B">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项目支出预算表，</w:t>
      </w:r>
      <w:r w:rsidR="00EF4148">
        <w:rPr>
          <w:rFonts w:ascii="仿宋_GB2312" w:eastAsia="仿宋_GB2312" w:cs="DengXian-Regular" w:hint="eastAsia"/>
          <w:sz w:val="32"/>
          <w:szCs w:val="32"/>
        </w:rPr>
        <w:t>检察院2021</w:t>
      </w:r>
      <w:r>
        <w:rPr>
          <w:rFonts w:ascii="仿宋_GB2312" w:eastAsia="仿宋_GB2312" w:cs="DengXian-Regular" w:hint="eastAsia"/>
          <w:sz w:val="32"/>
          <w:szCs w:val="32"/>
        </w:rPr>
        <w:t>年预算项目共</w:t>
      </w:r>
      <w:r w:rsidR="00EF4148">
        <w:rPr>
          <w:rFonts w:ascii="仿宋_GB2312" w:eastAsia="仿宋_GB2312" w:cs="DengXian-Regular" w:hint="eastAsia"/>
          <w:sz w:val="32"/>
          <w:szCs w:val="32"/>
        </w:rPr>
        <w:t>5</w:t>
      </w:r>
      <w:r>
        <w:rPr>
          <w:rFonts w:ascii="仿宋_GB2312" w:eastAsia="仿宋_GB2312" w:cs="DengXian-Regular" w:hint="eastAsia"/>
          <w:sz w:val="32"/>
          <w:szCs w:val="32"/>
        </w:rPr>
        <w:t>个（详见附件2-2-2），涉及资金</w:t>
      </w:r>
      <w:r w:rsidR="002A6CBF" w:rsidRPr="002A6CBF">
        <w:rPr>
          <w:rFonts w:ascii="仿宋_GB2312" w:eastAsia="仿宋_GB2312" w:cs="DengXian-Regular"/>
          <w:sz w:val="32"/>
          <w:szCs w:val="32"/>
        </w:rPr>
        <w:t>263.16</w:t>
      </w:r>
      <w:r>
        <w:rPr>
          <w:rFonts w:ascii="仿宋_GB2312" w:eastAsia="仿宋_GB2312" w:cs="DengXian-Regular" w:hint="eastAsia"/>
          <w:sz w:val="32"/>
          <w:szCs w:val="32"/>
        </w:rPr>
        <w:t>万元，所有项目均细化到具体用款单位及项目资金额度。项目预算细化率=（</w:t>
      </w:r>
      <w:r w:rsidR="00763889">
        <w:rPr>
          <w:rFonts w:ascii="仿宋_GB2312" w:eastAsia="仿宋_GB2312" w:cs="DengXian-Regular" w:hint="eastAsia"/>
          <w:sz w:val="32"/>
          <w:szCs w:val="32"/>
        </w:rPr>
        <w:t>263.16</w:t>
      </w:r>
      <w:r>
        <w:rPr>
          <w:rFonts w:ascii="仿宋_GB2312" w:eastAsia="仿宋_GB2312" w:cs="DengXian-Regular" w:hint="eastAsia"/>
          <w:sz w:val="32"/>
          <w:szCs w:val="32"/>
        </w:rPr>
        <w:t>/</w:t>
      </w:r>
      <w:r w:rsidR="00763889">
        <w:rPr>
          <w:rFonts w:ascii="仿宋_GB2312" w:eastAsia="仿宋_GB2312" w:cs="DengXian-Regular" w:hint="eastAsia"/>
          <w:sz w:val="32"/>
          <w:szCs w:val="32"/>
        </w:rPr>
        <w:t>263.16</w:t>
      </w:r>
      <w:r>
        <w:rPr>
          <w:rFonts w:ascii="仿宋_GB2312" w:eastAsia="仿宋_GB2312" w:cs="DengXian-Regular" w:hint="eastAsia"/>
          <w:sz w:val="32"/>
          <w:szCs w:val="32"/>
        </w:rPr>
        <w:t>）*100%=100%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763889">
        <w:rPr>
          <w:rFonts w:ascii="仿宋_GB2312" w:eastAsia="仿宋_GB2312" w:cs="DengXian-Regular" w:hint="eastAsia"/>
          <w:sz w:val="32"/>
          <w:szCs w:val="32"/>
        </w:rPr>
        <w:t>2</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（3）在职人员控制率（2分）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该指标主要考核截至202</w:t>
      </w:r>
      <w:r>
        <w:rPr>
          <w:rFonts w:ascii="仿宋_GB2312" w:eastAsia="仿宋_GB2312" w:cs="DengXian-Regular"/>
          <w:sz w:val="32"/>
          <w:szCs w:val="32"/>
        </w:rPr>
        <w:t>1</w:t>
      </w:r>
      <w:r>
        <w:rPr>
          <w:rFonts w:ascii="仿宋_GB2312" w:eastAsia="仿宋_GB2312" w:cs="DengXian-Regular" w:hint="eastAsia"/>
          <w:sz w:val="32"/>
          <w:szCs w:val="32"/>
        </w:rPr>
        <w:t>年底区</w:t>
      </w:r>
      <w:r w:rsidR="002358F9">
        <w:rPr>
          <w:rFonts w:ascii="仿宋_GB2312" w:eastAsia="仿宋_GB2312" w:cs="DengXian-Regular" w:hint="eastAsia"/>
          <w:sz w:val="32"/>
          <w:szCs w:val="32"/>
        </w:rPr>
        <w:t>检察院</w:t>
      </w:r>
      <w:r>
        <w:rPr>
          <w:rFonts w:ascii="仿宋_GB2312" w:eastAsia="仿宋_GB2312" w:cs="DengXian-Regular" w:hint="eastAsia"/>
          <w:sz w:val="32"/>
          <w:szCs w:val="32"/>
        </w:rPr>
        <w:t>在职人员控制情况，通过在职人员控制率衡量。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在职人员控制率=决算在职人员/编制数×100%。</w:t>
      </w:r>
    </w:p>
    <w:p w:rsidR="00422BE1" w:rsidRDefault="002358F9" w:rsidP="00422BE1">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Pr="007A5A5B">
        <w:rPr>
          <w:rFonts w:ascii="仿宋_GB2312" w:eastAsia="仿宋_GB2312" w:cs="DengXian-Regular" w:hint="eastAsia"/>
          <w:sz w:val="32"/>
          <w:szCs w:val="32"/>
        </w:rPr>
        <w:t>中共河北省</w:t>
      </w:r>
      <w:proofErr w:type="gramStart"/>
      <w:r w:rsidRPr="007A5A5B">
        <w:rPr>
          <w:rFonts w:ascii="仿宋_GB2312" w:eastAsia="仿宋_GB2312" w:cs="DengXian-Regular" w:hint="eastAsia"/>
          <w:sz w:val="32"/>
          <w:szCs w:val="32"/>
        </w:rPr>
        <w:t>委机构</w:t>
      </w:r>
      <w:proofErr w:type="gramEnd"/>
      <w:r w:rsidRPr="007A5A5B">
        <w:rPr>
          <w:rFonts w:ascii="仿宋_GB2312" w:eastAsia="仿宋_GB2312" w:cs="DengXian-Regular" w:hint="eastAsia"/>
          <w:sz w:val="32"/>
          <w:szCs w:val="32"/>
        </w:rPr>
        <w:t>编制委员会办公室、河北省人民检察院关于印发《河北省设区市和基层人民检察院职能配置、内设机构和人员编制规定》</w:t>
      </w:r>
      <w:r>
        <w:rPr>
          <w:rFonts w:ascii="仿宋_GB2312" w:eastAsia="仿宋_GB2312" w:cs="DengXian-Regular" w:hint="eastAsia"/>
          <w:sz w:val="32"/>
          <w:szCs w:val="32"/>
        </w:rPr>
        <w:t>的通知，徐水区检察院人员编制为47人，根据区检察院2021年决算文本-部门基本情况表，截至2021年底，在职人员49人，</w:t>
      </w:r>
      <w:r w:rsidR="00422BE1">
        <w:rPr>
          <w:rFonts w:ascii="仿宋_GB2312" w:eastAsia="仿宋_GB2312" w:cs="DengXian-Regular" w:hint="eastAsia"/>
          <w:sz w:val="32"/>
          <w:szCs w:val="32"/>
        </w:rPr>
        <w:t>在职人员控制率=（49/47）*100%=104%。</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422BE1">
        <w:rPr>
          <w:rFonts w:ascii="仿宋_GB2312" w:eastAsia="仿宋_GB2312" w:cs="DengXian-Regular" w:hint="eastAsia"/>
          <w:sz w:val="32"/>
          <w:szCs w:val="32"/>
        </w:rPr>
        <w:t>0</w:t>
      </w:r>
      <w:r>
        <w:rPr>
          <w:rFonts w:ascii="仿宋_GB2312" w:eastAsia="仿宋_GB2312" w:cs="DengXian-Regular" w:hint="eastAsia"/>
          <w:sz w:val="32"/>
          <w:szCs w:val="32"/>
        </w:rPr>
        <w:t>分。</w:t>
      </w:r>
    </w:p>
    <w:p w:rsidR="00E04566" w:rsidRDefault="00F4291B">
      <w:pPr>
        <w:pStyle w:val="3"/>
        <w:spacing w:before="0" w:after="0"/>
        <w:ind w:firstLineChars="200" w:firstLine="643"/>
        <w:jc w:val="both"/>
        <w:rPr>
          <w:rFonts w:ascii="楷体" w:eastAsia="楷体" w:hAnsi="楷体"/>
          <w:sz w:val="32"/>
        </w:rPr>
      </w:pPr>
      <w:bookmarkStart w:id="63" w:name="_Toc19940"/>
      <w:bookmarkEnd w:id="61"/>
      <w:bookmarkEnd w:id="62"/>
      <w:r>
        <w:rPr>
          <w:rFonts w:ascii="楷体" w:eastAsia="楷体" w:hAnsi="楷体" w:hint="eastAsia"/>
          <w:sz w:val="32"/>
        </w:rPr>
        <w:t>（二）过程（48分）</w:t>
      </w:r>
      <w:bookmarkEnd w:id="63"/>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64"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rsidR="00E04566" w:rsidRDefault="00F4291B">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7"/>
        <w:gridCol w:w="1388"/>
        <w:gridCol w:w="2277"/>
        <w:gridCol w:w="1155"/>
        <w:gridCol w:w="1276"/>
      </w:tblGrid>
      <w:tr w:rsidR="00E04566">
        <w:trPr>
          <w:trHeight w:hRule="exact" w:val="397"/>
          <w:jc w:val="center"/>
        </w:trPr>
        <w:tc>
          <w:tcPr>
            <w:tcW w:w="1557" w:type="dxa"/>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388" w:type="dxa"/>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277" w:type="dxa"/>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55" w:type="dxa"/>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276" w:type="dxa"/>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E04566">
        <w:trPr>
          <w:trHeight w:hRule="exact" w:val="397"/>
          <w:jc w:val="center"/>
        </w:trPr>
        <w:tc>
          <w:tcPr>
            <w:tcW w:w="1557"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过程（48分）</w:t>
            </w:r>
          </w:p>
        </w:tc>
        <w:tc>
          <w:tcPr>
            <w:tcW w:w="1388"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预算执行</w:t>
            </w:r>
          </w:p>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（24分）</w:t>
            </w: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预算收入调整率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1.49</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收入完成率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预算支出调整率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财政拨款支出完成率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“三公经费”控制率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政府采购执行率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资金使用合</w:t>
            </w:r>
            <w:proofErr w:type="gramStart"/>
            <w:r>
              <w:rPr>
                <w:rFonts w:asciiTheme="minorEastAsia" w:eastAsiaTheme="minorEastAsia" w:hAnsiTheme="minorEastAsia" w:cs="宋体" w:hint="eastAsia"/>
                <w:sz w:val="21"/>
                <w:szCs w:val="21"/>
              </w:rPr>
              <w:t>规</w:t>
            </w:r>
            <w:proofErr w:type="gramEnd"/>
            <w:r>
              <w:rPr>
                <w:rFonts w:asciiTheme="minorEastAsia" w:eastAsiaTheme="minorEastAsia" w:hAnsiTheme="minorEastAsia" w:cs="宋体" w:hint="eastAsia"/>
                <w:sz w:val="21"/>
                <w:szCs w:val="21"/>
              </w:rPr>
              <w:t>性</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决算真实性</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预算管理</w:t>
            </w:r>
          </w:p>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（16分）</w:t>
            </w: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管理制度健全性</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预决算信息公开</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基础信息完善性</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资产管理规范性</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166E3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E04566">
        <w:trPr>
          <w:trHeight w:hRule="exact" w:val="467"/>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restart"/>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w:t>
            </w:r>
          </w:p>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（8分）</w:t>
            </w: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绩效自评覆盖率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482"/>
          <w:jc w:val="center"/>
        </w:trPr>
        <w:tc>
          <w:tcPr>
            <w:tcW w:w="1557"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1388" w:type="dxa"/>
            <w:vMerge/>
            <w:vAlign w:val="center"/>
          </w:tcPr>
          <w:p w:rsidR="00E04566" w:rsidRDefault="00E04566">
            <w:pPr>
              <w:spacing w:line="420" w:lineRule="exact"/>
              <w:jc w:val="center"/>
              <w:rPr>
                <w:rFonts w:asciiTheme="minorEastAsia" w:eastAsiaTheme="minorEastAsia" w:hAnsiTheme="minorEastAsia" w:cs="宋体"/>
                <w:sz w:val="21"/>
                <w:szCs w:val="21"/>
              </w:rPr>
            </w:pPr>
          </w:p>
        </w:tc>
        <w:tc>
          <w:tcPr>
            <w:tcW w:w="2277"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绩效评价优等率</w:t>
            </w: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rsidR="00E04566" w:rsidRDefault="003C6B50">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E04566">
        <w:trPr>
          <w:trHeight w:hRule="exact" w:val="397"/>
          <w:jc w:val="center"/>
        </w:trPr>
        <w:tc>
          <w:tcPr>
            <w:tcW w:w="2945" w:type="dxa"/>
            <w:gridSpan w:val="2"/>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vAlign w:val="center"/>
          </w:tcPr>
          <w:p w:rsidR="00E04566" w:rsidRDefault="00E04566">
            <w:pPr>
              <w:spacing w:line="420" w:lineRule="exact"/>
              <w:jc w:val="center"/>
              <w:rPr>
                <w:rFonts w:asciiTheme="minorEastAsia" w:eastAsiaTheme="minorEastAsia" w:hAnsiTheme="minorEastAsia" w:cs="宋体"/>
                <w:sz w:val="21"/>
                <w:szCs w:val="21"/>
              </w:rPr>
            </w:pPr>
          </w:p>
        </w:tc>
        <w:tc>
          <w:tcPr>
            <w:tcW w:w="1155" w:type="dxa"/>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276" w:type="dxa"/>
            <w:vAlign w:val="center"/>
          </w:tcPr>
          <w:p w:rsidR="00E04566" w:rsidRDefault="003C6B50" w:rsidP="00166E31">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r w:rsidR="00166E31">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.99</w:t>
            </w:r>
          </w:p>
        </w:tc>
      </w:tr>
    </w:tbl>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65" w:name="_Toc464638487"/>
      <w:bookmarkStart w:id="66" w:name="_Toc465149514"/>
      <w:bookmarkEnd w:id="64"/>
      <w:r>
        <w:rPr>
          <w:rFonts w:ascii="仿宋_GB2312" w:eastAsia="仿宋_GB2312" w:cs="DengXian-Regular" w:hint="eastAsia"/>
          <w:sz w:val="32"/>
          <w:szCs w:val="32"/>
        </w:rPr>
        <w:t>1.预算执行（24分）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（1）预算收入调整率（2分）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预算收入调整率=（调整预算数-年初预算数）/年初预算数*100%</w:t>
      </w:r>
    </w:p>
    <w:p w:rsidR="00E8527D" w:rsidRDefault="00E8527D" w:rsidP="00E8527D">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根据区检察院的预算指标文件，其中：</w:t>
      </w:r>
      <w:r w:rsidRPr="008211E5">
        <w:rPr>
          <w:rFonts w:ascii="仿宋_GB2312" w:eastAsia="仿宋_GB2312" w:cs="DengXian-Regular" w:hint="eastAsia"/>
          <w:sz w:val="32"/>
          <w:szCs w:val="32"/>
        </w:rPr>
        <w:t>追加</w:t>
      </w:r>
      <w:proofErr w:type="gramStart"/>
      <w:r w:rsidR="008F39AE" w:rsidRPr="008F39AE">
        <w:rPr>
          <w:rFonts w:ascii="仿宋_GB2312" w:eastAsia="仿宋_GB2312" w:cs="DengXian-Regular" w:hint="eastAsia"/>
          <w:sz w:val="32"/>
          <w:szCs w:val="32"/>
        </w:rPr>
        <w:t>徐财预指</w:t>
      </w:r>
      <w:proofErr w:type="gramEnd"/>
      <w:r w:rsidR="008F39AE" w:rsidRPr="008F39AE">
        <w:rPr>
          <w:rFonts w:ascii="仿宋_GB2312" w:eastAsia="仿宋_GB2312" w:cs="DengXian-Regular" w:hint="eastAsia"/>
          <w:sz w:val="32"/>
          <w:szCs w:val="32"/>
        </w:rPr>
        <w:t>[2021]1-1257号</w:t>
      </w:r>
      <w:r w:rsidR="00AC118A" w:rsidRPr="00AC118A">
        <w:rPr>
          <w:rFonts w:ascii="仿宋_GB2312" w:eastAsia="仿宋_GB2312" w:cs="DengXian-Regular" w:hint="eastAsia"/>
          <w:sz w:val="32"/>
          <w:szCs w:val="32"/>
        </w:rPr>
        <w:t>国家赔偿金</w:t>
      </w:r>
      <w:r w:rsidR="00AC118A">
        <w:rPr>
          <w:rFonts w:ascii="仿宋_GB2312" w:eastAsia="仿宋_GB2312" w:cs="DengXian-Regular" w:hint="eastAsia"/>
          <w:sz w:val="32"/>
          <w:szCs w:val="32"/>
        </w:rPr>
        <w:t>13.52</w:t>
      </w:r>
      <w:r>
        <w:rPr>
          <w:rFonts w:ascii="仿宋_GB2312" w:eastAsia="仿宋_GB2312" w:cs="DengXian-Regular" w:hint="eastAsia"/>
          <w:sz w:val="32"/>
          <w:szCs w:val="32"/>
        </w:rPr>
        <w:t>万元，区检察院</w:t>
      </w:r>
      <w:r w:rsidR="007111C5">
        <w:rPr>
          <w:rFonts w:ascii="仿宋_GB2312" w:eastAsia="仿宋_GB2312" w:cs="DengXian-Regular" w:hint="eastAsia"/>
          <w:sz w:val="32"/>
          <w:szCs w:val="32"/>
        </w:rPr>
        <w:t>2021</w:t>
      </w:r>
      <w:r>
        <w:rPr>
          <w:rFonts w:ascii="仿宋_GB2312" w:eastAsia="仿宋_GB2312" w:cs="DengXian-Regular" w:hint="eastAsia"/>
          <w:sz w:val="32"/>
          <w:szCs w:val="32"/>
        </w:rPr>
        <w:t>年度预算收入的追加数为</w:t>
      </w:r>
      <w:r w:rsidR="007111C5">
        <w:rPr>
          <w:rFonts w:ascii="仿宋_GB2312" w:eastAsia="仿宋_GB2312" w:cs="DengXian-Regular" w:hint="eastAsia"/>
          <w:sz w:val="32"/>
          <w:szCs w:val="32"/>
        </w:rPr>
        <w:t>31.4</w:t>
      </w:r>
      <w:r>
        <w:rPr>
          <w:rFonts w:ascii="仿宋_GB2312" w:eastAsia="仿宋_GB2312" w:cs="DengXian-Regular" w:hint="eastAsia"/>
          <w:sz w:val="32"/>
          <w:szCs w:val="32"/>
        </w:rPr>
        <w:t>万元，年初预算数为</w:t>
      </w:r>
      <w:r w:rsidR="007111C5">
        <w:rPr>
          <w:rFonts w:ascii="仿宋_GB2312" w:eastAsia="仿宋_GB2312" w:cs="DengXian-Regular" w:hint="eastAsia"/>
          <w:sz w:val="32"/>
          <w:szCs w:val="32"/>
        </w:rPr>
        <w:t>1229.55</w:t>
      </w:r>
      <w:r>
        <w:rPr>
          <w:rFonts w:ascii="仿宋_GB2312" w:eastAsia="仿宋_GB2312" w:cs="DengXian-Regular" w:hint="eastAsia"/>
          <w:sz w:val="32"/>
          <w:szCs w:val="32"/>
        </w:rPr>
        <w:lastRenderedPageBreak/>
        <w:t>万元，预算收入调整率为</w:t>
      </w:r>
      <w:r w:rsidR="007111C5">
        <w:rPr>
          <w:rFonts w:ascii="仿宋_GB2312" w:eastAsia="仿宋_GB2312" w:cs="DengXian-Regular" w:hint="eastAsia"/>
          <w:sz w:val="32"/>
          <w:szCs w:val="32"/>
        </w:rPr>
        <w:t>2.55</w:t>
      </w:r>
      <w:r>
        <w:rPr>
          <w:rFonts w:ascii="仿宋_GB2312" w:eastAsia="仿宋_GB2312" w:cs="DengXian-Regular" w:hint="eastAsia"/>
          <w:sz w:val="32"/>
          <w:szCs w:val="32"/>
        </w:rPr>
        <w:t>%，预算调整增加了</w:t>
      </w:r>
      <w:r w:rsidR="007111C5">
        <w:rPr>
          <w:rFonts w:ascii="仿宋_GB2312" w:eastAsia="仿宋_GB2312" w:cs="DengXian-Regular" w:hint="eastAsia"/>
          <w:sz w:val="32"/>
          <w:szCs w:val="32"/>
        </w:rPr>
        <w:t>2.55</w:t>
      </w:r>
      <w:r>
        <w:rPr>
          <w:rFonts w:ascii="仿宋_GB2312" w:eastAsia="仿宋_GB2312" w:cs="DengXian-Regular" w:hint="eastAsia"/>
          <w:sz w:val="32"/>
          <w:szCs w:val="32"/>
        </w:rPr>
        <w:t>个百分点，扣</w:t>
      </w:r>
      <w:r w:rsidR="007111C5">
        <w:rPr>
          <w:rFonts w:ascii="仿宋_GB2312" w:eastAsia="仿宋_GB2312" w:cs="DengXian-Regular" w:hint="eastAsia"/>
          <w:sz w:val="32"/>
          <w:szCs w:val="32"/>
        </w:rPr>
        <w:t>2.55</w:t>
      </w:r>
      <w:r>
        <w:rPr>
          <w:rFonts w:ascii="仿宋_GB2312" w:eastAsia="仿宋_GB2312" w:cs="DengXian-Regular" w:hint="eastAsia"/>
          <w:sz w:val="32"/>
          <w:szCs w:val="32"/>
        </w:rPr>
        <w:t>*0.1*2=0.</w:t>
      </w:r>
      <w:r w:rsidR="007111C5">
        <w:rPr>
          <w:rFonts w:ascii="仿宋_GB2312" w:eastAsia="仿宋_GB2312" w:cs="DengXian-Regular" w:hint="eastAsia"/>
          <w:sz w:val="32"/>
          <w:szCs w:val="32"/>
        </w:rPr>
        <w:t>51</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7111C5">
        <w:rPr>
          <w:rFonts w:ascii="仿宋_GB2312" w:eastAsia="仿宋_GB2312" w:cs="DengXian-Regular" w:hint="eastAsia"/>
          <w:sz w:val="32"/>
          <w:szCs w:val="32"/>
        </w:rPr>
        <w:t>1.49</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（2）收入完成率（4分）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该指标主要评价部门预算收入的完成情况，用以反映部门预算收入的完成程度，通过收入完成率衡量。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收入完成率=（决算收入/预算收入）×100%。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657E6F">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年预算文本、决算文本，202</w:t>
      </w:r>
      <w:r>
        <w:rPr>
          <w:rFonts w:ascii="仿宋_GB2312" w:eastAsia="仿宋_GB2312" w:cs="DengXian-Regular"/>
          <w:sz w:val="32"/>
          <w:szCs w:val="32"/>
        </w:rPr>
        <w:t>1</w:t>
      </w:r>
      <w:r>
        <w:rPr>
          <w:rFonts w:ascii="仿宋_GB2312" w:eastAsia="仿宋_GB2312" w:cs="DengXian-Regular" w:hint="eastAsia"/>
          <w:sz w:val="32"/>
          <w:szCs w:val="32"/>
        </w:rPr>
        <w:t>年收入预算数</w:t>
      </w:r>
      <w:r w:rsidR="00657E6F">
        <w:rPr>
          <w:rFonts w:ascii="仿宋_GB2312" w:eastAsia="仿宋_GB2312" w:cs="DengXian-Regular" w:hint="eastAsia"/>
          <w:sz w:val="32"/>
          <w:szCs w:val="32"/>
        </w:rPr>
        <w:t>1229.55</w:t>
      </w:r>
      <w:r>
        <w:rPr>
          <w:rFonts w:ascii="仿宋_GB2312" w:eastAsia="仿宋_GB2312" w:cs="DengXian-Regular" w:hint="eastAsia"/>
          <w:sz w:val="32"/>
          <w:szCs w:val="32"/>
        </w:rPr>
        <w:t>万元，收入决算数</w:t>
      </w:r>
      <w:r w:rsidR="00657E6F">
        <w:rPr>
          <w:rFonts w:ascii="仿宋_GB2312" w:eastAsia="仿宋_GB2312" w:cs="DengXian-Regular" w:hint="eastAsia"/>
          <w:sz w:val="32"/>
          <w:szCs w:val="32"/>
        </w:rPr>
        <w:t>1260.95</w:t>
      </w:r>
      <w:r>
        <w:rPr>
          <w:rFonts w:ascii="仿宋_GB2312" w:eastAsia="仿宋_GB2312" w:cs="DengXian-Regular" w:hint="eastAsia"/>
          <w:sz w:val="32"/>
          <w:szCs w:val="32"/>
        </w:rPr>
        <w:t>万元，收入完成率=（</w:t>
      </w:r>
      <w:r w:rsidR="00657E6F">
        <w:rPr>
          <w:rFonts w:ascii="仿宋_GB2312" w:eastAsia="仿宋_GB2312" w:cs="DengXian-Regular" w:hint="eastAsia"/>
          <w:sz w:val="32"/>
          <w:szCs w:val="32"/>
        </w:rPr>
        <w:t>1260.95</w:t>
      </w:r>
      <w:r>
        <w:rPr>
          <w:rFonts w:ascii="仿宋_GB2312" w:eastAsia="仿宋_GB2312" w:cs="DengXian-Regular" w:hint="eastAsia"/>
          <w:sz w:val="32"/>
          <w:szCs w:val="32"/>
        </w:rPr>
        <w:t>/</w:t>
      </w:r>
      <w:r w:rsidR="00657E6F">
        <w:rPr>
          <w:rFonts w:ascii="仿宋_GB2312" w:eastAsia="仿宋_GB2312" w:cs="DengXian-Regular" w:hint="eastAsia"/>
          <w:sz w:val="32"/>
          <w:szCs w:val="32"/>
        </w:rPr>
        <w:t>1229.55</w:t>
      </w:r>
      <w:r>
        <w:rPr>
          <w:rFonts w:ascii="仿宋_GB2312" w:eastAsia="仿宋_GB2312" w:cs="DengXian-Regular" w:hint="eastAsia"/>
          <w:sz w:val="32"/>
          <w:szCs w:val="32"/>
        </w:rPr>
        <w:t>）*100%=</w:t>
      </w:r>
      <w:r w:rsidR="00657E6F">
        <w:rPr>
          <w:rFonts w:ascii="仿宋_GB2312" w:eastAsia="仿宋_GB2312" w:cs="DengXian-Regular" w:hint="eastAsia"/>
          <w:sz w:val="32"/>
          <w:szCs w:val="32"/>
        </w:rPr>
        <w:t>103</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1F334B">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（3）预算支出调整率（2分）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该指标主要评价预算支出的调整情况，进而衡量预算支出编制的准确性，通过预算支出调整率衡量。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预算支出调整率=（调整预算数-年初预算数）/年初预算数*100%</w:t>
      </w:r>
    </w:p>
    <w:p w:rsidR="00E04566" w:rsidRPr="00085959" w:rsidRDefault="009277A1">
      <w:pPr>
        <w:spacing w:after="0" w:line="360" w:lineRule="auto"/>
        <w:ind w:firstLineChars="200" w:firstLine="640"/>
        <w:jc w:val="both"/>
        <w:textAlignment w:val="baseline"/>
        <w:rPr>
          <w:rFonts w:ascii="仿宋_GB2312" w:eastAsia="仿宋_GB2312" w:cs="DengXian-Regular"/>
          <w:sz w:val="32"/>
          <w:szCs w:val="32"/>
        </w:rPr>
      </w:pPr>
      <w:r w:rsidRPr="00085959">
        <w:rPr>
          <w:rFonts w:ascii="仿宋_GB2312" w:eastAsia="仿宋_GB2312" w:cs="DengXian-Regular" w:hint="eastAsia"/>
          <w:sz w:val="32"/>
          <w:szCs w:val="32"/>
        </w:rPr>
        <w:t>根据区检察院提供的保定市财政局下发的预算指标文件，其中：</w:t>
      </w:r>
      <w:r w:rsidR="00327DD8" w:rsidRPr="00085959">
        <w:rPr>
          <w:rFonts w:ascii="仿宋_GB2312" w:eastAsia="仿宋_GB2312" w:cs="DengXian-Regular" w:hint="eastAsia"/>
          <w:sz w:val="32"/>
          <w:szCs w:val="32"/>
        </w:rPr>
        <w:t>追加</w:t>
      </w:r>
      <w:proofErr w:type="gramStart"/>
      <w:r w:rsidR="00327DD8" w:rsidRPr="00085959">
        <w:rPr>
          <w:rFonts w:ascii="仿宋_GB2312" w:eastAsia="仿宋_GB2312" w:cs="DengXian-Regular" w:hint="eastAsia"/>
          <w:sz w:val="32"/>
          <w:szCs w:val="32"/>
        </w:rPr>
        <w:t>徐财预指</w:t>
      </w:r>
      <w:proofErr w:type="gramEnd"/>
      <w:r w:rsidR="00327DD8" w:rsidRPr="00085959">
        <w:rPr>
          <w:rFonts w:ascii="仿宋_GB2312" w:eastAsia="仿宋_GB2312" w:cs="DengXian-Regular" w:hint="eastAsia"/>
          <w:sz w:val="32"/>
          <w:szCs w:val="32"/>
        </w:rPr>
        <w:t>[2021]1-1257号国家赔偿金13.52万元，</w:t>
      </w:r>
      <w:r w:rsidRPr="00085959">
        <w:rPr>
          <w:rFonts w:ascii="仿宋_GB2312" w:eastAsia="仿宋_GB2312" w:cs="DengXian-Regular" w:hint="eastAsia"/>
          <w:sz w:val="32"/>
          <w:szCs w:val="32"/>
        </w:rPr>
        <w:t>区检察院</w:t>
      </w:r>
      <w:r w:rsidR="00327DD8" w:rsidRPr="00085959">
        <w:rPr>
          <w:rFonts w:ascii="仿宋_GB2312" w:eastAsia="仿宋_GB2312" w:cs="DengXian-Regular" w:hint="eastAsia"/>
          <w:sz w:val="32"/>
          <w:szCs w:val="32"/>
        </w:rPr>
        <w:t>2021</w:t>
      </w:r>
      <w:r w:rsidRPr="00085959">
        <w:rPr>
          <w:rFonts w:ascii="仿宋_GB2312" w:eastAsia="仿宋_GB2312" w:cs="DengXian-Regular" w:hint="eastAsia"/>
          <w:sz w:val="32"/>
          <w:szCs w:val="32"/>
        </w:rPr>
        <w:t>年度预算支出的追加数合计</w:t>
      </w:r>
      <w:r w:rsidR="00D1631F" w:rsidRPr="00085959">
        <w:rPr>
          <w:rFonts w:ascii="仿宋_GB2312" w:eastAsia="仿宋_GB2312" w:cs="DengXian-Regular" w:hint="eastAsia"/>
          <w:sz w:val="32"/>
          <w:szCs w:val="32"/>
        </w:rPr>
        <w:t>31.4</w:t>
      </w:r>
      <w:r w:rsidRPr="00085959">
        <w:rPr>
          <w:rFonts w:ascii="仿宋_GB2312" w:eastAsia="仿宋_GB2312" w:cs="DengXian-Regular" w:hint="eastAsia"/>
          <w:sz w:val="32"/>
          <w:szCs w:val="32"/>
        </w:rPr>
        <w:t>万元，年初预算数为</w:t>
      </w:r>
      <w:r w:rsidR="00D1631F" w:rsidRPr="00085959">
        <w:rPr>
          <w:rFonts w:ascii="仿宋_GB2312" w:eastAsia="仿宋_GB2312" w:cs="DengXian-Regular" w:hint="eastAsia"/>
          <w:sz w:val="32"/>
          <w:szCs w:val="32"/>
        </w:rPr>
        <w:t>1229.55</w:t>
      </w:r>
      <w:r w:rsidRPr="00085959">
        <w:rPr>
          <w:rFonts w:ascii="仿宋_GB2312" w:eastAsia="仿宋_GB2312" w:cs="DengXian-Regular" w:hint="eastAsia"/>
          <w:sz w:val="32"/>
          <w:szCs w:val="32"/>
        </w:rPr>
        <w:t>万元，</w:t>
      </w:r>
      <w:r w:rsidR="00F4291B" w:rsidRPr="00085959">
        <w:rPr>
          <w:rFonts w:ascii="仿宋_GB2312" w:eastAsia="仿宋_GB2312" w:cs="DengXian-Regular" w:hint="eastAsia"/>
          <w:sz w:val="32"/>
          <w:szCs w:val="32"/>
        </w:rPr>
        <w:t>预算调整增加</w:t>
      </w:r>
      <w:r w:rsidR="00D1631F" w:rsidRPr="00085959">
        <w:rPr>
          <w:rFonts w:ascii="仿宋_GB2312" w:eastAsia="仿宋_GB2312" w:cs="DengXian-Regular" w:hint="eastAsia"/>
          <w:sz w:val="32"/>
          <w:szCs w:val="32"/>
        </w:rPr>
        <w:t>2.55</w:t>
      </w:r>
      <w:r w:rsidR="00F4291B" w:rsidRPr="00085959">
        <w:rPr>
          <w:rFonts w:ascii="仿宋_GB2312" w:eastAsia="仿宋_GB2312" w:cs="DengXian-Regular" w:hint="eastAsia"/>
          <w:sz w:val="32"/>
          <w:szCs w:val="32"/>
        </w:rPr>
        <w:t>个百分点，扣</w:t>
      </w:r>
      <w:r w:rsidR="00D1631F" w:rsidRPr="00085959">
        <w:rPr>
          <w:rFonts w:ascii="仿宋_GB2312" w:eastAsia="仿宋_GB2312" w:cs="DengXian-Regular" w:hint="eastAsia"/>
          <w:sz w:val="32"/>
          <w:szCs w:val="32"/>
        </w:rPr>
        <w:t>0.5</w:t>
      </w:r>
      <w:r w:rsidR="00F4291B" w:rsidRPr="00085959">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sidRPr="00085959">
        <w:rPr>
          <w:rFonts w:ascii="仿宋_GB2312" w:eastAsia="仿宋_GB2312" w:cs="DengXian-Regular" w:hint="eastAsia"/>
          <w:sz w:val="32"/>
          <w:szCs w:val="32"/>
        </w:rPr>
        <w:t>该指标实际得分</w:t>
      </w:r>
      <w:r w:rsidR="00D1631F" w:rsidRPr="00085959">
        <w:rPr>
          <w:rFonts w:ascii="仿宋_GB2312" w:eastAsia="仿宋_GB2312" w:cs="DengXian-Regular" w:hint="eastAsia"/>
          <w:sz w:val="32"/>
          <w:szCs w:val="32"/>
        </w:rPr>
        <w:t>1.5</w:t>
      </w:r>
      <w:r w:rsidRPr="00085959">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（4）财政拨款支出完成率（4分）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该指标主要评价部门财政拨款的支出进度，通过财政拨款支出完成率来衡量。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财政拨款支出完成率=（部门决算财政拨款支出/部门决算财政拨款收入）*100%。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444B10">
        <w:rPr>
          <w:rFonts w:ascii="仿宋_GB2312" w:eastAsia="仿宋_GB2312" w:cs="DengXian-Regular" w:hint="eastAsia"/>
          <w:sz w:val="32"/>
          <w:szCs w:val="32"/>
        </w:rPr>
        <w:t>检察院</w:t>
      </w:r>
      <w:r>
        <w:rPr>
          <w:rFonts w:ascii="仿宋_GB2312" w:eastAsia="仿宋_GB2312" w:cs="DengXian-Regular" w:hint="eastAsia"/>
          <w:sz w:val="32"/>
          <w:szCs w:val="32"/>
        </w:rPr>
        <w:t>提供的202</w:t>
      </w:r>
      <w:r>
        <w:rPr>
          <w:rFonts w:ascii="仿宋_GB2312" w:eastAsia="仿宋_GB2312" w:cs="DengXian-Regular"/>
          <w:sz w:val="32"/>
          <w:szCs w:val="32"/>
        </w:rPr>
        <w:t>1</w:t>
      </w:r>
      <w:r>
        <w:rPr>
          <w:rFonts w:ascii="仿宋_GB2312" w:eastAsia="仿宋_GB2312" w:cs="DengXian-Regular" w:hint="eastAsia"/>
          <w:sz w:val="32"/>
          <w:szCs w:val="32"/>
        </w:rPr>
        <w:t>年决算文本，部门决算财政拨款支出数</w:t>
      </w:r>
      <w:r w:rsidR="00444B10">
        <w:rPr>
          <w:rFonts w:ascii="仿宋_GB2312" w:eastAsia="仿宋_GB2312" w:cs="DengXian-Regular" w:hint="eastAsia"/>
          <w:sz w:val="32"/>
          <w:szCs w:val="32"/>
        </w:rPr>
        <w:t>1473.06</w:t>
      </w:r>
      <w:r>
        <w:rPr>
          <w:rFonts w:ascii="仿宋_GB2312" w:eastAsia="仿宋_GB2312" w:cs="DengXian-Regular" w:hint="eastAsia"/>
          <w:sz w:val="32"/>
          <w:szCs w:val="32"/>
        </w:rPr>
        <w:t>万元，财政拨款收入数</w:t>
      </w:r>
      <w:r w:rsidR="00444B10">
        <w:rPr>
          <w:rFonts w:ascii="仿宋_GB2312" w:eastAsia="仿宋_GB2312" w:cs="DengXian-Regular" w:hint="eastAsia"/>
          <w:sz w:val="32"/>
          <w:szCs w:val="32"/>
        </w:rPr>
        <w:t>1260.87</w:t>
      </w:r>
      <w:r>
        <w:rPr>
          <w:rFonts w:ascii="仿宋_GB2312" w:eastAsia="仿宋_GB2312" w:cs="DengXian-Regular" w:hint="eastAsia"/>
          <w:sz w:val="32"/>
          <w:szCs w:val="32"/>
        </w:rPr>
        <w:t>万元，财政拨款支出率=（财政拨款支出数/财政拨款收入数）*100%=</w:t>
      </w:r>
      <w:r w:rsidR="00444B10">
        <w:rPr>
          <w:rFonts w:ascii="仿宋_GB2312" w:eastAsia="仿宋_GB2312" w:cs="DengXian-Regular" w:hint="eastAsia"/>
          <w:sz w:val="32"/>
          <w:szCs w:val="32"/>
        </w:rPr>
        <w:t>116</w:t>
      </w:r>
      <w:r>
        <w:rPr>
          <w:rFonts w:ascii="仿宋_GB2312" w:eastAsia="仿宋_GB2312" w:cs="DengXian-Regular" w:hint="eastAsia"/>
          <w:sz w:val="32"/>
          <w:szCs w:val="32"/>
        </w:rPr>
        <w:t>%</w:t>
      </w:r>
      <w:r>
        <w:rPr>
          <w:rFonts w:ascii="Arial" w:eastAsia="仿宋_GB2312" w:hAnsi="Arial" w:cs="Arial"/>
          <w:sz w:val="32"/>
          <w:szCs w:val="32"/>
        </w:rPr>
        <w:t>≥</w:t>
      </w:r>
      <w:r>
        <w:rPr>
          <w:rFonts w:ascii="仿宋_GB2312" w:eastAsia="仿宋_GB2312" w:cs="DengXian-Regular" w:hint="eastAsia"/>
          <w:sz w:val="32"/>
          <w:szCs w:val="32"/>
        </w:rPr>
        <w:t>90%。区</w:t>
      </w:r>
      <w:r w:rsidR="00444B10">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年年初结转和结余</w:t>
      </w:r>
      <w:r w:rsidR="00444B10">
        <w:rPr>
          <w:rFonts w:ascii="仿宋_GB2312" w:eastAsia="仿宋_GB2312" w:cs="DengXian-Regular" w:hint="eastAsia"/>
          <w:sz w:val="32"/>
          <w:szCs w:val="32"/>
        </w:rPr>
        <w:t>212.19</w:t>
      </w:r>
      <w:r>
        <w:rPr>
          <w:rFonts w:ascii="仿宋_GB2312" w:eastAsia="仿宋_GB2312" w:cs="DengXian-Regular" w:hint="eastAsia"/>
          <w:sz w:val="32"/>
          <w:szCs w:val="32"/>
        </w:rPr>
        <w:t>万元，故支出数大于收入数。</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2E3BEE">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（5）“三公”经费控制率（3分）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该指标主要评价“三公”经费是否得到有效控制，通过“三公”经费控制率来衡量。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“三公”经费控制率=（实际支出数/预算数）*100%。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年预算文本及决算文本，“三公”经费年初预算数</w:t>
      </w:r>
      <w:r w:rsidR="002E3BEE">
        <w:rPr>
          <w:rFonts w:ascii="仿宋_GB2312" w:eastAsia="仿宋_GB2312" w:cs="DengXian-Regular" w:hint="eastAsia"/>
          <w:sz w:val="32"/>
          <w:szCs w:val="32"/>
        </w:rPr>
        <w:t>41</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2E3BEE">
        <w:rPr>
          <w:rFonts w:ascii="仿宋_GB2312" w:eastAsia="仿宋_GB2312" w:cs="DengXian-Regular" w:hint="eastAsia"/>
          <w:sz w:val="32"/>
          <w:szCs w:val="32"/>
        </w:rPr>
        <w:t>19.15</w:t>
      </w:r>
      <w:r>
        <w:rPr>
          <w:rFonts w:ascii="仿宋_GB2312" w:eastAsia="仿宋_GB2312" w:cs="DengXian-Regular" w:hint="eastAsia"/>
          <w:sz w:val="32"/>
          <w:szCs w:val="32"/>
        </w:rPr>
        <w:t>万元，“三公”经费控制率=（年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算数/年初预算数）*100%=</w:t>
      </w:r>
      <w:r w:rsidR="002E3BEE">
        <w:rPr>
          <w:rFonts w:ascii="仿宋_GB2312" w:eastAsia="仿宋_GB2312" w:cs="DengXian-Regular" w:hint="eastAsia"/>
          <w:sz w:val="32"/>
          <w:szCs w:val="32"/>
        </w:rPr>
        <w:t>47</w:t>
      </w:r>
      <w:r>
        <w:rPr>
          <w:rFonts w:ascii="仿宋_GB2312" w:eastAsia="仿宋_GB2312" w:cs="DengXian-Regular" w:hint="eastAsia"/>
          <w:sz w:val="32"/>
          <w:szCs w:val="32"/>
        </w:rPr>
        <w:t>%</w:t>
      </w:r>
      <w:r>
        <w:rPr>
          <w:rFonts w:ascii="Arial" w:eastAsia="仿宋_GB2312" w:hAnsi="Arial" w:cs="Arial"/>
          <w:sz w:val="32"/>
          <w:szCs w:val="32"/>
        </w:rPr>
        <w:t>≤</w:t>
      </w:r>
      <w:r>
        <w:rPr>
          <w:rFonts w:ascii="仿宋_GB2312" w:eastAsia="仿宋_GB2312" w:cs="DengXian-Regular" w:hint="eastAsia"/>
          <w:sz w:val="32"/>
          <w:szCs w:val="32"/>
        </w:rPr>
        <w:t>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2E3BEE">
        <w:rPr>
          <w:rFonts w:ascii="仿宋_GB2312" w:eastAsia="仿宋_GB2312" w:cs="DengXian-Regular" w:hint="eastAsia"/>
          <w:sz w:val="32"/>
          <w:szCs w:val="32"/>
        </w:rPr>
        <w:t>3</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（6）政府采购执行率（3分）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该指标主要评价部门是否有效执行政府采购政策，通过政府采购执行率来衡量。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政府采购执行率=（实际政府采购金额/政府采购预算金额）*100%。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年预算文本及决算文本，政府采购年初预算数</w:t>
      </w:r>
      <w:r w:rsidR="002E3BEE">
        <w:rPr>
          <w:rFonts w:ascii="仿宋_GB2312" w:eastAsia="仿宋_GB2312" w:cs="DengXian-Regular" w:hint="eastAsia"/>
          <w:sz w:val="32"/>
          <w:szCs w:val="32"/>
        </w:rPr>
        <w:t>0</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2E3BEE">
        <w:rPr>
          <w:rFonts w:ascii="仿宋_GB2312" w:eastAsia="仿宋_GB2312" w:cs="DengXian-Regular" w:hint="eastAsia"/>
          <w:sz w:val="32"/>
          <w:szCs w:val="32"/>
        </w:rPr>
        <w:t>15.89</w:t>
      </w:r>
      <w:r>
        <w:rPr>
          <w:rFonts w:ascii="仿宋_GB2312" w:eastAsia="仿宋_GB2312" w:cs="DengXian-Regular" w:hint="eastAsia"/>
          <w:sz w:val="32"/>
          <w:szCs w:val="32"/>
        </w:rPr>
        <w:t>万元，政府采购执行率为</w:t>
      </w:r>
      <w:r w:rsidR="002E3BEE">
        <w:rPr>
          <w:rFonts w:ascii="仿宋_GB2312" w:eastAsia="仿宋_GB2312" w:cs="DengXian-Regular" w:hint="eastAsia"/>
          <w:sz w:val="32"/>
          <w:szCs w:val="32"/>
        </w:rPr>
        <w:t>100%</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该指标实际得分为</w:t>
      </w:r>
      <w:r w:rsidR="002E3BEE">
        <w:rPr>
          <w:rFonts w:ascii="仿宋_GB2312" w:eastAsia="仿宋_GB2312" w:cs="DengXian-Regular" w:hint="eastAsia"/>
          <w:sz w:val="32"/>
          <w:szCs w:val="32"/>
        </w:rPr>
        <w:t>3</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性（3分）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该指标主要评价资金使用是否按照相关法律法规和资金管理办法规定的用途使用，财务管理是否符合相关会计准则和财务制度。</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2E3BEE">
        <w:rPr>
          <w:rFonts w:ascii="仿宋_GB2312" w:eastAsia="仿宋_GB2312" w:cs="DengXian-Regular" w:hint="eastAsia"/>
          <w:sz w:val="32"/>
          <w:szCs w:val="32"/>
        </w:rPr>
        <w:t xml:space="preserve">检察院 </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年明细账、会计凭证等相关资料，区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资金使用符合相关会计准则和财务制度，资金拨付有完备的审批程序和手续，资金使用符合部门预算批复的用途，未发现截留、挤占、挪用财政资金的情况。</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2E3BEE">
        <w:rPr>
          <w:rFonts w:ascii="仿宋_GB2312" w:eastAsia="仿宋_GB2312" w:cs="DengXian-Regular" w:hint="eastAsia"/>
          <w:sz w:val="32"/>
          <w:szCs w:val="32"/>
        </w:rPr>
        <w:t>3</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（8）决算真实性（3分）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该指标主要评价决算编制数据是否与账表一致，即决算报表数据与会计账簿数据是否一致。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w:t>
      </w:r>
      <w:proofErr w:type="gramStart"/>
      <w:r>
        <w:rPr>
          <w:rFonts w:ascii="仿宋_GB2312" w:eastAsia="仿宋_GB2312" w:cs="DengXian-Regular" w:hint="eastAsia"/>
          <w:sz w:val="32"/>
          <w:szCs w:val="32"/>
        </w:rPr>
        <w:t>核查区</w:t>
      </w:r>
      <w:proofErr w:type="gramEnd"/>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年决算文本、明细账及总账，区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决算文本数据均与明细账、总账一致。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该指标实际得分</w:t>
      </w:r>
      <w:r w:rsidR="003B42A4">
        <w:rPr>
          <w:rFonts w:ascii="仿宋_GB2312" w:eastAsia="仿宋_GB2312" w:cs="DengXian-Regular" w:hint="eastAsia"/>
          <w:sz w:val="32"/>
          <w:szCs w:val="32"/>
        </w:rPr>
        <w:t>3</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2.预算管理（16分）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（1）管理制度健全性（4分）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该指标主要评价部门是否制定资金管理办法、财务管理制度、会计核算制度等相关内部控制制度，制度执行是否得到有效执行。</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工作制度涵盖了财务制度、网络安全制度、公务用车制度等相关制度，经检查区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付款流程审批单、资产盘点表等资料，区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已按照相关管理制度的规定执行。</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3B42A4">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（2）预决算信息公开性（4分）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该指标主要评价部门是否按照政府信息公开的有关要求在相关网站公开部门预算、预算执行情况、年度工作任务等相关信息。</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年按政府信息公开的有关要求在保定市徐水区人民政府</w:t>
      </w:r>
      <w:proofErr w:type="gramStart"/>
      <w:r>
        <w:rPr>
          <w:rFonts w:ascii="仿宋_GB2312" w:eastAsia="仿宋_GB2312" w:cs="DengXian-Regular" w:hint="eastAsia"/>
          <w:sz w:val="32"/>
          <w:szCs w:val="32"/>
        </w:rPr>
        <w:t>网公开</w:t>
      </w:r>
      <w:proofErr w:type="gramEnd"/>
      <w:r>
        <w:rPr>
          <w:rFonts w:ascii="仿宋_GB2312" w:eastAsia="仿宋_GB2312" w:cs="DengXian-Regular" w:hint="eastAsia"/>
          <w:sz w:val="32"/>
          <w:szCs w:val="32"/>
        </w:rPr>
        <w:t>了202</w:t>
      </w:r>
      <w:r>
        <w:rPr>
          <w:rFonts w:ascii="仿宋_GB2312" w:eastAsia="仿宋_GB2312" w:cs="DengXian-Regular"/>
          <w:sz w:val="32"/>
          <w:szCs w:val="32"/>
        </w:rPr>
        <w:t>1</w:t>
      </w:r>
      <w:r>
        <w:rPr>
          <w:rFonts w:ascii="仿宋_GB2312" w:eastAsia="仿宋_GB2312" w:cs="DengXian-Regular" w:hint="eastAsia"/>
          <w:sz w:val="32"/>
          <w:szCs w:val="32"/>
        </w:rPr>
        <w:t>年的预决算情况、部门责任清单、行政监督清单等相关信息。</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3B42A4">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（3）基础信息完善性（4分）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该指标主要评价基础数据信息和财务信息资料是否真实、完整。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提供的会计账簿、凭证及其他相关资料，区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会计信息资料真实完整，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3B42A4">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（4）资产管理规范性（4分）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该指标主要评价资产管理是否规范，是否建立</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账，新增资产是否符合规定程序和规定标准，资产的配置是否合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，资产保存是否完整。</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建立了固定资产台账、无形</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账，资产保存完整，202</w:t>
      </w:r>
      <w:r>
        <w:rPr>
          <w:rFonts w:ascii="仿宋_GB2312" w:eastAsia="仿宋_GB2312" w:cs="DengXian-Regular"/>
          <w:sz w:val="32"/>
          <w:szCs w:val="32"/>
        </w:rPr>
        <w:t>1</w:t>
      </w:r>
      <w:r>
        <w:rPr>
          <w:rFonts w:ascii="仿宋_GB2312" w:eastAsia="仿宋_GB2312" w:cs="DengXian-Regular" w:hint="eastAsia"/>
          <w:sz w:val="32"/>
          <w:szCs w:val="32"/>
        </w:rPr>
        <w:t>年新增资产</w:t>
      </w:r>
      <w:r w:rsidR="00B1345F">
        <w:rPr>
          <w:rFonts w:ascii="仿宋_GB2312" w:eastAsia="仿宋_GB2312" w:cs="DengXian-Regular" w:hint="eastAsia"/>
          <w:sz w:val="32"/>
          <w:szCs w:val="32"/>
        </w:rPr>
        <w:t>210.9</w:t>
      </w:r>
      <w:r w:rsidR="00D80DCC">
        <w:rPr>
          <w:rFonts w:ascii="仿宋_GB2312" w:eastAsia="仿宋_GB2312" w:cs="DengXian-Regular" w:hint="eastAsia"/>
          <w:sz w:val="32"/>
          <w:szCs w:val="32"/>
        </w:rPr>
        <w:t>5</w:t>
      </w:r>
      <w:r>
        <w:rPr>
          <w:rFonts w:ascii="仿宋_GB2312" w:eastAsia="仿宋_GB2312" w:cs="DengXian-Regular" w:hint="eastAsia"/>
          <w:sz w:val="32"/>
          <w:szCs w:val="32"/>
        </w:rPr>
        <w:t>万元，包含：</w:t>
      </w:r>
      <w:r w:rsidR="00B1345F">
        <w:rPr>
          <w:rFonts w:ascii="仿宋_GB2312" w:eastAsia="仿宋_GB2312" w:cs="DengXian-Regular" w:hint="eastAsia"/>
          <w:sz w:val="32"/>
          <w:szCs w:val="32"/>
        </w:rPr>
        <w:t>购置桌面云设备</w:t>
      </w:r>
      <w:r>
        <w:rPr>
          <w:rFonts w:ascii="仿宋_GB2312" w:eastAsia="仿宋_GB2312" w:cs="DengXian-Regular" w:hint="eastAsia"/>
          <w:sz w:val="32"/>
          <w:szCs w:val="32"/>
        </w:rPr>
        <w:t>（</w:t>
      </w:r>
      <w:r w:rsidR="00B1345F">
        <w:rPr>
          <w:rFonts w:ascii="仿宋_GB2312" w:eastAsia="仿宋_GB2312" w:cs="DengXian-Regular" w:hint="eastAsia"/>
          <w:sz w:val="32"/>
          <w:szCs w:val="32"/>
        </w:rPr>
        <w:t>22.3</w:t>
      </w:r>
      <w:r>
        <w:rPr>
          <w:rFonts w:ascii="仿宋_GB2312" w:eastAsia="仿宋_GB2312" w:cs="DengXian-Regular" w:hint="eastAsia"/>
          <w:sz w:val="32"/>
          <w:szCs w:val="32"/>
        </w:rPr>
        <w:t>万元）、</w:t>
      </w:r>
      <w:r w:rsidR="00B1345F">
        <w:rPr>
          <w:rFonts w:ascii="仿宋_GB2312" w:eastAsia="仿宋_GB2312" w:cs="DengXian-Regular" w:hint="eastAsia"/>
          <w:sz w:val="32"/>
          <w:szCs w:val="32"/>
        </w:rPr>
        <w:t>检察工作网等级保护</w:t>
      </w:r>
      <w:r w:rsidR="005942AA">
        <w:rPr>
          <w:rFonts w:ascii="仿宋_GB2312" w:eastAsia="仿宋_GB2312" w:cs="DengXian-Regular" w:hint="eastAsia"/>
          <w:sz w:val="32"/>
          <w:szCs w:val="32"/>
        </w:rPr>
        <w:t>系统及配套</w:t>
      </w:r>
      <w:r>
        <w:rPr>
          <w:rFonts w:ascii="仿宋_GB2312" w:eastAsia="仿宋_GB2312" w:cs="DengXian-Regular" w:hint="eastAsia"/>
          <w:sz w:val="32"/>
          <w:szCs w:val="32"/>
        </w:rPr>
        <w:t>设备（</w:t>
      </w:r>
      <w:r w:rsidR="00B1345F">
        <w:rPr>
          <w:rFonts w:ascii="仿宋_GB2312" w:eastAsia="仿宋_GB2312" w:cs="DengXian-Regular" w:hint="eastAsia"/>
          <w:sz w:val="32"/>
          <w:szCs w:val="32"/>
        </w:rPr>
        <w:t>55.66</w:t>
      </w:r>
      <w:r>
        <w:rPr>
          <w:rFonts w:ascii="仿宋_GB2312" w:eastAsia="仿宋_GB2312" w:cs="DengXian-Regular" w:hint="eastAsia"/>
          <w:sz w:val="32"/>
          <w:szCs w:val="32"/>
        </w:rPr>
        <w:t>万元）、</w:t>
      </w:r>
      <w:r w:rsidR="00B1345F">
        <w:rPr>
          <w:rFonts w:ascii="仿宋_GB2312" w:eastAsia="仿宋_GB2312" w:cs="DengXian-Regular" w:hint="eastAsia"/>
          <w:sz w:val="32"/>
          <w:szCs w:val="32"/>
        </w:rPr>
        <w:t>公益诉讼取证设备</w:t>
      </w:r>
      <w:r>
        <w:rPr>
          <w:rFonts w:ascii="仿宋_GB2312" w:eastAsia="仿宋_GB2312" w:cs="DengXian-Regular" w:hint="eastAsia"/>
          <w:sz w:val="32"/>
          <w:szCs w:val="32"/>
        </w:rPr>
        <w:t>（</w:t>
      </w:r>
      <w:r w:rsidR="00B1345F">
        <w:rPr>
          <w:rFonts w:ascii="仿宋_GB2312" w:eastAsia="仿宋_GB2312" w:cs="DengXian-Regular" w:hint="eastAsia"/>
          <w:sz w:val="32"/>
          <w:szCs w:val="32"/>
        </w:rPr>
        <w:t>24.4</w:t>
      </w:r>
      <w:r>
        <w:rPr>
          <w:rFonts w:ascii="仿宋_GB2312" w:eastAsia="仿宋_GB2312" w:cs="DengXian-Regular" w:hint="eastAsia"/>
          <w:sz w:val="32"/>
          <w:szCs w:val="32"/>
        </w:rPr>
        <w:t>万元）</w:t>
      </w:r>
      <w:r w:rsidR="00B1345F">
        <w:rPr>
          <w:rFonts w:ascii="仿宋_GB2312" w:eastAsia="仿宋_GB2312" w:cs="DengXian-Regular" w:hint="eastAsia"/>
          <w:sz w:val="32"/>
          <w:szCs w:val="32"/>
        </w:rPr>
        <w:t>、</w:t>
      </w:r>
      <w:proofErr w:type="gramStart"/>
      <w:r w:rsidR="00B1345F">
        <w:rPr>
          <w:rFonts w:ascii="仿宋_GB2312" w:eastAsia="仿宋_GB2312" w:cs="DengXian-Regular" w:hint="eastAsia"/>
          <w:sz w:val="32"/>
          <w:szCs w:val="32"/>
        </w:rPr>
        <w:t>听证室</w:t>
      </w:r>
      <w:r w:rsidR="005942AA">
        <w:rPr>
          <w:rFonts w:ascii="仿宋_GB2312" w:eastAsia="仿宋_GB2312" w:cs="DengXian-Regular" w:hint="eastAsia"/>
          <w:sz w:val="32"/>
          <w:szCs w:val="32"/>
        </w:rPr>
        <w:t>配套</w:t>
      </w:r>
      <w:proofErr w:type="gramEnd"/>
      <w:r w:rsidR="00B1345F">
        <w:rPr>
          <w:rFonts w:ascii="仿宋_GB2312" w:eastAsia="仿宋_GB2312" w:cs="DengXian-Regular" w:hint="eastAsia"/>
          <w:sz w:val="32"/>
          <w:szCs w:val="32"/>
        </w:rPr>
        <w:t>设备（60.98万元）、业务档案室设备等（47.6</w:t>
      </w:r>
      <w:r w:rsidR="00D80DCC">
        <w:rPr>
          <w:rFonts w:ascii="仿宋_GB2312" w:eastAsia="仿宋_GB2312" w:cs="DengXian-Regular" w:hint="eastAsia"/>
          <w:sz w:val="32"/>
          <w:szCs w:val="32"/>
        </w:rPr>
        <w:t>1</w:t>
      </w:r>
      <w:r w:rsidR="00B1345F">
        <w:rPr>
          <w:rFonts w:ascii="仿宋_GB2312" w:eastAsia="仿宋_GB2312" w:cs="DengXian-Regular" w:hint="eastAsia"/>
          <w:sz w:val="32"/>
          <w:szCs w:val="32"/>
        </w:rPr>
        <w:t>万元）</w:t>
      </w:r>
      <w:r>
        <w:rPr>
          <w:rFonts w:ascii="仿宋_GB2312" w:eastAsia="仿宋_GB2312" w:cs="DengXian-Regular" w:hint="eastAsia"/>
          <w:sz w:val="32"/>
          <w:szCs w:val="32"/>
        </w:rPr>
        <w:t>，资产购置手续完备，配置符合要求，资产管理整体较规范。</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044377">
        <w:rPr>
          <w:rFonts w:ascii="仿宋_GB2312" w:eastAsia="仿宋_GB2312" w:cs="DengXian-Regular" w:hint="eastAsia"/>
          <w:sz w:val="32"/>
          <w:szCs w:val="32"/>
        </w:rPr>
        <w:t>3</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3.绩效评价（8分）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（1）绩效自评覆盖率（4分）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该指标主要评价部门是否按相关要求实施绩效自评，通过绩效自评覆盖率来衡量。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绩效自评覆盖率=（报送相关自评材料的数量/应实施项目绩效自评数量）*100%。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根据徐水区财政局《关于开展202</w:t>
      </w:r>
      <w:r>
        <w:rPr>
          <w:rFonts w:ascii="仿宋_GB2312" w:eastAsia="仿宋_GB2312" w:cs="DengXian-Regular"/>
          <w:sz w:val="32"/>
          <w:szCs w:val="32"/>
        </w:rPr>
        <w:t>1</w:t>
      </w:r>
      <w:r>
        <w:rPr>
          <w:rFonts w:ascii="仿宋_GB2312" w:eastAsia="仿宋_GB2312" w:cs="DengXian-Regular" w:hint="eastAsia"/>
          <w:sz w:val="32"/>
          <w:szCs w:val="32"/>
        </w:rPr>
        <w:t>年度财政专项资金部门绩效自评价工作的通知》及徐水区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年一般项目部门绩效自评表，区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年开展绩效自评的项目数为</w:t>
      </w:r>
      <w:r w:rsidR="00B16701">
        <w:rPr>
          <w:rFonts w:ascii="仿宋_GB2312" w:eastAsia="仿宋_GB2312" w:cs="DengXian-Regular" w:hint="eastAsia"/>
          <w:sz w:val="32"/>
          <w:szCs w:val="32"/>
        </w:rPr>
        <w:t>9</w:t>
      </w:r>
      <w:r>
        <w:rPr>
          <w:rFonts w:ascii="仿宋_GB2312" w:eastAsia="仿宋_GB2312" w:cs="DengXian-Regular" w:hint="eastAsia"/>
          <w:sz w:val="32"/>
          <w:szCs w:val="32"/>
        </w:rPr>
        <w:t>个，年初预算文本项目数</w:t>
      </w:r>
      <w:r w:rsidR="00B16701">
        <w:rPr>
          <w:rFonts w:ascii="仿宋_GB2312" w:eastAsia="仿宋_GB2312" w:cs="DengXian-Regular" w:hint="eastAsia"/>
          <w:sz w:val="32"/>
          <w:szCs w:val="32"/>
        </w:rPr>
        <w:t>5</w:t>
      </w:r>
      <w:r>
        <w:rPr>
          <w:rFonts w:ascii="仿宋_GB2312" w:eastAsia="仿宋_GB2312" w:cs="DengXian-Regular" w:hint="eastAsia"/>
          <w:sz w:val="32"/>
          <w:szCs w:val="32"/>
        </w:rPr>
        <w:t>个，要求自评项目个数</w:t>
      </w:r>
      <w:r w:rsidR="00B16701">
        <w:rPr>
          <w:rFonts w:ascii="仿宋_GB2312" w:eastAsia="仿宋_GB2312" w:cs="DengXian-Regular" w:hint="eastAsia"/>
          <w:sz w:val="32"/>
          <w:szCs w:val="32"/>
        </w:rPr>
        <w:t>9</w:t>
      </w:r>
      <w:r>
        <w:rPr>
          <w:rFonts w:ascii="仿宋_GB2312" w:eastAsia="仿宋_GB2312" w:cs="DengXian-Regular" w:hint="eastAsia"/>
          <w:sz w:val="32"/>
          <w:szCs w:val="32"/>
        </w:rPr>
        <w:t xml:space="preserve">个，自评覆盖率为 </w:t>
      </w:r>
      <w:r w:rsidR="00B16701">
        <w:rPr>
          <w:rFonts w:ascii="仿宋_GB2312" w:eastAsia="仿宋_GB2312" w:cs="DengXian-Regular" w:hint="eastAsia"/>
          <w:sz w:val="32"/>
          <w:szCs w:val="32"/>
        </w:rPr>
        <w:t>100</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B16701">
        <w:rPr>
          <w:rFonts w:ascii="仿宋_GB2312" w:eastAsia="仿宋_GB2312" w:cs="DengXian-Regular" w:hint="eastAsia"/>
          <w:sz w:val="32"/>
          <w:szCs w:val="32"/>
        </w:rPr>
        <w:t>4</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（2）绩效评价优等率（4分）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该指标主要评价部门开展的绩效评价项目的完成质量，通过绩效评价优等率来衡量。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绩效评价优等率=（结果达到优等的数量/参评数量）*100%。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年参评数量</w:t>
      </w:r>
      <w:r w:rsidR="00B16701">
        <w:rPr>
          <w:rFonts w:ascii="仿宋_GB2312" w:eastAsia="仿宋_GB2312" w:cs="DengXian-Regular" w:hint="eastAsia"/>
          <w:sz w:val="32"/>
          <w:szCs w:val="32"/>
        </w:rPr>
        <w:t>9</w:t>
      </w:r>
      <w:r>
        <w:rPr>
          <w:rFonts w:ascii="仿宋_GB2312" w:eastAsia="仿宋_GB2312" w:cs="DengXian-Regular" w:hint="eastAsia"/>
          <w:sz w:val="32"/>
          <w:szCs w:val="32"/>
        </w:rPr>
        <w:t>个，绩效评价结果达到优等的数量</w:t>
      </w:r>
      <w:r w:rsidR="00B16701">
        <w:rPr>
          <w:rFonts w:ascii="仿宋_GB2312" w:eastAsia="仿宋_GB2312" w:cs="DengXian-Regular" w:hint="eastAsia"/>
          <w:sz w:val="32"/>
          <w:szCs w:val="32"/>
        </w:rPr>
        <w:t>9</w:t>
      </w:r>
      <w:r>
        <w:rPr>
          <w:rFonts w:ascii="仿宋_GB2312" w:eastAsia="仿宋_GB2312" w:cs="DengXian-Regular" w:hint="eastAsia"/>
          <w:sz w:val="32"/>
          <w:szCs w:val="32"/>
        </w:rPr>
        <w:t>个，绩效评价优等率为</w:t>
      </w:r>
      <w:r w:rsidR="00B16701">
        <w:rPr>
          <w:rFonts w:ascii="仿宋_GB2312" w:eastAsia="仿宋_GB2312" w:cs="DengXian-Regular" w:hint="eastAsia"/>
          <w:sz w:val="32"/>
          <w:szCs w:val="32"/>
        </w:rPr>
        <w:t>100</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B16701">
        <w:rPr>
          <w:rFonts w:ascii="仿宋_GB2312" w:eastAsia="仿宋_GB2312" w:cs="DengXian-Regular" w:hint="eastAsia"/>
          <w:sz w:val="32"/>
          <w:szCs w:val="32"/>
        </w:rPr>
        <w:t>4</w:t>
      </w:r>
      <w:r>
        <w:rPr>
          <w:rFonts w:ascii="仿宋_GB2312" w:eastAsia="仿宋_GB2312" w:cs="DengXian-Regular" w:hint="eastAsia"/>
          <w:sz w:val="32"/>
          <w:szCs w:val="32"/>
        </w:rPr>
        <w:t>分。</w:t>
      </w:r>
      <w:bookmarkEnd w:id="65"/>
      <w:bookmarkEnd w:id="66"/>
    </w:p>
    <w:p w:rsidR="00E04566" w:rsidRDefault="00F4291B">
      <w:pPr>
        <w:pStyle w:val="3"/>
        <w:spacing w:before="0" w:after="0"/>
        <w:ind w:firstLineChars="200" w:firstLine="643"/>
        <w:jc w:val="both"/>
        <w:rPr>
          <w:rFonts w:ascii="楷体" w:eastAsia="楷体" w:hAnsi="楷体"/>
          <w:sz w:val="32"/>
        </w:rPr>
      </w:pPr>
      <w:bookmarkStart w:id="67" w:name="_Toc12330"/>
      <w:r>
        <w:rPr>
          <w:rFonts w:ascii="楷体" w:eastAsia="楷体" w:hAnsi="楷体" w:hint="eastAsia"/>
          <w:sz w:val="32"/>
        </w:rPr>
        <w:t>（三）产出（25分）</w:t>
      </w:r>
      <w:bookmarkEnd w:id="67"/>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该一级指标包含责任履行一个二级指标，主要反映结转结余率，项目资金使用率，社区矫正人数，社区服刑人员再次犯罪率，法律援助案件办结率。</w:t>
      </w:r>
    </w:p>
    <w:p w:rsidR="00787F15" w:rsidRDefault="00787F15">
      <w:pPr>
        <w:spacing w:after="0" w:line="360" w:lineRule="auto"/>
        <w:jc w:val="center"/>
        <w:textAlignment w:val="baseline"/>
        <w:rPr>
          <w:rFonts w:asciiTheme="minorEastAsia" w:eastAsiaTheme="minorEastAsia" w:hAnsiTheme="minorEastAsia" w:cstheme="minorEastAsia"/>
          <w:b/>
          <w:bCs/>
          <w:sz w:val="32"/>
          <w:szCs w:val="32"/>
        </w:rPr>
      </w:pPr>
    </w:p>
    <w:p w:rsidR="00787F15" w:rsidRDefault="00787F15">
      <w:pPr>
        <w:spacing w:after="0" w:line="360" w:lineRule="auto"/>
        <w:jc w:val="center"/>
        <w:textAlignment w:val="baseline"/>
        <w:rPr>
          <w:rFonts w:asciiTheme="minorEastAsia" w:eastAsiaTheme="minorEastAsia" w:hAnsiTheme="minorEastAsia" w:cstheme="minorEastAsia"/>
          <w:b/>
          <w:bCs/>
          <w:sz w:val="32"/>
          <w:szCs w:val="32"/>
        </w:rPr>
      </w:pPr>
    </w:p>
    <w:p w:rsidR="00787F15" w:rsidRDefault="00787F15">
      <w:pPr>
        <w:spacing w:after="0" w:line="360" w:lineRule="auto"/>
        <w:jc w:val="center"/>
        <w:textAlignment w:val="baseline"/>
        <w:rPr>
          <w:rFonts w:asciiTheme="minorEastAsia" w:eastAsiaTheme="minorEastAsia" w:hAnsiTheme="minorEastAsia" w:cstheme="minorEastAsia"/>
          <w:b/>
          <w:bCs/>
          <w:sz w:val="32"/>
          <w:szCs w:val="32"/>
        </w:rPr>
      </w:pPr>
    </w:p>
    <w:p w:rsidR="00787F15" w:rsidRDefault="00787F15">
      <w:pPr>
        <w:spacing w:after="0" w:line="360" w:lineRule="auto"/>
        <w:jc w:val="center"/>
        <w:textAlignment w:val="baseline"/>
        <w:rPr>
          <w:rFonts w:asciiTheme="minorEastAsia" w:eastAsiaTheme="minorEastAsia" w:hAnsiTheme="minorEastAsia" w:cstheme="minorEastAsia"/>
          <w:b/>
          <w:bCs/>
          <w:sz w:val="32"/>
          <w:szCs w:val="32"/>
        </w:rPr>
      </w:pPr>
    </w:p>
    <w:p w:rsidR="00787F15" w:rsidRDefault="00787F15">
      <w:pPr>
        <w:spacing w:after="0" w:line="360" w:lineRule="auto"/>
        <w:jc w:val="center"/>
        <w:textAlignment w:val="baseline"/>
        <w:rPr>
          <w:rFonts w:asciiTheme="minorEastAsia" w:eastAsiaTheme="minorEastAsia" w:hAnsiTheme="minorEastAsia" w:cstheme="minorEastAsia"/>
          <w:b/>
          <w:bCs/>
          <w:sz w:val="32"/>
          <w:szCs w:val="32"/>
        </w:rPr>
      </w:pPr>
    </w:p>
    <w:p w:rsidR="00E04566" w:rsidRDefault="00F4291B">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表4  产出指标及得分情况表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77"/>
        <w:gridCol w:w="1004"/>
        <w:gridCol w:w="2536"/>
        <w:gridCol w:w="1125"/>
        <w:gridCol w:w="853"/>
      </w:tblGrid>
      <w:tr w:rsidR="00E04566">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E04566">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产出</w:t>
            </w:r>
          </w:p>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（25分）</w:t>
            </w:r>
          </w:p>
        </w:tc>
        <w:tc>
          <w:tcPr>
            <w:tcW w:w="1004" w:type="dxa"/>
            <w:vMerge w:val="restart"/>
            <w:tcBorders>
              <w:top w:val="single" w:sz="4" w:space="0" w:color="000000"/>
              <w:left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sidRPr="009E65FD">
              <w:rPr>
                <w:rFonts w:asciiTheme="minorEastAsia" w:eastAsiaTheme="minorEastAsia" w:hAnsiTheme="minorEastAsia" w:cs="宋体" w:hint="eastAsia"/>
                <w:sz w:val="21"/>
                <w:szCs w:val="21"/>
              </w:rPr>
              <w:t>办理案件数</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sidRPr="009E65FD">
              <w:rPr>
                <w:rFonts w:asciiTheme="minorEastAsia" w:eastAsiaTheme="minorEastAsia" w:hAnsiTheme="minorEastAsia" w:cs="宋体" w:hint="eastAsia"/>
                <w:sz w:val="21"/>
                <w:szCs w:val="21"/>
              </w:rPr>
              <w:t>诉讼期限内审结案件占全</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sidRPr="009E65FD">
              <w:rPr>
                <w:rFonts w:asciiTheme="minorEastAsia" w:eastAsiaTheme="minorEastAsia" w:hAnsiTheme="minorEastAsia" w:cs="宋体" w:hint="eastAsia"/>
                <w:sz w:val="21"/>
                <w:szCs w:val="21"/>
              </w:rPr>
              <w:t>业务装备使用率</w:t>
            </w: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66" w:rsidRDefault="009E65FD">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r>
    </w:tbl>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68" w:name="_Toc465149515"/>
      <w:bookmarkStart w:id="69" w:name="_Toc464638518"/>
      <w:r>
        <w:rPr>
          <w:rFonts w:ascii="仿宋_GB2312" w:eastAsia="仿宋_GB2312" w:cs="DengXian-Regular" w:hint="eastAsia"/>
          <w:sz w:val="32"/>
          <w:szCs w:val="32"/>
        </w:rPr>
        <w:t>1.结转结余率（5分）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该指标主要评价部门的结转结余情况，通过结转结余率衡量。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结转结余率=（本年结转结余数/决算收入数）*100%。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年决算文本及相关资料，区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年结转结余资金</w:t>
      </w:r>
      <w:r w:rsidR="002C2853">
        <w:rPr>
          <w:rFonts w:ascii="仿宋_GB2312" w:eastAsia="仿宋_GB2312" w:cs="DengXian-Regular" w:hint="eastAsia"/>
          <w:sz w:val="32"/>
          <w:szCs w:val="32"/>
        </w:rPr>
        <w:t>0</w:t>
      </w:r>
      <w:r>
        <w:rPr>
          <w:rFonts w:ascii="仿宋_GB2312" w:eastAsia="仿宋_GB2312" w:cs="DengXian-Regular" w:hint="eastAsia"/>
          <w:sz w:val="32"/>
          <w:szCs w:val="32"/>
        </w:rPr>
        <w:t>万元，决算收入</w:t>
      </w:r>
      <w:r w:rsidR="002C2853" w:rsidRPr="002C2853">
        <w:rPr>
          <w:rFonts w:ascii="仿宋_GB2312" w:eastAsia="仿宋_GB2312" w:cs="DengXian-Regular"/>
          <w:sz w:val="32"/>
          <w:szCs w:val="32"/>
        </w:rPr>
        <w:t>1260.95</w:t>
      </w:r>
      <w:r>
        <w:rPr>
          <w:rFonts w:ascii="仿宋_GB2312" w:eastAsia="仿宋_GB2312" w:cs="DengXian-Regular" w:hint="eastAsia"/>
          <w:sz w:val="32"/>
          <w:szCs w:val="32"/>
        </w:rPr>
        <w:t>万元，结转结余率</w:t>
      </w:r>
      <w:r w:rsidR="002C2853">
        <w:rPr>
          <w:rFonts w:ascii="仿宋_GB2312" w:eastAsia="仿宋_GB2312" w:cs="DengXian-Regular" w:hint="eastAsia"/>
          <w:sz w:val="32"/>
          <w:szCs w:val="32"/>
        </w:rPr>
        <w:t>0</w:t>
      </w:r>
      <w:r>
        <w:rPr>
          <w:rFonts w:ascii="仿宋_GB2312" w:eastAsia="仿宋_GB2312" w:cs="DengXian-Regular" w:hint="eastAsia"/>
          <w:sz w:val="32"/>
          <w:szCs w:val="32"/>
        </w:rPr>
        <w:t>%，小于5%。</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2C2853">
        <w:rPr>
          <w:rFonts w:ascii="仿宋_GB2312" w:eastAsia="仿宋_GB2312" w:cs="DengXian-Regular" w:hint="eastAsia"/>
          <w:sz w:val="32"/>
          <w:szCs w:val="32"/>
        </w:rPr>
        <w:t>5</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2.项目资金使用率（5分）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该指标主要评价项目资金的使用效率，通过项目资金使用率来衡量。</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项目资金使用率=（实际支出项目资金总额/计划完整项目资金总数）*100%。</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区</w:t>
      </w:r>
      <w:r w:rsidR="002E3BEE">
        <w:rPr>
          <w:rFonts w:ascii="仿宋_GB2312" w:eastAsia="仿宋_GB2312" w:cs="DengXian-Regular" w:hint="eastAsia"/>
          <w:sz w:val="32"/>
          <w:szCs w:val="32"/>
        </w:rPr>
        <w:t>检察院</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年实际支出项目资金总额</w:t>
      </w:r>
      <w:r w:rsidR="00E01238">
        <w:rPr>
          <w:rFonts w:ascii="仿宋_GB2312" w:eastAsia="仿宋_GB2312" w:cs="DengXian-Regular" w:hint="eastAsia"/>
          <w:sz w:val="32"/>
          <w:szCs w:val="32"/>
        </w:rPr>
        <w:t>472.68</w:t>
      </w:r>
      <w:r>
        <w:rPr>
          <w:rFonts w:ascii="仿宋_GB2312" w:eastAsia="仿宋_GB2312" w:cs="DengXian-Regular" w:hint="eastAsia"/>
          <w:sz w:val="32"/>
          <w:szCs w:val="32"/>
        </w:rPr>
        <w:t>万元，年初预算共</w:t>
      </w:r>
      <w:r w:rsidR="007B581D">
        <w:rPr>
          <w:rFonts w:ascii="仿宋_GB2312" w:eastAsia="仿宋_GB2312" w:cs="DengXian-Regular" w:hint="eastAsia"/>
          <w:sz w:val="32"/>
          <w:szCs w:val="32"/>
        </w:rPr>
        <w:t>5</w:t>
      </w:r>
      <w:r>
        <w:rPr>
          <w:rFonts w:ascii="仿宋_GB2312" w:eastAsia="仿宋_GB2312" w:cs="DengXian-Regular" w:hint="eastAsia"/>
          <w:sz w:val="32"/>
          <w:szCs w:val="32"/>
        </w:rPr>
        <w:t>个项目，预算数</w:t>
      </w:r>
      <w:r w:rsidR="007B581D">
        <w:rPr>
          <w:rFonts w:ascii="仿宋_GB2312" w:eastAsia="仿宋_GB2312" w:cs="DengXian-Regular" w:hint="eastAsia"/>
          <w:sz w:val="32"/>
          <w:szCs w:val="32"/>
        </w:rPr>
        <w:t>263.16</w:t>
      </w:r>
      <w:r>
        <w:rPr>
          <w:rFonts w:ascii="仿宋_GB2312" w:eastAsia="仿宋_GB2312" w:cs="DengXian-Regular" w:hint="eastAsia"/>
          <w:sz w:val="32"/>
          <w:szCs w:val="32"/>
        </w:rPr>
        <w:t>万元，年中追加项目资金</w:t>
      </w:r>
      <w:r w:rsidR="00B30F85">
        <w:rPr>
          <w:rFonts w:ascii="仿宋_GB2312" w:eastAsia="仿宋_GB2312" w:cs="DengXian-Regular" w:hint="eastAsia"/>
          <w:sz w:val="32"/>
          <w:szCs w:val="32"/>
        </w:rPr>
        <w:t>209.52</w:t>
      </w:r>
      <w:r>
        <w:rPr>
          <w:rFonts w:ascii="仿宋_GB2312" w:eastAsia="仿宋_GB2312" w:cs="DengXian-Regular" w:hint="eastAsia"/>
          <w:sz w:val="32"/>
          <w:szCs w:val="32"/>
        </w:rPr>
        <w:t>万元，项目资金使用率为</w:t>
      </w:r>
      <w:r w:rsidR="007B581D">
        <w:rPr>
          <w:rFonts w:ascii="仿宋_GB2312" w:eastAsia="仿宋_GB2312" w:cs="DengXian-Regular" w:hint="eastAsia"/>
          <w:sz w:val="32"/>
          <w:szCs w:val="32"/>
        </w:rPr>
        <w:t>100</w:t>
      </w:r>
      <w:r>
        <w:rPr>
          <w:rFonts w:ascii="仿宋_GB2312" w:eastAsia="仿宋_GB2312" w:cs="DengXian-Regular" w:hint="eastAsia"/>
          <w:sz w:val="32"/>
          <w:szCs w:val="32"/>
        </w:rPr>
        <w:t>%。</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B30F85">
        <w:rPr>
          <w:rFonts w:ascii="仿宋_GB2312" w:eastAsia="仿宋_GB2312" w:cs="DengXian-Regular" w:hint="eastAsia"/>
          <w:sz w:val="32"/>
          <w:szCs w:val="32"/>
        </w:rPr>
        <w:t>5</w:t>
      </w:r>
      <w:r>
        <w:rPr>
          <w:rFonts w:ascii="仿宋_GB2312" w:eastAsia="仿宋_GB2312" w:cs="DengXian-Regular" w:hint="eastAsia"/>
          <w:sz w:val="32"/>
          <w:szCs w:val="32"/>
        </w:rPr>
        <w:t>分。</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3、办理案件数（5分）</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该指标主要评价检察业务职责活动产出结果，通过检察业务案件</w:t>
      </w:r>
      <w:proofErr w:type="gramStart"/>
      <w:r w:rsidRPr="006842B2">
        <w:rPr>
          <w:rFonts w:ascii="仿宋_GB2312" w:eastAsia="仿宋_GB2312" w:cs="DengXian-Regular" w:hint="eastAsia"/>
          <w:sz w:val="32"/>
          <w:szCs w:val="32"/>
        </w:rPr>
        <w:t>办结数</w:t>
      </w:r>
      <w:proofErr w:type="gramEnd"/>
      <w:r w:rsidRPr="006842B2">
        <w:rPr>
          <w:rFonts w:ascii="仿宋_GB2312" w:eastAsia="仿宋_GB2312" w:cs="DengXian-Regular" w:hint="eastAsia"/>
          <w:sz w:val="32"/>
          <w:szCs w:val="32"/>
        </w:rPr>
        <w:t>衡量。</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检察院</w:t>
      </w:r>
      <w:r>
        <w:rPr>
          <w:rFonts w:ascii="仿宋_GB2312" w:eastAsia="仿宋_GB2312" w:cs="DengXian-Regular" w:hint="eastAsia"/>
          <w:sz w:val="32"/>
          <w:szCs w:val="32"/>
        </w:rPr>
        <w:t>202</w:t>
      </w:r>
      <w:r w:rsidR="00ED1536">
        <w:rPr>
          <w:rFonts w:ascii="仿宋_GB2312" w:eastAsia="仿宋_GB2312" w:cs="DengXian-Regular" w:hint="eastAsia"/>
          <w:sz w:val="32"/>
          <w:szCs w:val="32"/>
        </w:rPr>
        <w:t>1</w:t>
      </w:r>
      <w:r w:rsidRPr="006842B2">
        <w:rPr>
          <w:rFonts w:ascii="仿宋_GB2312" w:eastAsia="仿宋_GB2312" w:cs="DengXian-Regular" w:hint="eastAsia"/>
          <w:sz w:val="32"/>
          <w:szCs w:val="32"/>
        </w:rPr>
        <w:t>年实际办理各类案件数为</w:t>
      </w:r>
      <w:r w:rsidR="00ED1536">
        <w:rPr>
          <w:rFonts w:ascii="仿宋_GB2312" w:eastAsia="仿宋_GB2312" w:cs="DengXian-Regular" w:hint="eastAsia"/>
          <w:sz w:val="32"/>
          <w:szCs w:val="32"/>
        </w:rPr>
        <w:t>747</w:t>
      </w:r>
      <w:r w:rsidRPr="006842B2">
        <w:rPr>
          <w:rFonts w:ascii="仿宋_GB2312" w:eastAsia="仿宋_GB2312" w:cs="DengXian-Regular" w:hint="eastAsia"/>
          <w:sz w:val="32"/>
          <w:szCs w:val="32"/>
        </w:rPr>
        <w:t>件，完成了年度指标。</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该指标实际得分5分。</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4、诉讼期限内审结案件占全部案件比例（5分）</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该指标主要评价检察业务职责活动产出结果，通过诉讼期内审结案件占全部案件比例衡量。</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诉讼期限内案件办结率=（诉讼期内结案数/全部案件数）*100%</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区检察院20</w:t>
      </w:r>
      <w:r>
        <w:rPr>
          <w:rFonts w:ascii="仿宋_GB2312" w:eastAsia="仿宋_GB2312" w:cs="DengXian-Regular" w:hint="eastAsia"/>
          <w:sz w:val="32"/>
          <w:szCs w:val="32"/>
        </w:rPr>
        <w:t>2</w:t>
      </w:r>
      <w:r w:rsidR="005D6044">
        <w:rPr>
          <w:rFonts w:ascii="仿宋_GB2312" w:eastAsia="仿宋_GB2312" w:cs="DengXian-Regular" w:hint="eastAsia"/>
          <w:sz w:val="32"/>
          <w:szCs w:val="32"/>
        </w:rPr>
        <w:t>1</w:t>
      </w:r>
      <w:r w:rsidRPr="006842B2">
        <w:rPr>
          <w:rFonts w:ascii="仿宋_GB2312" w:eastAsia="仿宋_GB2312" w:cs="DengXian-Regular" w:hint="eastAsia"/>
          <w:sz w:val="32"/>
          <w:szCs w:val="32"/>
        </w:rPr>
        <w:t>年度内诉讼期限内审结案件占全部案件比例达到100%，完成诉讼期限内结案的要求。</w:t>
      </w:r>
    </w:p>
    <w:p w:rsidR="00551382" w:rsidRPr="006842B2" w:rsidRDefault="00551382" w:rsidP="00551382">
      <w:pPr>
        <w:tabs>
          <w:tab w:val="left" w:pos="4454"/>
        </w:tabs>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该指标实际得分5分。</w:t>
      </w:r>
      <w:r>
        <w:rPr>
          <w:rFonts w:ascii="仿宋_GB2312" w:eastAsia="仿宋_GB2312" w:cs="DengXian-Regular"/>
          <w:sz w:val="32"/>
          <w:szCs w:val="32"/>
        </w:rPr>
        <w:tab/>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5、业务装备使用率（5分）</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该指标主要评价检察业务职责活动产出结果，通过检察业务装备使用率衡量。</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lastRenderedPageBreak/>
        <w:t>检察业务装备使用率=（业务装备购置数/业务装备使用数）*100%</w:t>
      </w:r>
    </w:p>
    <w:p w:rsidR="00551382" w:rsidRPr="006842B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区检察院20</w:t>
      </w:r>
      <w:r>
        <w:rPr>
          <w:rFonts w:ascii="仿宋_GB2312" w:eastAsia="仿宋_GB2312" w:cs="DengXian-Regular" w:hint="eastAsia"/>
          <w:sz w:val="32"/>
          <w:szCs w:val="32"/>
        </w:rPr>
        <w:t>2</w:t>
      </w:r>
      <w:r w:rsidR="005D6044">
        <w:rPr>
          <w:rFonts w:ascii="仿宋_GB2312" w:eastAsia="仿宋_GB2312" w:cs="DengXian-Regular" w:hint="eastAsia"/>
          <w:sz w:val="32"/>
          <w:szCs w:val="32"/>
        </w:rPr>
        <w:t>1</w:t>
      </w:r>
      <w:r w:rsidRPr="006842B2">
        <w:rPr>
          <w:rFonts w:ascii="仿宋_GB2312" w:eastAsia="仿宋_GB2312" w:cs="DengXian-Regular" w:hint="eastAsia"/>
          <w:sz w:val="32"/>
          <w:szCs w:val="32"/>
        </w:rPr>
        <w:t>年</w:t>
      </w:r>
      <w:proofErr w:type="gramStart"/>
      <w:r w:rsidRPr="006842B2">
        <w:rPr>
          <w:rFonts w:ascii="仿宋_GB2312" w:eastAsia="仿宋_GB2312" w:cs="DengXian-Regular" w:hint="eastAsia"/>
          <w:sz w:val="32"/>
          <w:szCs w:val="32"/>
        </w:rPr>
        <w:t>购置</w:t>
      </w:r>
      <w:r w:rsidR="005D6044" w:rsidRPr="005D6044">
        <w:rPr>
          <w:rFonts w:ascii="仿宋_GB2312" w:eastAsia="仿宋_GB2312" w:cs="DengXian-Regular" w:hint="eastAsia"/>
          <w:sz w:val="32"/>
          <w:szCs w:val="32"/>
        </w:rPr>
        <w:t>购置</w:t>
      </w:r>
      <w:proofErr w:type="gramEnd"/>
      <w:r w:rsidR="005D6044" w:rsidRPr="005D6044">
        <w:rPr>
          <w:rFonts w:ascii="仿宋_GB2312" w:eastAsia="仿宋_GB2312" w:cs="DengXian-Regular" w:hint="eastAsia"/>
          <w:sz w:val="32"/>
          <w:szCs w:val="32"/>
        </w:rPr>
        <w:t>桌面云设备</w:t>
      </w:r>
      <w:r w:rsidRPr="006842B2">
        <w:rPr>
          <w:rFonts w:ascii="仿宋_GB2312" w:eastAsia="仿宋_GB2312" w:cs="DengXian-Regular" w:hint="eastAsia"/>
          <w:sz w:val="32"/>
          <w:szCs w:val="32"/>
        </w:rPr>
        <w:t>、</w:t>
      </w:r>
      <w:r w:rsidR="005D6044" w:rsidRPr="005D6044">
        <w:rPr>
          <w:rFonts w:ascii="仿宋_GB2312" w:eastAsia="仿宋_GB2312" w:cs="DengXian-Regular" w:hint="eastAsia"/>
          <w:sz w:val="32"/>
          <w:szCs w:val="32"/>
        </w:rPr>
        <w:t>公益诉讼取证设备</w:t>
      </w:r>
      <w:r w:rsidRPr="006842B2">
        <w:rPr>
          <w:rFonts w:ascii="仿宋_GB2312" w:eastAsia="仿宋_GB2312" w:cs="DengXian-Regular" w:hint="eastAsia"/>
          <w:sz w:val="32"/>
          <w:szCs w:val="32"/>
        </w:rPr>
        <w:t>等等检察业务装备，已全部投入使用。</w:t>
      </w:r>
    </w:p>
    <w:p w:rsidR="00551382" w:rsidRDefault="00551382" w:rsidP="00551382">
      <w:pPr>
        <w:spacing w:after="0" w:line="360" w:lineRule="auto"/>
        <w:ind w:firstLineChars="200" w:firstLine="640"/>
        <w:jc w:val="both"/>
        <w:textAlignment w:val="baseline"/>
        <w:rPr>
          <w:rFonts w:ascii="仿宋_GB2312" w:eastAsia="仿宋_GB2312" w:cs="DengXian-Regular"/>
          <w:sz w:val="32"/>
          <w:szCs w:val="32"/>
        </w:rPr>
      </w:pPr>
      <w:r w:rsidRPr="006842B2">
        <w:rPr>
          <w:rFonts w:ascii="仿宋_GB2312" w:eastAsia="仿宋_GB2312" w:cs="DengXian-Regular" w:hint="eastAsia"/>
          <w:sz w:val="32"/>
          <w:szCs w:val="32"/>
        </w:rPr>
        <w:t>该指标实际得分5分。</w:t>
      </w:r>
    </w:p>
    <w:p w:rsidR="00551382" w:rsidRDefault="00551382">
      <w:pPr>
        <w:spacing w:after="0" w:line="360" w:lineRule="auto"/>
        <w:ind w:firstLineChars="200" w:firstLine="640"/>
        <w:jc w:val="both"/>
        <w:textAlignment w:val="baseline"/>
        <w:rPr>
          <w:rFonts w:ascii="仿宋_GB2312" w:eastAsia="仿宋_GB2312" w:cs="DengXian-Regular"/>
          <w:sz w:val="32"/>
          <w:szCs w:val="32"/>
        </w:rPr>
      </w:pPr>
    </w:p>
    <w:p w:rsidR="00E04566" w:rsidRDefault="00F4291B">
      <w:pPr>
        <w:pStyle w:val="3"/>
        <w:spacing w:before="0" w:after="0"/>
        <w:ind w:firstLineChars="200" w:firstLine="643"/>
        <w:jc w:val="both"/>
        <w:rPr>
          <w:rFonts w:ascii="楷体" w:eastAsia="楷体" w:hAnsi="楷体"/>
          <w:sz w:val="32"/>
        </w:rPr>
      </w:pPr>
      <w:bookmarkStart w:id="70" w:name="_Toc28363"/>
      <w:r>
        <w:rPr>
          <w:rFonts w:ascii="楷体" w:eastAsia="楷体" w:hAnsi="楷体" w:hint="eastAsia"/>
          <w:sz w:val="32"/>
        </w:rPr>
        <w:t>（四）效果</w:t>
      </w:r>
      <w:bookmarkEnd w:id="68"/>
      <w:bookmarkEnd w:id="69"/>
      <w:r>
        <w:rPr>
          <w:rFonts w:ascii="楷体" w:eastAsia="楷体" w:hAnsi="楷体" w:hint="eastAsia"/>
          <w:sz w:val="32"/>
        </w:rPr>
        <w:t>（15分）</w:t>
      </w:r>
      <w:bookmarkEnd w:id="70"/>
    </w:p>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71" w:name="_Toc464638520"/>
      <w:r>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rsidR="00E04566" w:rsidRDefault="00F4291B">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表5  效果指标及得分情况表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68"/>
        <w:gridCol w:w="1155"/>
        <w:gridCol w:w="2130"/>
        <w:gridCol w:w="1200"/>
        <w:gridCol w:w="1045"/>
      </w:tblGrid>
      <w:tr w:rsidR="00E04566">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E04566">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项目效果</w:t>
            </w:r>
          </w:p>
          <w:p w:rsidR="00E04566" w:rsidRDefault="00F4291B">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E04566" w:rsidRDefault="00F4291B">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履职效益</w:t>
            </w:r>
          </w:p>
          <w:p w:rsidR="00E04566" w:rsidRDefault="00F4291B">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rsidR="00E04566" w:rsidRDefault="00712483">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E04566">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rsidR="00E04566" w:rsidRDefault="00712483">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E04566">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rsidR="00E04566" w:rsidRDefault="00E04566">
            <w:pPr>
              <w:spacing w:line="420" w:lineRule="exact"/>
              <w:jc w:val="center"/>
              <w:rPr>
                <w:rFonts w:asciiTheme="minorEastAsia" w:eastAsiaTheme="minorEastAsia" w:hAnsiTheme="minorEastAsia"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4566" w:rsidRDefault="00F4291B">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rsidR="00E04566" w:rsidRDefault="00712483">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bl>
    <w:p w:rsidR="00E04566" w:rsidRDefault="00F4291B">
      <w:pPr>
        <w:spacing w:after="0" w:line="360" w:lineRule="auto"/>
        <w:ind w:firstLineChars="200" w:firstLine="640"/>
        <w:jc w:val="both"/>
        <w:textAlignment w:val="baseline"/>
        <w:rPr>
          <w:rFonts w:ascii="仿宋_GB2312" w:eastAsia="仿宋_GB2312" w:cs="DengXian-Regular"/>
          <w:sz w:val="32"/>
          <w:szCs w:val="32"/>
        </w:rPr>
      </w:pPr>
      <w:bookmarkStart w:id="72" w:name="_Toc492652784"/>
      <w:bookmarkStart w:id="73" w:name="_Toc465149516"/>
      <w:bookmarkStart w:id="74" w:name="_Toc464638561"/>
      <w:bookmarkEnd w:id="71"/>
      <w:r>
        <w:rPr>
          <w:rFonts w:ascii="仿宋_GB2312" w:eastAsia="仿宋_GB2312" w:cs="DengXian-Regular" w:hint="eastAsia"/>
          <w:sz w:val="32"/>
          <w:szCs w:val="32"/>
        </w:rPr>
        <w:t>1.部门整体效益（10分）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该指标主要评价部门履行职责对社会发展所带来的直接或间接效益。</w:t>
      </w:r>
    </w:p>
    <w:p w:rsidR="000A70F7"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w:t>
      </w:r>
      <w:proofErr w:type="gramStart"/>
      <w:r>
        <w:rPr>
          <w:rFonts w:ascii="仿宋_GB2312" w:eastAsia="仿宋_GB2312" w:cs="DengXian-Regular" w:hint="eastAsia"/>
          <w:sz w:val="32"/>
          <w:szCs w:val="32"/>
        </w:rPr>
        <w:t>查看区</w:t>
      </w:r>
      <w:proofErr w:type="gramEnd"/>
      <w:r w:rsidR="002E3BEE">
        <w:rPr>
          <w:rFonts w:ascii="仿宋_GB2312" w:eastAsia="仿宋_GB2312" w:cs="DengXian-Regular" w:hint="eastAsia"/>
          <w:sz w:val="32"/>
          <w:szCs w:val="32"/>
        </w:rPr>
        <w:t>检察院</w:t>
      </w:r>
      <w:r>
        <w:rPr>
          <w:rFonts w:ascii="仿宋_GB2312" w:eastAsia="仿宋_GB2312" w:cs="DengXian-Regular" w:hint="eastAsia"/>
          <w:sz w:val="32"/>
          <w:szCs w:val="32"/>
        </w:rPr>
        <w:t>提供的相关资料，</w:t>
      </w:r>
      <w:r w:rsidR="000A70F7" w:rsidRPr="000A70F7">
        <w:rPr>
          <w:rFonts w:ascii="仿宋_GB2312" w:eastAsia="仿宋_GB2312" w:cs="DengXian-Regular" w:hint="eastAsia"/>
          <w:sz w:val="32"/>
          <w:szCs w:val="32"/>
        </w:rPr>
        <w:t>区检察院履行职责对社会发展所带来的社会效益较显著，有效的提高了社会公众的法律意识，减少了社会不安定因素。</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0A70F7">
        <w:rPr>
          <w:rFonts w:ascii="仿宋_GB2312" w:eastAsia="仿宋_GB2312" w:cs="DengXian-Regular" w:hint="eastAsia"/>
          <w:sz w:val="32"/>
          <w:szCs w:val="32"/>
        </w:rPr>
        <w:t>10</w:t>
      </w:r>
      <w:r>
        <w:rPr>
          <w:rFonts w:ascii="仿宋_GB2312" w:eastAsia="仿宋_GB2312" w:cs="DengXian-Regular" w:hint="eastAsia"/>
          <w:sz w:val="32"/>
          <w:szCs w:val="32"/>
        </w:rPr>
        <w:t>分。</w:t>
      </w:r>
    </w:p>
    <w:p w:rsidR="00E04566" w:rsidRDefault="00F4291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2.考评满意度（5分）</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该指标主要评价社会公众或部门的服务对象对部门履职效果的满意程度。</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针对该指标，我们随机选取了50个调查对象进行了问卷调查，具体调查情况如下：</w:t>
      </w:r>
    </w:p>
    <w:p w:rsidR="00E04566" w:rsidRDefault="00F4291B">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表6  服务对象满意度调查问卷汇总表</w:t>
      </w:r>
    </w:p>
    <w:p w:rsidR="00E04566" w:rsidRDefault="00F4291B">
      <w:pPr>
        <w:spacing w:after="0" w:line="540" w:lineRule="exact"/>
        <w:ind w:firstLineChars="3300" w:firstLine="6930"/>
        <w:jc w:val="both"/>
        <w:textAlignment w:val="baseline"/>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sz w:val="21"/>
          <w:szCs w:val="21"/>
          <w:u w:color="000000"/>
        </w:rPr>
        <w:t>单位：人次</w:t>
      </w:r>
    </w:p>
    <w:tbl>
      <w:tblPr>
        <w:tblW w:w="7948" w:type="dxa"/>
        <w:jc w:val="center"/>
        <w:tblLayout w:type="fixed"/>
        <w:tblCellMar>
          <w:top w:w="15" w:type="dxa"/>
          <w:left w:w="15" w:type="dxa"/>
          <w:bottom w:w="15" w:type="dxa"/>
          <w:right w:w="15" w:type="dxa"/>
        </w:tblCellMar>
        <w:tblLook w:val="04A0" w:firstRow="1" w:lastRow="0" w:firstColumn="1" w:lastColumn="0" w:noHBand="0" w:noVBand="1"/>
      </w:tblPr>
      <w:tblGrid>
        <w:gridCol w:w="2834"/>
        <w:gridCol w:w="1114"/>
        <w:gridCol w:w="1134"/>
        <w:gridCol w:w="1218"/>
        <w:gridCol w:w="767"/>
        <w:gridCol w:w="881"/>
      </w:tblGrid>
      <w:tr w:rsidR="00E04566">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rsidR="00E04566" w:rsidRDefault="00F4291B">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单项得分</w:t>
            </w:r>
          </w:p>
        </w:tc>
      </w:tr>
      <w:tr w:rsidR="000A70F7">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0A70F7" w:rsidRDefault="000A70F7" w:rsidP="000B1E9D">
            <w:pPr>
              <w:spacing w:after="0" w:line="360" w:lineRule="auto"/>
              <w:jc w:val="both"/>
              <w:textAlignment w:val="baseline"/>
              <w:rPr>
                <w:rFonts w:asciiTheme="minorEastAsia" w:eastAsiaTheme="minorEastAsia" w:hAnsiTheme="minorEastAsia" w:cs="Times New Roman"/>
                <w:sz w:val="21"/>
                <w:szCs w:val="21"/>
                <w:u w:color="000000"/>
              </w:rPr>
            </w:pPr>
            <w:r w:rsidRPr="00B369CA">
              <w:rPr>
                <w:rFonts w:asciiTheme="minorEastAsia" w:eastAsiaTheme="minorEastAsia" w:hAnsiTheme="minorEastAsia" w:cs="Times New Roman" w:hint="eastAsia"/>
                <w:sz w:val="21"/>
                <w:szCs w:val="21"/>
                <w:u w:color="000000"/>
              </w:rPr>
              <w:t>检察干警对检察辅助人员工作的满意度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1B2D30" w:rsidP="000A70F7">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48</w:t>
            </w:r>
          </w:p>
        </w:tc>
        <w:tc>
          <w:tcPr>
            <w:tcW w:w="113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3</w:t>
            </w:r>
          </w:p>
        </w:tc>
        <w:tc>
          <w:tcPr>
            <w:tcW w:w="1218"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0A70F7" w:rsidRDefault="000A70F7">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1B2D30" w:rsidP="000B1E9D">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96</w:t>
            </w:r>
          </w:p>
        </w:tc>
      </w:tr>
      <w:tr w:rsidR="000A70F7">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0A70F7" w:rsidRDefault="000A70F7" w:rsidP="000B1E9D">
            <w:pPr>
              <w:spacing w:after="0" w:line="360" w:lineRule="auto"/>
              <w:jc w:val="both"/>
              <w:textAlignment w:val="baseline"/>
              <w:rPr>
                <w:rFonts w:asciiTheme="minorEastAsia" w:eastAsiaTheme="minorEastAsia" w:hAnsiTheme="minorEastAsia" w:cs="Times New Roman"/>
                <w:sz w:val="21"/>
                <w:szCs w:val="21"/>
                <w:u w:color="000000"/>
              </w:rPr>
            </w:pPr>
            <w:r w:rsidRPr="00B369CA">
              <w:rPr>
                <w:rFonts w:asciiTheme="minorEastAsia" w:eastAsiaTheme="minorEastAsia" w:hAnsiTheme="minorEastAsia" w:cs="Times New Roman" w:hint="eastAsia"/>
                <w:sz w:val="21"/>
                <w:szCs w:val="21"/>
                <w:u w:color="000000"/>
              </w:rPr>
              <w:t>检察干警对保安保洁工作的满意度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A70F7">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4</w:t>
            </w:r>
            <w:r>
              <w:rPr>
                <w:rFonts w:asciiTheme="minorEastAsia" w:eastAsiaTheme="minorEastAsia" w:hAnsiTheme="minorEastAsia" w:cs="Times New Roman" w:hint="eastAsia"/>
                <w:sz w:val="21"/>
                <w:szCs w:val="21"/>
                <w:u w:color="00000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5</w:t>
            </w:r>
          </w:p>
        </w:tc>
        <w:tc>
          <w:tcPr>
            <w:tcW w:w="1218"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0A70F7" w:rsidRDefault="000A70F7">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90</w:t>
            </w:r>
          </w:p>
        </w:tc>
      </w:tr>
      <w:tr w:rsidR="000A70F7">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0A70F7" w:rsidRPr="00B369CA" w:rsidRDefault="000A70F7" w:rsidP="000B1E9D">
            <w:pPr>
              <w:spacing w:after="0" w:line="360" w:lineRule="auto"/>
              <w:jc w:val="both"/>
              <w:textAlignment w:val="baseline"/>
              <w:rPr>
                <w:rFonts w:asciiTheme="minorEastAsia" w:eastAsiaTheme="minorEastAsia" w:hAnsiTheme="minorEastAsia" w:cs="Times New Roman"/>
                <w:sz w:val="15"/>
                <w:szCs w:val="15"/>
                <w:u w:color="000000"/>
              </w:rPr>
            </w:pPr>
            <w:r w:rsidRPr="00B369CA">
              <w:rPr>
                <w:rFonts w:asciiTheme="minorEastAsia" w:eastAsiaTheme="minorEastAsia" w:hAnsiTheme="minorEastAsia" w:cs="Times New Roman" w:hint="eastAsia"/>
                <w:sz w:val="15"/>
                <w:szCs w:val="15"/>
                <w:u w:color="000000"/>
              </w:rPr>
              <w:t>干警对检察业务装备配备情况的满意度</w:t>
            </w:r>
          </w:p>
        </w:tc>
        <w:tc>
          <w:tcPr>
            <w:tcW w:w="111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A70F7">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48</w:t>
            </w:r>
          </w:p>
        </w:tc>
        <w:tc>
          <w:tcPr>
            <w:tcW w:w="1134"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4</w:t>
            </w:r>
          </w:p>
        </w:tc>
        <w:tc>
          <w:tcPr>
            <w:tcW w:w="1218"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sidRPr="001E117D">
              <w:rPr>
                <w:rFonts w:asciiTheme="minorEastAsia" w:eastAsiaTheme="minorEastAsia" w:hAnsiTheme="minorEastAsia" w:cs="Times New Roman" w:hint="eastAsia"/>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0A70F7" w:rsidRDefault="000A70F7">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0A70F7" w:rsidRPr="001E117D" w:rsidRDefault="000A70F7" w:rsidP="000B1E9D">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96</w:t>
            </w:r>
          </w:p>
        </w:tc>
      </w:tr>
    </w:tbl>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调查问卷共分为3个单项，每个单项满分为100分。其中：每一单项满分为100分：满意为100分，一般为50分，不满意为0分。</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单项满意度得分=总分数/总人数</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总体满意度得分=∑1/3</w:t>
      </w:r>
      <w:proofErr w:type="gramStart"/>
      <w:r>
        <w:rPr>
          <w:rFonts w:ascii="仿宋_GB2312" w:eastAsia="仿宋_GB2312" w:hAnsiTheme="minorEastAsia" w:cs="Times New Roman" w:hint="eastAsia"/>
          <w:sz w:val="32"/>
          <w:szCs w:val="32"/>
          <w:u w:color="000000"/>
        </w:rPr>
        <w:t>各</w:t>
      </w:r>
      <w:proofErr w:type="gramEnd"/>
      <w:r>
        <w:rPr>
          <w:rFonts w:ascii="仿宋_GB2312" w:eastAsia="仿宋_GB2312" w:hAnsiTheme="minorEastAsia" w:cs="Times New Roman" w:hint="eastAsia"/>
          <w:sz w:val="32"/>
          <w:szCs w:val="32"/>
          <w:u w:color="000000"/>
        </w:rPr>
        <w:t>单项满意度得分</w:t>
      </w:r>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经计算，总体得分为</w:t>
      </w:r>
      <w:r w:rsidR="001B2D30">
        <w:rPr>
          <w:rFonts w:ascii="仿宋_GB2312" w:eastAsia="仿宋_GB2312" w:hAnsiTheme="minorEastAsia" w:cs="Times New Roman" w:hint="eastAsia"/>
          <w:sz w:val="32"/>
          <w:szCs w:val="32"/>
          <w:u w:color="000000"/>
        </w:rPr>
        <w:t>94</w:t>
      </w:r>
      <w:r>
        <w:rPr>
          <w:rFonts w:ascii="仿宋_GB2312" w:eastAsia="仿宋_GB2312" w:hAnsiTheme="minorEastAsia" w:cs="Times New Roman" w:hint="eastAsia"/>
          <w:sz w:val="32"/>
          <w:szCs w:val="32"/>
          <w:u w:color="000000"/>
        </w:rPr>
        <w:t>分，大于90分，评价等级为“</w:t>
      </w:r>
      <w:r w:rsidR="001B2D30">
        <w:rPr>
          <w:rFonts w:ascii="仿宋_GB2312" w:eastAsia="仿宋_GB2312" w:hAnsiTheme="minorEastAsia" w:cs="Times New Roman" w:hint="eastAsia"/>
          <w:sz w:val="32"/>
          <w:szCs w:val="32"/>
          <w:u w:color="000000"/>
        </w:rPr>
        <w:t>优</w:t>
      </w:r>
      <w:r>
        <w:rPr>
          <w:rFonts w:ascii="仿宋_GB2312" w:eastAsia="仿宋_GB2312" w:hAnsiTheme="minorEastAsia" w:cs="Times New Roman" w:hint="eastAsia"/>
          <w:sz w:val="32"/>
          <w:szCs w:val="32"/>
          <w:u w:color="000000"/>
        </w:rPr>
        <w:t>”。</w:t>
      </w:r>
    </w:p>
    <w:p w:rsidR="00E04566" w:rsidRDefault="00F4291B">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该指标实际得分</w:t>
      </w:r>
      <w:r w:rsidR="001B2D30">
        <w:rPr>
          <w:rFonts w:ascii="仿宋_GB2312" w:eastAsia="仿宋_GB2312" w:hAnsiTheme="minorEastAsia" w:cs="Times New Roman" w:hint="eastAsia"/>
          <w:sz w:val="32"/>
          <w:szCs w:val="32"/>
          <w:u w:color="000000"/>
        </w:rPr>
        <w:t>5</w:t>
      </w:r>
      <w:r>
        <w:rPr>
          <w:rFonts w:ascii="仿宋_GB2312" w:eastAsia="仿宋_GB2312" w:hAnsiTheme="minorEastAsia" w:cs="Times New Roman" w:hint="eastAsia"/>
          <w:sz w:val="32"/>
          <w:szCs w:val="32"/>
          <w:u w:color="000000"/>
        </w:rPr>
        <w:t>分。</w:t>
      </w:r>
    </w:p>
    <w:p w:rsidR="00E04566" w:rsidRDefault="00F4291B">
      <w:pPr>
        <w:pStyle w:val="2"/>
        <w:keepNext w:val="0"/>
        <w:keepLines w:val="0"/>
        <w:suppressLineNumbers/>
        <w:spacing w:before="0" w:after="0" w:line="360" w:lineRule="auto"/>
        <w:ind w:firstLineChars="200" w:firstLine="643"/>
        <w:rPr>
          <w:rFonts w:ascii="黑体"/>
        </w:rPr>
      </w:pPr>
      <w:bookmarkStart w:id="75" w:name="_Toc13757"/>
      <w:r>
        <w:rPr>
          <w:rFonts w:ascii="黑体" w:hint="eastAsia"/>
        </w:rPr>
        <w:t>五、绩效评价发现的问题</w:t>
      </w:r>
      <w:bookmarkStart w:id="76" w:name="_Toc492652789"/>
      <w:bookmarkEnd w:id="72"/>
      <w:bookmarkEnd w:id="73"/>
      <w:bookmarkEnd w:id="74"/>
      <w:bookmarkEnd w:id="75"/>
    </w:p>
    <w:p w:rsidR="00E04566" w:rsidRDefault="00F4291B">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通过对各指标得分及扣分原因的分析，</w:t>
      </w: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202</w:t>
      </w:r>
      <w:r>
        <w:rPr>
          <w:rFonts w:ascii="仿宋_GB2312" w:eastAsia="仿宋_GB2312" w:hAnsiTheme="minorEastAsia" w:cs="Times New Roman"/>
          <w:sz w:val="32"/>
          <w:szCs w:val="32"/>
          <w:u w:color="000000"/>
        </w:rPr>
        <w:t>1</w:t>
      </w:r>
      <w:r>
        <w:rPr>
          <w:rFonts w:ascii="仿宋_GB2312" w:eastAsia="仿宋_GB2312" w:hAnsiTheme="minorEastAsia" w:cs="Times New Roman" w:hint="eastAsia"/>
          <w:sz w:val="32"/>
          <w:szCs w:val="32"/>
          <w:u w:color="000000"/>
        </w:rPr>
        <w:t>年部门整体支出基本按相关要求执行预算、决算，完成了</w:t>
      </w:r>
      <w:r>
        <w:rPr>
          <w:rFonts w:ascii="仿宋_GB2312" w:eastAsia="仿宋_GB2312" w:hAnsiTheme="minorEastAsia" w:cs="Times New Roman" w:hint="eastAsia"/>
          <w:sz w:val="32"/>
          <w:szCs w:val="32"/>
          <w:u w:color="000000"/>
        </w:rPr>
        <w:lastRenderedPageBreak/>
        <w:t>绩效目标，资金使用效益良好。通过评价，也发现一些不足之处，具体情况如下：</w:t>
      </w:r>
      <w:bookmarkStart w:id="77" w:name="_Toc20723"/>
    </w:p>
    <w:p w:rsidR="002040A1" w:rsidRPr="002040A1" w:rsidRDefault="00C16247" w:rsidP="002040A1">
      <w:pPr>
        <w:pStyle w:val="af4"/>
        <w:numPr>
          <w:ilvl w:val="0"/>
          <w:numId w:val="1"/>
        </w:numPr>
        <w:spacing w:after="0" w:line="360" w:lineRule="auto"/>
        <w:ind w:firstLineChars="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资产管理</w:t>
      </w:r>
      <w:r w:rsidR="00F4291B" w:rsidRPr="002040A1">
        <w:rPr>
          <w:rFonts w:ascii="仿宋_GB2312" w:eastAsia="仿宋_GB2312" w:hAnsiTheme="minorEastAsia" w:cs="Times New Roman" w:hint="eastAsia"/>
          <w:sz w:val="32"/>
          <w:szCs w:val="32"/>
          <w:u w:color="000000"/>
        </w:rPr>
        <w:t>方面</w:t>
      </w:r>
    </w:p>
    <w:p w:rsidR="00C16247" w:rsidRDefault="00C16247" w:rsidP="00C16247">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2021</w:t>
      </w:r>
      <w:r w:rsidRPr="00C16247">
        <w:rPr>
          <w:rFonts w:ascii="仿宋_GB2312" w:eastAsia="仿宋_GB2312" w:hAnsiTheme="minorEastAsia" w:cs="Times New Roman" w:hint="eastAsia"/>
          <w:sz w:val="32"/>
          <w:szCs w:val="32"/>
          <w:u w:color="000000"/>
        </w:rPr>
        <w:t>年区检察院虽然按照各级部门资产管理要求，对固定资产</w:t>
      </w:r>
      <w:r w:rsidR="00970ACA">
        <w:rPr>
          <w:rFonts w:ascii="仿宋_GB2312" w:eastAsia="仿宋_GB2312" w:hAnsiTheme="minorEastAsia" w:cs="Times New Roman" w:hint="eastAsia"/>
          <w:sz w:val="32"/>
          <w:szCs w:val="32"/>
          <w:u w:color="000000"/>
        </w:rPr>
        <w:t>及时进行了登记入账</w:t>
      </w:r>
      <w:r w:rsidRPr="00C16247">
        <w:rPr>
          <w:rFonts w:ascii="仿宋_GB2312" w:eastAsia="仿宋_GB2312" w:hAnsiTheme="minorEastAsia" w:cs="Times New Roman" w:hint="eastAsia"/>
          <w:sz w:val="32"/>
          <w:szCs w:val="32"/>
          <w:u w:color="000000"/>
        </w:rPr>
        <w:t>，但由于人员短缺，无资产专门管理人员，资产的登记存在</w:t>
      </w:r>
      <w:r w:rsidR="004E772C">
        <w:rPr>
          <w:rFonts w:ascii="仿宋_GB2312" w:eastAsia="仿宋_GB2312" w:hAnsiTheme="minorEastAsia" w:cs="Times New Roman" w:hint="eastAsia"/>
          <w:sz w:val="32"/>
          <w:szCs w:val="32"/>
          <w:u w:color="000000"/>
        </w:rPr>
        <w:t>使用人、使用部门</w:t>
      </w:r>
      <w:r w:rsidRPr="00C16247">
        <w:rPr>
          <w:rFonts w:ascii="仿宋_GB2312" w:eastAsia="仿宋_GB2312" w:hAnsiTheme="minorEastAsia" w:cs="Times New Roman" w:hint="eastAsia"/>
          <w:sz w:val="32"/>
          <w:szCs w:val="32"/>
          <w:u w:color="000000"/>
        </w:rPr>
        <w:t>更新滞后的情况。</w:t>
      </w:r>
    </w:p>
    <w:p w:rsidR="00E04566" w:rsidRDefault="002040A1" w:rsidP="00C16247">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2</w:t>
      </w:r>
      <w:r w:rsidR="00F4291B">
        <w:rPr>
          <w:rFonts w:ascii="仿宋_GB2312" w:eastAsia="仿宋_GB2312" w:hAnsiTheme="minorEastAsia" w:cs="Times New Roman" w:hint="eastAsia"/>
          <w:sz w:val="32"/>
          <w:szCs w:val="32"/>
          <w:u w:color="000000"/>
        </w:rPr>
        <w:t>.项目资金使用率方面</w:t>
      </w:r>
    </w:p>
    <w:p w:rsidR="00E04566" w:rsidRDefault="002040A1" w:rsidP="002040A1">
      <w:pPr>
        <w:spacing w:after="0" w:line="360" w:lineRule="auto"/>
        <w:ind w:firstLineChars="200" w:firstLine="640"/>
        <w:jc w:val="both"/>
        <w:textAlignment w:val="baseline"/>
        <w:rPr>
          <w:rFonts w:ascii="仿宋_GB2312" w:eastAsia="仿宋_GB2312" w:hAnsiTheme="minorEastAsia" w:cs="Times New Roman"/>
          <w:sz w:val="32"/>
          <w:szCs w:val="32"/>
          <w:u w:color="000000"/>
        </w:rPr>
      </w:pPr>
      <w:bookmarkStart w:id="78" w:name="_Toc465149521"/>
      <w:bookmarkEnd w:id="76"/>
      <w:bookmarkEnd w:id="77"/>
      <w:r>
        <w:rPr>
          <w:rFonts w:ascii="仿宋_GB2312" w:eastAsia="仿宋_GB2312" w:hAnsiTheme="minorEastAsia" w:cs="Times New Roman" w:hint="eastAsia"/>
          <w:sz w:val="32"/>
          <w:szCs w:val="32"/>
          <w:u w:color="000000"/>
        </w:rPr>
        <w:t>2021</w:t>
      </w:r>
      <w:r w:rsidRPr="002040A1">
        <w:rPr>
          <w:rFonts w:ascii="仿宋_GB2312" w:eastAsia="仿宋_GB2312" w:hAnsiTheme="minorEastAsia" w:cs="Times New Roman" w:hint="eastAsia"/>
          <w:sz w:val="32"/>
          <w:szCs w:val="32"/>
          <w:u w:color="000000"/>
        </w:rPr>
        <w:t>年区检察院上级下达的项目资金执行进度缓慢，应做好预算执行分析，加快执行进度，充分发挥项目资金效益。</w:t>
      </w:r>
    </w:p>
    <w:p w:rsidR="00E04566" w:rsidRDefault="00F4291B">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附件：1.保定市徐水</w:t>
      </w:r>
      <w:r>
        <w:rPr>
          <w:rFonts w:ascii="仿宋_GB2312" w:eastAsia="仿宋_GB2312" w:cs="DengXian-Regular" w:hint="eastAsia"/>
          <w:sz w:val="32"/>
          <w:szCs w:val="32"/>
        </w:rPr>
        <w:t>区</w:t>
      </w:r>
      <w:r w:rsidR="002E3BEE">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部</w:t>
      </w:r>
      <w:proofErr w:type="gramStart"/>
      <w:r>
        <w:rPr>
          <w:rFonts w:ascii="仿宋_GB2312" w:eastAsia="仿宋_GB2312" w:hAnsiTheme="minorEastAsia" w:cs="Times New Roman" w:hint="eastAsia"/>
          <w:sz w:val="32"/>
          <w:szCs w:val="32"/>
          <w:u w:color="000000"/>
        </w:rPr>
        <w:t>门基本</w:t>
      </w:r>
      <w:proofErr w:type="gramEnd"/>
      <w:r>
        <w:rPr>
          <w:rFonts w:ascii="仿宋_GB2312" w:eastAsia="仿宋_GB2312" w:hAnsiTheme="minorEastAsia" w:cs="Times New Roman" w:hint="eastAsia"/>
          <w:sz w:val="32"/>
          <w:szCs w:val="32"/>
          <w:u w:color="000000"/>
        </w:rPr>
        <w:t>情况及主要职责</w:t>
      </w:r>
    </w:p>
    <w:p w:rsidR="00E04566" w:rsidRDefault="00F4291B">
      <w:pPr>
        <w:spacing w:after="0" w:line="540" w:lineRule="exact"/>
        <w:ind w:firstLineChars="300" w:firstLine="96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2.</w:t>
      </w:r>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年度保定市徐水区</w:t>
      </w:r>
      <w:r w:rsidR="002E3BEE">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收支预算及决算明细表</w:t>
      </w:r>
    </w:p>
    <w:p w:rsidR="00E04566" w:rsidRDefault="00F4291B">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9" w:name="_Toc465149534"/>
      <w:r>
        <w:rPr>
          <w:rFonts w:ascii="仿宋_GB2312" w:eastAsia="仿宋_GB2312" w:hAnsiTheme="minorEastAsia" w:cs="Times New Roman" w:hint="eastAsia"/>
          <w:sz w:val="32"/>
          <w:szCs w:val="32"/>
          <w:u w:color="000000"/>
        </w:rPr>
        <w:t>3.</w:t>
      </w:r>
      <w:bookmarkEnd w:id="79"/>
      <w:r>
        <w:rPr>
          <w:rFonts w:ascii="仿宋_GB2312" w:eastAsia="仿宋_GB2312" w:hAnsiTheme="minorEastAsia" w:cs="Times New Roman" w:hint="eastAsia"/>
          <w:sz w:val="32"/>
          <w:szCs w:val="32"/>
          <w:u w:color="000000"/>
        </w:rPr>
        <w:t>部门整体支出绩效评价指标体系</w:t>
      </w:r>
    </w:p>
    <w:p w:rsidR="00E04566" w:rsidRDefault="00F4291B">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80" w:name="_Toc465149544"/>
      <w:r>
        <w:rPr>
          <w:rFonts w:ascii="仿宋_GB2312" w:eastAsia="仿宋_GB2312" w:hAnsiTheme="minorEastAsia" w:cs="Times New Roman" w:hint="eastAsia"/>
          <w:sz w:val="32"/>
          <w:szCs w:val="32"/>
          <w:u w:color="000000"/>
        </w:rPr>
        <w:t>4.</w:t>
      </w:r>
      <w:bookmarkEnd w:id="80"/>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年徐水区</w:t>
      </w:r>
      <w:r w:rsidR="002E3BEE">
        <w:rPr>
          <w:rFonts w:ascii="仿宋_GB2312" w:eastAsia="仿宋_GB2312" w:cs="DengXian-Regular" w:hint="eastAsia"/>
          <w:sz w:val="32"/>
          <w:szCs w:val="32"/>
        </w:rPr>
        <w:t>检察院</w:t>
      </w:r>
      <w:r>
        <w:rPr>
          <w:rFonts w:ascii="仿宋_GB2312" w:eastAsia="仿宋_GB2312" w:hAnsiTheme="minorEastAsia" w:cs="Times New Roman" w:hint="eastAsia"/>
          <w:sz w:val="32"/>
          <w:szCs w:val="32"/>
          <w:u w:color="000000"/>
        </w:rPr>
        <w:t>工作活动绩效目标、绩效指标一览表</w:t>
      </w:r>
      <w:bookmarkEnd w:id="78"/>
    </w:p>
    <w:p w:rsidR="00E04566" w:rsidRDefault="00E04566">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E04566" w:rsidRDefault="00E04566">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E04566" w:rsidRDefault="00E04566">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E04566" w:rsidRDefault="00E04566">
      <w:pPr>
        <w:spacing w:line="540" w:lineRule="exact"/>
        <w:ind w:firstLineChars="200" w:firstLine="640"/>
        <w:jc w:val="both"/>
        <w:textAlignment w:val="baseline"/>
        <w:rPr>
          <w:rFonts w:ascii="仿宋_GB2312" w:eastAsia="仿宋_GB2312" w:hAnsiTheme="minorEastAsia" w:cs="Times New Roman"/>
          <w:sz w:val="32"/>
          <w:szCs w:val="32"/>
          <w:u w:color="000000"/>
        </w:rPr>
      </w:pPr>
    </w:p>
    <w:p w:rsidR="00E04566" w:rsidRDefault="00E04566">
      <w:pPr>
        <w:spacing w:line="540" w:lineRule="exact"/>
        <w:ind w:firstLineChars="200" w:firstLine="640"/>
        <w:jc w:val="both"/>
        <w:textAlignment w:val="baseline"/>
        <w:rPr>
          <w:rFonts w:ascii="仿宋_GB2312" w:eastAsia="仿宋_GB2312" w:hAnsiTheme="minorEastAsia" w:cs="Times New Roman"/>
          <w:sz w:val="32"/>
          <w:szCs w:val="32"/>
          <w:u w:color="000000"/>
        </w:rPr>
      </w:pPr>
    </w:p>
    <w:sectPr w:rsidR="00E04566">
      <w:footerReference w:type="default" r:id="rId15"/>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87" w:rsidRDefault="00653187">
      <w:pPr>
        <w:spacing w:after="0"/>
      </w:pPr>
      <w:r>
        <w:separator/>
      </w:r>
    </w:p>
  </w:endnote>
  <w:endnote w:type="continuationSeparator" w:id="0">
    <w:p w:rsidR="00653187" w:rsidRDefault="00653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Regular">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49" w:rsidRDefault="00D60F49">
    <w:pPr>
      <w:pStyle w:val="a8"/>
      <w:jc w:val="center"/>
    </w:pPr>
  </w:p>
  <w:p w:rsidR="00D60F49" w:rsidRDefault="00D60F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49" w:rsidRDefault="00D60F49">
    <w:pPr>
      <w:pStyle w:val="a8"/>
      <w:jc w:val="center"/>
    </w:pPr>
    <w:r>
      <w:fldChar w:fldCharType="begin"/>
    </w:r>
    <w:r>
      <w:instrText xml:space="preserve"> PAGE   \* MERGEFORMAT </w:instrText>
    </w:r>
    <w:r>
      <w:fldChar w:fldCharType="separate"/>
    </w:r>
    <w:r w:rsidR="00DB3EBB" w:rsidRPr="00DB3EBB">
      <w:rPr>
        <w:noProof/>
        <w:lang w:val="zh-CN"/>
      </w:rPr>
      <w:t>13</w:t>
    </w:r>
    <w:r>
      <w:rPr>
        <w:lang w:val="zh-CN"/>
      </w:rPr>
      <w:fldChar w:fldCharType="end"/>
    </w:r>
  </w:p>
  <w:p w:rsidR="00D60F49" w:rsidRDefault="00D60F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87" w:rsidRDefault="00653187">
      <w:pPr>
        <w:spacing w:after="0"/>
      </w:pPr>
      <w:r>
        <w:separator/>
      </w:r>
    </w:p>
  </w:footnote>
  <w:footnote w:type="continuationSeparator" w:id="0">
    <w:p w:rsidR="00653187" w:rsidRDefault="006531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5D2D"/>
    <w:multiLevelType w:val="hybridMultilevel"/>
    <w:tmpl w:val="18A027FE"/>
    <w:lvl w:ilvl="0" w:tplc="9AA8CB6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CA2"/>
    <w:rsid w:val="00026F83"/>
    <w:rsid w:val="0002705B"/>
    <w:rsid w:val="00030929"/>
    <w:rsid w:val="000317D7"/>
    <w:rsid w:val="00032B03"/>
    <w:rsid w:val="000334C2"/>
    <w:rsid w:val="0003450B"/>
    <w:rsid w:val="0003465E"/>
    <w:rsid w:val="00034910"/>
    <w:rsid w:val="00034DBE"/>
    <w:rsid w:val="0003506D"/>
    <w:rsid w:val="000409C0"/>
    <w:rsid w:val="0004123E"/>
    <w:rsid w:val="00044377"/>
    <w:rsid w:val="00044599"/>
    <w:rsid w:val="000446E5"/>
    <w:rsid w:val="00044A25"/>
    <w:rsid w:val="00047D7B"/>
    <w:rsid w:val="000509B6"/>
    <w:rsid w:val="00050A62"/>
    <w:rsid w:val="000516BA"/>
    <w:rsid w:val="00051DBC"/>
    <w:rsid w:val="00052010"/>
    <w:rsid w:val="00061096"/>
    <w:rsid w:val="000612A2"/>
    <w:rsid w:val="00063117"/>
    <w:rsid w:val="00071AF1"/>
    <w:rsid w:val="000726BB"/>
    <w:rsid w:val="00072BF5"/>
    <w:rsid w:val="000752C6"/>
    <w:rsid w:val="00075B78"/>
    <w:rsid w:val="00076CAC"/>
    <w:rsid w:val="00077648"/>
    <w:rsid w:val="00080E48"/>
    <w:rsid w:val="00085959"/>
    <w:rsid w:val="000907A4"/>
    <w:rsid w:val="00091D50"/>
    <w:rsid w:val="000935D5"/>
    <w:rsid w:val="0009618D"/>
    <w:rsid w:val="00096195"/>
    <w:rsid w:val="0009756F"/>
    <w:rsid w:val="000A1F67"/>
    <w:rsid w:val="000A2079"/>
    <w:rsid w:val="000A5467"/>
    <w:rsid w:val="000A70F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206E"/>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560BB"/>
    <w:rsid w:val="00164732"/>
    <w:rsid w:val="00164FE1"/>
    <w:rsid w:val="00166E3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052A"/>
    <w:rsid w:val="001B2D30"/>
    <w:rsid w:val="001B30D5"/>
    <w:rsid w:val="001B382A"/>
    <w:rsid w:val="001B5C88"/>
    <w:rsid w:val="001B6CE6"/>
    <w:rsid w:val="001C046D"/>
    <w:rsid w:val="001C1412"/>
    <w:rsid w:val="001C1CE7"/>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4B"/>
    <w:rsid w:val="001F33AA"/>
    <w:rsid w:val="001F6236"/>
    <w:rsid w:val="00200051"/>
    <w:rsid w:val="00202D5A"/>
    <w:rsid w:val="002040A1"/>
    <w:rsid w:val="00205F02"/>
    <w:rsid w:val="0021307B"/>
    <w:rsid w:val="002142B8"/>
    <w:rsid w:val="002161F4"/>
    <w:rsid w:val="00216E75"/>
    <w:rsid w:val="00221907"/>
    <w:rsid w:val="00222FA8"/>
    <w:rsid w:val="0022532A"/>
    <w:rsid w:val="00227AFB"/>
    <w:rsid w:val="00235741"/>
    <w:rsid w:val="002358F9"/>
    <w:rsid w:val="00236B18"/>
    <w:rsid w:val="00237E40"/>
    <w:rsid w:val="002401EA"/>
    <w:rsid w:val="00241B9D"/>
    <w:rsid w:val="002439D4"/>
    <w:rsid w:val="00245CB2"/>
    <w:rsid w:val="00246A44"/>
    <w:rsid w:val="00250BAC"/>
    <w:rsid w:val="00260245"/>
    <w:rsid w:val="0026252A"/>
    <w:rsid w:val="00262BB1"/>
    <w:rsid w:val="00262F14"/>
    <w:rsid w:val="00263D3A"/>
    <w:rsid w:val="002643BE"/>
    <w:rsid w:val="00265325"/>
    <w:rsid w:val="00266E84"/>
    <w:rsid w:val="00266F21"/>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26"/>
    <w:rsid w:val="002A1661"/>
    <w:rsid w:val="002A1A25"/>
    <w:rsid w:val="002A563C"/>
    <w:rsid w:val="002A6CBF"/>
    <w:rsid w:val="002B05EF"/>
    <w:rsid w:val="002B1E29"/>
    <w:rsid w:val="002B2E34"/>
    <w:rsid w:val="002B76FA"/>
    <w:rsid w:val="002C029E"/>
    <w:rsid w:val="002C2853"/>
    <w:rsid w:val="002C2C71"/>
    <w:rsid w:val="002C5A65"/>
    <w:rsid w:val="002C71F3"/>
    <w:rsid w:val="002D2112"/>
    <w:rsid w:val="002D53D7"/>
    <w:rsid w:val="002D5508"/>
    <w:rsid w:val="002D5FC1"/>
    <w:rsid w:val="002D7AB3"/>
    <w:rsid w:val="002E1D3C"/>
    <w:rsid w:val="002E1F73"/>
    <w:rsid w:val="002E269D"/>
    <w:rsid w:val="002E3460"/>
    <w:rsid w:val="002E3BEE"/>
    <w:rsid w:val="002E70AE"/>
    <w:rsid w:val="002F0C41"/>
    <w:rsid w:val="002F5B6A"/>
    <w:rsid w:val="002F5BF5"/>
    <w:rsid w:val="002F5ECA"/>
    <w:rsid w:val="00301ABC"/>
    <w:rsid w:val="00306572"/>
    <w:rsid w:val="003079C7"/>
    <w:rsid w:val="003169F3"/>
    <w:rsid w:val="0032078D"/>
    <w:rsid w:val="00321CE0"/>
    <w:rsid w:val="0032231F"/>
    <w:rsid w:val="00323B43"/>
    <w:rsid w:val="00325BCC"/>
    <w:rsid w:val="00327DD8"/>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84B9E"/>
    <w:rsid w:val="00391AE3"/>
    <w:rsid w:val="00396D4C"/>
    <w:rsid w:val="003A02BE"/>
    <w:rsid w:val="003A1765"/>
    <w:rsid w:val="003A3C32"/>
    <w:rsid w:val="003A4D02"/>
    <w:rsid w:val="003A4D52"/>
    <w:rsid w:val="003A536E"/>
    <w:rsid w:val="003B42A4"/>
    <w:rsid w:val="003B6DEC"/>
    <w:rsid w:val="003B79D3"/>
    <w:rsid w:val="003C2B92"/>
    <w:rsid w:val="003C67E7"/>
    <w:rsid w:val="003C6B50"/>
    <w:rsid w:val="003D126B"/>
    <w:rsid w:val="003D1D33"/>
    <w:rsid w:val="003D22C9"/>
    <w:rsid w:val="003D28AC"/>
    <w:rsid w:val="003D37D8"/>
    <w:rsid w:val="003D7B2A"/>
    <w:rsid w:val="003E215B"/>
    <w:rsid w:val="003E266C"/>
    <w:rsid w:val="003E3C05"/>
    <w:rsid w:val="003E62AB"/>
    <w:rsid w:val="003F282F"/>
    <w:rsid w:val="00400E89"/>
    <w:rsid w:val="00401AB4"/>
    <w:rsid w:val="00402CA2"/>
    <w:rsid w:val="00402D95"/>
    <w:rsid w:val="00403ADD"/>
    <w:rsid w:val="00407629"/>
    <w:rsid w:val="004108EE"/>
    <w:rsid w:val="00410F1A"/>
    <w:rsid w:val="00412A31"/>
    <w:rsid w:val="004200B9"/>
    <w:rsid w:val="00422BE1"/>
    <w:rsid w:val="00426133"/>
    <w:rsid w:val="004300B1"/>
    <w:rsid w:val="00430AF8"/>
    <w:rsid w:val="0043148F"/>
    <w:rsid w:val="0043354D"/>
    <w:rsid w:val="00434EB0"/>
    <w:rsid w:val="004358AB"/>
    <w:rsid w:val="00435DA7"/>
    <w:rsid w:val="004370A2"/>
    <w:rsid w:val="0044318E"/>
    <w:rsid w:val="00444B10"/>
    <w:rsid w:val="00445C28"/>
    <w:rsid w:val="004468B5"/>
    <w:rsid w:val="00447AA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5926"/>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72C"/>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1382"/>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42AA"/>
    <w:rsid w:val="005A15D6"/>
    <w:rsid w:val="005A1FD8"/>
    <w:rsid w:val="005A317D"/>
    <w:rsid w:val="005A79F9"/>
    <w:rsid w:val="005C3594"/>
    <w:rsid w:val="005C46B7"/>
    <w:rsid w:val="005C7C8B"/>
    <w:rsid w:val="005D4F19"/>
    <w:rsid w:val="005D5617"/>
    <w:rsid w:val="005D6044"/>
    <w:rsid w:val="005D6591"/>
    <w:rsid w:val="005D6869"/>
    <w:rsid w:val="005D7446"/>
    <w:rsid w:val="005E4599"/>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149E"/>
    <w:rsid w:val="00642BA5"/>
    <w:rsid w:val="006434E0"/>
    <w:rsid w:val="00650C90"/>
    <w:rsid w:val="0065172D"/>
    <w:rsid w:val="0065287D"/>
    <w:rsid w:val="00653187"/>
    <w:rsid w:val="00654F8D"/>
    <w:rsid w:val="0065671B"/>
    <w:rsid w:val="00656A5A"/>
    <w:rsid w:val="00657E6F"/>
    <w:rsid w:val="00663A42"/>
    <w:rsid w:val="0066418E"/>
    <w:rsid w:val="0066469F"/>
    <w:rsid w:val="0067780F"/>
    <w:rsid w:val="00684375"/>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24F8"/>
    <w:rsid w:val="006C5198"/>
    <w:rsid w:val="006C6A07"/>
    <w:rsid w:val="006E0A3D"/>
    <w:rsid w:val="006E27F1"/>
    <w:rsid w:val="006E5BC8"/>
    <w:rsid w:val="006E7CBA"/>
    <w:rsid w:val="006F222F"/>
    <w:rsid w:val="006F7B69"/>
    <w:rsid w:val="0070241F"/>
    <w:rsid w:val="007024A9"/>
    <w:rsid w:val="00703C96"/>
    <w:rsid w:val="0071048B"/>
    <w:rsid w:val="007111C5"/>
    <w:rsid w:val="00711E70"/>
    <w:rsid w:val="00712483"/>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3889"/>
    <w:rsid w:val="00766FC5"/>
    <w:rsid w:val="00767A90"/>
    <w:rsid w:val="00770E5B"/>
    <w:rsid w:val="00772930"/>
    <w:rsid w:val="00776E20"/>
    <w:rsid w:val="007814AF"/>
    <w:rsid w:val="007825F0"/>
    <w:rsid w:val="00787F15"/>
    <w:rsid w:val="00787F88"/>
    <w:rsid w:val="00791120"/>
    <w:rsid w:val="0079721A"/>
    <w:rsid w:val="007A095C"/>
    <w:rsid w:val="007A0AF8"/>
    <w:rsid w:val="007A283A"/>
    <w:rsid w:val="007A65C8"/>
    <w:rsid w:val="007A6B16"/>
    <w:rsid w:val="007A7AC4"/>
    <w:rsid w:val="007B581D"/>
    <w:rsid w:val="007B639C"/>
    <w:rsid w:val="007B7036"/>
    <w:rsid w:val="007C0870"/>
    <w:rsid w:val="007C2D10"/>
    <w:rsid w:val="007C457D"/>
    <w:rsid w:val="007C552E"/>
    <w:rsid w:val="007D02A9"/>
    <w:rsid w:val="007D166D"/>
    <w:rsid w:val="007D17C7"/>
    <w:rsid w:val="007D2766"/>
    <w:rsid w:val="007D2FF7"/>
    <w:rsid w:val="007D371A"/>
    <w:rsid w:val="007D74D8"/>
    <w:rsid w:val="007E13A4"/>
    <w:rsid w:val="007E20CA"/>
    <w:rsid w:val="007E3988"/>
    <w:rsid w:val="007E4698"/>
    <w:rsid w:val="007E6959"/>
    <w:rsid w:val="007E6991"/>
    <w:rsid w:val="007E7A36"/>
    <w:rsid w:val="007F0D98"/>
    <w:rsid w:val="007F222D"/>
    <w:rsid w:val="007F3FB7"/>
    <w:rsid w:val="007F518D"/>
    <w:rsid w:val="007F68FE"/>
    <w:rsid w:val="007F7E7E"/>
    <w:rsid w:val="008029A7"/>
    <w:rsid w:val="00803C29"/>
    <w:rsid w:val="00804E5E"/>
    <w:rsid w:val="00804FAA"/>
    <w:rsid w:val="00805678"/>
    <w:rsid w:val="00805D26"/>
    <w:rsid w:val="0081553D"/>
    <w:rsid w:val="00815BE9"/>
    <w:rsid w:val="00815C94"/>
    <w:rsid w:val="00815CA8"/>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2C5"/>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7FD"/>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C2"/>
    <w:rsid w:val="008D1AEB"/>
    <w:rsid w:val="008D1E23"/>
    <w:rsid w:val="008D2A7C"/>
    <w:rsid w:val="008D3031"/>
    <w:rsid w:val="008D4F00"/>
    <w:rsid w:val="008D7DBC"/>
    <w:rsid w:val="008E08B2"/>
    <w:rsid w:val="008E0AFC"/>
    <w:rsid w:val="008E1E43"/>
    <w:rsid w:val="008E3116"/>
    <w:rsid w:val="008E637F"/>
    <w:rsid w:val="008E66FE"/>
    <w:rsid w:val="008F27DB"/>
    <w:rsid w:val="008F39AE"/>
    <w:rsid w:val="008F5B6F"/>
    <w:rsid w:val="009002A3"/>
    <w:rsid w:val="0090038C"/>
    <w:rsid w:val="009007EC"/>
    <w:rsid w:val="00900EF5"/>
    <w:rsid w:val="00901EE5"/>
    <w:rsid w:val="0090421D"/>
    <w:rsid w:val="00906447"/>
    <w:rsid w:val="00906CF0"/>
    <w:rsid w:val="0091349D"/>
    <w:rsid w:val="009141C7"/>
    <w:rsid w:val="009160EA"/>
    <w:rsid w:val="009171BA"/>
    <w:rsid w:val="00920597"/>
    <w:rsid w:val="00921E42"/>
    <w:rsid w:val="00922872"/>
    <w:rsid w:val="0092425B"/>
    <w:rsid w:val="00924C83"/>
    <w:rsid w:val="00924D39"/>
    <w:rsid w:val="00924FFE"/>
    <w:rsid w:val="009263C3"/>
    <w:rsid w:val="009268AB"/>
    <w:rsid w:val="009277A1"/>
    <w:rsid w:val="009364FF"/>
    <w:rsid w:val="00942397"/>
    <w:rsid w:val="009425B4"/>
    <w:rsid w:val="0094589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0ACA"/>
    <w:rsid w:val="0097114E"/>
    <w:rsid w:val="009719C3"/>
    <w:rsid w:val="0097578E"/>
    <w:rsid w:val="00976E55"/>
    <w:rsid w:val="009778A5"/>
    <w:rsid w:val="009814B0"/>
    <w:rsid w:val="00984D41"/>
    <w:rsid w:val="009852BB"/>
    <w:rsid w:val="009853C4"/>
    <w:rsid w:val="0098547C"/>
    <w:rsid w:val="009860B4"/>
    <w:rsid w:val="00986724"/>
    <w:rsid w:val="0098718E"/>
    <w:rsid w:val="00994269"/>
    <w:rsid w:val="0099439A"/>
    <w:rsid w:val="00994737"/>
    <w:rsid w:val="009A05EB"/>
    <w:rsid w:val="009A0F00"/>
    <w:rsid w:val="009A37AE"/>
    <w:rsid w:val="009A4059"/>
    <w:rsid w:val="009A47EF"/>
    <w:rsid w:val="009B1979"/>
    <w:rsid w:val="009B1E1B"/>
    <w:rsid w:val="009B2CC0"/>
    <w:rsid w:val="009B492E"/>
    <w:rsid w:val="009B4C38"/>
    <w:rsid w:val="009C0DAB"/>
    <w:rsid w:val="009C1E20"/>
    <w:rsid w:val="009D0378"/>
    <w:rsid w:val="009D0F18"/>
    <w:rsid w:val="009D1EFB"/>
    <w:rsid w:val="009D5964"/>
    <w:rsid w:val="009D6A0C"/>
    <w:rsid w:val="009E0725"/>
    <w:rsid w:val="009E1492"/>
    <w:rsid w:val="009E4B3F"/>
    <w:rsid w:val="009E5877"/>
    <w:rsid w:val="009E65FD"/>
    <w:rsid w:val="009F69B0"/>
    <w:rsid w:val="00A0310D"/>
    <w:rsid w:val="00A073F4"/>
    <w:rsid w:val="00A07BBE"/>
    <w:rsid w:val="00A16439"/>
    <w:rsid w:val="00A21057"/>
    <w:rsid w:val="00A217CE"/>
    <w:rsid w:val="00A21E86"/>
    <w:rsid w:val="00A22DFB"/>
    <w:rsid w:val="00A305E3"/>
    <w:rsid w:val="00A353F1"/>
    <w:rsid w:val="00A357B0"/>
    <w:rsid w:val="00A35B22"/>
    <w:rsid w:val="00A410F8"/>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3F55"/>
    <w:rsid w:val="00A96E79"/>
    <w:rsid w:val="00AA2033"/>
    <w:rsid w:val="00AA4A07"/>
    <w:rsid w:val="00AA6230"/>
    <w:rsid w:val="00AB44D9"/>
    <w:rsid w:val="00AB632D"/>
    <w:rsid w:val="00AC118A"/>
    <w:rsid w:val="00AC5444"/>
    <w:rsid w:val="00AC70E1"/>
    <w:rsid w:val="00AD1D29"/>
    <w:rsid w:val="00AD328E"/>
    <w:rsid w:val="00AD5147"/>
    <w:rsid w:val="00AD7492"/>
    <w:rsid w:val="00AE0837"/>
    <w:rsid w:val="00AE11C8"/>
    <w:rsid w:val="00AE355C"/>
    <w:rsid w:val="00AE4EFC"/>
    <w:rsid w:val="00AE5731"/>
    <w:rsid w:val="00AE7127"/>
    <w:rsid w:val="00AF6BA2"/>
    <w:rsid w:val="00AF7801"/>
    <w:rsid w:val="00B019E2"/>
    <w:rsid w:val="00B020ED"/>
    <w:rsid w:val="00B036CB"/>
    <w:rsid w:val="00B12A45"/>
    <w:rsid w:val="00B130D5"/>
    <w:rsid w:val="00B1345F"/>
    <w:rsid w:val="00B13566"/>
    <w:rsid w:val="00B13A54"/>
    <w:rsid w:val="00B14220"/>
    <w:rsid w:val="00B16701"/>
    <w:rsid w:val="00B16868"/>
    <w:rsid w:val="00B17251"/>
    <w:rsid w:val="00B2159A"/>
    <w:rsid w:val="00B21D32"/>
    <w:rsid w:val="00B30F85"/>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247"/>
    <w:rsid w:val="00C16FE4"/>
    <w:rsid w:val="00C172EB"/>
    <w:rsid w:val="00C22F98"/>
    <w:rsid w:val="00C2363B"/>
    <w:rsid w:val="00C26560"/>
    <w:rsid w:val="00C3062F"/>
    <w:rsid w:val="00C32E7A"/>
    <w:rsid w:val="00C33797"/>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3EA1"/>
    <w:rsid w:val="00CD48EF"/>
    <w:rsid w:val="00CD4BA1"/>
    <w:rsid w:val="00CD59A6"/>
    <w:rsid w:val="00CE33C1"/>
    <w:rsid w:val="00CE3834"/>
    <w:rsid w:val="00CF0348"/>
    <w:rsid w:val="00CF148C"/>
    <w:rsid w:val="00CF3D94"/>
    <w:rsid w:val="00CF48A3"/>
    <w:rsid w:val="00CF5081"/>
    <w:rsid w:val="00D058E4"/>
    <w:rsid w:val="00D07178"/>
    <w:rsid w:val="00D11C0B"/>
    <w:rsid w:val="00D11EE9"/>
    <w:rsid w:val="00D13252"/>
    <w:rsid w:val="00D13F47"/>
    <w:rsid w:val="00D14E66"/>
    <w:rsid w:val="00D1631F"/>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1E6F"/>
    <w:rsid w:val="00D5318C"/>
    <w:rsid w:val="00D53371"/>
    <w:rsid w:val="00D53BD5"/>
    <w:rsid w:val="00D55621"/>
    <w:rsid w:val="00D6000E"/>
    <w:rsid w:val="00D60F49"/>
    <w:rsid w:val="00D713D6"/>
    <w:rsid w:val="00D72DAF"/>
    <w:rsid w:val="00D75BB9"/>
    <w:rsid w:val="00D76276"/>
    <w:rsid w:val="00D77919"/>
    <w:rsid w:val="00D8083C"/>
    <w:rsid w:val="00D80DCC"/>
    <w:rsid w:val="00D85F8D"/>
    <w:rsid w:val="00D87F81"/>
    <w:rsid w:val="00D90E39"/>
    <w:rsid w:val="00D93094"/>
    <w:rsid w:val="00D97E89"/>
    <w:rsid w:val="00DA45EE"/>
    <w:rsid w:val="00DA58A3"/>
    <w:rsid w:val="00DB2F5B"/>
    <w:rsid w:val="00DB3EBB"/>
    <w:rsid w:val="00DB46CB"/>
    <w:rsid w:val="00DB695F"/>
    <w:rsid w:val="00DC03E7"/>
    <w:rsid w:val="00DC0BD4"/>
    <w:rsid w:val="00DC3710"/>
    <w:rsid w:val="00DC3B9E"/>
    <w:rsid w:val="00DC4FB9"/>
    <w:rsid w:val="00DC545F"/>
    <w:rsid w:val="00DC54A9"/>
    <w:rsid w:val="00DC6139"/>
    <w:rsid w:val="00DC6686"/>
    <w:rsid w:val="00DC6D84"/>
    <w:rsid w:val="00DC73A2"/>
    <w:rsid w:val="00DC7F68"/>
    <w:rsid w:val="00DD1D7F"/>
    <w:rsid w:val="00DD360A"/>
    <w:rsid w:val="00DD7F91"/>
    <w:rsid w:val="00DE0985"/>
    <w:rsid w:val="00DE42BF"/>
    <w:rsid w:val="00DE4A1A"/>
    <w:rsid w:val="00DE4E11"/>
    <w:rsid w:val="00DE53FE"/>
    <w:rsid w:val="00DE6ED8"/>
    <w:rsid w:val="00E00A5F"/>
    <w:rsid w:val="00E01238"/>
    <w:rsid w:val="00E04566"/>
    <w:rsid w:val="00E05D64"/>
    <w:rsid w:val="00E07ABB"/>
    <w:rsid w:val="00E07D8F"/>
    <w:rsid w:val="00E10DD3"/>
    <w:rsid w:val="00E13762"/>
    <w:rsid w:val="00E14E2F"/>
    <w:rsid w:val="00E1552D"/>
    <w:rsid w:val="00E1640B"/>
    <w:rsid w:val="00E317A6"/>
    <w:rsid w:val="00E3190E"/>
    <w:rsid w:val="00E31F05"/>
    <w:rsid w:val="00E32285"/>
    <w:rsid w:val="00E34295"/>
    <w:rsid w:val="00E3667E"/>
    <w:rsid w:val="00E40AD8"/>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7776B"/>
    <w:rsid w:val="00E83519"/>
    <w:rsid w:val="00E8527D"/>
    <w:rsid w:val="00E91889"/>
    <w:rsid w:val="00E91F0F"/>
    <w:rsid w:val="00E9212D"/>
    <w:rsid w:val="00E944E2"/>
    <w:rsid w:val="00E95C54"/>
    <w:rsid w:val="00E96103"/>
    <w:rsid w:val="00EA027D"/>
    <w:rsid w:val="00EA27DC"/>
    <w:rsid w:val="00EB22CF"/>
    <w:rsid w:val="00EB3414"/>
    <w:rsid w:val="00EB39DD"/>
    <w:rsid w:val="00EB40E4"/>
    <w:rsid w:val="00EB67BA"/>
    <w:rsid w:val="00EC16F8"/>
    <w:rsid w:val="00EC306F"/>
    <w:rsid w:val="00EC408E"/>
    <w:rsid w:val="00EC41F2"/>
    <w:rsid w:val="00EC4E40"/>
    <w:rsid w:val="00EC4EB3"/>
    <w:rsid w:val="00EC5617"/>
    <w:rsid w:val="00EC7509"/>
    <w:rsid w:val="00EC7C9E"/>
    <w:rsid w:val="00ED1536"/>
    <w:rsid w:val="00ED230D"/>
    <w:rsid w:val="00ED2440"/>
    <w:rsid w:val="00EE1C0B"/>
    <w:rsid w:val="00EE59D0"/>
    <w:rsid w:val="00EE7FF3"/>
    <w:rsid w:val="00EF26BF"/>
    <w:rsid w:val="00EF4148"/>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291B"/>
    <w:rsid w:val="00F44AD0"/>
    <w:rsid w:val="00F46CBB"/>
    <w:rsid w:val="00F50379"/>
    <w:rsid w:val="00F55102"/>
    <w:rsid w:val="00F57115"/>
    <w:rsid w:val="00F615F9"/>
    <w:rsid w:val="00F6298B"/>
    <w:rsid w:val="00F63B02"/>
    <w:rsid w:val="00F65350"/>
    <w:rsid w:val="00F65C21"/>
    <w:rsid w:val="00F700A6"/>
    <w:rsid w:val="00F760D1"/>
    <w:rsid w:val="00F8151A"/>
    <w:rsid w:val="00F83788"/>
    <w:rsid w:val="00F84D69"/>
    <w:rsid w:val="00F85054"/>
    <w:rsid w:val="00F87AEF"/>
    <w:rsid w:val="00F87C14"/>
    <w:rsid w:val="00F94F61"/>
    <w:rsid w:val="00F97436"/>
    <w:rsid w:val="00FA17B4"/>
    <w:rsid w:val="00FA3581"/>
    <w:rsid w:val="00FB10B8"/>
    <w:rsid w:val="00FB24BA"/>
    <w:rsid w:val="00FB28C8"/>
    <w:rsid w:val="00FB381D"/>
    <w:rsid w:val="00FB6172"/>
    <w:rsid w:val="00FB6492"/>
    <w:rsid w:val="00FB7FAD"/>
    <w:rsid w:val="00FC007D"/>
    <w:rsid w:val="00FC131A"/>
    <w:rsid w:val="00FC224A"/>
    <w:rsid w:val="00FC43D6"/>
    <w:rsid w:val="00FC7AB2"/>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iPriority="0" w:qFormat="1"/>
    <w:lsdException w:name="heading 5" w:uiPriority="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0"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nhideWhenUsed="0" w:qFormat="1"/>
    <w:lsdException w:name="Document Map" w:semiHidden="1" w:unhideWhenUsed="0" w:qFormat="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9"/>
    <w:qFormat/>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Char"/>
    <w:uiPriority w:val="99"/>
    <w:qFormat/>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Char"/>
    <w:uiPriority w:val="99"/>
    <w:qFormat/>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Char"/>
    <w:unhideWhenUsed/>
    <w:qFormat/>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Char"/>
    <w:unhideWhenUsed/>
    <w:qFormat/>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Char"/>
    <w:unhideWhenUsed/>
    <w:qFormat/>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4">
    <w:name w:val="annotation text"/>
    <w:basedOn w:val="a"/>
    <w:link w:val="Char0"/>
    <w:uiPriority w:val="99"/>
    <w:unhideWhenUsed/>
    <w:qFormat/>
  </w:style>
  <w:style w:type="paragraph" w:styleId="a5">
    <w:name w:val="Body Text"/>
    <w:basedOn w:val="a"/>
    <w:link w:val="Char1"/>
    <w:uiPriority w:val="99"/>
    <w:qFormat/>
    <w:pPr>
      <w:widowControl w:val="0"/>
      <w:adjustRightInd/>
      <w:snapToGrid/>
      <w:spacing w:after="120"/>
      <w:jc w:val="both"/>
    </w:pPr>
    <w:rPr>
      <w:rFonts w:ascii="Times New Roman" w:eastAsia="宋体" w:hAnsi="Times New Roman" w:cs="Times New Roman"/>
      <w:kern w:val="2"/>
      <w:sz w:val="21"/>
      <w:szCs w:val="24"/>
    </w:rPr>
  </w:style>
  <w:style w:type="paragraph" w:styleId="30">
    <w:name w:val="toc 3"/>
    <w:basedOn w:val="a"/>
    <w:next w:val="a"/>
    <w:uiPriority w:val="39"/>
    <w:qFormat/>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6">
    <w:name w:val="Plain Text"/>
    <w:basedOn w:val="a"/>
    <w:link w:val="Char2"/>
    <w:uiPriority w:val="99"/>
    <w:qFormat/>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7">
    <w:name w:val="Balloon Text"/>
    <w:basedOn w:val="a"/>
    <w:link w:val="Char3"/>
    <w:uiPriority w:val="99"/>
    <w:qFormat/>
    <w:pPr>
      <w:widowControl w:val="0"/>
      <w:adjustRightInd/>
      <w:snapToGrid/>
      <w:spacing w:after="0"/>
      <w:jc w:val="both"/>
    </w:pPr>
    <w:rPr>
      <w:rFonts w:ascii="Times New Roman" w:eastAsia="宋体" w:hAnsi="Times New Roman" w:cs="Times New Roman"/>
      <w:kern w:val="2"/>
      <w:sz w:val="18"/>
      <w:szCs w:val="18"/>
    </w:rPr>
  </w:style>
  <w:style w:type="paragraph" w:styleId="a8">
    <w:name w:val="footer"/>
    <w:basedOn w:val="a"/>
    <w:link w:val="Char4"/>
    <w:uiPriority w:val="99"/>
    <w:unhideWhenUsed/>
    <w:qFormat/>
    <w:pPr>
      <w:tabs>
        <w:tab w:val="center" w:pos="4153"/>
        <w:tab w:val="right" w:pos="8306"/>
      </w:tabs>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a">
    <w:name w:val="footnote text"/>
    <w:basedOn w:val="a"/>
    <w:link w:val="Char6"/>
    <w:uiPriority w:val="99"/>
    <w:qFormat/>
    <w:pPr>
      <w:widowControl w:val="0"/>
      <w:adjustRightInd/>
      <w:spacing w:after="0"/>
    </w:pPr>
    <w:rPr>
      <w:rFonts w:ascii="Times New Roman" w:eastAsia="宋体" w:hAnsi="Times New Roman" w:cs="Times New Roman"/>
      <w:kern w:val="2"/>
      <w:sz w:val="18"/>
      <w:szCs w:val="18"/>
    </w:rPr>
  </w:style>
  <w:style w:type="paragraph" w:styleId="20">
    <w:name w:val="toc 2"/>
    <w:basedOn w:val="a"/>
    <w:next w:val="a"/>
    <w:uiPriority w:val="39"/>
    <w:qFormat/>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b">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c">
    <w:name w:val="Title"/>
    <w:basedOn w:val="a"/>
    <w:next w:val="a"/>
    <w:link w:val="Char7"/>
    <w:qFormat/>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d">
    <w:name w:val="annotation subject"/>
    <w:basedOn w:val="a4"/>
    <w:next w:val="a4"/>
    <w:link w:val="Char8"/>
    <w:uiPriority w:val="99"/>
    <w:qFormat/>
    <w:pPr>
      <w:widowControl w:val="0"/>
      <w:adjustRightInd/>
      <w:snapToGrid/>
      <w:spacing w:after="0"/>
    </w:pPr>
    <w:rPr>
      <w:rFonts w:ascii="Times New Roman" w:eastAsia="宋体" w:hAnsi="Times New Roman" w:cs="Times New Roman"/>
      <w:b/>
      <w:bCs/>
      <w:kern w:val="2"/>
      <w:sz w:val="21"/>
      <w:szCs w:val="24"/>
    </w:rPr>
  </w:style>
  <w:style w:type="character" w:styleId="ae">
    <w:name w:val="page number"/>
    <w:basedOn w:val="a0"/>
    <w:uiPriority w:val="99"/>
    <w:qFormat/>
  </w:style>
  <w:style w:type="character" w:styleId="af">
    <w:name w:val="FollowedHyperlink"/>
    <w:basedOn w:val="a0"/>
    <w:uiPriority w:val="99"/>
    <w:unhideWhenUsed/>
    <w:qFormat/>
    <w:rPr>
      <w:color w:val="800080"/>
      <w:u w:val="single"/>
    </w:rPr>
  </w:style>
  <w:style w:type="character" w:styleId="af0">
    <w:name w:val="Emphasis"/>
    <w:uiPriority w:val="99"/>
    <w:qFormat/>
    <w:rPr>
      <w:color w:val="CC0000"/>
    </w:rPr>
  </w:style>
  <w:style w:type="character" w:styleId="af1">
    <w:name w:val="Hyperlink"/>
    <w:uiPriority w:val="99"/>
    <w:qFormat/>
    <w:rPr>
      <w:color w:val="0000FF"/>
      <w:u w:val="single"/>
    </w:rPr>
  </w:style>
  <w:style w:type="character" w:styleId="af2">
    <w:name w:val="annotation reference"/>
    <w:basedOn w:val="a0"/>
    <w:uiPriority w:val="99"/>
    <w:qFormat/>
    <w:rPr>
      <w:sz w:val="21"/>
      <w:szCs w:val="21"/>
    </w:rPr>
  </w:style>
  <w:style w:type="character" w:styleId="af3">
    <w:name w:val="footnote reference"/>
    <w:basedOn w:val="a0"/>
    <w:uiPriority w:val="99"/>
    <w:qFormat/>
    <w:rPr>
      <w:vertAlign w:val="superscript"/>
    </w:rPr>
  </w:style>
  <w:style w:type="character" w:customStyle="1" w:styleId="1Char">
    <w:name w:val="标题 1 Char"/>
    <w:basedOn w:val="a0"/>
    <w:link w:val="1"/>
    <w:uiPriority w:val="99"/>
    <w:qFormat/>
    <w:rPr>
      <w:rFonts w:ascii="Times New Roman" w:eastAsia="黑体" w:hAnsi="Times New Roman" w:cs="Times New Roman"/>
      <w:b/>
      <w:bCs/>
      <w:color w:val="000000"/>
      <w:kern w:val="44"/>
      <w:sz w:val="36"/>
      <w:szCs w:val="44"/>
      <w:u w:color="000000"/>
    </w:rPr>
  </w:style>
  <w:style w:type="character" w:customStyle="1" w:styleId="2Char">
    <w:name w:val="标题 2 Char"/>
    <w:basedOn w:val="a0"/>
    <w:link w:val="2"/>
    <w:uiPriority w:val="99"/>
    <w:qFormat/>
    <w:rPr>
      <w:rFonts w:ascii="Arial" w:eastAsia="黑体" w:hAnsi="Arial" w:cs="Times New Roman"/>
      <w:b/>
      <w:bCs/>
      <w:kern w:val="2"/>
      <w:sz w:val="32"/>
      <w:szCs w:val="32"/>
    </w:rPr>
  </w:style>
  <w:style w:type="character" w:customStyle="1" w:styleId="3Char">
    <w:name w:val="标题 3 Char"/>
    <w:basedOn w:val="a0"/>
    <w:link w:val="3"/>
    <w:uiPriority w:val="99"/>
    <w:qFormat/>
    <w:rPr>
      <w:rFonts w:ascii="Times New Roman" w:eastAsia="仿宋_GB2312" w:hAnsi="Times New Roman" w:cs="Times New Roman"/>
      <w:b/>
      <w:bCs/>
      <w:sz w:val="30"/>
      <w:szCs w:val="32"/>
      <w:u w:color="000000"/>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5Char">
    <w:name w:val="标题 5 Char"/>
    <w:basedOn w:val="a0"/>
    <w:link w:val="5"/>
    <w:qFormat/>
    <w:rPr>
      <w:rFonts w:ascii="Times New Roman" w:eastAsia="宋体" w:hAnsi="Times New Roman" w:cs="Times New Roman"/>
      <w:b/>
      <w:bCs/>
      <w:kern w:val="2"/>
      <w:sz w:val="28"/>
      <w:szCs w:val="28"/>
    </w:rPr>
  </w:style>
  <w:style w:type="character" w:customStyle="1" w:styleId="6Char">
    <w:name w:val="标题 6 Char"/>
    <w:basedOn w:val="a0"/>
    <w:link w:val="6"/>
    <w:qFormat/>
    <w:rPr>
      <w:rFonts w:asciiTheme="majorHAnsi" w:eastAsiaTheme="majorEastAsia" w:hAnsiTheme="majorHAnsi" w:cstheme="majorBidi"/>
      <w:b/>
      <w:bCs/>
      <w:kern w:val="2"/>
      <w:sz w:val="24"/>
      <w:szCs w:val="24"/>
    </w:rPr>
  </w:style>
  <w:style w:type="character" w:customStyle="1" w:styleId="Char5">
    <w:name w:val="页眉 Char"/>
    <w:basedOn w:val="a0"/>
    <w:link w:val="a9"/>
    <w:uiPriority w:val="99"/>
    <w:qFormat/>
    <w:rPr>
      <w:rFonts w:ascii="Tahoma" w:hAnsi="Tahoma"/>
      <w:sz w:val="18"/>
      <w:szCs w:val="18"/>
    </w:rPr>
  </w:style>
  <w:style w:type="character" w:customStyle="1" w:styleId="Char4">
    <w:name w:val="页脚 Char"/>
    <w:basedOn w:val="a0"/>
    <w:link w:val="a8"/>
    <w:uiPriority w:val="99"/>
    <w:qFormat/>
    <w:rPr>
      <w:rFonts w:ascii="Tahoma" w:hAnsi="Tahoma"/>
      <w:sz w:val="18"/>
      <w:szCs w:val="18"/>
    </w:rPr>
  </w:style>
  <w:style w:type="paragraph" w:customStyle="1" w:styleId="11">
    <w:name w:val="标题1"/>
    <w:basedOn w:val="a"/>
    <w:qFormat/>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4">
    <w:name w:val="List Paragraph"/>
    <w:basedOn w:val="a"/>
    <w:uiPriority w:val="99"/>
    <w:qFormat/>
    <w:pPr>
      <w:ind w:firstLineChars="200" w:firstLine="420"/>
    </w:pPr>
  </w:style>
  <w:style w:type="character" w:customStyle="1" w:styleId="Char0">
    <w:name w:val="批注文字 Char"/>
    <w:basedOn w:val="a0"/>
    <w:link w:val="a4"/>
    <w:uiPriority w:val="99"/>
    <w:qFormat/>
    <w:rPr>
      <w:rFonts w:ascii="Tahoma" w:hAnsi="Tahoma"/>
    </w:rPr>
  </w:style>
  <w:style w:type="character" w:customStyle="1" w:styleId="Char8">
    <w:name w:val="批注主题 Char"/>
    <w:basedOn w:val="Char0"/>
    <w:link w:val="ad"/>
    <w:uiPriority w:val="99"/>
    <w:qFormat/>
    <w:rPr>
      <w:rFonts w:ascii="Times New Roman" w:eastAsia="宋体" w:hAnsi="Times New Roman" w:cs="Times New Roman"/>
      <w:b/>
      <w:bCs/>
      <w:kern w:val="2"/>
      <w:sz w:val="21"/>
      <w:szCs w:val="24"/>
    </w:rPr>
  </w:style>
  <w:style w:type="character" w:customStyle="1" w:styleId="Char">
    <w:name w:val="文档结构图 Char"/>
    <w:basedOn w:val="a0"/>
    <w:link w:val="a3"/>
    <w:uiPriority w:val="99"/>
    <w:semiHidden/>
    <w:qFormat/>
    <w:rPr>
      <w:rFonts w:ascii="Times New Roman" w:eastAsia="宋体" w:hAnsi="Times New Roman" w:cs="Times New Roman"/>
      <w:kern w:val="2"/>
      <w:sz w:val="21"/>
      <w:szCs w:val="24"/>
      <w:shd w:val="clear" w:color="auto" w:fill="000080"/>
    </w:rPr>
  </w:style>
  <w:style w:type="character" w:customStyle="1" w:styleId="Char1">
    <w:name w:val="正文文本 Char"/>
    <w:basedOn w:val="a0"/>
    <w:link w:val="a5"/>
    <w:uiPriority w:val="99"/>
    <w:qFormat/>
    <w:rPr>
      <w:rFonts w:ascii="Times New Roman" w:eastAsia="宋体" w:hAnsi="Times New Roman" w:cs="Times New Roman"/>
      <w:kern w:val="2"/>
      <w:sz w:val="21"/>
      <w:szCs w:val="24"/>
    </w:rPr>
  </w:style>
  <w:style w:type="character" w:customStyle="1" w:styleId="Char2">
    <w:name w:val="纯文本 Char"/>
    <w:basedOn w:val="a0"/>
    <w:link w:val="a6"/>
    <w:uiPriority w:val="99"/>
    <w:qFormat/>
    <w:rPr>
      <w:rFonts w:ascii="宋体" w:eastAsia="宋体" w:hAnsi="Times New Roman" w:cs="Times New Roman"/>
      <w:color w:val="000000"/>
      <w:sz w:val="21"/>
      <w:szCs w:val="20"/>
      <w:u w:color="000000"/>
    </w:rPr>
  </w:style>
  <w:style w:type="character" w:customStyle="1" w:styleId="Char3">
    <w:name w:val="批注框文本 Char"/>
    <w:basedOn w:val="a0"/>
    <w:link w:val="a7"/>
    <w:uiPriority w:val="99"/>
    <w:qFormat/>
    <w:rPr>
      <w:rFonts w:ascii="Times New Roman" w:eastAsia="宋体" w:hAnsi="Times New Roman" w:cs="Times New Roman"/>
      <w:kern w:val="2"/>
      <w:sz w:val="18"/>
      <w:szCs w:val="18"/>
    </w:rPr>
  </w:style>
  <w:style w:type="character" w:customStyle="1" w:styleId="Char6">
    <w:name w:val="脚注文本 Char"/>
    <w:basedOn w:val="a0"/>
    <w:link w:val="aa"/>
    <w:uiPriority w:val="99"/>
    <w:qFormat/>
    <w:rPr>
      <w:rFonts w:ascii="Times New Roman" w:eastAsia="宋体" w:hAnsi="Times New Roman" w:cs="Times New Roman"/>
      <w:kern w:val="2"/>
      <w:sz w:val="18"/>
      <w:szCs w:val="18"/>
    </w:rPr>
  </w:style>
  <w:style w:type="character" w:customStyle="1" w:styleId="HTMLChar">
    <w:name w:val="HTML 预设格式 Char"/>
    <w:basedOn w:val="a0"/>
    <w:link w:val="HTML"/>
    <w:qFormat/>
    <w:rPr>
      <w:rFonts w:ascii="宋体" w:eastAsia="宋体" w:hAnsi="宋体" w:cs="宋体"/>
      <w:sz w:val="24"/>
      <w:szCs w:val="24"/>
    </w:rPr>
  </w:style>
  <w:style w:type="paragraph" w:customStyle="1" w:styleId="xl69">
    <w:name w:val="xl69"/>
    <w:basedOn w:val="a"/>
    <w:uiPriority w:val="99"/>
    <w:qFormat/>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pPr>
      <w:widowControl w:val="0"/>
      <w:adjustRightInd/>
      <w:snapToGrid/>
      <w:spacing w:after="0"/>
      <w:jc w:val="both"/>
    </w:pPr>
    <w:rPr>
      <w:rFonts w:ascii="Times New Roman" w:eastAsia="宋体" w:hAnsi="Times New Roman" w:cs="Times New Roman"/>
      <w:kern w:val="2"/>
      <w:sz w:val="21"/>
      <w:szCs w:val="24"/>
    </w:rPr>
  </w:style>
  <w:style w:type="paragraph" w:customStyle="1" w:styleId="Char9">
    <w:name w:val="Char"/>
    <w:basedOn w:val="a"/>
    <w:uiPriority w:val="99"/>
    <w:qFormat/>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Char7">
    <w:name w:val="标题 Char"/>
    <w:basedOn w:val="a0"/>
    <w:link w:val="ac"/>
    <w:qFormat/>
    <w:rPr>
      <w:rFonts w:asciiTheme="majorHAnsi" w:eastAsia="宋体" w:hAnsiTheme="majorHAnsi" w:cstheme="majorBidi"/>
      <w:b/>
      <w:bCs/>
      <w:kern w:val="2"/>
      <w:sz w:val="32"/>
      <w:szCs w:val="32"/>
    </w:rPr>
  </w:style>
  <w:style w:type="paragraph" w:customStyle="1" w:styleId="TOC1">
    <w:name w:val="TOC 标题1"/>
    <w:basedOn w:val="1"/>
    <w:next w:val="a"/>
    <w:uiPriority w:val="39"/>
    <w:unhideWhenUsed/>
    <w:qFormat/>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Pr>
      <w:rFonts w:ascii="宋体" w:eastAsia="宋体" w:hAnsi="宋体" w:cs="宋体" w:hint="eastAsia"/>
      <w:b/>
      <w:color w:val="000000"/>
      <w:sz w:val="32"/>
      <w:szCs w:val="32"/>
      <w:u w:val="none"/>
    </w:rPr>
  </w:style>
  <w:style w:type="character" w:customStyle="1" w:styleId="font21">
    <w:name w:val="font21"/>
    <w:basedOn w:val="a0"/>
    <w:qFormat/>
    <w:rPr>
      <w:rFonts w:ascii="Times New Roman" w:hAnsi="Times New Roman" w:cs="Times New Roman" w:hint="default"/>
      <w:b/>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年决算收入结构图</a:t>
            </a:r>
          </a:p>
        </c:rich>
      </c:tx>
      <c:layout>
        <c:manualLayout>
          <c:xMode val="edge"/>
          <c:yMode val="edge"/>
          <c:x val="0.295138888888892"/>
          <c:y val="6.9444444444444796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dPt>
          <c:dPt>
            <c:idx val="1"/>
            <c:bubble3D val="0"/>
          </c:dPt>
          <c:dPt>
            <c:idx val="2"/>
            <c:bubble3D val="0"/>
          </c:dPt>
          <c:dPt>
            <c:idx val="3"/>
            <c:bubble3D val="0"/>
          </c:dPt>
          <c:dLbls>
            <c:dLbl>
              <c:idx val="0"/>
              <c:layout>
                <c:manualLayout>
                  <c:x val="-0.139737751531059"/>
                  <c:y val="-0.178139399241762"/>
                </c:manualLayout>
              </c:layout>
              <c:tx>
                <c:rich>
                  <a:bodyPr/>
                  <a:lstStyle/>
                  <a:p>
                    <a:r>
                      <a:rPr lang="en-US" altLang="en-US"/>
                      <a:t>1041.17. , 82.57%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1.2076559323612733E-2"/>
                  <c:y val="2.6053836293719098E-2"/>
                </c:manualLayout>
              </c:layout>
              <c:tx>
                <c:rich>
                  <a:bodyPr/>
                  <a:lstStyle/>
                  <a:p>
                    <a:r>
                      <a:rPr lang="en-US" altLang="en-US"/>
                      <a:t>150.15 , 11.91%</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1.9693241469816301E-2"/>
                  <c:y val="-5.0106080489938899E-2"/>
                </c:manualLayout>
              </c:layout>
              <c:tx>
                <c:rich>
                  <a:bodyPr/>
                  <a:lstStyle/>
                  <a:p>
                    <a:r>
                      <a:rPr lang="en-US" altLang="en-US"/>
                      <a:t>24.36 , 1.93%</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899"/>
                  <c:y val="-2.6103091280256601E-2"/>
                </c:manualLayout>
              </c:layout>
              <c:tx>
                <c:rich>
                  <a:bodyPr/>
                  <a:lstStyle/>
                  <a:p>
                    <a:r>
                      <a:rPr lang="en-US" altLang="en-US"/>
                      <a:t>45.27, 3.59%</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pitchFamily="3" charset="-122"/>
                <a:ea typeface="仿宋" panose="02010609060101010101" pitchFamily="3" charset="-122"/>
                <a:cs typeface="仿宋" panose="02010609060101010101" pitchFamily="3" charset="-122"/>
              </a:rPr>
              <a:t>2021</a:t>
            </a:r>
            <a:r>
              <a:rPr lang="zh-CN" altLang="en-US" sz="1400" b="0" i="0" u="none" strike="noStrike" kern="1200" baseline="0">
                <a:solidFill>
                  <a:sysClr val="windowText" lastClr="000000"/>
                </a:solidFill>
                <a:latin typeface="仿宋" panose="02010609060101010101" pitchFamily="3" charset="-122"/>
                <a:ea typeface="仿宋" panose="02010609060101010101" pitchFamily="3" charset="-122"/>
                <a:cs typeface="仿宋" panose="02010609060101010101" pitchFamily="3" charset="-122"/>
              </a:rPr>
              <a:t>年</a:t>
            </a:r>
            <a:r>
              <a:rPr lang="zh-CN" altLang="en-US" sz="1400" b="0">
                <a:latin typeface="仿宋" panose="02010609060101010101" pitchFamily="3" charset="-122"/>
                <a:ea typeface="仿宋" panose="02010609060101010101" pitchFamily="3" charset="-122"/>
                <a:cs typeface="仿宋" panose="02010609060101010101" pitchFamily="3" charset="-122"/>
              </a:rPr>
              <a:t>度预算收入与决算收入对比图</a:t>
            </a:r>
          </a:p>
        </c:rich>
      </c:tx>
      <c:layout>
        <c:manualLayout>
          <c:xMode val="edge"/>
          <c:yMode val="edge"/>
          <c:x val="0.186409052606237"/>
          <c:y val="6.8415051311288902E-3"/>
        </c:manualLayout>
      </c:layout>
      <c:overlay val="0"/>
    </c:title>
    <c:autoTitleDeleted val="0"/>
    <c:plotArea>
      <c:layout>
        <c:manualLayout>
          <c:layoutTarget val="inner"/>
          <c:xMode val="edge"/>
          <c:yMode val="edge"/>
          <c:x val="0.15942755000452499"/>
          <c:y val="0.17479709267110899"/>
          <c:w val="0.68452083083523196"/>
          <c:h val="0.38823743185948201"/>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2.0304568527918801E-2"/>
                  <c:y val="0"/>
                </c:manualLayout>
              </c:layout>
              <c:tx>
                <c:rich>
                  <a:bodyPr/>
                  <a:lstStyle/>
                  <a:p>
                    <a:r>
                      <a:rPr lang="en-US" altLang="en-US"/>
                      <a:t>1035.02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7681895093062603E-3"/>
                  <c:y val="-7.69230769230769E-2"/>
                </c:manualLayout>
              </c:layout>
              <c:tx>
                <c:rich>
                  <a:bodyPr/>
                  <a:lstStyle/>
                  <a:p>
                    <a:r>
                      <a:rPr lang="en-US" altLang="en-US"/>
                      <a:t>111.58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5363790186126E-2"/>
                  <c:y val="-3.8461538461538498E-2"/>
                </c:manualLayout>
              </c:layout>
              <c:tx>
                <c:rich>
                  <a:bodyPr/>
                  <a:lstStyle/>
                  <a:p>
                    <a:r>
                      <a:rPr lang="en-US" altLang="en-US"/>
                      <a:t>37.77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560631697687499E-2"/>
                  <c:y val="-1.7094017094017099E-2"/>
                </c:manualLayout>
              </c:layout>
              <c:tx>
                <c:rich>
                  <a:bodyPr/>
                  <a:lstStyle/>
                  <a:p>
                    <a:r>
                      <a:rPr lang="en-US" altLang="en-US"/>
                      <a:t>45.18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2.2560631697687498E-3"/>
                  <c:y val="1.7094017094017099E-2"/>
                </c:manualLayout>
              </c:layout>
              <c:tx>
                <c:rich>
                  <a:bodyPr/>
                  <a:lstStyle/>
                  <a:p>
                    <a:r>
                      <a:rPr lang="en-US" altLang="en-US"/>
                      <a:t>1041.17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ltLang="en-US"/>
                      <a:t>150.15 </a:t>
                    </a:r>
                  </a:p>
                </c:rich>
              </c:tx>
              <c:dLblPos val="outEnd"/>
              <c:showLegendKey val="0"/>
              <c:showVal val="1"/>
              <c:showCatName val="0"/>
              <c:showSerName val="0"/>
              <c:showPercent val="0"/>
              <c:showBubbleSize val="0"/>
            </c:dLbl>
            <c:dLbl>
              <c:idx val="2"/>
              <c:layout>
                <c:manualLayout>
                  <c:x val="6.7681895093061797E-3"/>
                  <c:y val="0"/>
                </c:manualLayout>
              </c:layout>
              <c:tx>
                <c:rich>
                  <a:bodyPr/>
                  <a:lstStyle/>
                  <a:p>
                    <a:r>
                      <a:rPr lang="en-US" altLang="en-US"/>
                      <a:t>24.36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560631697687499E-2"/>
                  <c:y val="1.2820512820512799E-2"/>
                </c:manualLayout>
              </c:layout>
              <c:tx>
                <c:rich>
                  <a:bodyPr/>
                  <a:lstStyle/>
                  <a:p>
                    <a:r>
                      <a:rPr lang="en-US" altLang="en-US"/>
                      <a:t>45.27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484759808"/>
        <c:axId val="484765696"/>
      </c:barChart>
      <c:catAx>
        <c:axId val="4847598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4765696"/>
        <c:crosses val="autoZero"/>
        <c:auto val="1"/>
        <c:lblAlgn val="ctr"/>
        <c:lblOffset val="100"/>
        <c:noMultiLvlLbl val="0"/>
      </c:catAx>
      <c:valAx>
        <c:axId val="484765696"/>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475980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年度决算支出结构图</a:t>
            </a:r>
          </a:p>
        </c:rich>
      </c:tx>
      <c:layout>
        <c:manualLayout>
          <c:xMode val="edge"/>
          <c:yMode val="edge"/>
          <c:x val="0.29834605597964797"/>
          <c:y val="6.8259385665528898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dPt>
          <c:dPt>
            <c:idx val="1"/>
            <c:bubble3D val="0"/>
          </c:dPt>
          <c:dPt>
            <c:idx val="2"/>
            <c:bubble3D val="0"/>
          </c:dPt>
          <c:dPt>
            <c:idx val="3"/>
            <c:bubble3D val="0"/>
          </c:dPt>
          <c:dLbls>
            <c:dLbl>
              <c:idx val="0"/>
              <c:layout>
                <c:manualLayout>
                  <c:x val="-0.139737751531059"/>
                  <c:y val="-0.178139399241762"/>
                </c:manualLayout>
              </c:layout>
              <c:tx>
                <c:rich>
                  <a:bodyPr/>
                  <a:lstStyle/>
                  <a:p>
                    <a:r>
                      <a:rPr lang="en-US" altLang="en-US"/>
                      <a:t>1256.17 , 85.11%</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6.5094050743656996E-3"/>
                  <c:y val="2.6053878681831798E-2"/>
                </c:manualLayout>
              </c:layout>
              <c:tx>
                <c:rich>
                  <a:bodyPr/>
                  <a:lstStyle/>
                  <a:p>
                    <a:r>
                      <a:rPr lang="en-US" altLang="en-US"/>
                      <a:t>150.15 , 10.17%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1.9693241469816301E-2"/>
                  <c:y val="-5.0106080489938899E-2"/>
                </c:manualLayout>
              </c:layout>
              <c:tx>
                <c:rich>
                  <a:bodyPr/>
                  <a:lstStyle/>
                  <a:p>
                    <a:r>
                      <a:rPr lang="en-US" altLang="en-US"/>
                      <a:t>24.36 , 1.65%</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899"/>
                  <c:y val="-2.6103091280256601E-2"/>
                </c:manualLayout>
              </c:layout>
              <c:tx>
                <c:rich>
                  <a:bodyPr/>
                  <a:lstStyle/>
                  <a:p>
                    <a:r>
                      <a:rPr lang="en-US" altLang="en-US"/>
                      <a:t>45.27 , 3.07%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1189.1600000000001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年预算支出与决算支出对比图</a:t>
            </a:r>
          </a:p>
        </c:rich>
      </c:tx>
      <c:layout>
        <c:manualLayout>
          <c:xMode val="edge"/>
          <c:yMode val="edge"/>
          <c:x val="0.212023186761504"/>
          <c:y val="7.8926598263614808E-3"/>
        </c:manualLayout>
      </c:layout>
      <c:overlay val="0"/>
    </c:title>
    <c:autoTitleDeleted val="0"/>
    <c:plotArea>
      <c:layout>
        <c:manualLayout>
          <c:layoutTarget val="inner"/>
          <c:xMode val="edge"/>
          <c:yMode val="edge"/>
          <c:x val="0.17632780429172601"/>
          <c:y val="0.151059495972789"/>
          <c:w val="0.67719694120596696"/>
          <c:h val="0.3883188634569890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2.0304568527918801E-2"/>
                  <c:y val="0"/>
                </c:manualLayout>
              </c:layout>
              <c:tx>
                <c:rich>
                  <a:bodyPr/>
                  <a:lstStyle/>
                  <a:p>
                    <a:r>
                      <a:rPr lang="en-US" altLang="en-US"/>
                      <a:t>1035.02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7681895093062603E-3"/>
                  <c:y val="-7.69230769230769E-2"/>
                </c:manualLayout>
              </c:layout>
              <c:tx>
                <c:rich>
                  <a:bodyPr/>
                  <a:lstStyle/>
                  <a:p>
                    <a:r>
                      <a:rPr lang="en-US" altLang="en-US"/>
                      <a:t>111.58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5363790186126E-2"/>
                  <c:y val="-3.8461538461538498E-2"/>
                </c:manualLayout>
              </c:layout>
              <c:tx>
                <c:rich>
                  <a:bodyPr/>
                  <a:lstStyle/>
                  <a:p>
                    <a:r>
                      <a:rPr lang="en-US" altLang="en-US"/>
                      <a:t>37.77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560631697687499E-2"/>
                  <c:y val="-1.7094017094017099E-2"/>
                </c:manualLayout>
              </c:layout>
              <c:tx>
                <c:rich>
                  <a:bodyPr/>
                  <a:lstStyle/>
                  <a:p>
                    <a:r>
                      <a:rPr lang="en-US" altLang="en-US"/>
                      <a:t>45.18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2.2560631697687498E-3"/>
                  <c:y val="1.7094017094017099E-2"/>
                </c:manualLayout>
              </c:layout>
              <c:tx>
                <c:rich>
                  <a:bodyPr/>
                  <a:lstStyle/>
                  <a:p>
                    <a:r>
                      <a:rPr lang="en-US" altLang="en-US"/>
                      <a:t>1256.17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ltLang="en-US"/>
                      <a:t>150.15 </a:t>
                    </a:r>
                  </a:p>
                </c:rich>
              </c:tx>
              <c:dLblPos val="outEnd"/>
              <c:showLegendKey val="0"/>
              <c:showVal val="1"/>
              <c:showCatName val="0"/>
              <c:showSerName val="0"/>
              <c:showPercent val="0"/>
              <c:showBubbleSize val="0"/>
            </c:dLbl>
            <c:dLbl>
              <c:idx val="2"/>
              <c:layout>
                <c:manualLayout>
                  <c:x val="6.7681895093061797E-3"/>
                  <c:y val="0"/>
                </c:manualLayout>
              </c:layout>
              <c:tx>
                <c:rich>
                  <a:bodyPr/>
                  <a:lstStyle/>
                  <a:p>
                    <a:r>
                      <a:rPr lang="en-US" altLang="en-US"/>
                      <a:t>24.36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2560631697687499E-2"/>
                  <c:y val="1.2820512820512799E-2"/>
                </c:manualLayout>
              </c:layout>
              <c:tx>
                <c:rich>
                  <a:bodyPr/>
                  <a:lstStyle/>
                  <a:p>
                    <a:r>
                      <a:rPr lang="en-US" altLang="en-US"/>
                      <a:t>45.27 </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1189.1600000000001</c:v>
                </c:pt>
                <c:pt idx="1">
                  <c:v>105.54</c:v>
                </c:pt>
                <c:pt idx="2">
                  <c:v>23.94</c:v>
                </c:pt>
                <c:pt idx="3">
                  <c:v>45.89</c:v>
                </c:pt>
              </c:numCache>
            </c:numRef>
          </c:val>
        </c:ser>
        <c:dLbls>
          <c:showLegendKey val="0"/>
          <c:showVal val="1"/>
          <c:showCatName val="0"/>
          <c:showSerName val="0"/>
          <c:showPercent val="0"/>
          <c:showBubbleSize val="0"/>
        </c:dLbls>
        <c:gapWidth val="150"/>
        <c:axId val="484947072"/>
        <c:axId val="484948608"/>
      </c:barChart>
      <c:catAx>
        <c:axId val="4849470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4948608"/>
        <c:crosses val="autoZero"/>
        <c:auto val="1"/>
        <c:lblAlgn val="ctr"/>
        <c:lblOffset val="100"/>
        <c:noMultiLvlLbl val="0"/>
      </c:catAx>
      <c:valAx>
        <c:axId val="484948608"/>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494707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0.86294</cdr:x>
      <cdr:y>0.13462</cdr:y>
    </cdr:from>
    <cdr:to>
      <cdr:x>0.99831</cdr:x>
      <cdr:y>0.21474</cdr:y>
    </cdr:to>
    <cdr:sp macro="" textlink="">
      <cdr:nvSpPr>
        <cdr:cNvPr id="2" name="矩形 1"/>
        <cdr:cNvSpPr/>
      </cdr:nvSpPr>
      <cdr:spPr>
        <a:xfrm xmlns:a="http://schemas.openxmlformats.org/drawingml/2006/main">
          <a:off x="3608362" y="174387"/>
          <a:ext cx="566046" cy="103787"/>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900"/>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drawings/drawing4.xml><?xml version="1.0" encoding="utf-8"?>
<c:userShapes xmlns:c="http://schemas.openxmlformats.org/drawingml/2006/chart">
  <cdr:relSizeAnchor xmlns:cdr="http://schemas.openxmlformats.org/drawingml/2006/chartDrawing">
    <cdr:from>
      <cdr:x>0.86294</cdr:x>
      <cdr:y>0.13462</cdr:y>
    </cdr:from>
    <cdr:to>
      <cdr:x>0.99831</cdr:x>
      <cdr:y>0.21474</cdr:y>
    </cdr:to>
    <cdr:sp macro="" textlink="">
      <cdr:nvSpPr>
        <cdr:cNvPr id="2" name="矩形 1"/>
        <cdr:cNvSpPr/>
      </cdr:nvSpPr>
      <cdr:spPr>
        <a:xfrm xmlns:a="http://schemas.openxmlformats.org/drawingml/2006/main">
          <a:off x="4857751" y="400050"/>
          <a:ext cx="762000"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900"/>
            <a:t>单位：万元</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99497-B3F8-413D-894C-109B1D91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35</Pages>
  <Words>2333</Words>
  <Characters>13299</Characters>
  <Application>Microsoft Office Word</Application>
  <DocSecurity>0</DocSecurity>
  <Lines>110</Lines>
  <Paragraphs>31</Paragraphs>
  <ScaleCrop>false</ScaleCrop>
  <Company>Microsoft</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caiwu</cp:lastModifiedBy>
  <cp:revision>251</cp:revision>
  <cp:lastPrinted>2022-11-21T09:36:00Z</cp:lastPrinted>
  <dcterms:created xsi:type="dcterms:W3CDTF">2019-11-18T06:52:00Z</dcterms:created>
  <dcterms:modified xsi:type="dcterms:W3CDTF">2025-05-12T06:52:00Z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7E7588654FC244E380CF99C244D2BB12</vt:lpwstr>
  </property>
</Properties>
</file>