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hint="eastAsia" w:ascii="宋体" w:hAnsi="宋体" w:eastAsia="宋体"/>
          <w:b/>
          <w:sz w:val="44"/>
          <w:szCs w:val="44"/>
          <w:lang w:eastAsia="zh-CN"/>
        </w:rPr>
        <w:t>大因镇人民政府</w:t>
      </w: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根据《保定市徐水区大因镇人民政府职能配置、内设机构和人员编制规定》，</w:t>
      </w:r>
      <w:r>
        <w:rPr>
          <w:rFonts w:ascii="Times New Roman" w:eastAsia="方正仿宋_GBK"/>
          <w:sz w:val="28"/>
        </w:rPr>
        <w:t xml:space="preserve"> 保定市徐水区大因镇人民政府的主要职责是：</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（一）检查监督代表法、选举法及实施办报贯彻实施；承担人大换届选举及人事任免服务工作；负责对乡镇政府组成人员和乡镇人民法院主要负责人的目标责任书、述职报告的督办工作。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（四）组织指导基层政权和社区建设；推进社会工作人员队伍建设。</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（五）水利水电项目的建设与维护管理。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（六）负责乡镇防汛抗旱组织建设，应急调度，建设应急度汛、抗旱应急、海堤、山洪灾害防治项目，储备管理防汛抗旱物资，建设水利信息化基础设施，提高乡镇抗御水旱灾害能力。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（七）乡镇公用设施建设、安全和应急管理；落实村庄的小城镇建设政策；指导农村住房建设、住房安全和危房改造；发送小城镇和村庄人居环境。</w:t>
      </w:r>
      <w:r>
        <w:rPr>
          <w:rFonts w:ascii="Times New Roman" w:eastAsia="方正仿宋_GBK"/>
          <w:sz w:val="28"/>
        </w:rPr>
        <w:t xml:space="preserve"> </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（八）完成交通基础设施投资；管理乡镇重点工程建设、工程质量和安全生产，对项目招投标活动进行监督管理。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（九）协助完成国家下达的广播电视直播卫星户户通工程、农村电影工作、数字影院升级改造、农家书屋建设、全民阅读活动、老放映员生活补助以及应急广播体系建设等任务目标。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（十）通过贯彻实施新型农村合作医疗、疾病应急救助、城乡居民大病保险以及公费医疗等制度，保障人民群众公平享有所需医疗服务权益。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（十一）提供各类计划生育技术服务，开展出生人口性别比治理以及流动人口计划生育管理等各项工作。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（十二）承担系统综合业务管理和部门综合事务管理。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（十四）负责正常信访、非访、突发性及群体性事件的办理；提供相关服务保障；协助区信访局处理群众进京上访；信访事项督查、复查复核、听证。</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（十五）以农村教育为重点，推进义务教育均衡发展，建立中小学校舍安全保障机制，发送薄弱学校办学条件，促进公共教育资源向农村和经济欠发达地区倾斜。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（十六）承担全乡安全生产综合监督管理责任，依法行使综合监督管理职权；根据《</w:t>
      </w:r>
      <w:r>
        <w:rPr>
          <w:rFonts w:hint="eastAsia" w:ascii="Times New Roman" w:hAnsi="微软雅黑" w:eastAsia="方正仿宋_GBK" w:cs="微软雅黑"/>
          <w:sz w:val="28"/>
          <w:lang w:val="en-US" w:eastAsia="zh-CN"/>
        </w:rPr>
        <w:t>中华人民共和国</w:t>
      </w:r>
      <w:r>
        <w:rPr>
          <w:rFonts w:hint="eastAsia" w:ascii="Times New Roman" w:hAnsi="微软雅黑" w:eastAsia="方正仿宋_GBK" w:cs="微软雅黑"/>
          <w:sz w:val="28"/>
        </w:rP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（十七）统计、汇总、核查、会商灾情，统一发布灾情；组织协调紧急转移安置灾民；承办救灾款物分配和监管，物资调运，组织民房恢复重建及灾民生活救助，指导紧急救灾和灾后生产恢复。</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（十八）按照国家、省部署，对全乡主要粮食作物和猪、牛、羊、鸡等畜产品生产实施良种补贴。</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（十九）推进农村集体产权制度改革，完善农村土地承包制度，引导农村土地合理流转。创新农业经营主体；根据国家要求开展农村土地承包经营确权登记试点，并逐步向全乡全面推开。</w:t>
      </w:r>
    </w:p>
    <w:p>
      <w:pPr>
        <w:spacing w:line="500" w:lineRule="exact"/>
        <w:ind w:firstLine="560" w:firstLineChars="200"/>
        <w:jc w:val="left"/>
        <w:rPr>
          <w:rFonts w:hint="eastAsia" w:ascii="Times New Roman" w:hAnsi="微软雅黑" w:eastAsia="方正仿宋_GBK" w:cs="微软雅黑"/>
          <w:sz w:val="28"/>
        </w:rPr>
      </w:pPr>
      <w:r>
        <w:rPr>
          <w:rFonts w:hint="eastAsia" w:ascii="Times New Roman" w:hAnsi="微软雅黑" w:eastAsia="方正仿宋_GBK" w:cs="微软雅黑"/>
          <w:sz w:val="28"/>
        </w:rPr>
        <w:t>（二十）通过实施农村面貌改造提升行动，加快建设社会主义新农村。</w:t>
      </w:r>
    </w:p>
    <w:p>
      <w:pPr>
        <w:spacing w:line="500" w:lineRule="exact"/>
        <w:jc w:val="left"/>
        <w:rPr>
          <w:rFonts w:hint="eastAsia" w:ascii="Times New Roman" w:hAnsi="微软雅黑" w:eastAsia="方正仿宋_GBK" w:cs="微软雅黑"/>
          <w:sz w:val="28"/>
        </w:rPr>
      </w:pPr>
    </w:p>
    <w:p>
      <w:pPr>
        <w:spacing w:line="500" w:lineRule="exact"/>
        <w:jc w:val="left"/>
        <w:rPr>
          <w:rFonts w:hint="eastAsia" w:ascii="Times New Roman" w:hAnsi="微软雅黑" w:eastAsia="方正仿宋_GBK" w:cs="微软雅黑"/>
          <w:sz w:val="28"/>
        </w:rPr>
      </w:pPr>
    </w:p>
    <w:p>
      <w:pPr>
        <w:spacing w:line="500" w:lineRule="exact"/>
        <w:ind w:firstLine="560" w:firstLineChars="200"/>
        <w:jc w:val="left"/>
        <w:rPr>
          <w:rFonts w:hint="eastAsia" w:ascii="Times New Roman" w:hAnsi="微软雅黑" w:eastAsia="方正仿宋_GBK" w:cs="微软雅黑"/>
          <w:sz w:val="28"/>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56"/>
        <w:gridCol w:w="1395"/>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156"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单位名称</w:t>
            </w:r>
          </w:p>
        </w:tc>
        <w:tc>
          <w:tcPr>
            <w:tcW w:w="1395"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单位性质</w:t>
            </w:r>
          </w:p>
        </w:tc>
        <w:tc>
          <w:tcPr>
            <w:tcW w:w="1276"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单位规格</w:t>
            </w:r>
          </w:p>
        </w:tc>
        <w:tc>
          <w:tcPr>
            <w:tcW w:w="2902"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156" w:type="dxa"/>
            <w:vMerge w:val="continue"/>
            <w:vAlign w:val="center"/>
          </w:tcPr>
          <w:p>
            <w:pPr>
              <w:spacing w:line="300" w:lineRule="exact"/>
              <w:jc w:val="left"/>
              <w:outlineLvl w:val="0"/>
              <w:rPr>
                <w:rFonts w:ascii="仿宋" w:hAnsi="仿宋" w:eastAsia="仿宋"/>
                <w:sz w:val="24"/>
                <w:szCs w:val="24"/>
              </w:rPr>
            </w:pPr>
          </w:p>
        </w:tc>
        <w:tc>
          <w:tcPr>
            <w:tcW w:w="1395" w:type="dxa"/>
            <w:vMerge w:val="continue"/>
            <w:vAlign w:val="center"/>
          </w:tcPr>
          <w:p>
            <w:pPr>
              <w:spacing w:line="300" w:lineRule="exact"/>
              <w:jc w:val="left"/>
              <w:outlineLvl w:val="0"/>
              <w:rPr>
                <w:rFonts w:ascii="仿宋" w:hAnsi="仿宋" w:eastAsia="仿宋"/>
                <w:sz w:val="24"/>
                <w:szCs w:val="24"/>
              </w:rPr>
            </w:pPr>
          </w:p>
        </w:tc>
        <w:tc>
          <w:tcPr>
            <w:tcW w:w="1276" w:type="dxa"/>
            <w:vMerge w:val="continue"/>
            <w:vAlign w:val="center"/>
          </w:tcPr>
          <w:p>
            <w:pPr>
              <w:spacing w:line="300" w:lineRule="exact"/>
              <w:jc w:val="left"/>
              <w:outlineLvl w:val="0"/>
              <w:rPr>
                <w:rFonts w:ascii="仿宋" w:hAnsi="仿宋" w:eastAsia="仿宋"/>
                <w:sz w:val="24"/>
                <w:szCs w:val="24"/>
              </w:rPr>
            </w:pPr>
          </w:p>
        </w:tc>
        <w:tc>
          <w:tcPr>
            <w:tcW w:w="2902" w:type="dxa"/>
            <w:vMerge w:val="continue"/>
            <w:vAlign w:val="center"/>
          </w:tcPr>
          <w:p>
            <w:pPr>
              <w:spacing w:line="300" w:lineRule="exact"/>
              <w:jc w:val="left"/>
              <w:outlineLvl w:val="0"/>
              <w:rPr>
                <w:rFonts w:ascii="仿宋" w:hAnsi="仿宋" w:eastAsia="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4156" w:type="dxa"/>
            <w:vAlign w:val="center"/>
          </w:tcPr>
          <w:p>
            <w:pPr>
              <w:spacing w:line="300" w:lineRule="exact"/>
              <w:jc w:val="left"/>
              <w:rPr>
                <w:rFonts w:hint="eastAsia" w:ascii="仿宋" w:hAnsi="仿宋" w:eastAsia="仿宋"/>
                <w:sz w:val="24"/>
                <w:szCs w:val="24"/>
                <w:lang w:eastAsia="zh-CN"/>
              </w:rPr>
            </w:pPr>
            <w:r>
              <w:rPr>
                <w:rFonts w:hint="eastAsia" w:ascii="仿宋" w:hAnsi="仿宋" w:eastAsia="仿宋" w:cs="宋体"/>
                <w:color w:val="000000"/>
                <w:kern w:val="0"/>
                <w:sz w:val="24"/>
                <w:szCs w:val="24"/>
                <w:lang w:eastAsia="zh-CN"/>
              </w:rPr>
              <w:t>保定市徐水区大因镇人民政府（行政）</w:t>
            </w:r>
          </w:p>
        </w:tc>
        <w:tc>
          <w:tcPr>
            <w:tcW w:w="1395"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行政</w:t>
            </w:r>
          </w:p>
        </w:tc>
        <w:tc>
          <w:tcPr>
            <w:tcW w:w="1276" w:type="dxa"/>
            <w:vAlign w:val="center"/>
          </w:tcPr>
          <w:p>
            <w:pPr>
              <w:spacing w:line="300" w:lineRule="exact"/>
              <w:jc w:val="center"/>
              <w:rPr>
                <w:rFonts w:hint="eastAsia" w:ascii="仿宋" w:hAnsi="仿宋" w:eastAsia="仿宋"/>
                <w:sz w:val="24"/>
                <w:szCs w:val="24"/>
                <w:lang w:eastAsia="zh-CN"/>
              </w:rPr>
            </w:pPr>
            <w:r>
              <w:rPr>
                <w:rFonts w:hint="eastAsia" w:ascii="仿宋" w:hAnsi="仿宋" w:eastAsia="仿宋" w:cs="宋体"/>
                <w:kern w:val="0"/>
                <w:sz w:val="24"/>
                <w:szCs w:val="24"/>
                <w:lang w:eastAsia="zh-CN"/>
              </w:rPr>
              <w:t>正科级</w:t>
            </w:r>
          </w:p>
        </w:tc>
        <w:tc>
          <w:tcPr>
            <w:tcW w:w="2902"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4156" w:type="dxa"/>
            <w:vAlign w:val="center"/>
          </w:tcPr>
          <w:p>
            <w:pPr>
              <w:spacing w:line="300" w:lineRule="exact"/>
              <w:jc w:val="left"/>
              <w:rPr>
                <w:rFonts w:ascii="仿宋" w:hAnsi="仿宋" w:eastAsia="仿宋"/>
                <w:sz w:val="24"/>
                <w:szCs w:val="24"/>
              </w:rPr>
            </w:pPr>
            <w:r>
              <w:rPr>
                <w:rFonts w:hint="eastAsia" w:ascii="仿宋" w:hAnsi="仿宋" w:eastAsia="仿宋" w:cs="宋体"/>
                <w:color w:val="000000"/>
                <w:kern w:val="0"/>
                <w:sz w:val="24"/>
                <w:szCs w:val="24"/>
                <w:lang w:eastAsia="zh-CN"/>
              </w:rPr>
              <w:t>保定市徐水区大因镇人民政府（事业）</w:t>
            </w:r>
          </w:p>
        </w:tc>
        <w:tc>
          <w:tcPr>
            <w:tcW w:w="1395" w:type="dxa"/>
            <w:vAlign w:val="center"/>
          </w:tcPr>
          <w:p>
            <w:pPr>
              <w:spacing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事业</w:t>
            </w:r>
          </w:p>
        </w:tc>
        <w:tc>
          <w:tcPr>
            <w:tcW w:w="1276" w:type="dxa"/>
            <w:vAlign w:val="center"/>
          </w:tcPr>
          <w:p>
            <w:pPr>
              <w:spacing w:line="300" w:lineRule="exact"/>
              <w:jc w:val="center"/>
              <w:rPr>
                <w:rFonts w:ascii="仿宋" w:hAnsi="仿宋" w:eastAsia="仿宋"/>
                <w:sz w:val="24"/>
                <w:szCs w:val="24"/>
              </w:rPr>
            </w:pPr>
            <w:r>
              <w:rPr>
                <w:rFonts w:hint="eastAsia" w:ascii="仿宋" w:hAnsi="仿宋" w:eastAsia="仿宋" w:cs="宋体"/>
                <w:kern w:val="0"/>
                <w:sz w:val="24"/>
                <w:szCs w:val="24"/>
                <w:lang w:eastAsia="zh-CN"/>
              </w:rPr>
              <w:t>正科级</w:t>
            </w:r>
          </w:p>
        </w:tc>
        <w:tc>
          <w:tcPr>
            <w:tcW w:w="2902" w:type="dxa"/>
            <w:vAlign w:val="center"/>
          </w:tcPr>
          <w:p>
            <w:pPr>
              <w:spacing w:line="300" w:lineRule="exact"/>
              <w:jc w:val="center"/>
              <w:rPr>
                <w:rFonts w:hint="eastAsia" w:ascii="仿宋" w:hAnsi="仿宋" w:eastAsia="仿宋"/>
                <w:sz w:val="24"/>
                <w:szCs w:val="24"/>
                <w:lang w:eastAsia="zh-CN"/>
              </w:rPr>
            </w:pPr>
            <w:r>
              <w:rPr>
                <w:rFonts w:hint="eastAsia" w:ascii="仿宋" w:hAnsi="仿宋" w:eastAsia="仿宋" w:cs="宋体"/>
                <w:color w:val="000000"/>
                <w:kern w:val="0"/>
                <w:sz w:val="24"/>
                <w:szCs w:val="24"/>
                <w:lang w:eastAsia="zh-CN"/>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lang w:val="en-US" w:eastAsia="zh-CN"/>
        </w:rPr>
        <w:t>4391.99</w:t>
      </w:r>
      <w:r>
        <w:rPr>
          <w:rFonts w:ascii="仿宋" w:hAnsi="仿宋" w:eastAsia="仿宋"/>
          <w:sz w:val="32"/>
          <w:szCs w:val="32"/>
        </w:rPr>
        <w:t>万元,其中：一般公共预算收入</w:t>
      </w:r>
      <w:r>
        <w:rPr>
          <w:rFonts w:hint="eastAsia" w:ascii="仿宋" w:hAnsi="仿宋" w:eastAsia="仿宋"/>
          <w:sz w:val="32"/>
          <w:szCs w:val="32"/>
          <w:lang w:val="en-US" w:eastAsia="zh-CN"/>
        </w:rPr>
        <w:t>2041.02</w:t>
      </w:r>
      <w:r>
        <w:rPr>
          <w:rFonts w:ascii="仿宋" w:hAnsi="仿宋" w:eastAsia="仿宋"/>
          <w:sz w:val="32"/>
          <w:szCs w:val="32"/>
        </w:rPr>
        <w:t>万元，基金预算收入</w:t>
      </w:r>
      <w:r>
        <w:rPr>
          <w:rFonts w:hint="eastAsia" w:ascii="仿宋" w:hAnsi="仿宋" w:eastAsia="仿宋"/>
          <w:sz w:val="32"/>
          <w:szCs w:val="32"/>
          <w:lang w:val="en-US" w:eastAsia="zh-CN"/>
        </w:rPr>
        <w:t>2350.97</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lang w:val="en-US" w:eastAsia="zh-CN"/>
        </w:rPr>
        <w:t>4391.99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1586.80</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1457.16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129.64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2805.19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2805.19</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4391.99</w:t>
      </w:r>
      <w:r>
        <w:rPr>
          <w:rFonts w:hint="eastAsia" w:ascii="仿宋" w:hAnsi="仿宋" w:eastAsia="仿宋"/>
          <w:sz w:val="32"/>
          <w:szCs w:val="32"/>
        </w:rPr>
        <w:t>万元，较上年增加</w:t>
      </w:r>
      <w:r>
        <w:rPr>
          <w:rFonts w:hint="eastAsia" w:ascii="仿宋" w:hAnsi="仿宋" w:eastAsia="仿宋"/>
          <w:sz w:val="32"/>
          <w:szCs w:val="32"/>
          <w:lang w:val="en-US" w:eastAsia="zh-CN"/>
        </w:rPr>
        <w:t>2336.31</w:t>
      </w:r>
      <w:r>
        <w:rPr>
          <w:rFonts w:ascii="仿宋" w:hAnsi="仿宋" w:eastAsia="仿宋"/>
          <w:sz w:val="32"/>
          <w:szCs w:val="32"/>
        </w:rPr>
        <w:t>万元。其中:基本支出减少</w:t>
      </w:r>
      <w:r>
        <w:rPr>
          <w:rFonts w:hint="eastAsia" w:ascii="仿宋" w:hAnsi="仿宋" w:eastAsia="仿宋"/>
          <w:sz w:val="32"/>
          <w:szCs w:val="32"/>
          <w:lang w:val="en-US" w:eastAsia="zh-CN"/>
        </w:rPr>
        <w:t>5.66</w:t>
      </w:r>
      <w:r>
        <w:rPr>
          <w:rFonts w:ascii="仿宋" w:hAnsi="仿宋" w:eastAsia="仿宋"/>
          <w:sz w:val="32"/>
          <w:szCs w:val="32"/>
        </w:rPr>
        <w:t>万元，主要原因是</w:t>
      </w:r>
      <w:r>
        <w:rPr>
          <w:rFonts w:hint="eastAsia" w:ascii="仿宋" w:hAnsi="仿宋" w:eastAsia="仿宋"/>
          <w:sz w:val="32"/>
          <w:szCs w:val="32"/>
          <w:lang w:eastAsia="zh-CN"/>
        </w:rPr>
        <w:t>本单位人员流动（调出数＞调入数</w:t>
      </w:r>
      <w:r>
        <w:rPr>
          <w:rFonts w:hint="eastAsia" w:ascii="仿宋" w:hAnsi="仿宋" w:eastAsia="仿宋"/>
          <w:sz w:val="32"/>
          <w:szCs w:val="32"/>
          <w:lang w:val="en-US" w:eastAsia="zh-CN"/>
        </w:rPr>
        <w:t>+新入职人数</w:t>
      </w:r>
      <w:r>
        <w:rPr>
          <w:rFonts w:hint="eastAsia" w:ascii="仿宋" w:hAnsi="仿宋" w:eastAsia="仿宋"/>
          <w:sz w:val="32"/>
          <w:szCs w:val="32"/>
          <w:lang w:eastAsia="zh-CN"/>
        </w:rPr>
        <w:t>）</w:t>
      </w:r>
      <w:r>
        <w:rPr>
          <w:rFonts w:ascii="仿宋" w:hAnsi="仿宋" w:eastAsia="仿宋"/>
          <w:sz w:val="32"/>
          <w:szCs w:val="32"/>
        </w:rPr>
        <w:t>；项目支出增加</w:t>
      </w:r>
      <w:r>
        <w:rPr>
          <w:rFonts w:hint="eastAsia" w:ascii="仿宋" w:hAnsi="仿宋" w:eastAsia="仿宋"/>
          <w:sz w:val="32"/>
          <w:szCs w:val="32"/>
          <w:lang w:val="en-US" w:eastAsia="zh-CN"/>
        </w:rPr>
        <w:t>2398.59</w:t>
      </w:r>
      <w:r>
        <w:rPr>
          <w:rFonts w:ascii="仿宋" w:hAnsi="仿宋" w:eastAsia="仿宋"/>
          <w:sz w:val="32"/>
          <w:szCs w:val="32"/>
        </w:rPr>
        <w:t>万元，主要原因是</w:t>
      </w:r>
      <w:r>
        <w:rPr>
          <w:rFonts w:hint="eastAsia" w:ascii="仿宋" w:hAnsi="仿宋" w:eastAsia="仿宋"/>
          <w:sz w:val="32"/>
          <w:szCs w:val="32"/>
          <w:lang w:eastAsia="zh-CN"/>
        </w:rPr>
        <w:t>将</w:t>
      </w:r>
      <w:r>
        <w:rPr>
          <w:rFonts w:hint="eastAsia" w:ascii="仿宋" w:hAnsi="仿宋" w:eastAsia="仿宋"/>
          <w:sz w:val="32"/>
          <w:szCs w:val="32"/>
          <w:lang w:val="en-US" w:eastAsia="zh-CN"/>
        </w:rPr>
        <w:t>2019年绿化占地租金项目纳入了2020年年初预算</w:t>
      </w:r>
      <w:r>
        <w:rPr>
          <w:rFonts w:ascii="仿宋" w:hAnsi="仿宋" w:eastAsia="仿宋"/>
          <w:sz w:val="32"/>
          <w:szCs w:val="32"/>
        </w:rPr>
        <w:t>。</w:t>
      </w:r>
    </w:p>
    <w:p>
      <w:pPr>
        <w:jc w:val="center"/>
        <w:outlineLvl w:val="0"/>
        <w:rPr>
          <w:rFonts w:hint="eastAsia" w:ascii="方正小标宋_GBK" w:eastAsia="方正小标宋_GBK"/>
          <w:color w:val="auto"/>
          <w:sz w:val="44"/>
          <w:highlight w:val="none"/>
        </w:rPr>
      </w:pPr>
    </w:p>
    <w:p>
      <w:pPr>
        <w:jc w:val="center"/>
        <w:outlineLvl w:val="0"/>
        <w:rPr>
          <w:rFonts w:ascii="方正小标宋_GBK" w:eastAsia="方正小标宋_GBK"/>
          <w:color w:val="auto"/>
          <w:sz w:val="44"/>
          <w:highlight w:val="none"/>
        </w:rPr>
      </w:pPr>
      <w:r>
        <w:rPr>
          <w:rFonts w:hint="eastAsia" w:ascii="方正小标宋_GBK" w:eastAsia="方正小标宋_GBK"/>
          <w:color w:val="auto"/>
          <w:sz w:val="44"/>
          <w:highlight w:val="none"/>
        </w:rPr>
        <w:t>第三部分：机关运行经费安排情况</w:t>
      </w:r>
    </w:p>
    <w:p>
      <w:pPr>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2020年我部门机关运行经费安排129.64万元，其中办公费</w:t>
      </w:r>
      <w:r>
        <w:rPr>
          <w:rFonts w:hint="eastAsia" w:ascii="仿宋" w:hAnsi="仿宋" w:eastAsia="仿宋"/>
          <w:color w:val="auto"/>
          <w:sz w:val="32"/>
          <w:szCs w:val="32"/>
          <w:highlight w:val="none"/>
          <w:lang w:val="en-US" w:eastAsia="zh-CN"/>
        </w:rPr>
        <w:t>21.99</w:t>
      </w:r>
      <w:r>
        <w:rPr>
          <w:rFonts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邮电费</w:t>
      </w:r>
      <w:r>
        <w:rPr>
          <w:rFonts w:hint="eastAsia" w:ascii="仿宋" w:hAnsi="仿宋" w:eastAsia="仿宋"/>
          <w:color w:val="auto"/>
          <w:sz w:val="32"/>
          <w:szCs w:val="32"/>
          <w:highlight w:val="none"/>
          <w:lang w:val="en-US" w:eastAsia="zh-CN"/>
        </w:rPr>
        <w:t>15.24万元，办公取暖费7.51万元，</w:t>
      </w:r>
      <w:r>
        <w:rPr>
          <w:rFonts w:ascii="仿宋" w:hAnsi="仿宋" w:eastAsia="仿宋"/>
          <w:color w:val="auto"/>
          <w:sz w:val="32"/>
          <w:szCs w:val="32"/>
          <w:highlight w:val="none"/>
        </w:rPr>
        <w:t>公务用车运行维护费</w:t>
      </w:r>
      <w:r>
        <w:rPr>
          <w:rFonts w:hint="eastAsia" w:ascii="仿宋" w:hAnsi="仿宋" w:eastAsia="仿宋"/>
          <w:color w:val="auto"/>
          <w:sz w:val="32"/>
          <w:szCs w:val="32"/>
          <w:highlight w:val="none"/>
          <w:lang w:val="en-US" w:eastAsia="zh-CN"/>
        </w:rPr>
        <w:t>12万元，</w:t>
      </w:r>
      <w:r>
        <w:rPr>
          <w:rFonts w:ascii="仿宋" w:hAnsi="仿宋" w:eastAsia="仿宋"/>
          <w:color w:val="auto"/>
          <w:sz w:val="32"/>
          <w:szCs w:val="32"/>
          <w:highlight w:val="none"/>
        </w:rPr>
        <w:t>离退休干部经费3.53</w:t>
      </w:r>
      <w:r>
        <w:rPr>
          <w:rFonts w:hint="eastAsia" w:ascii="仿宋" w:hAnsi="仿宋" w:eastAsia="仿宋"/>
          <w:color w:val="auto"/>
          <w:sz w:val="32"/>
          <w:szCs w:val="32"/>
          <w:highlight w:val="none"/>
          <w:lang w:eastAsia="zh-CN"/>
        </w:rPr>
        <w:t>万元，</w:t>
      </w:r>
      <w:r>
        <w:rPr>
          <w:rFonts w:ascii="仿宋" w:hAnsi="仿宋" w:eastAsia="仿宋"/>
          <w:color w:val="auto"/>
          <w:sz w:val="32"/>
          <w:szCs w:val="32"/>
          <w:highlight w:val="none"/>
        </w:rPr>
        <w:t>公务交通补贴15.36</w:t>
      </w:r>
      <w:r>
        <w:rPr>
          <w:rFonts w:hint="eastAsia" w:ascii="仿宋" w:hAnsi="仿宋" w:eastAsia="仿宋"/>
          <w:color w:val="auto"/>
          <w:sz w:val="32"/>
          <w:szCs w:val="32"/>
          <w:highlight w:val="none"/>
          <w:lang w:eastAsia="zh-CN"/>
        </w:rPr>
        <w:t>万元，公务接待费</w:t>
      </w:r>
      <w:r>
        <w:rPr>
          <w:rFonts w:hint="eastAsia" w:ascii="仿宋" w:hAnsi="仿宋" w:eastAsia="仿宋"/>
          <w:color w:val="auto"/>
          <w:sz w:val="32"/>
          <w:szCs w:val="32"/>
          <w:highlight w:val="none"/>
          <w:lang w:val="en-US" w:eastAsia="zh-CN"/>
        </w:rPr>
        <w:t>3万元，</w:t>
      </w:r>
      <w:r>
        <w:rPr>
          <w:rFonts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14万元，</w:t>
      </w:r>
      <w:r>
        <w:rPr>
          <w:rFonts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9.08万元，其他支出</w:t>
      </w:r>
      <w:r>
        <w:rPr>
          <w:rFonts w:ascii="仿宋" w:hAnsi="仿宋" w:eastAsia="仿宋"/>
          <w:color w:val="auto"/>
          <w:sz w:val="32"/>
          <w:szCs w:val="32"/>
          <w:highlight w:val="none"/>
        </w:rPr>
        <w:t>27.93</w:t>
      </w:r>
      <w:r>
        <w:rPr>
          <w:rFonts w:hint="eastAsia" w:ascii="仿宋" w:hAnsi="仿宋" w:eastAsia="仿宋"/>
          <w:color w:val="auto"/>
          <w:sz w:val="32"/>
          <w:szCs w:val="32"/>
          <w:highlight w:val="none"/>
          <w:lang w:eastAsia="zh-CN"/>
        </w:rPr>
        <w:t>万元。</w:t>
      </w: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299" w:type="dxa"/>
        <w:tblInd w:w="0" w:type="dxa"/>
        <w:tblLayout w:type="fixed"/>
        <w:tblCellMar>
          <w:top w:w="0" w:type="dxa"/>
          <w:left w:w="108" w:type="dxa"/>
          <w:bottom w:w="0" w:type="dxa"/>
          <w:right w:w="108" w:type="dxa"/>
        </w:tblCellMar>
      </w:tblPr>
      <w:tblGrid>
        <w:gridCol w:w="9299"/>
      </w:tblGrid>
      <w:tr>
        <w:tblPrEx>
          <w:tblCellMar>
            <w:top w:w="0" w:type="dxa"/>
            <w:left w:w="108" w:type="dxa"/>
            <w:bottom w:w="0" w:type="dxa"/>
            <w:right w:w="108" w:type="dxa"/>
          </w:tblCellMar>
        </w:tblPrEx>
        <w:trPr>
          <w:trHeight w:val="405" w:hRule="atLeast"/>
        </w:trPr>
        <w:tc>
          <w:tcPr>
            <w:tcW w:w="9299" w:type="dxa"/>
            <w:tcBorders>
              <w:top w:val="nil"/>
              <w:left w:val="nil"/>
              <w:bottom w:val="nil"/>
              <w:right w:val="nil"/>
            </w:tcBorders>
            <w:shd w:val="clear" w:color="auto" w:fill="auto"/>
            <w:vAlign w:val="center"/>
          </w:tcPr>
          <w:tbl>
            <w:tblPr>
              <w:tblStyle w:val="5"/>
              <w:tblW w:w="8090" w:type="dxa"/>
              <w:jc w:val="center"/>
              <w:tblLayout w:type="fixed"/>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hint="eastAsia"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429"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12"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91"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21</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21</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21"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6</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6</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74"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27</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27</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line="500" w:lineRule="exact"/>
        <w:ind w:firstLine="560" w:firstLineChars="200"/>
        <w:jc w:val="left"/>
        <w:rPr>
          <w:rFonts w:hint="eastAsia" w:ascii="Times New Roman" w:hAnsi="微软雅黑" w:eastAsia="方正仿宋_GBK" w:cs="微软雅黑"/>
          <w:sz w:val="28"/>
          <w:lang w:eastAsia="zh-CN"/>
        </w:rPr>
      </w:pPr>
      <w:r>
        <w:rPr>
          <w:rFonts w:hint="eastAsia" w:ascii="Times New Roman" w:hAnsi="微软雅黑" w:eastAsia="方正仿宋_GBK" w:cs="微软雅黑"/>
          <w:sz w:val="28"/>
          <w:lang w:eastAsia="zh-CN"/>
        </w:rPr>
        <w:t>一、部门整体绩效目标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新时代中国特色社会主义思想为指导，全面贯彻落实党的十九届二中、三中、四中全会以及中央经济工作会议精神，根据区委区政府工作部署，结合本地区实际，主动适应新形势、新任务、新要求，不断增强做好工作的责任感和使命感，全面提升</w:t>
      </w:r>
      <w:r>
        <w:rPr>
          <w:rFonts w:ascii="Times New Roman" w:eastAsia="方正仿宋_GBK"/>
          <w:sz w:val="28"/>
        </w:rPr>
        <w:t>“</w:t>
      </w:r>
      <w:r>
        <w:rPr>
          <w:rFonts w:hint="eastAsia" w:ascii="Times New Roman" w:hAnsi="微软雅黑" w:eastAsia="方正仿宋_GBK" w:cs="微软雅黑"/>
          <w:sz w:val="28"/>
        </w:rPr>
        <w:t>四个服务</w:t>
      </w:r>
      <w:r>
        <w:rPr>
          <w:rFonts w:ascii="Times New Roman" w:eastAsia="方正仿宋_GBK"/>
          <w:sz w:val="28"/>
        </w:rPr>
        <w:t>”</w:t>
      </w:r>
      <w:r>
        <w:rPr>
          <w:rFonts w:hint="eastAsia" w:ascii="Times New Roman" w:hAnsi="微软雅黑" w:eastAsia="方正仿宋_GBK" w:cs="微软雅黑"/>
          <w:sz w:val="28"/>
        </w:rPr>
        <w:t>能力和水平，提高政务服务与管理水平。宣传贯彻执行党的路线、方针、政策和国家的法律、法规，保障机关工作正常运转，及时化解矛盾纠纷，维护地区和谐稳定，继续加强扶贫工作，巩固</w:t>
      </w:r>
      <w:r>
        <w:rPr>
          <w:rFonts w:hint="eastAsia" w:ascii="Times New Roman" w:hAnsi="微软雅黑" w:eastAsia="方正仿宋_GBK" w:cs="微软雅黑"/>
          <w:sz w:val="28"/>
          <w:lang w:val="en-US" w:eastAsia="zh-CN"/>
        </w:rPr>
        <w:t>拓展</w:t>
      </w:r>
      <w:r>
        <w:rPr>
          <w:rFonts w:hint="eastAsia" w:ascii="Times New Roman" w:hAnsi="微软雅黑" w:eastAsia="方正仿宋_GBK" w:cs="微软雅黑"/>
          <w:sz w:val="28"/>
        </w:rPr>
        <w:t>脱贫攻坚成果，促进地区经济发展，整治非法、污染企业，加强土地管控，保护大气环境，提升群众满意度和幸福感。健全工作机制，扎实锤炼作风，全力攻坚克难，全面提高单位工作制度化、规范化水平，努力开创工作新局面。</w:t>
      </w:r>
      <w:r>
        <w:rPr>
          <w:rFonts w:ascii="Times New Roman" w:eastAsia="方正仿宋_GBK"/>
          <w:sz w:val="28"/>
        </w:rPr>
        <w:t xml:space="preserve"> </w:t>
      </w:r>
    </w:p>
    <w:p>
      <w:pPr>
        <w:spacing w:line="500" w:lineRule="exact"/>
        <w:ind w:firstLine="560" w:firstLineChars="200"/>
        <w:jc w:val="left"/>
        <w:outlineLvl w:val="1"/>
        <w:rPr>
          <w:rFonts w:ascii="Times New Roman" w:hAnsi="宋体" w:eastAsia="宋体"/>
          <w:sz w:val="28"/>
        </w:rPr>
      </w:pPr>
      <w:r>
        <w:rPr>
          <w:rFonts w:hint="eastAsia" w:ascii="方正黑体_GBK" w:eastAsia="方正黑体_GBK"/>
          <w:sz w:val="28"/>
          <w:lang w:eastAsia="zh-CN"/>
        </w:rPr>
        <w:t>二</w:t>
      </w:r>
      <w:r>
        <w:rPr>
          <w:rFonts w:ascii="方正黑体_GBK" w:eastAsia="方正黑体_GBK"/>
          <w:sz w:val="28"/>
        </w:rPr>
        <w:t>、分项绩效目标</w:t>
      </w:r>
      <w:r>
        <w:fldChar w:fldCharType="begin"/>
      </w:r>
      <w:r>
        <w:rPr>
          <w:rFonts w:ascii="方正黑体_GBK" w:eastAsia="方正黑体_GBK"/>
          <w:sz w:val="28"/>
        </w:rPr>
        <w:instrText xml:space="preserve"> TC </w:instrText>
      </w:r>
      <w:bookmarkStart w:id="0" w:name="_Toc31371890"/>
      <w:r>
        <w:rPr>
          <w:rFonts w:ascii="方正黑体_GBK" w:eastAsia="方正黑体_GBK"/>
          <w:sz w:val="28"/>
        </w:rPr>
        <w:instrText xml:space="preserve">分项绩效目标</w:instrText>
      </w:r>
      <w:bookmarkEnd w:id="0"/>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jc w:val="left"/>
        <w:rPr>
          <w:rFonts w:ascii="Times New Roman" w:eastAsia="方正仿宋_GBK"/>
          <w:sz w:val="28"/>
        </w:rPr>
      </w:pPr>
      <w:r>
        <w:rPr>
          <w:rFonts w:hint="eastAsia" w:ascii="Times New Roman" w:hAnsi="微软雅黑" w:eastAsia="方正仿宋_GBK" w:cs="微软雅黑"/>
          <w:sz w:val="28"/>
          <w:lang w:val="en-US" w:eastAsia="zh-CN"/>
        </w:rPr>
        <w:t xml:space="preserve">    </w:t>
      </w:r>
      <w:r>
        <w:rPr>
          <w:rFonts w:hint="eastAsia" w:ascii="Times New Roman" w:hAnsi="微软雅黑" w:eastAsia="方正仿宋_GBK" w:cs="微软雅黑"/>
          <w:sz w:val="28"/>
        </w:rPr>
        <w:t>（一）协调维护社会稳定，维护镇村稳定</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绩效目标：协调维护社会稳定和国家安全，以创建和谐稳定的社会环境为目标。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绩效指标：矛盾纠纷调处率达到</w:t>
      </w:r>
      <w:r>
        <w:rPr>
          <w:rFonts w:ascii="Times New Roman" w:eastAsia="方正仿宋_GBK"/>
          <w:sz w:val="28"/>
        </w:rPr>
        <w:t>80%</w:t>
      </w:r>
      <w:r>
        <w:rPr>
          <w:rFonts w:hint="eastAsia" w:ascii="Times New Roman" w:hAnsi="微软雅黑" w:eastAsia="方正仿宋_GBK" w:cs="微软雅黑"/>
          <w:sz w:val="28"/>
        </w:rPr>
        <w:t>以上；协调督导事项化解率</w:t>
      </w:r>
      <w:r>
        <w:rPr>
          <w:rFonts w:ascii="Times New Roman" w:eastAsia="方正仿宋_GBK"/>
          <w:sz w:val="28"/>
        </w:rPr>
        <w:t>80%</w:t>
      </w:r>
      <w:r>
        <w:rPr>
          <w:rFonts w:hint="eastAsia" w:ascii="Times New Roman" w:hAnsi="微软雅黑" w:eastAsia="方正仿宋_GBK" w:cs="微软雅黑"/>
          <w:sz w:val="28"/>
        </w:rPr>
        <w:t>以上；稳定水平提高。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（二）维持村级组织正常运转，促进发展</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绩效目标：维持村级组织正常运转，搞好服务保障，保障村级组织及村党组织正常运转，促进乡村社会和经济发展。</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绩效指标：村级各项经费资金支付及时率达到</w:t>
      </w:r>
      <w:r>
        <w:rPr>
          <w:rFonts w:ascii="Times New Roman" w:eastAsia="方正仿宋_GBK"/>
          <w:sz w:val="28"/>
        </w:rPr>
        <w:t>90%</w:t>
      </w:r>
      <w:r>
        <w:rPr>
          <w:rFonts w:hint="eastAsia" w:ascii="Times New Roman" w:hAnsi="微软雅黑" w:eastAsia="方正仿宋_GBK" w:cs="微软雅黑"/>
          <w:sz w:val="28"/>
        </w:rPr>
        <w:t>以上；群众满意率达到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（三）完善农村经营管理，维护村情。</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绩效目标：保障大因一中占地、环村林带占地补偿项目资金按时、足额发放到位。</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绩效指标：资金到位率及补贴发放率达到</w:t>
      </w:r>
      <w:r>
        <w:rPr>
          <w:rFonts w:ascii="Times New Roman" w:eastAsia="方正仿宋_GBK"/>
          <w:sz w:val="28"/>
        </w:rPr>
        <w:t>100%</w:t>
      </w:r>
      <w:r>
        <w:rPr>
          <w:rFonts w:hint="eastAsia" w:ascii="Times New Roman" w:hAnsi="微软雅黑" w:eastAsia="方正仿宋_GBK" w:cs="微软雅黑"/>
          <w:sz w:val="28"/>
        </w:rPr>
        <w:t>以上；群众满意度达到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（四）加强农村文化建设文化资源共享</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绩效目标：宣传党的路线、方针、政策和上级工作部署，坚持正确舆论导向，发挥主流媒体作用。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 xml:space="preserve"> </w:t>
      </w:r>
      <w:r>
        <w:rPr>
          <w:rFonts w:hint="eastAsia" w:ascii="Times New Roman" w:hAnsi="微软雅黑" w:eastAsia="方正仿宋_GBK" w:cs="微软雅黑"/>
          <w:sz w:val="28"/>
        </w:rPr>
        <w:t>实现文化资源共享，群众满意度达到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（五）乡镇综合事务管理，保障正常运转</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绩效目标：扎实做好人大、党建、纪检、团委等各项工作，保障机关工作正常运转，财政资金使用效益。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绩效指标：保障工作明显提升；综合事务管理工作完成率达到</w:t>
      </w:r>
      <w:r>
        <w:rPr>
          <w:rFonts w:ascii="Times New Roman" w:eastAsia="方正仿宋_GBK"/>
          <w:sz w:val="28"/>
        </w:rPr>
        <w:t>90%</w:t>
      </w:r>
      <w:r>
        <w:rPr>
          <w:rFonts w:hint="eastAsia" w:ascii="Times New Roman" w:hAnsi="微软雅黑" w:eastAsia="方正仿宋_GBK" w:cs="微软雅黑"/>
          <w:sz w:val="28"/>
        </w:rPr>
        <w:t>以上；受益对象满意度达到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（六）做好大气污染防治，改善农村环境</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绩效目标：做好全年大气污染防治工作，把大气污染防治工作作为一项重要内容常态化。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绩效指标：生活垃圾定点存放清运率，重点村垃圾收集、处理完成率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达到</w:t>
      </w:r>
      <w:r>
        <w:rPr>
          <w:rFonts w:ascii="Times New Roman" w:eastAsia="方正仿宋_GBK"/>
          <w:sz w:val="28"/>
        </w:rPr>
        <w:t>90%</w:t>
      </w:r>
      <w:r>
        <w:rPr>
          <w:rFonts w:hint="eastAsia" w:ascii="Times New Roman" w:hAnsi="微软雅黑" w:eastAsia="方正仿宋_GBK" w:cs="微软雅黑"/>
          <w:sz w:val="28"/>
        </w:rPr>
        <w:t>以上；</w:t>
      </w:r>
      <w:r>
        <w:rPr>
          <w:rFonts w:ascii="Times New Roman" w:eastAsia="方正仿宋_GBK"/>
          <w:sz w:val="28"/>
        </w:rPr>
        <w:t xml:space="preserve"> </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绩效目标：对重点行业和作业场所职业卫生安全生产加强行政执法监察；开展重大危险源执法检查工作；开展安全事故检查及安全生产宣传教育活动；促进企业全面落实安全生产诚信管理。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绩效指标：安全生产信息员设置覆盖镇所有村；安全生产信息员补助发放完成率达到</w:t>
      </w:r>
      <w:r>
        <w:rPr>
          <w:rFonts w:ascii="Times New Roman" w:eastAsia="方正仿宋_GBK"/>
          <w:sz w:val="28"/>
        </w:rPr>
        <w:t>100%</w:t>
      </w:r>
      <w:r>
        <w:rPr>
          <w:rFonts w:hint="eastAsia" w:ascii="Times New Roman" w:hAnsi="微软雅黑" w:eastAsia="方正仿宋_GBK" w:cs="微软雅黑"/>
          <w:sz w:val="28"/>
        </w:rPr>
        <w:t>以上；享受安全生产信息员补助人员对补助发放情况的满意程度达到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（八）实现镇村地震安全建设常态化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绩效目标：实现城乡地震安全建设常态化，提高防震减灾宣传效果，提升社会公众防震避险意识和技能。</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绩效指标：地震群测群防队伍覆盖全镇各村；地震群测群防岗位津贴发放完成率达到</w:t>
      </w:r>
      <w:r>
        <w:rPr>
          <w:rFonts w:ascii="Times New Roman" w:eastAsia="方正仿宋_GBK"/>
          <w:sz w:val="28"/>
        </w:rPr>
        <w:t>100%</w:t>
      </w:r>
      <w:r>
        <w:rPr>
          <w:rFonts w:hint="eastAsia" w:ascii="Times New Roman" w:hAnsi="微软雅黑" w:eastAsia="方正仿宋_GBK" w:cs="微软雅黑"/>
          <w:sz w:val="28"/>
        </w:rPr>
        <w:t>以上，享受地震群测群防岗位津贴人员对津贴发放情况的满意程度达到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lang w:eastAsia="zh-CN"/>
        </w:rPr>
        <w:t>（九）</w:t>
      </w:r>
      <w:r>
        <w:rPr>
          <w:rFonts w:hint="eastAsia" w:ascii="Times New Roman" w:hAnsi="微软雅黑" w:eastAsia="方正仿宋_GBK" w:cs="微软雅黑"/>
          <w:sz w:val="28"/>
        </w:rPr>
        <w:t>继续加强扶贫工作，巩固</w:t>
      </w:r>
      <w:r>
        <w:rPr>
          <w:rFonts w:hint="eastAsia" w:ascii="Times New Roman" w:hAnsi="微软雅黑" w:eastAsia="方正仿宋_GBK" w:cs="微软雅黑"/>
          <w:sz w:val="28"/>
          <w:lang w:val="en-US" w:eastAsia="zh-CN"/>
        </w:rPr>
        <w:t>拓展</w:t>
      </w:r>
      <w:r>
        <w:rPr>
          <w:rFonts w:hint="eastAsia" w:ascii="Times New Roman" w:hAnsi="微软雅黑" w:eastAsia="方正仿宋_GBK" w:cs="微软雅黑"/>
          <w:sz w:val="28"/>
        </w:rPr>
        <w:t>脱贫攻坚成果；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绩效目标：加强扶贫项目资金绩效管理，创新工作机制，提高资金使用效益和扶贫成效。</w:t>
      </w:r>
    </w:p>
    <w:p>
      <w:pPr>
        <w:spacing w:line="500" w:lineRule="exact"/>
        <w:ind w:firstLine="560" w:firstLineChars="200"/>
        <w:jc w:val="left"/>
        <w:rPr>
          <w:rFonts w:hint="eastAsia" w:ascii="Times New Roman" w:hAnsi="微软雅黑" w:eastAsia="方正仿宋_GBK" w:cs="微软雅黑"/>
          <w:sz w:val="28"/>
        </w:rPr>
      </w:pPr>
      <w:r>
        <w:rPr>
          <w:rFonts w:hint="eastAsia" w:ascii="Times New Roman" w:hAnsi="微软雅黑" w:eastAsia="方正仿宋_GBK" w:cs="微软雅黑"/>
          <w:sz w:val="28"/>
        </w:rPr>
        <w:t>绩效指标：建档立卡贫困户公益性岗位人员工资到位率</w:t>
      </w:r>
      <w:r>
        <w:rPr>
          <w:rFonts w:ascii="Times New Roman" w:eastAsia="方正仿宋_GBK"/>
          <w:sz w:val="28"/>
        </w:rPr>
        <w:t>100%</w:t>
      </w:r>
      <w:r>
        <w:rPr>
          <w:rFonts w:hint="eastAsia" w:ascii="Times New Roman" w:hAnsi="微软雅黑" w:eastAsia="方正仿宋_GBK" w:cs="微软雅黑"/>
          <w:sz w:val="28"/>
        </w:rPr>
        <w:t>，保险购置率</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outlineLvl w:val="1"/>
        <w:rPr>
          <w:rFonts w:ascii="Times New Roman" w:hAnsi="宋体" w:eastAsia="宋体"/>
          <w:sz w:val="28"/>
        </w:rPr>
      </w:pPr>
      <w:r>
        <w:rPr>
          <w:rFonts w:hint="eastAsia" w:ascii="方正黑体_GBK" w:eastAsia="方正黑体_GBK"/>
          <w:sz w:val="28"/>
          <w:lang w:eastAsia="zh-CN"/>
        </w:rPr>
        <w:t>三</w:t>
      </w:r>
      <w:r>
        <w:rPr>
          <w:rFonts w:ascii="方正黑体_GBK" w:eastAsia="方正黑体_GBK"/>
          <w:sz w:val="28"/>
        </w:rPr>
        <w:t>、工作保障措施</w:t>
      </w:r>
      <w:r>
        <w:fldChar w:fldCharType="begin"/>
      </w:r>
      <w:r>
        <w:rPr>
          <w:rFonts w:ascii="方正黑体_GBK" w:eastAsia="方正黑体_GBK"/>
          <w:sz w:val="28"/>
        </w:rPr>
        <w:instrText xml:space="preserve"> TC </w:instrText>
      </w:r>
      <w:bookmarkStart w:id="1" w:name="_Toc31371891"/>
      <w:r>
        <w:rPr>
          <w:rFonts w:ascii="方正黑体_GBK" w:eastAsia="方正黑体_GBK"/>
          <w:sz w:val="28"/>
        </w:rPr>
        <w:instrText xml:space="preserve">工作保障措施</w:instrText>
      </w:r>
      <w:bookmarkEnd w:id="1"/>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坚持改革创新。坚持以习近平新时代中国特色社会主义思想为指引，紧紧围绕区委、区政府相关决策部署及工作安排，切实提高政治站位，立足发展全局，突出工作重点，进一步深化务实有效的工作举措，发扬一流作风、保持一流状态、创造一流业绩，推动本单位各项工作取得新成效，确保全年目标任务高质量完成。</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（二）强化预算执行。将年度工作目标任务细化分解，落实到岗、落实到人。通过优化支出结构，编细编实预算，尽快启动项目，及时支付资金，确保支出进度达标。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（三）完善绩效管理。本年度项目预算绩效目标设置准确、合理、可量化，做好对上年度部门预算绩效自评和重点评价工作，对评价中发现的问题及时整改。调整优化支出结构，提高财政资金使用效益。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（四）完善制度建设。规范财务资产管理。完善财务管理制度，严格审批程序，加强固定资产登记、使用和报废和处置管理，做到支出合理，物尽其用。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加强宣传培训调研工作。加强人员培训，提高本部门职工业务素质；加强调研，提出优化财政资金配置，提高资金使用效益的意见；加大宣传力度，强化预算绩效管理意识，促进预算绩效管理水平进一步提高。</w:t>
      </w:r>
    </w:p>
    <w:p>
      <w:pPr>
        <w:spacing w:line="500" w:lineRule="exact"/>
        <w:ind w:firstLine="560" w:firstLineChars="200"/>
        <w:jc w:val="left"/>
        <w:rPr>
          <w:rFonts w:hint="eastAsia" w:ascii="Times New Roman" w:hAnsi="微软雅黑" w:eastAsia="方正仿宋_GBK" w:cs="微软雅黑"/>
          <w:sz w:val="28"/>
        </w:rPr>
      </w:pPr>
    </w:p>
    <w:p>
      <w:pPr>
        <w:jc w:val="center"/>
        <w:outlineLvl w:val="0"/>
        <w:rPr>
          <w:rFonts w:hint="eastAsia" w:ascii="方正小标宋_GBK" w:eastAsia="方正小标宋_GBK"/>
          <w:sz w:val="44"/>
        </w:rPr>
      </w:pPr>
      <w:r>
        <w:rPr>
          <w:rFonts w:hint="eastAsia" w:ascii="方正小标宋_GBK" w:eastAsia="方正小标宋_GBK"/>
          <w:sz w:val="44"/>
        </w:rPr>
        <w:t>预算项目绩效目标</w:t>
      </w:r>
    </w:p>
    <w:p>
      <w:pPr>
        <w:ind w:firstLine="562" w:firstLineChars="200"/>
        <w:jc w:val="left"/>
        <w:outlineLvl w:val="1"/>
        <w:rPr>
          <w:rFonts w:ascii="Times New Roman" w:hAnsi="宋体" w:eastAsia="宋体"/>
          <w:b/>
          <w:sz w:val="28"/>
        </w:rPr>
      </w:pPr>
      <w:r>
        <w:rPr>
          <w:rFonts w:ascii="方正仿宋_GBK" w:eastAsia="方正仿宋_GBK"/>
          <w:b/>
          <w:sz w:val="28"/>
        </w:rPr>
        <w:t>1、2020年度全区林业绿化占地经费绩效目标表</w:t>
      </w:r>
      <w:r>
        <w:fldChar w:fldCharType="begin"/>
      </w:r>
      <w:r>
        <w:rPr>
          <w:rFonts w:ascii="方正仿宋_GBK" w:eastAsia="方正仿宋_GBK"/>
          <w:b/>
          <w:sz w:val="28"/>
        </w:rPr>
        <w:instrText xml:space="preserve"> TC </w:instrText>
      </w:r>
      <w:bookmarkStart w:id="2" w:name="_Toc31371892"/>
      <w:r>
        <w:rPr>
          <w:rFonts w:ascii="方正仿宋_GBK" w:eastAsia="方正仿宋_GBK"/>
          <w:b/>
          <w:sz w:val="28"/>
        </w:rPr>
        <w:instrText xml:space="preserve">1、2020年度全区林业绿化占地经费绩效目标表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914-2801-JBN-5EGU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2020年度全区林业绿化占地经费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2294.57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2294.57</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项目预算资金元，计划2020年开始，6月底支出完毕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1、资金及时足额发放到位，维护环村林带占地户利益</w:t>
            </w:r>
          </w:p>
          <w:p>
            <w:pPr>
              <w:spacing w:line="300" w:lineRule="exact"/>
              <w:jc w:val="left"/>
              <w:rPr>
                <w:rFonts w:ascii="方正书宋_GBK" w:eastAsia="方正书宋_GBK"/>
              </w:rPr>
            </w:pPr>
            <w:r>
              <w:rPr>
                <w:rFonts w:ascii="方正书宋_GBK" w:eastAsia="方正书宋_GBK"/>
              </w:rPr>
              <w:t>2、促进地区稳定发展、保护绿化成果，带动土地流转工作依法、有序开展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实际发放的补助金金额占计划发放补助金额的比率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已补助人数占应补助户数的比率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2、2020年扶贫</w:t>
      </w:r>
      <w:bookmarkStart w:id="26" w:name="_GoBack"/>
      <w:bookmarkEnd w:id="26"/>
      <w:r>
        <w:rPr>
          <w:rFonts w:ascii="方正仿宋_GBK" w:eastAsia="方正仿宋_GBK"/>
          <w:b/>
          <w:sz w:val="28"/>
        </w:rPr>
        <w:t>公益岗位补助及购置保险绩效目标表</w:t>
      </w:r>
      <w:r>
        <w:fldChar w:fldCharType="begin"/>
      </w:r>
      <w:r>
        <w:rPr>
          <w:rFonts w:ascii="方正仿宋_GBK" w:eastAsia="方正仿宋_GBK"/>
          <w:b/>
          <w:sz w:val="28"/>
        </w:rPr>
        <w:instrText xml:space="preserve"> TC </w:instrText>
      </w:r>
      <w:bookmarkStart w:id="3" w:name="_Toc31371893"/>
      <w:r>
        <w:rPr>
          <w:rFonts w:ascii="方正仿宋_GBK" w:eastAsia="方正仿宋_GBK"/>
          <w:b/>
          <w:sz w:val="28"/>
        </w:rPr>
        <w:instrText xml:space="preserve">2、2020年扶贫公益岗位补助及购置保险绩效目标表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914-1701-YBN-D0H3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2020年扶贫公益岗位补助及购置保险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32.67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32.67</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设置扶贫</w:t>
            </w:r>
            <w:bookmarkStart w:id="4" w:name="OLE_LINK1"/>
            <w:r>
              <w:rPr>
                <w:rFonts w:ascii="方正书宋_GBK" w:eastAsia="方正书宋_GBK"/>
              </w:rPr>
              <w:t>公益</w:t>
            </w:r>
            <w:r>
              <w:rPr>
                <w:rFonts w:hint="eastAsia" w:ascii="方正书宋_GBK" w:eastAsia="方正书宋_GBK"/>
                <w:lang w:val="en-US" w:eastAsia="zh-CN"/>
              </w:rPr>
              <w:t>性</w:t>
            </w:r>
            <w:r>
              <w:rPr>
                <w:rFonts w:ascii="方正书宋_GBK" w:eastAsia="方正书宋_GBK"/>
              </w:rPr>
              <w:t>岗位</w:t>
            </w:r>
            <w:bookmarkEnd w:id="4"/>
            <w:r>
              <w:rPr>
                <w:rFonts w:ascii="方正书宋_GBK" w:eastAsia="方正书宋_GBK"/>
              </w:rPr>
              <w:t>，每人每月补助500元，为每人购置人身意外保险667元，2020年1－12月实施,全年共需32.6683万元。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1、以扶贫公益</w:t>
            </w:r>
            <w:r>
              <w:rPr>
                <w:rFonts w:hint="eastAsia" w:ascii="方正书宋_GBK" w:eastAsia="方正书宋_GBK"/>
                <w:lang w:val="en-US" w:eastAsia="zh-CN"/>
              </w:rPr>
              <w:t>性</w:t>
            </w:r>
            <w:r>
              <w:rPr>
                <w:rFonts w:ascii="方正书宋_GBK" w:eastAsia="方正书宋_GBK"/>
              </w:rPr>
              <w:t>岗位为抓手，解决建档立卡贫困户中弱劳动能力人员就业问题。</w:t>
            </w:r>
          </w:p>
          <w:p>
            <w:pPr>
              <w:spacing w:line="300" w:lineRule="exact"/>
              <w:jc w:val="left"/>
              <w:rPr>
                <w:rFonts w:ascii="方正书宋_GBK" w:eastAsia="方正书宋_GBK"/>
              </w:rPr>
            </w:pPr>
            <w:r>
              <w:rPr>
                <w:rFonts w:ascii="方正书宋_GBK" w:eastAsia="方正书宋_GBK"/>
              </w:rPr>
              <w:t>2、给予一定的岗位补助，促进建档立卡贫困户增收脱贫。</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带动建档立卡贫困户增加收入（万元）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≥29.4万元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≥3.27万元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≥49人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3、安全生产信息员经费绩效目标表</w:t>
      </w:r>
      <w:r>
        <w:fldChar w:fldCharType="begin"/>
      </w:r>
      <w:r>
        <w:rPr>
          <w:rFonts w:ascii="方正仿宋_GBK" w:eastAsia="方正仿宋_GBK"/>
          <w:b/>
          <w:sz w:val="28"/>
        </w:rPr>
        <w:instrText xml:space="preserve"> TC </w:instrText>
      </w:r>
      <w:bookmarkStart w:id="5" w:name="_Toc31371894"/>
      <w:r>
        <w:rPr>
          <w:rFonts w:ascii="方正仿宋_GBK" w:eastAsia="方正仿宋_GBK"/>
          <w:b/>
          <w:sz w:val="28"/>
        </w:rPr>
        <w:instrText xml:space="preserve">3、安全生产信息员经费绩效目标表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914-0701-JBN-WO2X</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用于全区各乡镇（城区办）安全生产信息员补助，计划2020年1-12月实施。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1、通过项目实施，维持安全生产信息员队伍的稳定。</w:t>
            </w:r>
          </w:p>
          <w:p>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覆盖乡镇（办事处）数量</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"安全生产信息员设置覆盖乡镇（办事处）数量</w:t>
            </w:r>
          </w:p>
          <w:p>
            <w:pPr>
              <w:spacing w:line="300" w:lineRule="exact"/>
              <w:jc w:val="left"/>
              <w:rPr>
                <w:rFonts w:ascii="方正书宋_GBK" w:eastAsia="方正书宋_GBK"/>
              </w:rPr>
            </w:pPr>
            <w:r>
              <w:rPr>
                <w:rFonts w:ascii="方正书宋_GBK" w:eastAsia="方正书宋_GBK"/>
              </w:rPr>
              <w:t>"</w:t>
            </w:r>
            <w:r>
              <w:rPr>
                <w:rFonts w:ascii="方正书宋_GBK" w:eastAsia="方正书宋_GBK"/>
              </w:rPr>
              <w:tab/>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0个</w:t>
            </w:r>
            <w:r>
              <w:rPr>
                <w:rFonts w:ascii="方正书宋_GBK" w:eastAsia="方正书宋_GBK"/>
              </w:rPr>
              <w:tab/>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"乡镇（办事处）安全生产信息员补助发放完成率</w:t>
            </w:r>
          </w:p>
          <w:p>
            <w:pPr>
              <w:spacing w:line="300" w:lineRule="exact"/>
              <w:jc w:val="left"/>
              <w:rPr>
                <w:rFonts w:ascii="方正书宋_GBK" w:eastAsia="方正书宋_GBK"/>
              </w:rPr>
            </w:pPr>
            <w:r>
              <w:rPr>
                <w:rFonts w:ascii="方正书宋_GBK" w:eastAsia="方正书宋_GBK"/>
              </w:rPr>
              <w:t>"</w:t>
            </w:r>
            <w:r>
              <w:rPr>
                <w:rFonts w:ascii="方正书宋_GBK" w:eastAsia="方正书宋_GBK"/>
              </w:rPr>
              <w:tab/>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p>
            <w:pPr>
              <w:spacing w:line="300" w:lineRule="exact"/>
              <w:jc w:val="left"/>
              <w:rPr>
                <w:rFonts w:ascii="方正书宋_GBK" w:eastAsia="方正书宋_GBK"/>
              </w:rPr>
            </w:pPr>
            <w:r>
              <w:rPr>
                <w:rFonts w:ascii="方正书宋_GBK" w:eastAsia="方正书宋_GBK"/>
              </w:rPr>
              <w:t>"</w:t>
            </w:r>
            <w:r>
              <w:rPr>
                <w:rFonts w:ascii="方正书宋_GBK" w:eastAsia="方正书宋_GBK"/>
              </w:rPr>
              <w:tab/>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4、拨付原京原公路工役制人员落实待遇基金绩效目标表</w:t>
      </w:r>
      <w:r>
        <w:fldChar w:fldCharType="begin"/>
      </w:r>
      <w:r>
        <w:rPr>
          <w:rFonts w:ascii="方正仿宋_GBK" w:eastAsia="方正仿宋_GBK"/>
          <w:b/>
          <w:sz w:val="28"/>
        </w:rPr>
        <w:instrText xml:space="preserve"> TC </w:instrText>
      </w:r>
      <w:bookmarkStart w:id="6" w:name="_Toc31371895"/>
      <w:r>
        <w:rPr>
          <w:rFonts w:ascii="方正仿宋_GBK" w:eastAsia="方正仿宋_GBK"/>
          <w:b/>
          <w:sz w:val="28"/>
        </w:rPr>
        <w:instrText xml:space="preserve">4、拨付原京原公路工役制人员落实待遇基金绩效目标表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914-1701-JBN-2FV2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拨付原京原公路工役制人员落实待遇基金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4.86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4.86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项目资金用于京原公路工役制人员落实待遇资金，计划2020年度开始，按月平均发放，第四季度12月底前支出完毕。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1、及时落实京原公路工役制人员待遇。</w:t>
            </w:r>
          </w:p>
          <w:p>
            <w:pPr>
              <w:spacing w:line="300" w:lineRule="exact"/>
              <w:jc w:val="left"/>
              <w:rPr>
                <w:rFonts w:ascii="方正书宋_GBK" w:eastAsia="方正书宋_GBK"/>
              </w:rPr>
            </w:pPr>
            <w:r>
              <w:rPr>
                <w:rFonts w:ascii="方正书宋_GBK" w:eastAsia="方正书宋_GBK"/>
              </w:rPr>
              <w:t>2、提高综合能力，保障各项业务工作畅通。</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指待遇落实人员数量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指待遇享受人员数量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指资金拨付时效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指项目资金能否按规定时效拨付到位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综合业务工作投资完成率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综合业务工作投资完成情况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综合业务工作对象满意度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综合业务工作对象满意情况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5、村党组织活动经费绩效目标表</w:t>
      </w:r>
      <w:r>
        <w:fldChar w:fldCharType="begin"/>
      </w:r>
      <w:r>
        <w:rPr>
          <w:rFonts w:ascii="方正仿宋_GBK" w:eastAsia="方正仿宋_GBK"/>
          <w:b/>
          <w:sz w:val="28"/>
        </w:rPr>
        <w:instrText xml:space="preserve"> TC </w:instrText>
      </w:r>
      <w:bookmarkStart w:id="7" w:name="_Toc31371896"/>
      <w:r>
        <w:rPr>
          <w:rFonts w:ascii="方正仿宋_GBK" w:eastAsia="方正仿宋_GBK"/>
          <w:b/>
          <w:sz w:val="28"/>
        </w:rPr>
        <w:instrText xml:space="preserve">5、村党组织活动经费绩效目标表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914-0701-JBN-45ZW</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39.78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39.78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用于村内党员组织活动支出，2020年实施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组织参观学习人次（人）</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6、村级组织办公经费绩效目标表</w:t>
      </w:r>
      <w:r>
        <w:fldChar w:fldCharType="begin"/>
      </w:r>
      <w:r>
        <w:rPr>
          <w:rFonts w:ascii="方正仿宋_GBK" w:eastAsia="方正仿宋_GBK"/>
          <w:b/>
          <w:sz w:val="28"/>
        </w:rPr>
        <w:instrText xml:space="preserve"> TC </w:instrText>
      </w:r>
      <w:bookmarkStart w:id="8" w:name="_Toc31371897"/>
      <w:r>
        <w:rPr>
          <w:rFonts w:ascii="方正仿宋_GBK" w:eastAsia="方正仿宋_GBK"/>
          <w:b/>
          <w:sz w:val="28"/>
        </w:rPr>
        <w:instrText xml:space="preserve">6、村级组织办公经费绩效目标表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914-0701-JBN-P5U9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54.15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54.15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项目资金用于保障全镇25个行政村正常运转所需的经费及其他支出，计划2020年第一季度3月底前完成支出。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1、为村组织工作提供基本资金保障，保障村级组织正常运转。</w:t>
            </w:r>
          </w:p>
          <w:p>
            <w:pPr>
              <w:spacing w:line="300" w:lineRule="exact"/>
              <w:jc w:val="left"/>
              <w:rPr>
                <w:rFonts w:ascii="方正书宋_GBK" w:eastAsia="方正书宋_GBK"/>
              </w:rPr>
            </w:pPr>
            <w:r>
              <w:rPr>
                <w:rFonts w:ascii="方正书宋_GBK" w:eastAsia="方正书宋_GBK"/>
              </w:rPr>
              <w:t>2、建立健全基层群众自治组织，提升服务质量和服务效率。</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村级组织办公经费覆盖情况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项目资金能否按规定时间足额拨付到位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群众对村组织工作的整体满意度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7、大气污染防治经费绩效目标表</w:t>
      </w:r>
      <w:r>
        <w:fldChar w:fldCharType="begin"/>
      </w:r>
      <w:r>
        <w:rPr>
          <w:rFonts w:ascii="方正仿宋_GBK" w:eastAsia="方正仿宋_GBK"/>
          <w:b/>
          <w:sz w:val="28"/>
        </w:rPr>
        <w:instrText xml:space="preserve"> TC </w:instrText>
      </w:r>
      <w:bookmarkStart w:id="9" w:name="_Toc31371898"/>
      <w:r>
        <w:rPr>
          <w:rFonts w:ascii="方正仿宋_GBK" w:eastAsia="方正仿宋_GBK"/>
          <w:b/>
          <w:sz w:val="28"/>
        </w:rPr>
        <w:instrText xml:space="preserve">7、大气污染防治经费绩效目标表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914-1801-JBN-SQIW</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大气污染防治经费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26.28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26.28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项目资金用于我镇日常大气污染防治相关工作的经费支出，计划2020年度开始，第四季度12月底前完成支出。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1、资金及时支付到位，保障大气污染防治工作正常开展。</w:t>
            </w:r>
          </w:p>
          <w:p>
            <w:pPr>
              <w:spacing w:line="300" w:lineRule="exact"/>
              <w:jc w:val="left"/>
              <w:rPr>
                <w:rFonts w:ascii="方正书宋_GBK" w:eastAsia="方正书宋_GBK"/>
              </w:rPr>
            </w:pPr>
            <w:r>
              <w:rPr>
                <w:rFonts w:ascii="方正书宋_GBK" w:eastAsia="方正书宋_GBK"/>
              </w:rPr>
              <w:t>2、加强大气污染防治，推动辖区内环境空气质量改善，为雄安新建设保驾护航。</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日常巡查平均面积占管理范围总面积的比例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村庄垃圾收集、处理率（%）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村庄垃圾收集、处理完成情况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调查中满意和较满意的群众人数占全部调查人数的比率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调满意度查结果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8、大因一中等中小学占地补偿绩效目标表</w:t>
      </w:r>
      <w:r>
        <w:fldChar w:fldCharType="begin"/>
      </w:r>
      <w:r>
        <w:rPr>
          <w:rFonts w:ascii="方正仿宋_GBK" w:eastAsia="方正仿宋_GBK"/>
          <w:b/>
          <w:sz w:val="28"/>
        </w:rPr>
        <w:instrText xml:space="preserve"> TC </w:instrText>
      </w:r>
      <w:bookmarkStart w:id="10" w:name="_Toc31371899"/>
      <w:r>
        <w:rPr>
          <w:rFonts w:ascii="方正仿宋_GBK" w:eastAsia="方正仿宋_GBK"/>
          <w:b/>
          <w:sz w:val="28"/>
        </w:rPr>
        <w:instrText xml:space="preserve">8、大因一中等中小学占地补偿绩效目标表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914-2701-JBN-B9L8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大因一中等中小学占地补偿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7.89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7.89</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项目资金用于大因一中等中小学占地补偿款的发放，计划2020年度开始，第一季度3月底前完成支出。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1、资金及时足额发放到位，维护学校占地户利益，稳定乡情村情。</w:t>
            </w:r>
          </w:p>
          <w:p>
            <w:pPr>
              <w:spacing w:line="300" w:lineRule="exact"/>
              <w:jc w:val="left"/>
              <w:rPr>
                <w:rFonts w:ascii="方正书宋_GBK" w:eastAsia="方正书宋_GBK"/>
              </w:rPr>
            </w:pPr>
            <w:r>
              <w:rPr>
                <w:rFonts w:ascii="方正书宋_GBK" w:eastAsia="方正书宋_GBK"/>
              </w:rPr>
              <w:t>2、校舍面积满足教育教学需要，教学点能够正常运转。</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补偿资金到位率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实际到位补偿款占应到位资金的比例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补偿款发放覆盖率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补偿款发放完成率（已补助人群占应补助人群的比例）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受补偿户对补偿款发放工作的满意程度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9、地震群测群防岗位津贴绩效目标表</w:t>
      </w:r>
      <w:r>
        <w:fldChar w:fldCharType="begin"/>
      </w:r>
      <w:r>
        <w:rPr>
          <w:rFonts w:ascii="方正仿宋_GBK" w:eastAsia="方正仿宋_GBK"/>
          <w:b/>
          <w:sz w:val="28"/>
        </w:rPr>
        <w:instrText xml:space="preserve"> TC </w:instrText>
      </w:r>
      <w:bookmarkStart w:id="11" w:name="_Toc31371900"/>
      <w:r>
        <w:rPr>
          <w:rFonts w:ascii="方正仿宋_GBK" w:eastAsia="方正仿宋_GBK"/>
          <w:b/>
          <w:sz w:val="28"/>
        </w:rPr>
        <w:instrText xml:space="preserve">9、地震群测群防岗位津贴绩效目标表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914-1701-JBN-LO4P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0.51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0.51</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发放乡镇（办事处）地震群测群防岗位津贴发放完成率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10、房屋修缮经费绩效目标表</w:t>
      </w:r>
      <w:r>
        <w:fldChar w:fldCharType="begin"/>
      </w:r>
      <w:r>
        <w:rPr>
          <w:rFonts w:ascii="方正仿宋_GBK" w:eastAsia="方正仿宋_GBK"/>
          <w:b/>
          <w:sz w:val="28"/>
        </w:rPr>
        <w:instrText xml:space="preserve"> TC </w:instrText>
      </w:r>
      <w:bookmarkStart w:id="12" w:name="_Toc31371901"/>
      <w:r>
        <w:rPr>
          <w:rFonts w:ascii="方正仿宋_GBK" w:eastAsia="方正仿宋_GBK"/>
          <w:b/>
          <w:sz w:val="28"/>
        </w:rPr>
        <w:instrText xml:space="preserve">10、房屋修缮经费绩效目标表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914-1701-YBN-2HGE</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房屋修缮经费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项目资金用于本单位损坏门窗等的修缮工作，计划2020年度开始，第四季度10月底前完成支出。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1、对损坏门窗及时进行修复、更换，保证其正常使用，为办事群众及单位职工提供良好的硬件支持和后勤保障，维持机关工作正常运转。</w:t>
            </w:r>
          </w:p>
          <w:p>
            <w:pPr>
              <w:spacing w:line="300" w:lineRule="exact"/>
              <w:jc w:val="left"/>
              <w:rPr>
                <w:rFonts w:ascii="方正书宋_GBK" w:eastAsia="方正书宋_GBK"/>
              </w:rPr>
            </w:pPr>
            <w:r>
              <w:rPr>
                <w:rFonts w:ascii="方正书宋_GBK" w:eastAsia="方正书宋_GBK"/>
              </w:rPr>
              <w:t>2、提高工作效率及服务质量，增强人民群众对党和政府工作的满意度。</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维修工作及时度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指维修维护工作是否及时、有效，是否影响单位工作正常开展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群众及干部职工满意度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指对政府工作满意度调查中，满意或较满意人数所占调查总人数的比重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11、服务群众专项经费绩效目标表</w:t>
      </w:r>
      <w:r>
        <w:fldChar w:fldCharType="begin"/>
      </w:r>
      <w:r>
        <w:rPr>
          <w:rFonts w:ascii="方正仿宋_GBK" w:eastAsia="方正仿宋_GBK"/>
          <w:b/>
          <w:sz w:val="28"/>
        </w:rPr>
        <w:instrText xml:space="preserve"> TC </w:instrText>
      </w:r>
      <w:bookmarkStart w:id="13" w:name="_Toc31371902"/>
      <w:r>
        <w:rPr>
          <w:rFonts w:ascii="方正仿宋_GBK" w:eastAsia="方正仿宋_GBK"/>
          <w:b/>
          <w:sz w:val="28"/>
        </w:rPr>
        <w:instrText xml:space="preserve">11、服务群众专项经费绩效目标表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914-0701-JBN-6WVD</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用于村内日常开支工作支出,2020年实施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1、运用服务群众专项经费，保障村内组织日常活动，</w:t>
            </w:r>
          </w:p>
          <w:p>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12、环村林带土地流转资金绩效目标表</w:t>
      </w:r>
      <w:r>
        <w:fldChar w:fldCharType="begin"/>
      </w:r>
      <w:r>
        <w:rPr>
          <w:rFonts w:ascii="方正仿宋_GBK" w:eastAsia="方正仿宋_GBK"/>
          <w:b/>
          <w:sz w:val="28"/>
        </w:rPr>
        <w:instrText xml:space="preserve"> TC </w:instrText>
      </w:r>
      <w:bookmarkStart w:id="14" w:name="_Toc31371903"/>
      <w:r>
        <w:rPr>
          <w:rFonts w:ascii="方正仿宋_GBK" w:eastAsia="方正仿宋_GBK"/>
          <w:b/>
          <w:sz w:val="28"/>
        </w:rPr>
        <w:instrText xml:space="preserve">12、环村林带土地流转资金绩效目标表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914-2701-JBN-K9ZO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环村林带土地流转资金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48.52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48.52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项目资金用于环村林带土地流转金的发放，计划2020年度开始，第二季度6月底前完成支出。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1、资金及时足额发放到位，维护环村林带占地户利益，稳定乡情村情。</w:t>
            </w:r>
          </w:p>
          <w:p>
            <w:pPr>
              <w:spacing w:line="300" w:lineRule="exact"/>
              <w:jc w:val="left"/>
              <w:rPr>
                <w:rFonts w:ascii="方正书宋_GBK" w:eastAsia="方正书宋_GBK"/>
              </w:rPr>
            </w:pPr>
            <w:r>
              <w:rPr>
                <w:rFonts w:ascii="方正书宋_GBK" w:eastAsia="方正书宋_GBK"/>
              </w:rPr>
              <w:t>2、促进地区稳定发展、保护绿化成果，带动土地流转工作依法、有序开展。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补偿资金到位率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实际到位补偿款占应到位资金的比例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补偿款发放覆盖率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补偿款发放完成率（已补助人群占应补助人群的比例）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受补偿户对补偿款发放工作的满意程度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13、纪检保障经费绩效目标表</w:t>
      </w:r>
      <w:r>
        <w:fldChar w:fldCharType="begin"/>
      </w:r>
      <w:r>
        <w:rPr>
          <w:rFonts w:ascii="方正仿宋_GBK" w:eastAsia="方正仿宋_GBK"/>
          <w:b/>
          <w:sz w:val="28"/>
        </w:rPr>
        <w:instrText xml:space="preserve"> TC </w:instrText>
      </w:r>
      <w:bookmarkStart w:id="15" w:name="_Toc31371904"/>
      <w:r>
        <w:rPr>
          <w:rFonts w:ascii="方正仿宋_GBK" w:eastAsia="方正仿宋_GBK"/>
          <w:b/>
          <w:sz w:val="28"/>
        </w:rPr>
        <w:instrText xml:space="preserve">13、纪检保障经费绩效目标表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914-0701-JBN-NIOF</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用于本单位纪检相关工作的支出，计划2020年开始，按照纪检工作开展情况进行支付，第四季度12月底前完成支出。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1、及时拨付资金，保障本单位纪检工作正常开展，提高工作效率。</w:t>
            </w:r>
          </w:p>
          <w:p>
            <w:pPr>
              <w:spacing w:line="300" w:lineRule="exact"/>
              <w:jc w:val="left"/>
              <w:rPr>
                <w:rFonts w:ascii="方正书宋_GBK" w:eastAsia="方正书宋_GBK"/>
              </w:rPr>
            </w:pPr>
            <w:r>
              <w:rPr>
                <w:rFonts w:ascii="方正书宋_GBK" w:eastAsia="方正书宋_GBK"/>
              </w:rPr>
              <w:t>2、建立纪检保障长效机制，加强乡镇纪检部门履职能力，保障乡镇纪委充分履职。</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纪检保障经费到位及时率。（已按计划拨付到位的资金/应按计划拨付到位的资金）</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乡镇纪检部门正常运转保障程度。（实际保障金额/应保障金额）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信访群众对案件处理的满意程度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14、其他两委干部绩效补贴绩效目标表</w:t>
      </w:r>
      <w:r>
        <w:fldChar w:fldCharType="begin"/>
      </w:r>
      <w:r>
        <w:rPr>
          <w:rFonts w:ascii="方正仿宋_GBK" w:eastAsia="方正仿宋_GBK"/>
          <w:b/>
          <w:sz w:val="28"/>
        </w:rPr>
        <w:instrText xml:space="preserve"> TC </w:instrText>
      </w:r>
      <w:bookmarkStart w:id="16" w:name="_Toc31371905"/>
      <w:r>
        <w:rPr>
          <w:rFonts w:ascii="方正仿宋_GBK" w:eastAsia="方正仿宋_GBK"/>
          <w:b/>
          <w:sz w:val="28"/>
        </w:rPr>
        <w:instrText xml:space="preserve">14、其他两委干部绩效补贴绩效目标表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914-0701-JBN-I5UI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其他两委干部绩效补贴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46.44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46.44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预算资金46.44万元，2020年实施，按季度发放，每季度季初发放25%，第四季度12月底完成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1、为农村支书、主任及其他“两委”干部发放工资，进一步强化党在农村执政的保障基础，充分调动农村干部的工作热情。</w:t>
            </w:r>
          </w:p>
          <w:p>
            <w:pPr>
              <w:spacing w:line="300" w:lineRule="exact"/>
              <w:jc w:val="left"/>
              <w:rPr>
                <w:rFonts w:ascii="方正书宋_GBK" w:eastAsia="方正书宋_GBK"/>
              </w:rPr>
            </w:pPr>
            <w:r>
              <w:rPr>
                <w:rFonts w:ascii="方正书宋_GBK" w:eastAsia="方正书宋_GBK"/>
              </w:rPr>
              <w:t>2、进一步强化党在农村执政的保障基础</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其他两委干部绩效补贴补助发放完成率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享受其他两委干部绩效补贴对补助发放情况的满意程度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15、人大工作经费绩效目标表</w:t>
      </w:r>
      <w:r>
        <w:fldChar w:fldCharType="begin"/>
      </w:r>
      <w:r>
        <w:rPr>
          <w:rFonts w:ascii="方正仿宋_GBK" w:eastAsia="方正仿宋_GBK"/>
          <w:b/>
          <w:sz w:val="28"/>
        </w:rPr>
        <w:instrText xml:space="preserve"> TC </w:instrText>
      </w:r>
      <w:bookmarkStart w:id="17" w:name="_Toc31371906"/>
      <w:r>
        <w:rPr>
          <w:rFonts w:ascii="方正仿宋_GBK" w:eastAsia="方正仿宋_GBK"/>
          <w:b/>
          <w:sz w:val="28"/>
        </w:rPr>
        <w:instrText xml:space="preserve">15、人大工作经费绩效目标表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914-0701-JBN-PHIZ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项目资金用于本单位人大相关工作事务的支出，计划2020年度开始，第四季度11月底前完成支出。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1、为人大工作提供资金保障，资金足额及时支付到位。</w:t>
            </w:r>
          </w:p>
          <w:p>
            <w:pPr>
              <w:spacing w:line="300" w:lineRule="exact"/>
              <w:jc w:val="left"/>
              <w:rPr>
                <w:rFonts w:ascii="方正书宋_GBK" w:eastAsia="方正书宋_GBK"/>
              </w:rPr>
            </w:pPr>
            <w:r>
              <w:rPr>
                <w:rFonts w:ascii="方正书宋_GBK" w:eastAsia="方正书宋_GBK"/>
              </w:rPr>
              <w:t>2、加强乡镇人大履职能力，保障乡镇人大工作及时开展。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人大代表及相关人员的满意度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人大代表，人民群众对人大工作的满意率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16、团委综合事务管理经费绩效目标表</w:t>
      </w:r>
      <w:r>
        <w:fldChar w:fldCharType="begin"/>
      </w:r>
      <w:r>
        <w:rPr>
          <w:rFonts w:ascii="方正仿宋_GBK" w:eastAsia="方正仿宋_GBK"/>
          <w:b/>
          <w:sz w:val="28"/>
        </w:rPr>
        <w:instrText xml:space="preserve"> TC </w:instrText>
      </w:r>
      <w:bookmarkStart w:id="18" w:name="_Toc31371907"/>
      <w:r>
        <w:rPr>
          <w:rFonts w:ascii="方正仿宋_GBK" w:eastAsia="方正仿宋_GBK"/>
          <w:b/>
          <w:sz w:val="28"/>
        </w:rPr>
        <w:instrText xml:space="preserve">16、团委综合事务管理经费绩效目标表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914-0701-JBN-TUZZ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项目资金用于本单位团委相关工作的支出，计划2020年度开始，依时间进度拨付，第四季度12月底前完成支出。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1、资金足额支付到位，为团组织活动提供资金保障。</w:t>
            </w:r>
          </w:p>
          <w:p>
            <w:pPr>
              <w:spacing w:line="300" w:lineRule="exact"/>
              <w:jc w:val="left"/>
              <w:rPr>
                <w:rFonts w:ascii="方正书宋_GBK" w:eastAsia="方正书宋_GBK"/>
              </w:rPr>
            </w:pPr>
            <w:r>
              <w:rPr>
                <w:rFonts w:ascii="方正书宋_GBK" w:eastAsia="方正书宋_GBK"/>
              </w:rPr>
              <w:t>2、保障基层共青团建设发展资金需求，为基层青年教育创造良好环境。</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组织宣传活动次数（次）</w:t>
            </w:r>
            <w:r>
              <w:rPr>
                <w:rFonts w:ascii="方正书宋_GBK" w:eastAsia="方正书宋_GBK"/>
              </w:rPr>
              <w:tab/>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教育普及率（%）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受教育青年占应受教育青年人数比率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调查中满意和较满意的人数占调查总人数的比率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17、退役军人公益性岗位人员工资绩效目标表</w:t>
      </w:r>
      <w:r>
        <w:fldChar w:fldCharType="begin"/>
      </w:r>
      <w:r>
        <w:rPr>
          <w:rFonts w:ascii="方正仿宋_GBK" w:eastAsia="方正仿宋_GBK"/>
          <w:b/>
          <w:sz w:val="28"/>
        </w:rPr>
        <w:instrText xml:space="preserve"> TC </w:instrText>
      </w:r>
      <w:bookmarkStart w:id="19" w:name="_Toc31371908"/>
      <w:r>
        <w:rPr>
          <w:rFonts w:ascii="方正仿宋_GBK" w:eastAsia="方正仿宋_GBK"/>
          <w:b/>
          <w:sz w:val="28"/>
        </w:rPr>
        <w:instrText xml:space="preserve">17、退役军人公益性岗位人员工资绩效目标表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914-1701-JBN-297K</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27.26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27.26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用于开展退役军人公益性岗位人员工资项目，计划2020年开始，按时间进度发放，于2020年11月底前支出完毕。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1、保障安置人员基本工资收入，无相关不稳定事件发生。</w:t>
            </w:r>
          </w:p>
          <w:p>
            <w:pPr>
              <w:spacing w:line="300" w:lineRule="exact"/>
              <w:jc w:val="left"/>
              <w:rPr>
                <w:rFonts w:ascii="方正书宋_GBK" w:eastAsia="方正书宋_GBK"/>
              </w:rPr>
            </w:pPr>
            <w:r>
              <w:rPr>
                <w:rFonts w:ascii="方正书宋_GBK" w:eastAsia="方正书宋_GBK"/>
              </w:rPr>
              <w:t>2、工资发放及时，足额到位。</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岗位工资到位率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实际到位岗位工资占应到位资金的比例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发放补贴人数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全年发放退役军人公益性岗位工资人数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指发放对象对所提供服务的满意程度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18、维稳、安保经费绩效目标表</w:t>
      </w:r>
      <w:r>
        <w:fldChar w:fldCharType="begin"/>
      </w:r>
      <w:r>
        <w:rPr>
          <w:rFonts w:ascii="方正仿宋_GBK" w:eastAsia="方正仿宋_GBK"/>
          <w:b/>
          <w:sz w:val="28"/>
        </w:rPr>
        <w:instrText xml:space="preserve"> TC </w:instrText>
      </w:r>
      <w:bookmarkStart w:id="20" w:name="_Toc31371909"/>
      <w:r>
        <w:rPr>
          <w:rFonts w:ascii="方正仿宋_GBK" w:eastAsia="方正仿宋_GBK"/>
          <w:b/>
          <w:sz w:val="28"/>
        </w:rPr>
        <w:instrText xml:space="preserve">18、维稳、安保经费绩效目标表</w:instrText>
      </w:r>
      <w:bookmarkEnd w:id="2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914-0601-JBN-39NR</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维稳、安保经费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项目资金用于所辖区内维稳、安保等相关工作的支出，计划2020年度开始，按时间进度支出，第四季度12月底前支出完毕。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1、资金及时支付到位，为稳定工作提供资金保障。</w:t>
            </w:r>
          </w:p>
          <w:p>
            <w:pPr>
              <w:spacing w:line="300" w:lineRule="exact"/>
              <w:jc w:val="left"/>
              <w:rPr>
                <w:rFonts w:ascii="方正书宋_GBK" w:eastAsia="方正书宋_GBK"/>
              </w:rPr>
            </w:pPr>
            <w:r>
              <w:rPr>
                <w:rFonts w:ascii="方正书宋_GBK" w:eastAsia="方正书宋_GBK"/>
              </w:rPr>
              <w:t>2、强化接访中心建设，切实提高接访中心吸附力。积极推进涉法涉诉信访工作改革，把涉法涉诉信访问题的解决导入法治轨道。</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维稳问题解决率（%）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已解决维稳问题占全部维稳问题的比率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非法上访率（%）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非访或越级访占信访案件的比率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&lt;20百分比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指所涉及群众对维稳工作的满意程度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19、选任专职人民调解员经费绩效目标表</w:t>
      </w:r>
      <w:r>
        <w:fldChar w:fldCharType="begin"/>
      </w:r>
      <w:r>
        <w:rPr>
          <w:rFonts w:ascii="方正仿宋_GBK" w:eastAsia="方正仿宋_GBK"/>
          <w:b/>
          <w:sz w:val="28"/>
        </w:rPr>
        <w:instrText xml:space="preserve"> TC </w:instrText>
      </w:r>
      <w:bookmarkStart w:id="21" w:name="_Toc31371910"/>
      <w:r>
        <w:rPr>
          <w:rFonts w:ascii="方正仿宋_GBK" w:eastAsia="方正仿宋_GBK"/>
          <w:b/>
          <w:sz w:val="28"/>
        </w:rPr>
        <w:instrText xml:space="preserve">19、选任专职人民调解员经费绩效目标表</w:instrText>
      </w:r>
      <w:bookmarkEnd w:id="2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914-0601-JBN-VH5L</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8.55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为进一步做好人民调解工作，依据上级文件精神，为区司法局招录5名专职人民调解员，便于更好、更快调解诉前案件和信访案件，减少社会矛盾，化解社会纠纷。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1、做好人民调解工作，更好、更快调解诉前案件和信访案件。</w:t>
            </w:r>
          </w:p>
          <w:p>
            <w:pPr>
              <w:spacing w:line="300" w:lineRule="exact"/>
              <w:jc w:val="left"/>
              <w:rPr>
                <w:rFonts w:ascii="方正书宋_GBK" w:eastAsia="方正书宋_GBK"/>
              </w:rPr>
            </w:pPr>
            <w:r>
              <w:rPr>
                <w:rFonts w:ascii="方正书宋_GBK" w:eastAsia="方正书宋_GBK"/>
              </w:rPr>
              <w:t>2、减少社会矛盾，化解社会纠纷。</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r>
              <w:rPr>
                <w:rFonts w:ascii="方正书宋_GBK" w:eastAsia="方正书宋_GBK"/>
              </w:rPr>
              <w:tab/>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≥0专职调解员工作促进社会稳定水平逐步提升。</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20、院落整修经费绩效目标表</w:t>
      </w:r>
      <w:r>
        <w:fldChar w:fldCharType="begin"/>
      </w:r>
      <w:r>
        <w:rPr>
          <w:rFonts w:ascii="方正仿宋_GBK" w:eastAsia="方正仿宋_GBK"/>
          <w:b/>
          <w:sz w:val="28"/>
        </w:rPr>
        <w:instrText xml:space="preserve"> TC </w:instrText>
      </w:r>
      <w:bookmarkStart w:id="22" w:name="_Toc31371911"/>
      <w:r>
        <w:rPr>
          <w:rFonts w:ascii="方正仿宋_GBK" w:eastAsia="方正仿宋_GBK"/>
          <w:b/>
          <w:sz w:val="28"/>
        </w:rPr>
        <w:instrText xml:space="preserve">20、院落整修经费绩效目标表</w:instrText>
      </w:r>
      <w:bookmarkEnd w:id="2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914-1701-YBN-4RTM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院落整修经费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项目资金用于单位院落破损路面的修复、硬化等，计划2020年度开始，第四季度10月底前完成支出。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1、对损坏路面及时进行修复、硬化，保证其正常使用，为群众及单位职工提供良好的服务保障及工作环境，维持机关单位工作正常运转。</w:t>
            </w:r>
          </w:p>
          <w:p>
            <w:pPr>
              <w:spacing w:line="300" w:lineRule="exact"/>
              <w:jc w:val="left"/>
              <w:rPr>
                <w:rFonts w:ascii="方正书宋_GBK" w:eastAsia="方正书宋_GBK"/>
              </w:rPr>
            </w:pPr>
            <w:r>
              <w:rPr>
                <w:rFonts w:ascii="方正书宋_GBK" w:eastAsia="方正书宋_GBK"/>
              </w:rPr>
              <w:t>2、提高工作效率及服务质量，增强人民群众对党和政府工作的满意度。</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维修工作及时度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指维修维护工作是否及时、有效，是否影响单位工作正常开展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群众及干部职工满意度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21、政府机关运行维护专项经费绩效目标表</w:t>
      </w:r>
      <w:r>
        <w:fldChar w:fldCharType="begin"/>
      </w:r>
      <w:r>
        <w:rPr>
          <w:rFonts w:ascii="方正仿宋_GBK" w:eastAsia="方正仿宋_GBK"/>
          <w:b/>
          <w:sz w:val="28"/>
        </w:rPr>
        <w:instrText xml:space="preserve"> TC </w:instrText>
      </w:r>
      <w:bookmarkStart w:id="23" w:name="_Toc31371912"/>
      <w:r>
        <w:rPr>
          <w:rFonts w:ascii="方正仿宋_GBK" w:eastAsia="方正仿宋_GBK"/>
          <w:b/>
          <w:sz w:val="28"/>
        </w:rPr>
        <w:instrText xml:space="preserve">21、政府机关运行维护专项经费绩效目标表</w:instrText>
      </w:r>
      <w:bookmarkEnd w:id="2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914-0701-JBN-V18D</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政府机关运行维护专项经费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35.12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35.12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项目资金用于本单位正常工作开展所需的办公费、劳务费、公务用车运行维护费等的支出，计划2020年度开始，根据工作开展情况依时间进度支出，第四季度12月底前支出完毕。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1、依单位实际情况及工作需要，及时、合理、有效安排支出，维持机关单位正常运转。</w:t>
            </w:r>
          </w:p>
          <w:p>
            <w:pPr>
              <w:spacing w:line="300" w:lineRule="exact"/>
              <w:jc w:val="left"/>
              <w:rPr>
                <w:rFonts w:ascii="方正书宋_GBK" w:eastAsia="方正书宋_GBK"/>
              </w:rPr>
            </w:pPr>
            <w:r>
              <w:rPr>
                <w:rFonts w:ascii="方正书宋_GBK" w:eastAsia="方正书宋_GBK"/>
              </w:rPr>
              <w:t>2、提高工作质量及服务效率，提升群众满意度，为地区繁荣、稳定发展</w:t>
            </w:r>
            <w:r>
              <w:rPr>
                <w:rFonts w:hint="eastAsia" w:ascii="方正书宋_GBK" w:eastAsia="方正书宋_GBK"/>
                <w:lang w:val="en-US" w:eastAsia="zh-CN"/>
              </w:rPr>
              <w:t>作</w:t>
            </w:r>
            <w:r>
              <w:rPr>
                <w:rFonts w:ascii="方正书宋_GBK" w:eastAsia="方正书宋_GBK"/>
              </w:rPr>
              <w:t>出贡献。</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资金支付时效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指项目资金是否按时间节点或合同要求及时支付到位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群众及干部职工满意度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指对政府工作满意度调查中，满意或较满意人数所占调查总人数的比重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满意度调查结果</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22、中央补助地方美术馆、公共图书馆、文化馆（站）免费开放专项资金绩效目标表</w:t>
      </w:r>
      <w:r>
        <w:fldChar w:fldCharType="begin"/>
      </w:r>
      <w:r>
        <w:rPr>
          <w:rFonts w:ascii="方正仿宋_GBK" w:eastAsia="方正仿宋_GBK"/>
          <w:b/>
          <w:sz w:val="28"/>
        </w:rPr>
        <w:instrText xml:space="preserve"> TC </w:instrText>
      </w:r>
      <w:bookmarkStart w:id="24" w:name="_Toc31371913"/>
      <w:r>
        <w:rPr>
          <w:rFonts w:ascii="方正仿宋_GBK" w:eastAsia="方正仿宋_GBK"/>
          <w:b/>
          <w:sz w:val="28"/>
        </w:rPr>
        <w:instrText xml:space="preserve">22、中央补助地方美术馆、公共图书馆、文化馆（站）免费开放专项资金绩效目标表</w:instrText>
      </w:r>
      <w:bookmarkEnd w:id="2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914-1401-JBN-O9SM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建有相应文化设施，设有相应文化机构并配备专业人才队伍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举办公益性讲座和展览宣传</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群众对基本公共文化服务满意度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广大人民群众对看展基本的公共文化服务的满意度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农村受益群众满意程度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23、中央补助地方农村文化建设区级配套资金绩效目标表</w:t>
      </w:r>
      <w:r>
        <w:fldChar w:fldCharType="begin"/>
      </w:r>
      <w:r>
        <w:rPr>
          <w:rFonts w:ascii="方正仿宋_GBK" w:eastAsia="方正仿宋_GBK"/>
          <w:b/>
          <w:sz w:val="28"/>
        </w:rPr>
        <w:instrText xml:space="preserve"> TC </w:instrText>
      </w:r>
      <w:bookmarkStart w:id="25" w:name="_Toc31371914"/>
      <w:r>
        <w:rPr>
          <w:rFonts w:ascii="方正仿宋_GBK" w:eastAsia="方正仿宋_GBK"/>
          <w:b/>
          <w:sz w:val="28"/>
        </w:rPr>
        <w:instrText xml:space="preserve">23、中央补助地方农村文化建设区级配套资金绩效目标表</w:instrText>
      </w:r>
      <w:bookmarkEnd w:id="2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914002大因镇（行政）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914-1401-JBN-UVNN</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中央补助地方农村文化建设区级配套资金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3.30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3.30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1、鼓励地方开展农村特色文育活动</w:t>
            </w:r>
          </w:p>
          <w:p>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仓储设施设备及环境完好率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文化交流次数</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文化交流活动开展实施次数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受益群众满意率</w:t>
            </w:r>
          </w:p>
          <w:p>
            <w:pPr>
              <w:spacing w:line="300" w:lineRule="exact"/>
              <w:jc w:val="left"/>
              <w:rPr>
                <w:rFonts w:ascii="方正书宋_GBK" w:eastAsia="方正书宋_GBK"/>
              </w:rPr>
            </w:pPr>
            <w:r>
              <w:rPr>
                <w:rFonts w:ascii="方正书宋_GBK" w:eastAsia="方正书宋_GBK"/>
              </w:rPr>
              <w:t>受益群众满意率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农村受益群众满意程度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2020年，我部门安排政府采购预算</w:t>
      </w:r>
      <w:r>
        <w:rPr>
          <w:rFonts w:hint="eastAsia" w:ascii="仿宋" w:hAnsi="仿宋" w:eastAsia="仿宋"/>
          <w:sz w:val="32"/>
          <w:szCs w:val="32"/>
          <w:lang w:val="en-US" w:eastAsia="zh-CN"/>
        </w:rPr>
        <w:t>1.2</w:t>
      </w:r>
      <w:r>
        <w:rPr>
          <w:rFonts w:ascii="仿宋" w:hAnsi="仿宋" w:eastAsia="仿宋"/>
          <w:sz w:val="32"/>
          <w:szCs w:val="32"/>
        </w:rPr>
        <w:t>万元，具体内容见下表：</w:t>
      </w:r>
    </w:p>
    <w:p>
      <w:pPr>
        <w:spacing w:line="360" w:lineRule="auto"/>
        <w:ind w:firstLine="640" w:firstLineChars="200"/>
        <w:rPr>
          <w:rFonts w:ascii="方正小标宋_GBK" w:eastAsia="方正小标宋_GBK"/>
          <w:sz w:val="24"/>
        </w:rPr>
      </w:pPr>
      <w:r>
        <w:rPr>
          <w:rFonts w:hint="eastAsia" w:ascii="仿宋" w:hAnsi="仿宋" w:eastAsia="仿宋"/>
          <w:sz w:val="32"/>
          <w:szCs w:val="32"/>
        </w:rPr>
        <w:t>附部门政府采购预算表。</w:t>
      </w:r>
    </w:p>
    <w:p>
      <w:pPr>
        <w:spacing w:line="360" w:lineRule="auto"/>
        <w:ind w:firstLine="480" w:firstLineChars="200"/>
        <w:rPr>
          <w:rFonts w:ascii="方正小标宋_GBK" w:eastAsia="方正小标宋_GBK"/>
          <w:sz w:val="24"/>
        </w:rPr>
      </w:pPr>
      <w:r>
        <w:rPr>
          <w:rFonts w:ascii="方正小标宋_GBK" w:eastAsia="方正小标宋_GBK"/>
          <w:sz w:val="24"/>
        </w:rPr>
        <w:t>914保定市徐水区大因镇人民政府</w:t>
      </w:r>
    </w:p>
    <w:tbl>
      <w:tblPr>
        <w:tblStyle w:val="5"/>
        <w:tblW w:w="8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4"/>
        <w:gridCol w:w="830"/>
        <w:gridCol w:w="722"/>
        <w:gridCol w:w="1164"/>
        <w:gridCol w:w="497"/>
        <w:gridCol w:w="453"/>
        <w:gridCol w:w="574"/>
        <w:gridCol w:w="519"/>
        <w:gridCol w:w="703"/>
        <w:gridCol w:w="495"/>
        <w:gridCol w:w="805"/>
        <w:gridCol w:w="805"/>
        <w:gridCol w:w="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6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政府采购项目来源</w:t>
            </w:r>
          </w:p>
        </w:tc>
        <w:tc>
          <w:tcPr>
            <w:tcW w:w="72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采购物品名称</w:t>
            </w:r>
          </w:p>
        </w:tc>
        <w:tc>
          <w:tcPr>
            <w:tcW w:w="116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政府采购目录序号</w:t>
            </w:r>
          </w:p>
        </w:tc>
        <w:tc>
          <w:tcPr>
            <w:tcW w:w="49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计量  单位</w:t>
            </w:r>
          </w:p>
        </w:tc>
        <w:tc>
          <w:tcPr>
            <w:tcW w:w="45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数量</w:t>
            </w:r>
          </w:p>
        </w:tc>
        <w:tc>
          <w:tcPr>
            <w:tcW w:w="5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单价</w:t>
            </w:r>
          </w:p>
        </w:tc>
        <w:tc>
          <w:tcPr>
            <w:tcW w:w="3751" w:type="dxa"/>
            <w:gridSpan w:val="6"/>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政府采购金额（当年部门预算安排资金）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5" w:hRule="atLeast"/>
        </w:trPr>
        <w:tc>
          <w:tcPr>
            <w:tcW w:w="814"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项目名称</w:t>
            </w:r>
          </w:p>
        </w:tc>
        <w:tc>
          <w:tcPr>
            <w:tcW w:w="83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预算资金</w:t>
            </w:r>
          </w:p>
        </w:tc>
        <w:tc>
          <w:tcPr>
            <w:tcW w:w="722" w:type="dxa"/>
            <w:tcBorders>
              <w:bottom w:val="single" w:color="000000" w:sz="12" w:space="0"/>
              <w:right w:val="single" w:color="000000" w:sz="12"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c>
          <w:tcPr>
            <w:tcW w:w="1164" w:type="dxa"/>
            <w:tcBorders>
              <w:bottom w:val="single" w:color="000000" w:sz="12" w:space="0"/>
              <w:right w:val="single" w:color="000000" w:sz="12"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c>
          <w:tcPr>
            <w:tcW w:w="497" w:type="dxa"/>
            <w:tcBorders>
              <w:bottom w:val="single" w:color="000000" w:sz="12" w:space="0"/>
              <w:right w:val="single" w:color="000000" w:sz="12"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c>
          <w:tcPr>
            <w:tcW w:w="453" w:type="dxa"/>
            <w:tcBorders>
              <w:bottom w:val="single" w:color="000000" w:sz="12" w:space="0"/>
              <w:right w:val="single" w:color="000000" w:sz="12"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c>
          <w:tcPr>
            <w:tcW w:w="574" w:type="dxa"/>
            <w:tcBorders>
              <w:bottom w:val="single" w:color="000000" w:sz="12" w:space="0"/>
              <w:right w:val="single" w:color="000000" w:sz="12"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c>
          <w:tcPr>
            <w:tcW w:w="51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合计</w:t>
            </w:r>
          </w:p>
        </w:tc>
        <w:tc>
          <w:tcPr>
            <w:tcW w:w="70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一般公共预算拨款</w:t>
            </w:r>
          </w:p>
        </w:tc>
        <w:tc>
          <w:tcPr>
            <w:tcW w:w="49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基金预算拨款</w:t>
            </w:r>
          </w:p>
        </w:tc>
        <w:tc>
          <w:tcPr>
            <w:tcW w:w="80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国有资本经营预算拨款</w:t>
            </w:r>
          </w:p>
        </w:tc>
        <w:tc>
          <w:tcPr>
            <w:tcW w:w="80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财政专户核拨</w:t>
            </w:r>
          </w:p>
        </w:tc>
        <w:tc>
          <w:tcPr>
            <w:tcW w:w="42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其他来源收入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6"/>
                <w:szCs w:val="16"/>
                <w:u w:val="none"/>
              </w:rPr>
            </w:pPr>
            <w:r>
              <w:rPr>
                <w:rFonts w:hint="default" w:ascii="方正书宋_GBK" w:hAnsi="方正书宋_GBK" w:eastAsia="方正书宋_GBK" w:cs="方正书宋_GBK"/>
                <w:b/>
                <w:i w:val="0"/>
                <w:color w:val="000000"/>
                <w:kern w:val="0"/>
                <w:sz w:val="16"/>
                <w:szCs w:val="16"/>
                <w:u w:val="none"/>
                <w:lang w:val="en-US" w:eastAsia="zh-CN" w:bidi="ar"/>
              </w:rPr>
              <w:t>大因镇（行政）小计</w:t>
            </w:r>
          </w:p>
        </w:tc>
        <w:tc>
          <w:tcPr>
            <w:tcW w:w="830"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c>
          <w:tcPr>
            <w:tcW w:w="722" w:type="dxa"/>
            <w:tcBorders>
              <w:bottom w:val="single" w:color="000000" w:sz="12" w:space="0"/>
              <w:right w:val="single" w:color="000000" w:sz="12" w:space="0"/>
            </w:tcBorders>
            <w:shd w:val="clear" w:color="auto" w:fill="auto"/>
            <w:vAlign w:val="center"/>
          </w:tcPr>
          <w:p>
            <w:pPr>
              <w:jc w:val="left"/>
              <w:rPr>
                <w:rFonts w:hint="default" w:ascii="方正书宋_GBK" w:hAnsi="方正书宋_GBK" w:eastAsia="方正书宋_GBK" w:cs="方正书宋_GBK"/>
                <w:b/>
                <w:i w:val="0"/>
                <w:color w:val="000000"/>
                <w:sz w:val="21"/>
                <w:szCs w:val="21"/>
                <w:u w:val="none"/>
              </w:rPr>
            </w:pPr>
          </w:p>
        </w:tc>
        <w:tc>
          <w:tcPr>
            <w:tcW w:w="1164" w:type="dxa"/>
            <w:tcBorders>
              <w:bottom w:val="single" w:color="000000" w:sz="12" w:space="0"/>
              <w:right w:val="single" w:color="000000" w:sz="12" w:space="0"/>
            </w:tcBorders>
            <w:shd w:val="clear" w:color="auto" w:fill="auto"/>
            <w:vAlign w:val="center"/>
          </w:tcPr>
          <w:p>
            <w:pPr>
              <w:jc w:val="left"/>
              <w:rPr>
                <w:rFonts w:hint="default" w:ascii="方正书宋_GBK" w:hAnsi="方正书宋_GBK" w:eastAsia="方正书宋_GBK" w:cs="方正书宋_GBK"/>
                <w:b/>
                <w:i w:val="0"/>
                <w:color w:val="000000"/>
                <w:sz w:val="21"/>
                <w:szCs w:val="21"/>
                <w:u w:val="none"/>
              </w:rPr>
            </w:pPr>
          </w:p>
        </w:tc>
        <w:tc>
          <w:tcPr>
            <w:tcW w:w="497" w:type="dxa"/>
            <w:tcBorders>
              <w:bottom w:val="single" w:color="000000" w:sz="12" w:space="0"/>
              <w:right w:val="single" w:color="000000" w:sz="12" w:space="0"/>
            </w:tcBorders>
            <w:shd w:val="clear" w:color="auto" w:fill="auto"/>
            <w:vAlign w:val="center"/>
          </w:tcPr>
          <w:p>
            <w:pPr>
              <w:jc w:val="center"/>
              <w:rPr>
                <w:rFonts w:hint="default" w:ascii="方正书宋_GBK" w:hAnsi="方正书宋_GBK" w:eastAsia="方正书宋_GBK" w:cs="方正书宋_GBK"/>
                <w:b/>
                <w:i w:val="0"/>
                <w:color w:val="000000"/>
                <w:sz w:val="21"/>
                <w:szCs w:val="21"/>
                <w:u w:val="none"/>
              </w:rPr>
            </w:pPr>
          </w:p>
        </w:tc>
        <w:tc>
          <w:tcPr>
            <w:tcW w:w="453"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c>
          <w:tcPr>
            <w:tcW w:w="574"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c>
          <w:tcPr>
            <w:tcW w:w="519"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b/>
                <w:i w:val="0"/>
                <w:color w:val="000000"/>
                <w:sz w:val="21"/>
                <w:szCs w:val="21"/>
                <w:u w:val="none"/>
              </w:rPr>
            </w:pPr>
            <w:r>
              <w:rPr>
                <w:rFonts w:hint="default" w:ascii="方正书宋_GBK" w:hAnsi="方正书宋_GBK" w:eastAsia="方正书宋_GBK" w:cs="方正书宋_GBK"/>
                <w:b/>
                <w:i w:val="0"/>
                <w:color w:val="000000"/>
                <w:kern w:val="0"/>
                <w:sz w:val="21"/>
                <w:szCs w:val="21"/>
                <w:u w:val="none"/>
                <w:lang w:val="en-US" w:eastAsia="zh-CN" w:bidi="ar"/>
              </w:rPr>
              <w:t>1.2</w:t>
            </w:r>
          </w:p>
        </w:tc>
        <w:tc>
          <w:tcPr>
            <w:tcW w:w="703"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b/>
                <w:i w:val="0"/>
                <w:color w:val="000000"/>
                <w:sz w:val="21"/>
                <w:szCs w:val="21"/>
                <w:u w:val="none"/>
              </w:rPr>
            </w:pPr>
            <w:r>
              <w:rPr>
                <w:rFonts w:hint="default" w:ascii="方正书宋_GBK" w:hAnsi="方正书宋_GBK" w:eastAsia="方正书宋_GBK" w:cs="方正书宋_GBK"/>
                <w:b/>
                <w:i w:val="0"/>
                <w:color w:val="000000"/>
                <w:kern w:val="0"/>
                <w:sz w:val="21"/>
                <w:szCs w:val="21"/>
                <w:u w:val="none"/>
                <w:lang w:val="en-US" w:eastAsia="zh-CN" w:bidi="ar"/>
              </w:rPr>
              <w:t>1.2</w:t>
            </w:r>
          </w:p>
        </w:tc>
        <w:tc>
          <w:tcPr>
            <w:tcW w:w="495"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c>
          <w:tcPr>
            <w:tcW w:w="805"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c>
          <w:tcPr>
            <w:tcW w:w="805"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c>
          <w:tcPr>
            <w:tcW w:w="424"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14"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方正书宋_GBK" w:hAnsi="方正书宋_GBK" w:eastAsia="方正书宋_GBK" w:cs="方正书宋_GBK"/>
                <w:i w:val="0"/>
                <w:color w:val="000000"/>
                <w:sz w:val="18"/>
                <w:szCs w:val="18"/>
                <w:u w:val="none"/>
              </w:rPr>
            </w:pPr>
            <w:r>
              <w:rPr>
                <w:rFonts w:hint="default" w:ascii="方正书宋_GBK" w:hAnsi="方正书宋_GBK" w:eastAsia="方正书宋_GBK" w:cs="方正书宋_GBK"/>
                <w:i w:val="0"/>
                <w:color w:val="000000"/>
                <w:kern w:val="0"/>
                <w:sz w:val="18"/>
                <w:szCs w:val="18"/>
                <w:u w:val="none"/>
                <w:lang w:val="en-US" w:eastAsia="zh-CN" w:bidi="ar"/>
              </w:rPr>
              <w:t>政府机关运行维护专项经费</w:t>
            </w:r>
          </w:p>
        </w:tc>
        <w:tc>
          <w:tcPr>
            <w:tcW w:w="830"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35.12</w:t>
            </w:r>
          </w:p>
        </w:tc>
        <w:tc>
          <w:tcPr>
            <w:tcW w:w="722"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台式计算机</w:t>
            </w:r>
          </w:p>
        </w:tc>
        <w:tc>
          <w:tcPr>
            <w:tcW w:w="1164"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A02010104</w:t>
            </w:r>
          </w:p>
        </w:tc>
        <w:tc>
          <w:tcPr>
            <w:tcW w:w="49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台</w:t>
            </w:r>
          </w:p>
        </w:tc>
        <w:tc>
          <w:tcPr>
            <w:tcW w:w="453"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3</w:t>
            </w:r>
          </w:p>
        </w:tc>
        <w:tc>
          <w:tcPr>
            <w:tcW w:w="574"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0.4</w:t>
            </w:r>
          </w:p>
        </w:tc>
        <w:tc>
          <w:tcPr>
            <w:tcW w:w="519"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1.2</w:t>
            </w:r>
          </w:p>
        </w:tc>
        <w:tc>
          <w:tcPr>
            <w:tcW w:w="703"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方正书宋_GBK" w:hAnsi="方正书宋_GBK" w:eastAsia="方正书宋_GBK" w:cs="方正书宋_GBK"/>
                <w:i w:val="0"/>
                <w:color w:val="000000"/>
                <w:sz w:val="21"/>
                <w:szCs w:val="21"/>
                <w:u w:val="none"/>
              </w:rPr>
            </w:pPr>
            <w:r>
              <w:rPr>
                <w:rFonts w:hint="default" w:ascii="方正书宋_GBK" w:hAnsi="方正书宋_GBK" w:eastAsia="方正书宋_GBK" w:cs="方正书宋_GBK"/>
                <w:i w:val="0"/>
                <w:color w:val="000000"/>
                <w:kern w:val="0"/>
                <w:sz w:val="21"/>
                <w:szCs w:val="21"/>
                <w:u w:val="none"/>
                <w:lang w:val="en-US" w:eastAsia="zh-CN" w:bidi="ar"/>
              </w:rPr>
              <w:t>1.2</w:t>
            </w:r>
          </w:p>
        </w:tc>
        <w:tc>
          <w:tcPr>
            <w:tcW w:w="495"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i w:val="0"/>
                <w:color w:val="000000"/>
                <w:sz w:val="21"/>
                <w:szCs w:val="21"/>
                <w:u w:val="none"/>
              </w:rPr>
            </w:pPr>
          </w:p>
        </w:tc>
        <w:tc>
          <w:tcPr>
            <w:tcW w:w="805"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i w:val="0"/>
                <w:color w:val="000000"/>
                <w:sz w:val="21"/>
                <w:szCs w:val="21"/>
                <w:u w:val="none"/>
              </w:rPr>
            </w:pPr>
          </w:p>
        </w:tc>
        <w:tc>
          <w:tcPr>
            <w:tcW w:w="805" w:type="dxa"/>
            <w:tcBorders>
              <w:bottom w:val="single" w:color="000000" w:sz="12" w:space="0"/>
              <w:right w:val="single" w:color="000000" w:sz="12" w:space="0"/>
            </w:tcBorders>
            <w:shd w:val="clear" w:color="auto" w:fill="auto"/>
            <w:vAlign w:val="center"/>
          </w:tcPr>
          <w:p>
            <w:pPr>
              <w:jc w:val="right"/>
              <w:rPr>
                <w:rFonts w:hint="default" w:ascii="方正书宋_GBK" w:hAnsi="方正书宋_GBK" w:eastAsia="方正书宋_GBK" w:cs="方正书宋_GBK"/>
                <w:i w:val="0"/>
                <w:color w:val="000000"/>
                <w:sz w:val="21"/>
                <w:szCs w:val="21"/>
                <w:u w:val="none"/>
              </w:rPr>
            </w:pPr>
          </w:p>
        </w:tc>
        <w:tc>
          <w:tcPr>
            <w:tcW w:w="424" w:type="dxa"/>
            <w:tcBorders>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8"/>
                <w:szCs w:val="18"/>
                <w:u w:val="none"/>
              </w:rPr>
            </w:pPr>
          </w:p>
        </w:tc>
      </w:tr>
    </w:tbl>
    <w:p>
      <w:pPr>
        <w:spacing w:line="700" w:lineRule="exact"/>
        <w:jc w:val="left"/>
        <w:rPr>
          <w:rFonts w:ascii="方正小标宋_GBK" w:eastAsia="方正小标宋_GBK"/>
          <w:sz w:val="24"/>
        </w:rPr>
        <w:sectPr>
          <w:pgSz w:w="11906" w:h="16838"/>
          <w:pgMar w:top="1440" w:right="1800" w:bottom="1440" w:left="1800" w:header="851" w:footer="992" w:gutter="0"/>
          <w:cols w:space="425" w:num="1"/>
          <w:docGrid w:type="lines" w:linePitch="312" w:charSpace="0"/>
        </w:sectPr>
      </w:pPr>
    </w:p>
    <w:p>
      <w:pPr>
        <w:jc w:val="both"/>
        <w:outlineLvl w:val="0"/>
        <w:rPr>
          <w:rFonts w:ascii="方正小标宋_GBK" w:eastAsia="方正小标宋_GBK"/>
          <w:sz w:val="44"/>
        </w:rPr>
      </w:pPr>
      <w:r>
        <w:rPr>
          <w:rFonts w:hint="eastAsia" w:ascii="方正小标宋_GBK" w:eastAsia="方正小标宋_GBK"/>
          <w:sz w:val="44"/>
          <w:lang w:val="en-US" w:eastAsia="zh-CN"/>
        </w:rPr>
        <w:t xml:space="preserve">       </w:t>
      </w: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 w:hAnsi="仿宋" w:eastAsia="仿宋"/>
          <w:sz w:val="32"/>
          <w:szCs w:val="32"/>
          <w:lang w:val="en-US" w:eastAsia="zh-CN"/>
        </w:rPr>
        <w:t>507.16</w:t>
      </w:r>
      <w:r>
        <w:rPr>
          <w:rFonts w:hint="eastAsia" w:ascii="仿宋" w:hAnsi="仿宋" w:eastAsia="仿宋"/>
          <w:sz w:val="32"/>
          <w:szCs w:val="32"/>
        </w:rPr>
        <w:t>万元（详见下表）。</w:t>
      </w:r>
      <w:r>
        <w:rPr>
          <w:rFonts w:ascii="仿宋" w:hAnsi="仿宋" w:eastAsia="仿宋"/>
          <w:sz w:val="32"/>
          <w:szCs w:val="32"/>
        </w:rPr>
        <w:t xml:space="preserve"> 本年度拟购置固定资产总额为</w:t>
      </w:r>
      <w:r>
        <w:rPr>
          <w:rFonts w:hint="eastAsia" w:ascii="仿宋" w:hAnsi="仿宋" w:eastAsia="仿宋"/>
          <w:sz w:val="32"/>
          <w:szCs w:val="32"/>
          <w:lang w:val="en-US" w:eastAsia="zh-CN"/>
        </w:rPr>
        <w:t>1.2</w:t>
      </w:r>
      <w:r>
        <w:rPr>
          <w:rFonts w:ascii="仿宋" w:hAnsi="仿宋" w:eastAsia="仿宋"/>
          <w:sz w:val="32"/>
          <w:szCs w:val="32"/>
        </w:rPr>
        <w:t>万元，已列入政府采购预算，详见政府采购预算表。</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507.16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val="en-US" w:eastAsia="zh-CN"/>
              </w:rPr>
              <w:t>2683</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kern w:val="0"/>
                <w:sz w:val="24"/>
                <w:szCs w:val="24"/>
                <w:lang w:val="en-US" w:eastAsia="zh-CN"/>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val="en-US" w:eastAsia="zh-CN"/>
              </w:rPr>
              <w:t>2683</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kern w:val="0"/>
                <w:sz w:val="24"/>
                <w:szCs w:val="24"/>
                <w:lang w:val="en-US" w:eastAsia="zh-CN"/>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38.83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423</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257.21</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72C7A"/>
    <w:rsid w:val="00181777"/>
    <w:rsid w:val="001B4688"/>
    <w:rsid w:val="001B6235"/>
    <w:rsid w:val="001F4875"/>
    <w:rsid w:val="00212335"/>
    <w:rsid w:val="002918C6"/>
    <w:rsid w:val="00296524"/>
    <w:rsid w:val="002E01F6"/>
    <w:rsid w:val="002F1ACB"/>
    <w:rsid w:val="002F530F"/>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6CCB"/>
    <w:rsid w:val="005C54AA"/>
    <w:rsid w:val="005C7B89"/>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18F157F"/>
    <w:rsid w:val="22D27409"/>
    <w:rsid w:val="389247A5"/>
    <w:rsid w:val="3C457BE2"/>
    <w:rsid w:val="42871793"/>
    <w:rsid w:val="4793773E"/>
    <w:rsid w:val="47C15B41"/>
    <w:rsid w:val="51B25060"/>
    <w:rsid w:val="54B24500"/>
    <w:rsid w:val="59073D15"/>
    <w:rsid w:val="68E04478"/>
    <w:rsid w:val="7C2274E8"/>
    <w:rsid w:val="7F65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D6F17-C0F1-469D-B245-A7F9E53C1647}">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298</Words>
  <Characters>1703</Characters>
  <Lines>14</Lines>
  <Paragraphs>3</Paragraphs>
  <TotalTime>0</TotalTime>
  <ScaleCrop>false</ScaleCrop>
  <LinksUpToDate>false</LinksUpToDate>
  <CharactersWithSpaces>1998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simple smile</cp:lastModifiedBy>
  <cp:lastPrinted>2019-02-19T07:03:00Z</cp:lastPrinted>
  <dcterms:modified xsi:type="dcterms:W3CDTF">2025-05-12T02:18:37Z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1B9A11809DE94340868916B6EE4CD67F</vt:lpwstr>
  </property>
</Properties>
</file>