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hint="eastAsia" w:ascii="仿宋_GB2312" w:hAnsi="宋体" w:cs="宋体"/>
          <w:color w:val="000000"/>
          <w:sz w:val="32"/>
          <w:szCs w:val="32"/>
        </w:rPr>
      </w:pPr>
      <w:bookmarkStart w:id="20" w:name="_GoBack"/>
      <w:bookmarkEnd w:id="20"/>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lang w:val="en-US" w:eastAsia="zh-CN"/>
        </w:rPr>
      </w:pPr>
      <w:r>
        <w:rPr>
          <w:rFonts w:hint="eastAsia" w:ascii="宋体" w:hAnsi="宋体" w:eastAsia="宋体"/>
          <w:b/>
          <w:sz w:val="44"/>
          <w:szCs w:val="44"/>
        </w:rPr>
        <w:t>保定市徐水区</w:t>
      </w:r>
      <w:r>
        <w:rPr>
          <w:rFonts w:hint="eastAsia" w:ascii="宋体" w:hAnsi="宋体" w:eastAsia="宋体"/>
          <w:b/>
          <w:sz w:val="44"/>
          <w:szCs w:val="44"/>
          <w:lang w:val="en-US" w:eastAsia="zh-CN"/>
        </w:rPr>
        <w:t>东釜山乡人民政府</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883" w:firstLineChars="200"/>
        <w:rPr>
          <w:rFonts w:ascii="仿宋" w:hAnsi="仿宋" w:eastAsia="仿宋"/>
          <w:b/>
          <w:bCs/>
          <w:sz w:val="44"/>
          <w:szCs w:val="44"/>
        </w:rPr>
      </w:pPr>
      <w:r>
        <w:rPr>
          <w:rFonts w:hint="eastAsia" w:ascii="仿宋" w:hAnsi="仿宋" w:eastAsia="仿宋"/>
          <w:b/>
          <w:bCs/>
          <w:sz w:val="44"/>
          <w:szCs w:val="44"/>
        </w:rPr>
        <w:t>按照《</w:t>
      </w:r>
      <w:r>
        <w:rPr>
          <w:rFonts w:hint="eastAsia" w:ascii="仿宋" w:hAnsi="仿宋" w:eastAsia="仿宋"/>
          <w:b/>
          <w:bCs/>
          <w:sz w:val="44"/>
          <w:szCs w:val="44"/>
          <w:lang w:eastAsia="zh-CN"/>
        </w:rPr>
        <w:t>中华人民共和国预算法</w:t>
      </w:r>
      <w:r>
        <w:rPr>
          <w:rFonts w:hint="eastAsia" w:ascii="仿宋" w:hAnsi="仿宋" w:eastAsia="仿宋"/>
          <w:b/>
          <w:bCs/>
          <w:sz w:val="44"/>
          <w:szCs w:val="44"/>
        </w:rPr>
        <w:t>》、《地方预决算公开操作规程》等文件规定，现将我部门预算信息公开如下：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numPr>
          <w:ilvl w:val="0"/>
          <w:numId w:val="1"/>
        </w:numPr>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部门职责</w:t>
      </w:r>
    </w:p>
    <w:p>
      <w:pPr>
        <w:spacing w:before="0" w:after="0" w:line="500" w:lineRule="exact"/>
        <w:ind w:firstLine="560"/>
        <w:jc w:val="left"/>
        <w:outlineLvl w:val="9"/>
      </w:pPr>
      <w:r>
        <w:rPr>
          <w:rFonts w:ascii="Times New Roman" w:hAnsi="Times New Roman" w:eastAsia="方正仿宋_GBK" w:cs="Times New Roman"/>
          <w:color w:val="000000"/>
          <w:sz w:val="28"/>
        </w:rPr>
        <w:t>根据《保定市徐水区东釜山乡人民政府职能配置、内设机构和人员编制规定》，保定市徐水区东釜山乡人民政府的主要职责是：</w:t>
      </w:r>
    </w:p>
    <w:p>
      <w:pPr>
        <w:pStyle w:val="10"/>
      </w:pPr>
      <w:r>
        <w:t>根据《保定市徐水区东釜山乡人民政府职能配置、内设机构和人员编制规定》， 保定市徐水区东釜山乡人民政府的主要职责是：</w:t>
      </w:r>
    </w:p>
    <w:p>
      <w:pPr>
        <w:pStyle w:val="10"/>
      </w:pPr>
      <w:r>
        <w:t>根据中共保定市徐水区委办公室、保定市徐水区人民政府办公室印发《保定市徐水区东釜山乡乡主要责任、机构设置和人员编制规定》的通知（徐办字[2020]41号），现将我乡部门概况说明如下：</w:t>
      </w:r>
    </w:p>
    <w:p>
      <w:pPr>
        <w:pStyle w:val="10"/>
      </w:pPr>
      <w: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pPr>
        <w:pStyle w:val="10"/>
      </w:pPr>
      <w:r>
        <w:t>(3)、讨论和决定本乡镇经济建设、政治建设、文化建设社会建设、生态文明建设和党的建设以及乡村振兴中的重大问题。</w:t>
      </w:r>
    </w:p>
    <w:p>
      <w:pPr>
        <w:pStyle w:val="10"/>
      </w:pPr>
      <w:r>
        <w:t>(4)、组织召开本级人民代表大会，充分行使重大事项决定权、监督权和任免权，做好人大代表工作，联系选民、反映群众意见和要求。</w:t>
      </w:r>
    </w:p>
    <w:p>
      <w:pPr>
        <w:pStyle w:val="10"/>
      </w:pPr>
      <w: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0"/>
      </w:pPr>
      <w: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0"/>
      </w:pPr>
      <w: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0"/>
      </w:pPr>
      <w:r>
        <w:t>(8)、加强乡镇党委自身建设和村党组织建设，以及其他隶属乡镇党委的党组织建设，抓好发展党员工作，加强党员队伍建设。维护和执行党的纪律，监督党员干部和其他任何工作人员严格遵守国家法律法规。</w:t>
      </w:r>
    </w:p>
    <w:p>
      <w:pPr>
        <w:pStyle w:val="10"/>
      </w:pPr>
      <w:r>
        <w:t>(9)、按照干部管理权限，负责对干部的教育、培训、选拔考核和监督工作。协助管理上级有关部门驻乡镇单位的干部。做好人才服务工作。</w:t>
      </w:r>
    </w:p>
    <w:p>
      <w:pPr>
        <w:pStyle w:val="10"/>
      </w:pPr>
      <w: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0"/>
      </w:pPr>
      <w: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0"/>
      </w:pPr>
      <w:r>
        <w:t>(12)、承办上级党委、人大、政府交办的其他事项</w:t>
      </w:r>
    </w:p>
    <w:p>
      <w:pPr>
        <w:pStyle w:val="10"/>
      </w:pPr>
    </w:p>
    <w:p>
      <w:pPr>
        <w:numPr>
          <w:ilvl w:val="0"/>
          <w:numId w:val="0"/>
        </w:numPr>
        <w:spacing w:line="360" w:lineRule="auto"/>
        <w:rPr>
          <w:rFonts w:hint="eastAsia" w:ascii="仿宋" w:hAnsi="仿宋" w:eastAsia="仿宋"/>
          <w:b/>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保定市徐水区东釜山乡人民政府</w:t>
            </w:r>
          </w:p>
        </w:tc>
        <w:tc>
          <w:tcPr>
            <w:tcW w:w="1701" w:type="dxa"/>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1218.21</w:t>
      </w:r>
      <w:r>
        <w:rPr>
          <w:rFonts w:ascii="仿宋" w:hAnsi="仿宋" w:eastAsia="仿宋"/>
          <w:sz w:val="32"/>
          <w:szCs w:val="32"/>
        </w:rPr>
        <w:t>万元,其中：一般公共预算收入</w:t>
      </w:r>
      <w:r>
        <w:rPr>
          <w:rFonts w:hint="default" w:ascii="仿宋" w:hAnsi="仿宋" w:eastAsia="仿宋"/>
          <w:sz w:val="32"/>
          <w:szCs w:val="32"/>
          <w:lang w:val="en-US"/>
        </w:rPr>
        <w:t>1207.71</w:t>
      </w:r>
      <w:r>
        <w:rPr>
          <w:rFonts w:ascii="仿宋" w:hAnsi="仿宋" w:eastAsia="仿宋"/>
          <w:sz w:val="32"/>
          <w:szCs w:val="32"/>
        </w:rPr>
        <w:t>万元，基金预算收入</w:t>
      </w:r>
      <w:r>
        <w:rPr>
          <w:rFonts w:hint="default" w:ascii="仿宋" w:hAnsi="仿宋" w:eastAsia="仿宋"/>
          <w:sz w:val="32"/>
          <w:szCs w:val="32"/>
          <w:lang w:val="en-US"/>
        </w:rPr>
        <w:t>10.4</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0.1</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年部门支出预算：</w:t>
      </w:r>
      <w:r>
        <w:rPr>
          <w:rFonts w:hint="default" w:ascii="仿宋" w:hAnsi="仿宋" w:eastAsia="仿宋"/>
          <w:sz w:val="32"/>
          <w:szCs w:val="32"/>
          <w:lang w:val="en-US"/>
        </w:rPr>
        <w:t>1218.21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1046.58</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948.86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97.72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default" w:ascii="仿宋" w:hAnsi="仿宋" w:eastAsia="仿宋"/>
          <w:sz w:val="32"/>
          <w:szCs w:val="32"/>
          <w:lang w:val="en-US"/>
        </w:rPr>
        <w:t>171.63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171.63</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1218.21</w:t>
      </w:r>
      <w:r>
        <w:rPr>
          <w:rFonts w:hint="eastAsia" w:ascii="仿宋" w:hAnsi="仿宋" w:eastAsia="仿宋"/>
          <w:sz w:val="32"/>
          <w:szCs w:val="32"/>
        </w:rPr>
        <w:t>万元，较上年</w:t>
      </w:r>
      <w:r>
        <w:rPr>
          <w:rFonts w:ascii="仿宋" w:hAnsi="仿宋" w:eastAsia="仿宋"/>
          <w:sz w:val="32"/>
          <w:szCs w:val="32"/>
        </w:rPr>
        <w:t>减少</w:t>
      </w:r>
      <w:r>
        <w:rPr>
          <w:rFonts w:hint="default" w:ascii="仿宋" w:hAnsi="仿宋" w:eastAsia="仿宋"/>
          <w:sz w:val="32"/>
          <w:szCs w:val="32"/>
          <w:lang w:val="en-US"/>
        </w:rPr>
        <w:t>83.39</w:t>
      </w:r>
      <w:r>
        <w:rPr>
          <w:rFonts w:ascii="仿宋" w:hAnsi="仿宋" w:eastAsia="仿宋"/>
          <w:sz w:val="32"/>
          <w:szCs w:val="32"/>
        </w:rPr>
        <w:t>万元。其中:基本支出增加</w:t>
      </w:r>
      <w:r>
        <w:rPr>
          <w:rFonts w:hint="default" w:ascii="仿宋" w:hAnsi="仿宋" w:eastAsia="仿宋"/>
          <w:sz w:val="32"/>
          <w:szCs w:val="32"/>
          <w:lang w:val="en-US"/>
        </w:rPr>
        <w:t>369.38</w:t>
      </w:r>
      <w:r>
        <w:rPr>
          <w:rFonts w:ascii="仿宋" w:hAnsi="仿宋" w:eastAsia="仿宋"/>
          <w:sz w:val="32"/>
          <w:szCs w:val="32"/>
        </w:rPr>
        <w:t>万元，主要原因是</w:t>
      </w:r>
      <w:r>
        <w:rPr>
          <w:rFonts w:hint="default" w:ascii="仿宋" w:hAnsi="仿宋" w:eastAsia="仿宋"/>
          <w:sz w:val="32"/>
          <w:szCs w:val="32"/>
          <w:lang w:val="en-US"/>
        </w:rPr>
        <w:t>2022</w:t>
      </w:r>
      <w:r>
        <w:rPr>
          <w:rFonts w:hint="eastAsia" w:ascii="仿宋" w:hAnsi="仿宋" w:eastAsia="仿宋"/>
          <w:sz w:val="32"/>
          <w:szCs w:val="32"/>
          <w:lang w:val="en-US" w:eastAsia="zh-CN"/>
        </w:rPr>
        <w:t>年人员列支较</w:t>
      </w:r>
      <w:r>
        <w:rPr>
          <w:rFonts w:hint="default" w:ascii="仿宋" w:hAnsi="仿宋" w:eastAsia="仿宋"/>
          <w:sz w:val="32"/>
          <w:szCs w:val="32"/>
          <w:lang w:val="en-US" w:eastAsia="zh-CN"/>
        </w:rPr>
        <w:t>2021</w:t>
      </w:r>
      <w:r>
        <w:rPr>
          <w:rFonts w:hint="eastAsia" w:ascii="仿宋" w:hAnsi="仿宋" w:eastAsia="仿宋"/>
          <w:sz w:val="32"/>
          <w:szCs w:val="32"/>
          <w:lang w:val="en-US" w:eastAsia="zh-CN"/>
        </w:rPr>
        <w:t>年增幅较大，项目列支减少</w:t>
      </w:r>
      <w:r>
        <w:rPr>
          <w:rFonts w:ascii="仿宋" w:hAnsi="仿宋" w:eastAsia="仿宋"/>
          <w:sz w:val="32"/>
          <w:szCs w:val="32"/>
        </w:rPr>
        <w:t>；项目支出减少</w:t>
      </w:r>
      <w:r>
        <w:rPr>
          <w:rFonts w:hint="default" w:ascii="仿宋" w:hAnsi="仿宋" w:eastAsia="仿宋"/>
          <w:sz w:val="32"/>
          <w:szCs w:val="32"/>
          <w:lang w:val="en-US"/>
        </w:rPr>
        <w:t>452.77</w:t>
      </w:r>
      <w:r>
        <w:rPr>
          <w:rFonts w:ascii="仿宋" w:hAnsi="仿宋" w:eastAsia="仿宋"/>
          <w:sz w:val="32"/>
          <w:szCs w:val="32"/>
        </w:rPr>
        <w:t>万元，主要原因是</w:t>
      </w:r>
      <w:r>
        <w:rPr>
          <w:rFonts w:hint="eastAsia" w:ascii="仿宋" w:hAnsi="仿宋" w:eastAsia="仿宋"/>
          <w:sz w:val="32"/>
          <w:szCs w:val="32"/>
          <w:lang w:val="en-US" w:eastAsia="zh-CN"/>
        </w:rPr>
        <w:t>根据新的财政政策，减少有关项目支出列支</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年我部门机关运行经费安排</w:t>
      </w:r>
      <w:r>
        <w:rPr>
          <w:rFonts w:hint="default" w:ascii="仿宋" w:hAnsi="仿宋" w:eastAsia="仿宋"/>
          <w:sz w:val="32"/>
          <w:szCs w:val="32"/>
          <w:lang w:val="en-US"/>
        </w:rPr>
        <w:t>97.71</w:t>
      </w:r>
      <w:r>
        <w:rPr>
          <w:rFonts w:ascii="仿宋" w:hAnsi="仿宋" w:eastAsia="仿宋"/>
          <w:sz w:val="32"/>
          <w:szCs w:val="32"/>
        </w:rPr>
        <w:t>万元，其中办公费</w:t>
      </w:r>
      <w:r>
        <w:rPr>
          <w:rFonts w:hint="default" w:ascii="仿宋" w:hAnsi="仿宋" w:eastAsia="仿宋"/>
          <w:sz w:val="32"/>
          <w:szCs w:val="32"/>
          <w:lang w:val="en-US"/>
        </w:rPr>
        <w:t>39.65</w:t>
      </w:r>
      <w:r>
        <w:rPr>
          <w:rFonts w:ascii="仿宋" w:hAnsi="仿宋" w:eastAsia="仿宋"/>
          <w:sz w:val="32"/>
          <w:szCs w:val="32"/>
        </w:rPr>
        <w:t>万元，邮电费</w:t>
      </w:r>
      <w:r>
        <w:rPr>
          <w:rFonts w:hint="default" w:ascii="仿宋" w:hAnsi="仿宋" w:eastAsia="仿宋"/>
          <w:sz w:val="32"/>
          <w:szCs w:val="32"/>
          <w:lang w:val="en-US"/>
        </w:rPr>
        <w:t>12.34</w:t>
      </w:r>
      <w:r>
        <w:rPr>
          <w:rFonts w:ascii="仿宋" w:hAnsi="仿宋" w:eastAsia="仿宋"/>
          <w:sz w:val="32"/>
          <w:szCs w:val="32"/>
        </w:rPr>
        <w:t>万元，工会经费、福利费</w:t>
      </w:r>
      <w:r>
        <w:rPr>
          <w:rFonts w:hint="default" w:ascii="仿宋" w:hAnsi="仿宋" w:eastAsia="仿宋"/>
          <w:sz w:val="32"/>
          <w:szCs w:val="32"/>
          <w:lang w:val="en-US"/>
        </w:rPr>
        <w:t>11.82</w:t>
      </w:r>
      <w:r>
        <w:rPr>
          <w:rFonts w:ascii="仿宋" w:hAnsi="仿宋" w:eastAsia="仿宋"/>
          <w:sz w:val="32"/>
          <w:szCs w:val="32"/>
        </w:rPr>
        <w:t>万元，公务用车运行维护费</w:t>
      </w:r>
      <w:r>
        <w:rPr>
          <w:rFonts w:hint="default" w:ascii="仿宋" w:hAnsi="仿宋" w:eastAsia="仿宋"/>
          <w:sz w:val="32"/>
          <w:szCs w:val="32"/>
          <w:lang w:val="en-US"/>
        </w:rPr>
        <w:t>12.15</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21.75</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93"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12.15</w:t>
                  </w:r>
                </w:p>
              </w:tc>
              <w:tc>
                <w:tcPr>
                  <w:tcW w:w="836" w:type="dxa"/>
                  <w:tcBorders>
                    <w:top w:val="nil"/>
                    <w:left w:val="nil"/>
                    <w:bottom w:val="single" w:color="auto" w:sz="4" w:space="0"/>
                    <w:right w:val="single" w:color="auto" w:sz="4" w:space="0"/>
                  </w:tcBorders>
                  <w:vAlign w:val="center"/>
                </w:tcPr>
                <w:p>
                  <w:pPr>
                    <w:widowControl/>
                    <w:tabs>
                      <w:tab w:val="left" w:pos="476"/>
                    </w:tabs>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0.15</w:t>
                  </w:r>
                </w:p>
              </w:tc>
              <w:tc>
                <w:tcPr>
                  <w:tcW w:w="2397" w:type="dxa"/>
                  <w:tcBorders>
                    <w:top w:val="nil"/>
                    <w:left w:val="nil"/>
                    <w:bottom w:val="single" w:color="auto" w:sz="4" w:space="0"/>
                    <w:right w:val="single" w:color="auto" w:sz="4" w:space="0"/>
                  </w:tcBorders>
                  <w:vAlign w:val="center"/>
                </w:tcPr>
                <w:p>
                  <w:pPr>
                    <w:widowControl/>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增加了</w:t>
                  </w:r>
                  <w:r>
                    <w:rPr>
                      <w:rFonts w:hint="default" w:ascii="仿宋_GB2312" w:hAnsi="宋体" w:eastAsia="仿宋_GB2312" w:cs="宋体"/>
                      <w:kern w:val="0"/>
                      <w:sz w:val="24"/>
                      <w:szCs w:val="24"/>
                      <w:lang w:val="en-US" w:eastAsia="zh-CN"/>
                    </w:rPr>
                    <w:t>1</w:t>
                  </w:r>
                  <w:r>
                    <w:rPr>
                      <w:rFonts w:hint="eastAsia" w:ascii="仿宋_GB2312" w:hAnsi="宋体" w:eastAsia="仿宋_GB2312" w:cs="宋体"/>
                      <w:kern w:val="0"/>
                      <w:sz w:val="24"/>
                      <w:szCs w:val="24"/>
                      <w:lang w:val="en-US" w:eastAsia="zh-CN"/>
                    </w:rPr>
                    <w:t>辆车</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1.05</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-2.95</w:t>
                  </w:r>
                </w:p>
              </w:tc>
              <w:tc>
                <w:tcPr>
                  <w:tcW w:w="2397" w:type="dxa"/>
                  <w:tcBorders>
                    <w:top w:val="nil"/>
                    <w:left w:val="nil"/>
                    <w:bottom w:val="single" w:color="auto" w:sz="4" w:space="0"/>
                    <w:right w:val="single" w:color="auto" w:sz="4" w:space="0"/>
                  </w:tcBorders>
                  <w:vAlign w:val="center"/>
                </w:tcPr>
                <w:p>
                  <w:pPr>
                    <w:widowControl/>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响应中央号召，节约开支。</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15</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13.2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-2.8</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响应中央号召，节约开支。</w:t>
                  </w:r>
                </w:p>
              </w:tc>
            </w:tr>
            <w:tr>
              <w:tblPrEx>
                <w:tblCellMar>
                  <w:top w:w="0" w:type="dxa"/>
                  <w:left w:w="108" w:type="dxa"/>
                  <w:bottom w:w="0" w:type="dxa"/>
                  <w:right w:w="108" w:type="dxa"/>
                </w:tblCellMar>
              </w:tblPrEx>
              <w:trPr>
                <w:trHeight w:val="108"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ind w:firstLine="560" w:firstLineChars="200"/>
        <w:jc w:val="left"/>
        <w:outlineLvl w:val="0"/>
        <w:rPr>
          <w:rFonts w:ascii="方正小标宋_GBK" w:eastAsia="方正小标宋_GBK"/>
          <w:sz w:val="44"/>
        </w:rPr>
      </w:pPr>
      <w:bookmarkStart w:id="0" w:name="_Toc_2_2_0000000001"/>
      <w:r>
        <w:rPr>
          <w:rFonts w:ascii="方正黑体_GBK" w:hAnsi="方正黑体_GBK" w:eastAsia="方正黑体_GBK" w:cs="方正黑体_GBK"/>
          <w:color w:val="000000"/>
          <w:sz w:val="28"/>
        </w:rPr>
        <w:t>一、总体绩效目标</w:t>
      </w:r>
      <w:bookmarkEnd w:id="0"/>
    </w:p>
    <w:p>
      <w:pPr>
        <w:pStyle w:val="11"/>
      </w:pPr>
      <w:r>
        <w:t>紧紧围绕区委、区政府的重要部署，深入贯彻落实党的十九届四中全会精神和习近平新时代中国特色社会主义思想，全面提升党建工作，加强党风廉政建设；推进规模化农业生产,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等各项工作，努力实现全乡各项事业持续发展。</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2"/>
      </w:pPr>
      <w:r>
        <w:t>（一）社会管理强规范、为民服务高效率</w:t>
      </w:r>
    </w:p>
    <w:p>
      <w:pPr>
        <w:pStyle w:val="12"/>
      </w:pPr>
      <w:r>
        <w:t>绩效目标：保障村级组织正常运转，其他两委干部绩效补贴发放及时，充分调动两委干部积极性。保障党组织日常活动，提高党员综合素质，保障村综合服务站运转。</w:t>
      </w:r>
    </w:p>
    <w:p>
      <w:pPr>
        <w:pStyle w:val="12"/>
      </w:pPr>
      <w:r>
        <w:t>绩效指标：服务群众工作任务完成率在90%以上，通过服务群众工作，使社会稳定水平切实得到提高；党员受教育学习80人次以上，党员先锋模范作用发挥充分；村级组织办公经费拨付率90以上；</w:t>
      </w:r>
    </w:p>
    <w:p>
      <w:pPr>
        <w:pStyle w:val="12"/>
      </w:pPr>
      <w:r>
        <w:t>（二）乡镇综合事务管理，保障正常运转</w:t>
      </w:r>
    </w:p>
    <w:p>
      <w:pPr>
        <w:pStyle w:val="12"/>
      </w:pPr>
      <w:r>
        <w:t>绩效目标：协调维护社会稳定和国家安全，以创建和谐稳定的社会环境为目标。扎实做好人大、党建、纪检、团委等各项工作，保障机关工作正常运转，财政资金使用效益。</w:t>
      </w:r>
    </w:p>
    <w:p>
      <w:pPr>
        <w:pStyle w:val="12"/>
      </w:pPr>
      <w:r>
        <w:t>绩效指标：矛盾纠纷调处率达到85%以上；协调督导事项化解率85%以上；稳定水平提高。保障工作明显提升；综合事务管理工作完成率达到90%以上；受益对象满意度达到90%以上。</w:t>
      </w:r>
    </w:p>
    <w:p>
      <w:pPr>
        <w:pStyle w:val="12"/>
      </w:pPr>
      <w:r>
        <w:t>（三）落实安全生产诚信管理</w:t>
      </w:r>
    </w:p>
    <w:p>
      <w:pPr>
        <w:pStyle w:val="12"/>
      </w:pPr>
      <w:r>
        <w:t>绩效目标：对重点行业和作业场所职业卫生安全生产加强行政执法监察；开展重大危险源执法检查工作；开展安全事故检查及安全生产宣传教育活动；促进企业全面落实安全生产诚信管理。</w:t>
      </w:r>
    </w:p>
    <w:p>
      <w:pPr>
        <w:pStyle w:val="12"/>
      </w:pPr>
      <w:r>
        <w:t>绩效指标：安全生产信息员设置覆盖镇所有村；安全生产信息员补助发放完成率达到90%以上；享受安全生产信息员补助人员对补助发放情况的满意程度达到90%以上。</w:t>
      </w:r>
    </w:p>
    <w:p>
      <w:pPr>
        <w:pStyle w:val="12"/>
      </w:pPr>
      <w:r>
        <w:t>（四）实现乡村地震安全建设常态化</w:t>
      </w:r>
    </w:p>
    <w:p>
      <w:pPr>
        <w:pStyle w:val="12"/>
      </w:pPr>
      <w:r>
        <w:t>绩效目标：实现乡村地震安全建设常态化，提高防震减灾宣传效果，提升社会公众防震避险意识和技能。</w:t>
      </w:r>
    </w:p>
    <w:p>
      <w:pPr>
        <w:pStyle w:val="12"/>
      </w:pPr>
      <w:r>
        <w:t>绩效指标：地震群测群防队伍覆盖全乡各村；地震群测群防岗位津贴发放完成率达到90%以上享受地震群测群防岗位津贴人员对津贴发放情况的满意程度达到90%以上。</w:t>
      </w:r>
    </w:p>
    <w:p>
      <w:pPr>
        <w:pStyle w:val="12"/>
      </w:pPr>
      <w:r>
        <w:t>（五）加强地方武装力量</w:t>
      </w:r>
    </w:p>
    <w:p>
      <w:pPr>
        <w:pStyle w:val="12"/>
      </w:pPr>
      <w:r>
        <w:t>绩效目标：规范本镇武装部基础设施建设，不断提升遂行任务能力；保障本单位的民兵训练，征兵等工作的正常开展，圆满完成上级交给的各项工作任务。</w:t>
      </w:r>
    </w:p>
    <w:p>
      <w:pPr>
        <w:pStyle w:val="12"/>
      </w:pPr>
      <w:r>
        <w:t>绩效指标：组织民兵训练次数大于等于3次，民兵训练出勤率达到90%；民兵训练工作完成及时率到90%。</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8"/>
      </w:pPr>
      <w:r>
        <w:t>（一）强化政治理论武装，健全完善制度机制</w:t>
      </w:r>
    </w:p>
    <w:p>
      <w:pPr>
        <w:pStyle w:val="18"/>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pStyle w:val="18"/>
      </w:pPr>
      <w:r>
        <w:t>（二）加强预算支出管理，确保支出进度达标</w:t>
      </w:r>
    </w:p>
    <w:p>
      <w:pPr>
        <w:pStyle w:val="18"/>
      </w:pPr>
      <w:r>
        <w:t>规范财务报销手续，加强预算管理，严格遵守《</w:t>
      </w:r>
      <w:r>
        <w:rPr>
          <w:rFonts w:hint="eastAsia"/>
          <w:lang w:eastAsia="zh-CN"/>
        </w:rPr>
        <w:t>中华人民共和国预算法</w:t>
      </w:r>
      <w:r>
        <w:t>》，牢固树立过紧日子的思想，压缩一般性支出，严格控制“三公”经费支出，切实把有限的财政资金用在刃上。</w:t>
      </w:r>
    </w:p>
    <w:p>
      <w:pPr>
        <w:pStyle w:val="18"/>
      </w:pPr>
      <w:r>
        <w:t>（三）加强绩效运行监控，确保绩效目标实现</w:t>
      </w:r>
    </w:p>
    <w:p>
      <w:pPr>
        <w:pStyle w:val="18"/>
      </w:pPr>
      <w:r>
        <w:t>按照“谁支出、谁负责”的原则，完善用款计划管理，适时采取相应措施警示督促、纠偏纠错，促进预算绩效目标和绩效监控各项工作。</w:t>
      </w:r>
    </w:p>
    <w:p>
      <w:pPr>
        <w:pStyle w:val="18"/>
      </w:pPr>
      <w:r>
        <w:t>（四）做好绩效自评，确保自评工作取得实效</w:t>
      </w:r>
    </w:p>
    <w:p>
      <w:pPr>
        <w:pStyle w:val="18"/>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18"/>
      </w:pPr>
      <w:r>
        <w:t>（五）规范财务资产管理，确保资金安全高效</w:t>
      </w:r>
    </w:p>
    <w:p>
      <w:pPr>
        <w:pStyle w:val="18"/>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18"/>
      </w:pPr>
      <w:r>
        <w:t>（六）加强内部监督管理，确保资金安全有效</w:t>
      </w:r>
    </w:p>
    <w:p>
      <w:pPr>
        <w:pStyle w:val="18"/>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18"/>
      </w:pPr>
      <w:r>
        <w:t>（七）加强宣传培训调研，确保绩效目标实现</w:t>
      </w:r>
    </w:p>
    <w:p>
      <w:pPr>
        <w:pStyle w:val="18"/>
      </w:pPr>
      <w: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1.安全生产信息员经费绩效目标表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13062522P004566104044</w:t>
            </w:r>
          </w:p>
        </w:tc>
        <w:tc>
          <w:tcPr>
            <w:tcW w:w="1587" w:type="dxa"/>
            <w:vAlign w:val="center"/>
          </w:tcPr>
          <w:p>
            <w:pPr>
              <w:pStyle w:val="15"/>
            </w:pPr>
            <w:r>
              <w:t>项目名称</w:t>
            </w:r>
          </w:p>
        </w:tc>
        <w:tc>
          <w:tcPr>
            <w:tcW w:w="4422" w:type="dxa"/>
            <w:gridSpan w:val="3"/>
            <w:vAlign w:val="center"/>
          </w:tcPr>
          <w:p>
            <w:pPr>
              <w:pStyle w:val="16"/>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0.65</w:t>
            </w:r>
          </w:p>
        </w:tc>
        <w:tc>
          <w:tcPr>
            <w:tcW w:w="1587" w:type="dxa"/>
            <w:vAlign w:val="center"/>
          </w:tcPr>
          <w:p>
            <w:pPr>
              <w:pStyle w:val="15"/>
            </w:pPr>
            <w:r>
              <w:t>其中：财政    资金</w:t>
            </w:r>
          </w:p>
        </w:tc>
        <w:tc>
          <w:tcPr>
            <w:tcW w:w="1304" w:type="dxa"/>
            <w:vAlign w:val="center"/>
          </w:tcPr>
          <w:p>
            <w:pPr>
              <w:pStyle w:val="16"/>
            </w:pPr>
            <w:r>
              <w:t>0.65</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本项目资金主要用于安全生产信息员补助的发放。该资金预计12月份支出达到100%。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1.加强基层安全生产保障能力的建设，确保满足安全生产工作的实际需要，进一步加大安全生产延生到基层，掌握全区的安全生产动态。2022年此项经费0.65万元，按季度支付。</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安全生产信息员人数</w:t>
            </w:r>
          </w:p>
        </w:tc>
        <w:tc>
          <w:tcPr>
            <w:tcW w:w="2891" w:type="dxa"/>
            <w:vAlign w:val="center"/>
          </w:tcPr>
          <w:p>
            <w:pPr>
              <w:pStyle w:val="16"/>
            </w:pPr>
            <w:r>
              <w:t>安全生产信息员人数</w:t>
            </w:r>
          </w:p>
        </w:tc>
        <w:tc>
          <w:tcPr>
            <w:tcW w:w="1276" w:type="dxa"/>
            <w:vAlign w:val="center"/>
          </w:tcPr>
          <w:p>
            <w:pPr>
              <w:pStyle w:val="16"/>
            </w:pPr>
            <w:r>
              <w:t>13人</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补贴发放准确率</w:t>
            </w:r>
          </w:p>
        </w:tc>
        <w:tc>
          <w:tcPr>
            <w:tcW w:w="2891" w:type="dxa"/>
            <w:vAlign w:val="center"/>
          </w:tcPr>
          <w:p>
            <w:pPr>
              <w:pStyle w:val="16"/>
            </w:pPr>
            <w:r>
              <w:t>补贴发放准确率</w:t>
            </w:r>
          </w:p>
        </w:tc>
        <w:tc>
          <w:tcPr>
            <w:tcW w:w="1276" w:type="dxa"/>
            <w:vAlign w:val="center"/>
          </w:tcPr>
          <w:p>
            <w:pPr>
              <w:pStyle w:val="16"/>
            </w:pPr>
            <w:r>
              <w:t>≥95%</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补贴发放及时率</w:t>
            </w:r>
          </w:p>
        </w:tc>
        <w:tc>
          <w:tcPr>
            <w:tcW w:w="2891" w:type="dxa"/>
            <w:vAlign w:val="center"/>
          </w:tcPr>
          <w:p>
            <w:pPr>
              <w:pStyle w:val="16"/>
            </w:pPr>
            <w:r>
              <w:t>补贴发放及时率</w:t>
            </w:r>
          </w:p>
        </w:tc>
        <w:tc>
          <w:tcPr>
            <w:tcW w:w="1276" w:type="dxa"/>
            <w:vAlign w:val="center"/>
          </w:tcPr>
          <w:p>
            <w:pPr>
              <w:pStyle w:val="16"/>
            </w:pPr>
            <w:r>
              <w:t>≥95%</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岗位补贴人均标准</w:t>
            </w:r>
          </w:p>
        </w:tc>
        <w:tc>
          <w:tcPr>
            <w:tcW w:w="2891" w:type="dxa"/>
            <w:vAlign w:val="center"/>
          </w:tcPr>
          <w:p>
            <w:pPr>
              <w:pStyle w:val="16"/>
            </w:pPr>
            <w:r>
              <w:t>岗位补贴人均标准</w:t>
            </w:r>
          </w:p>
        </w:tc>
        <w:tc>
          <w:tcPr>
            <w:tcW w:w="1276" w:type="dxa"/>
            <w:vAlign w:val="center"/>
          </w:tcPr>
          <w:p>
            <w:pPr>
              <w:pStyle w:val="16"/>
            </w:pPr>
            <w:r>
              <w:t>500500元</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较大以上安全生产事故发生数</w:t>
            </w:r>
          </w:p>
        </w:tc>
        <w:tc>
          <w:tcPr>
            <w:tcW w:w="2891" w:type="dxa"/>
            <w:vAlign w:val="center"/>
          </w:tcPr>
          <w:p>
            <w:pPr>
              <w:pStyle w:val="16"/>
            </w:pPr>
            <w:r>
              <w:t>较大以上安全生产事故发生数</w:t>
            </w:r>
          </w:p>
        </w:tc>
        <w:tc>
          <w:tcPr>
            <w:tcW w:w="1276" w:type="dxa"/>
            <w:vAlign w:val="center"/>
          </w:tcPr>
          <w:p>
            <w:pPr>
              <w:pStyle w:val="16"/>
            </w:pPr>
            <w:r>
              <w:t>&lt;1次</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安全生产信息员满意度</w:t>
            </w:r>
          </w:p>
        </w:tc>
        <w:tc>
          <w:tcPr>
            <w:tcW w:w="2891" w:type="dxa"/>
            <w:vAlign w:val="center"/>
          </w:tcPr>
          <w:p>
            <w:pPr>
              <w:pStyle w:val="16"/>
            </w:pPr>
            <w:r>
              <w:t>安全生产信息员对补贴发放情况的满意度</w:t>
            </w:r>
          </w:p>
        </w:tc>
        <w:tc>
          <w:tcPr>
            <w:tcW w:w="1276" w:type="dxa"/>
            <w:vAlign w:val="center"/>
          </w:tcPr>
          <w:p>
            <w:pPr>
              <w:pStyle w:val="16"/>
            </w:pPr>
            <w:r>
              <w:t>≥90%</w:t>
            </w:r>
          </w:p>
        </w:tc>
        <w:tc>
          <w:tcPr>
            <w:tcW w:w="1843" w:type="dxa"/>
            <w:vAlign w:val="center"/>
          </w:tcPr>
          <w:p>
            <w:pPr>
              <w:pStyle w:val="16"/>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13062522P00457010061G</w:t>
            </w:r>
          </w:p>
        </w:tc>
        <w:tc>
          <w:tcPr>
            <w:tcW w:w="1587" w:type="dxa"/>
            <w:vAlign w:val="center"/>
          </w:tcPr>
          <w:p>
            <w:pPr>
              <w:pStyle w:val="15"/>
            </w:pPr>
            <w:r>
              <w:t>项目名称</w:t>
            </w:r>
          </w:p>
        </w:tc>
        <w:tc>
          <w:tcPr>
            <w:tcW w:w="4422" w:type="dxa"/>
            <w:gridSpan w:val="3"/>
            <w:vAlign w:val="center"/>
          </w:tcPr>
          <w:p>
            <w:pPr>
              <w:pStyle w:val="16"/>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13.52</w:t>
            </w:r>
          </w:p>
        </w:tc>
        <w:tc>
          <w:tcPr>
            <w:tcW w:w="1587" w:type="dxa"/>
            <w:vAlign w:val="center"/>
          </w:tcPr>
          <w:p>
            <w:pPr>
              <w:pStyle w:val="15"/>
            </w:pPr>
            <w:r>
              <w:t>其中：财政    资金</w:t>
            </w:r>
          </w:p>
        </w:tc>
        <w:tc>
          <w:tcPr>
            <w:tcW w:w="1304" w:type="dxa"/>
            <w:vAlign w:val="center"/>
          </w:tcPr>
          <w:p>
            <w:pPr>
              <w:pStyle w:val="16"/>
            </w:pPr>
            <w:r>
              <w:t>13.52</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该项目资金用于村内党员活动经费支出，一季度支出50%，二季度支出50%。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1.通过拨付村党组织活动经费，保障村党组织日常活动</w:t>
            </w:r>
          </w:p>
          <w:p>
            <w:pPr>
              <w:pStyle w:val="16"/>
            </w:pPr>
            <w:r>
              <w:t>2.由村党组织活动经费定期集中培训，提高农村党员的综合素质</w:t>
            </w:r>
          </w:p>
          <w:p>
            <w:pPr>
              <w:pStyle w:val="16"/>
            </w:pPr>
            <w:r>
              <w:t>3.用于村内党员活动经费支出按季度支出，一季度支出50%，二季度支出50%。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组织参观学习人次</w:t>
            </w:r>
          </w:p>
        </w:tc>
        <w:tc>
          <w:tcPr>
            <w:tcW w:w="2891" w:type="dxa"/>
            <w:vAlign w:val="center"/>
          </w:tcPr>
          <w:p>
            <w:pPr>
              <w:pStyle w:val="16"/>
            </w:pPr>
            <w:r>
              <w:t>组织前往宣传教育基地参观的人次</w:t>
            </w:r>
          </w:p>
        </w:tc>
        <w:tc>
          <w:tcPr>
            <w:tcW w:w="1276" w:type="dxa"/>
            <w:vAlign w:val="center"/>
          </w:tcPr>
          <w:p>
            <w:pPr>
              <w:pStyle w:val="16"/>
            </w:pPr>
            <w:r>
              <w:t>≥50人</w:t>
            </w:r>
          </w:p>
        </w:tc>
        <w:tc>
          <w:tcPr>
            <w:tcW w:w="1843"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学习活动成果验收合格率</w:t>
            </w:r>
          </w:p>
        </w:tc>
        <w:tc>
          <w:tcPr>
            <w:tcW w:w="2891" w:type="dxa"/>
            <w:vAlign w:val="center"/>
          </w:tcPr>
          <w:p>
            <w:pPr>
              <w:pStyle w:val="16"/>
            </w:pPr>
            <w:r>
              <w:t>学习活动成果合格率</w:t>
            </w:r>
          </w:p>
        </w:tc>
        <w:tc>
          <w:tcPr>
            <w:tcW w:w="1276" w:type="dxa"/>
            <w:vAlign w:val="center"/>
          </w:tcPr>
          <w:p>
            <w:pPr>
              <w:pStyle w:val="16"/>
            </w:pPr>
            <w:r>
              <w:t>≥90%</w:t>
            </w:r>
          </w:p>
        </w:tc>
        <w:tc>
          <w:tcPr>
            <w:tcW w:w="1843"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参观学习及时率</w:t>
            </w:r>
          </w:p>
        </w:tc>
        <w:tc>
          <w:tcPr>
            <w:tcW w:w="2891" w:type="dxa"/>
            <w:vAlign w:val="center"/>
          </w:tcPr>
          <w:p>
            <w:pPr>
              <w:pStyle w:val="16"/>
            </w:pPr>
            <w:r>
              <w:t>组织参观学习的及时率</w:t>
            </w:r>
          </w:p>
        </w:tc>
        <w:tc>
          <w:tcPr>
            <w:tcW w:w="1276" w:type="dxa"/>
            <w:vAlign w:val="center"/>
          </w:tcPr>
          <w:p>
            <w:pPr>
              <w:pStyle w:val="16"/>
            </w:pPr>
            <w:r>
              <w:t>≥90%</w:t>
            </w:r>
          </w:p>
        </w:tc>
        <w:tc>
          <w:tcPr>
            <w:tcW w:w="1843"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资金使用率</w:t>
            </w:r>
          </w:p>
        </w:tc>
        <w:tc>
          <w:tcPr>
            <w:tcW w:w="2891" w:type="dxa"/>
            <w:vAlign w:val="center"/>
          </w:tcPr>
          <w:p>
            <w:pPr>
              <w:pStyle w:val="16"/>
            </w:pPr>
            <w:r>
              <w:t>资金使用率=（实际支出资金总数/计划完成项目资金总数）×100%。</w:t>
            </w:r>
          </w:p>
        </w:tc>
        <w:tc>
          <w:tcPr>
            <w:tcW w:w="1276" w:type="dxa"/>
            <w:vAlign w:val="center"/>
          </w:tcPr>
          <w:p>
            <w:pPr>
              <w:pStyle w:val="16"/>
            </w:pPr>
            <w:r>
              <w:t>≥95%</w:t>
            </w:r>
          </w:p>
        </w:tc>
        <w:tc>
          <w:tcPr>
            <w:tcW w:w="1843"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农村党员综合素质提升率</w:t>
            </w:r>
          </w:p>
        </w:tc>
        <w:tc>
          <w:tcPr>
            <w:tcW w:w="2891" w:type="dxa"/>
            <w:vAlign w:val="center"/>
          </w:tcPr>
          <w:p>
            <w:pPr>
              <w:pStyle w:val="16"/>
            </w:pPr>
            <w:r>
              <w:t>农村党员综合素质提升率</w:t>
            </w:r>
          </w:p>
        </w:tc>
        <w:tc>
          <w:tcPr>
            <w:tcW w:w="1276" w:type="dxa"/>
            <w:vAlign w:val="center"/>
          </w:tcPr>
          <w:p>
            <w:pPr>
              <w:pStyle w:val="16"/>
            </w:pPr>
            <w:r>
              <w:t>≥95%</w:t>
            </w:r>
          </w:p>
        </w:tc>
        <w:tc>
          <w:tcPr>
            <w:tcW w:w="1843"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农村党员满意度</w:t>
            </w:r>
          </w:p>
        </w:tc>
        <w:tc>
          <w:tcPr>
            <w:tcW w:w="2891" w:type="dxa"/>
            <w:vAlign w:val="center"/>
          </w:tcPr>
          <w:p>
            <w:pPr>
              <w:pStyle w:val="16"/>
            </w:pPr>
            <w:r>
              <w:t>农村党员的满意度</w:t>
            </w:r>
          </w:p>
        </w:tc>
        <w:tc>
          <w:tcPr>
            <w:tcW w:w="1276" w:type="dxa"/>
            <w:vAlign w:val="center"/>
          </w:tcPr>
          <w:p>
            <w:pPr>
              <w:pStyle w:val="16"/>
            </w:pPr>
            <w:r>
              <w:t>≥90%</w:t>
            </w:r>
          </w:p>
        </w:tc>
        <w:tc>
          <w:tcPr>
            <w:tcW w:w="1843" w:type="dxa"/>
            <w:vAlign w:val="center"/>
          </w:tcPr>
          <w:p>
            <w:pPr>
              <w:pStyle w:val="16"/>
            </w:pPr>
            <w:r>
              <w:t>历史标准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3.村级组织办公经费绩效目标表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13062522P00457010018E</w:t>
            </w:r>
          </w:p>
        </w:tc>
        <w:tc>
          <w:tcPr>
            <w:tcW w:w="1587" w:type="dxa"/>
            <w:vAlign w:val="center"/>
          </w:tcPr>
          <w:p>
            <w:pPr>
              <w:pStyle w:val="15"/>
            </w:pPr>
            <w:r>
              <w:t>项目名称</w:t>
            </w:r>
          </w:p>
        </w:tc>
        <w:tc>
          <w:tcPr>
            <w:tcW w:w="4422" w:type="dxa"/>
            <w:gridSpan w:val="3"/>
            <w:vAlign w:val="center"/>
          </w:tcPr>
          <w:p>
            <w:pPr>
              <w:pStyle w:val="16"/>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32.75</w:t>
            </w:r>
          </w:p>
        </w:tc>
        <w:tc>
          <w:tcPr>
            <w:tcW w:w="1587" w:type="dxa"/>
            <w:vAlign w:val="center"/>
          </w:tcPr>
          <w:p>
            <w:pPr>
              <w:pStyle w:val="15"/>
            </w:pPr>
            <w:r>
              <w:t>其中：财政    资金</w:t>
            </w:r>
          </w:p>
        </w:tc>
        <w:tc>
          <w:tcPr>
            <w:tcW w:w="1304" w:type="dxa"/>
            <w:vAlign w:val="center"/>
          </w:tcPr>
          <w:p>
            <w:pPr>
              <w:pStyle w:val="16"/>
            </w:pPr>
            <w:r>
              <w:t>32.75</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用于必要的办公用品费、办公设施维护费、水电暖费等维持村级组织正常运转所必需的开支，预计2022年2月份支付100%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100%</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1.及时足额拨付资金，保障村级组织的正常运转，保障必要的办公用品费、办公设施维护费、水电暖费等维持村级组织正常运转所必需的开支，以推进村级组织健康发展，搞好服务保障。</w:t>
            </w:r>
          </w:p>
          <w:p>
            <w:pPr>
              <w:pStyle w:val="16"/>
            </w:pPr>
            <w:r>
              <w:t>2.此项目预计6月底完成。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经费保障村数</w:t>
            </w:r>
          </w:p>
        </w:tc>
        <w:tc>
          <w:tcPr>
            <w:tcW w:w="2891" w:type="dxa"/>
            <w:vAlign w:val="center"/>
          </w:tcPr>
          <w:p>
            <w:pPr>
              <w:pStyle w:val="16"/>
            </w:pPr>
            <w:r>
              <w:t>村级组织办公经费实际保障的村庄数量数</w:t>
            </w:r>
          </w:p>
        </w:tc>
        <w:tc>
          <w:tcPr>
            <w:tcW w:w="1276" w:type="dxa"/>
            <w:vAlign w:val="center"/>
          </w:tcPr>
          <w:p>
            <w:pPr>
              <w:pStyle w:val="16"/>
            </w:pPr>
            <w:r>
              <w:t>13个</w:t>
            </w:r>
          </w:p>
        </w:tc>
        <w:tc>
          <w:tcPr>
            <w:tcW w:w="1843" w:type="dxa"/>
            <w:vAlign w:val="center"/>
          </w:tcPr>
          <w:p>
            <w:pPr>
              <w:pStyle w:val="16"/>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保障覆盖率</w:t>
            </w:r>
          </w:p>
        </w:tc>
        <w:tc>
          <w:tcPr>
            <w:tcW w:w="2891" w:type="dxa"/>
            <w:vAlign w:val="center"/>
          </w:tcPr>
          <w:p>
            <w:pPr>
              <w:pStyle w:val="16"/>
            </w:pPr>
            <w:r>
              <w:t>保障村级组织数量占总村数比重</w:t>
            </w:r>
          </w:p>
        </w:tc>
        <w:tc>
          <w:tcPr>
            <w:tcW w:w="1276" w:type="dxa"/>
            <w:vAlign w:val="center"/>
          </w:tcPr>
          <w:p>
            <w:pPr>
              <w:pStyle w:val="16"/>
            </w:pPr>
            <w:r>
              <w:t>≥100%</w:t>
            </w:r>
          </w:p>
        </w:tc>
        <w:tc>
          <w:tcPr>
            <w:tcW w:w="1843" w:type="dxa"/>
            <w:vAlign w:val="center"/>
          </w:tcPr>
          <w:p>
            <w:pPr>
              <w:pStyle w:val="16"/>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资金支付及时率</w:t>
            </w:r>
          </w:p>
        </w:tc>
        <w:tc>
          <w:tcPr>
            <w:tcW w:w="2891" w:type="dxa"/>
            <w:vAlign w:val="center"/>
          </w:tcPr>
          <w:p>
            <w:pPr>
              <w:pStyle w:val="16"/>
            </w:pPr>
            <w:r>
              <w:t>拨付此项资金及时率</w:t>
            </w:r>
          </w:p>
        </w:tc>
        <w:tc>
          <w:tcPr>
            <w:tcW w:w="1276" w:type="dxa"/>
            <w:vAlign w:val="center"/>
          </w:tcPr>
          <w:p>
            <w:pPr>
              <w:pStyle w:val="16"/>
            </w:pPr>
            <w:r>
              <w:t>≥90%</w:t>
            </w:r>
          </w:p>
        </w:tc>
        <w:tc>
          <w:tcPr>
            <w:tcW w:w="1843" w:type="dxa"/>
            <w:vAlign w:val="center"/>
          </w:tcPr>
          <w:p>
            <w:pPr>
              <w:pStyle w:val="16"/>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项目支出控制在预算范围内</w:t>
            </w:r>
          </w:p>
        </w:tc>
        <w:tc>
          <w:tcPr>
            <w:tcW w:w="1276" w:type="dxa"/>
            <w:vAlign w:val="center"/>
          </w:tcPr>
          <w:p>
            <w:pPr>
              <w:pStyle w:val="16"/>
            </w:pPr>
            <w:r>
              <w:t>≤32.75万元</w:t>
            </w:r>
          </w:p>
        </w:tc>
        <w:tc>
          <w:tcPr>
            <w:tcW w:w="1843" w:type="dxa"/>
            <w:vAlign w:val="center"/>
          </w:tcPr>
          <w:p>
            <w:pPr>
              <w:pStyle w:val="16"/>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经济效益指标</w:t>
            </w:r>
          </w:p>
        </w:tc>
        <w:tc>
          <w:tcPr>
            <w:tcW w:w="1332" w:type="dxa"/>
            <w:vAlign w:val="center"/>
          </w:tcPr>
          <w:p>
            <w:pPr>
              <w:pStyle w:val="16"/>
            </w:pPr>
            <w:r>
              <w:t>村级组织运转保障水平提升率</w:t>
            </w:r>
          </w:p>
        </w:tc>
        <w:tc>
          <w:tcPr>
            <w:tcW w:w="2891" w:type="dxa"/>
            <w:vAlign w:val="center"/>
          </w:tcPr>
          <w:p>
            <w:pPr>
              <w:pStyle w:val="16"/>
            </w:pPr>
            <w:r>
              <w:t>村级组织在办公用品费、办公设施维护费、水电暖费等方面保障水平的提升比率</w:t>
            </w:r>
          </w:p>
        </w:tc>
        <w:tc>
          <w:tcPr>
            <w:tcW w:w="1276" w:type="dxa"/>
            <w:vAlign w:val="center"/>
          </w:tcPr>
          <w:p>
            <w:pPr>
              <w:pStyle w:val="16"/>
            </w:pPr>
            <w:r>
              <w:t>≥85%</w:t>
            </w:r>
          </w:p>
        </w:tc>
        <w:tc>
          <w:tcPr>
            <w:tcW w:w="1843" w:type="dxa"/>
            <w:vAlign w:val="center"/>
          </w:tcPr>
          <w:p>
            <w:pPr>
              <w:pStyle w:val="16"/>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村级组织满意度</w:t>
            </w:r>
          </w:p>
        </w:tc>
        <w:tc>
          <w:tcPr>
            <w:tcW w:w="2891" w:type="dxa"/>
            <w:vAlign w:val="center"/>
          </w:tcPr>
          <w:p>
            <w:pPr>
              <w:pStyle w:val="16"/>
            </w:pPr>
            <w:r>
              <w:t>受办公经费保障的村级组织满意情况</w:t>
            </w:r>
          </w:p>
        </w:tc>
        <w:tc>
          <w:tcPr>
            <w:tcW w:w="1276" w:type="dxa"/>
            <w:vAlign w:val="center"/>
          </w:tcPr>
          <w:p>
            <w:pPr>
              <w:pStyle w:val="16"/>
            </w:pPr>
            <w:r>
              <w:t>≥90%</w:t>
            </w:r>
          </w:p>
        </w:tc>
        <w:tc>
          <w:tcPr>
            <w:tcW w:w="1843" w:type="dxa"/>
            <w:vAlign w:val="center"/>
          </w:tcPr>
          <w:p>
            <w:pPr>
              <w:pStyle w:val="16"/>
            </w:pPr>
            <w:r>
              <w:t>依据冀组发2018 14号、徐字2019 2号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4.地震群测群防岗位津贴绩效目标表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13062522P00456610406B</w:t>
            </w:r>
          </w:p>
        </w:tc>
        <w:tc>
          <w:tcPr>
            <w:tcW w:w="1587" w:type="dxa"/>
            <w:vAlign w:val="center"/>
          </w:tcPr>
          <w:p>
            <w:pPr>
              <w:pStyle w:val="15"/>
            </w:pPr>
            <w:r>
              <w:t>项目名称</w:t>
            </w:r>
          </w:p>
        </w:tc>
        <w:tc>
          <w:tcPr>
            <w:tcW w:w="4422" w:type="dxa"/>
            <w:gridSpan w:val="3"/>
            <w:vAlign w:val="center"/>
          </w:tcPr>
          <w:p>
            <w:pPr>
              <w:pStyle w:val="16"/>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0.28</w:t>
            </w:r>
          </w:p>
        </w:tc>
        <w:tc>
          <w:tcPr>
            <w:tcW w:w="1587" w:type="dxa"/>
            <w:vAlign w:val="center"/>
          </w:tcPr>
          <w:p>
            <w:pPr>
              <w:pStyle w:val="15"/>
            </w:pPr>
            <w:r>
              <w:t>其中：财政    资金</w:t>
            </w:r>
          </w:p>
        </w:tc>
        <w:tc>
          <w:tcPr>
            <w:tcW w:w="1304" w:type="dxa"/>
            <w:vAlign w:val="center"/>
          </w:tcPr>
          <w:p>
            <w:pPr>
              <w:pStyle w:val="16"/>
            </w:pPr>
            <w:r>
              <w:t>0.28</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该项目资金用于防震减灾助理员和地震群测群防人员补助发放。该资金预计12月份支出达到100%。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1.通过项目实施，维持地震群测群防队伍的稳定。有效降低地震灾害造成的人身及财产损失。</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享受津贴人数</w:t>
            </w:r>
          </w:p>
        </w:tc>
        <w:tc>
          <w:tcPr>
            <w:tcW w:w="2891" w:type="dxa"/>
            <w:vAlign w:val="center"/>
          </w:tcPr>
          <w:p>
            <w:pPr>
              <w:pStyle w:val="16"/>
            </w:pPr>
            <w:r>
              <w:t>享受津贴人数</w:t>
            </w:r>
          </w:p>
        </w:tc>
        <w:tc>
          <w:tcPr>
            <w:tcW w:w="1276" w:type="dxa"/>
            <w:vAlign w:val="center"/>
          </w:tcPr>
          <w:p>
            <w:pPr>
              <w:pStyle w:val="16"/>
            </w:pPr>
            <w:r>
              <w:t>15人</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补贴发放准确率</w:t>
            </w:r>
          </w:p>
        </w:tc>
        <w:tc>
          <w:tcPr>
            <w:tcW w:w="2891" w:type="dxa"/>
            <w:vAlign w:val="center"/>
          </w:tcPr>
          <w:p>
            <w:pPr>
              <w:pStyle w:val="16"/>
            </w:pPr>
            <w:r>
              <w:t>补贴发放准确率</w:t>
            </w:r>
          </w:p>
        </w:tc>
        <w:tc>
          <w:tcPr>
            <w:tcW w:w="1276" w:type="dxa"/>
            <w:vAlign w:val="center"/>
          </w:tcPr>
          <w:p>
            <w:pPr>
              <w:pStyle w:val="16"/>
            </w:pPr>
            <w:r>
              <w:t>≥95%</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补贴发放及时率</w:t>
            </w:r>
          </w:p>
        </w:tc>
        <w:tc>
          <w:tcPr>
            <w:tcW w:w="2891" w:type="dxa"/>
            <w:vAlign w:val="center"/>
          </w:tcPr>
          <w:p>
            <w:pPr>
              <w:pStyle w:val="16"/>
            </w:pPr>
            <w:r>
              <w:t>补贴发放及时率</w:t>
            </w:r>
          </w:p>
        </w:tc>
        <w:tc>
          <w:tcPr>
            <w:tcW w:w="1276" w:type="dxa"/>
            <w:vAlign w:val="center"/>
          </w:tcPr>
          <w:p>
            <w:pPr>
              <w:pStyle w:val="16"/>
            </w:pPr>
            <w:r>
              <w:t>≥95%</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预算控制数</w:t>
            </w:r>
          </w:p>
        </w:tc>
        <w:tc>
          <w:tcPr>
            <w:tcW w:w="2891" w:type="dxa"/>
            <w:vAlign w:val="center"/>
          </w:tcPr>
          <w:p>
            <w:pPr>
              <w:pStyle w:val="16"/>
            </w:pPr>
            <w:r>
              <w:t>预算控制数</w:t>
            </w:r>
          </w:p>
        </w:tc>
        <w:tc>
          <w:tcPr>
            <w:tcW w:w="1276" w:type="dxa"/>
            <w:vAlign w:val="center"/>
          </w:tcPr>
          <w:p>
            <w:pPr>
              <w:pStyle w:val="16"/>
            </w:pPr>
            <w:r>
              <w:t>≤2760元</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地震群测群防队伍稳定率</w:t>
            </w:r>
          </w:p>
        </w:tc>
        <w:tc>
          <w:tcPr>
            <w:tcW w:w="2891" w:type="dxa"/>
            <w:vAlign w:val="center"/>
          </w:tcPr>
          <w:p>
            <w:pPr>
              <w:pStyle w:val="16"/>
            </w:pPr>
            <w:r>
              <w:t>地震群测群防队伍稳定性</w:t>
            </w:r>
          </w:p>
        </w:tc>
        <w:tc>
          <w:tcPr>
            <w:tcW w:w="1276" w:type="dxa"/>
            <w:vAlign w:val="center"/>
          </w:tcPr>
          <w:p>
            <w:pPr>
              <w:pStyle w:val="16"/>
            </w:pPr>
            <w:r>
              <w:t>≥95%</w:t>
            </w:r>
          </w:p>
        </w:tc>
        <w:tc>
          <w:tcPr>
            <w:tcW w:w="1843"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地震群测群防人员满意度</w:t>
            </w:r>
          </w:p>
        </w:tc>
        <w:tc>
          <w:tcPr>
            <w:tcW w:w="2891" w:type="dxa"/>
            <w:vAlign w:val="center"/>
          </w:tcPr>
          <w:p>
            <w:pPr>
              <w:pStyle w:val="16"/>
            </w:pPr>
            <w:r>
              <w:t>地震群测群防人员满意度</w:t>
            </w:r>
          </w:p>
        </w:tc>
        <w:tc>
          <w:tcPr>
            <w:tcW w:w="1276" w:type="dxa"/>
            <w:vAlign w:val="center"/>
          </w:tcPr>
          <w:p>
            <w:pPr>
              <w:pStyle w:val="16"/>
            </w:pPr>
            <w:r>
              <w:t>≥90%</w:t>
            </w:r>
          </w:p>
        </w:tc>
        <w:tc>
          <w:tcPr>
            <w:tcW w:w="1843" w:type="dxa"/>
            <w:vAlign w:val="center"/>
          </w:tcPr>
          <w:p>
            <w:pPr>
              <w:pStyle w:val="16"/>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5.东釜山乡2022年脱贫帮扶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13062522P00456610326R</w:t>
            </w:r>
          </w:p>
        </w:tc>
        <w:tc>
          <w:tcPr>
            <w:tcW w:w="1587" w:type="dxa"/>
            <w:vAlign w:val="center"/>
          </w:tcPr>
          <w:p>
            <w:pPr>
              <w:pStyle w:val="15"/>
            </w:pPr>
            <w:r>
              <w:t>项目名称</w:t>
            </w:r>
          </w:p>
        </w:tc>
        <w:tc>
          <w:tcPr>
            <w:tcW w:w="4422" w:type="dxa"/>
            <w:gridSpan w:val="3"/>
            <w:vAlign w:val="center"/>
          </w:tcPr>
          <w:p>
            <w:pPr>
              <w:pStyle w:val="16"/>
            </w:pPr>
            <w:r>
              <w:t>东釜山乡2022年脱贫帮扶</w:t>
            </w:r>
            <w:r>
              <w:rPr>
                <w:rFonts w:hint="eastAsia"/>
                <w:lang w:eastAsia="zh-CN"/>
              </w:rPr>
              <w:t>公益性岗位</w:t>
            </w:r>
            <w:r>
              <w:t>补贴及保险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18.08</w:t>
            </w:r>
          </w:p>
        </w:tc>
        <w:tc>
          <w:tcPr>
            <w:tcW w:w="1587" w:type="dxa"/>
            <w:vAlign w:val="center"/>
          </w:tcPr>
          <w:p>
            <w:pPr>
              <w:pStyle w:val="15"/>
            </w:pPr>
            <w:r>
              <w:t>其中：财政    资金</w:t>
            </w:r>
          </w:p>
        </w:tc>
        <w:tc>
          <w:tcPr>
            <w:tcW w:w="1304" w:type="dxa"/>
            <w:vAlign w:val="center"/>
          </w:tcPr>
          <w:p>
            <w:pPr>
              <w:pStyle w:val="16"/>
            </w:pPr>
            <w:r>
              <w:t>18.08</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用于2022年脱贫帮扶</w:t>
            </w:r>
            <w:r>
              <w:rPr>
                <w:rFonts w:hint="eastAsia"/>
                <w:lang w:eastAsia="zh-CN"/>
              </w:rPr>
              <w:t>公益性岗位</w:t>
            </w:r>
            <w:r>
              <w:t>补贴及保险，本资金计划6月底支出达到50%，12月底达到100%。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1.规范就业扶贫</w:t>
            </w:r>
            <w:r>
              <w:rPr>
                <w:rFonts w:hint="eastAsia"/>
                <w:lang w:eastAsia="zh-CN"/>
              </w:rPr>
              <w:t>公益性岗位</w:t>
            </w:r>
            <w:r>
              <w:t>、乡村服务岗位管理，帮助就业困难的建档立卡贫困劳动力实现持续稳定增收</w:t>
            </w:r>
          </w:p>
          <w:p>
            <w:pPr>
              <w:pStyle w:val="16"/>
            </w:pPr>
            <w:r>
              <w:t>2.为30位在公益岗的人员发放补助并购买人身意外保险。“四员”岗每人每月500元，人身意外保险667元每年，乡村服务岗每人每月300元，人身意外保险667元/年。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补助人数</w:t>
            </w:r>
          </w:p>
        </w:tc>
        <w:tc>
          <w:tcPr>
            <w:tcW w:w="2891" w:type="dxa"/>
            <w:vAlign w:val="center"/>
          </w:tcPr>
          <w:p>
            <w:pPr>
              <w:pStyle w:val="16"/>
            </w:pPr>
            <w:r>
              <w:t>补助</w:t>
            </w:r>
            <w:r>
              <w:rPr>
                <w:rFonts w:hint="eastAsia"/>
                <w:lang w:eastAsia="zh-CN"/>
              </w:rPr>
              <w:t>公益性岗位</w:t>
            </w:r>
            <w:r>
              <w:t>人数</w:t>
            </w:r>
          </w:p>
        </w:tc>
        <w:tc>
          <w:tcPr>
            <w:tcW w:w="1276" w:type="dxa"/>
            <w:vAlign w:val="center"/>
          </w:tcPr>
          <w:p>
            <w:pPr>
              <w:pStyle w:val="16"/>
            </w:pPr>
            <w:r>
              <w:t>30人</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符合率</w:t>
            </w:r>
          </w:p>
        </w:tc>
        <w:tc>
          <w:tcPr>
            <w:tcW w:w="2891" w:type="dxa"/>
            <w:vAlign w:val="center"/>
          </w:tcPr>
          <w:p>
            <w:pPr>
              <w:pStyle w:val="16"/>
            </w:pPr>
            <w:r>
              <w:t>补助人员条件符合率</w:t>
            </w:r>
          </w:p>
        </w:tc>
        <w:tc>
          <w:tcPr>
            <w:tcW w:w="1276" w:type="dxa"/>
            <w:vAlign w:val="center"/>
          </w:tcPr>
          <w:p>
            <w:pPr>
              <w:pStyle w:val="16"/>
            </w:pPr>
            <w:r>
              <w:t>100%</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及时发放率</w:t>
            </w:r>
          </w:p>
        </w:tc>
        <w:tc>
          <w:tcPr>
            <w:tcW w:w="2891" w:type="dxa"/>
            <w:vAlign w:val="center"/>
          </w:tcPr>
          <w:p>
            <w:pPr>
              <w:pStyle w:val="16"/>
            </w:pPr>
            <w:r>
              <w:t>资助经费发放及时率</w:t>
            </w:r>
          </w:p>
        </w:tc>
        <w:tc>
          <w:tcPr>
            <w:tcW w:w="1276" w:type="dxa"/>
            <w:vAlign w:val="center"/>
          </w:tcPr>
          <w:p>
            <w:pPr>
              <w:pStyle w:val="16"/>
            </w:pPr>
            <w:r>
              <w:t>100%</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补助标准</w:t>
            </w:r>
          </w:p>
        </w:tc>
        <w:tc>
          <w:tcPr>
            <w:tcW w:w="2891" w:type="dxa"/>
            <w:vAlign w:val="center"/>
          </w:tcPr>
          <w:p>
            <w:pPr>
              <w:pStyle w:val="16"/>
            </w:pPr>
            <w:r>
              <w:t>“四员”补助标准</w:t>
            </w:r>
          </w:p>
        </w:tc>
        <w:tc>
          <w:tcPr>
            <w:tcW w:w="1276" w:type="dxa"/>
            <w:vAlign w:val="center"/>
          </w:tcPr>
          <w:p>
            <w:pPr>
              <w:pStyle w:val="16"/>
            </w:pPr>
            <w:r>
              <w:t>500元/月</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补助标准</w:t>
            </w:r>
          </w:p>
        </w:tc>
        <w:tc>
          <w:tcPr>
            <w:tcW w:w="2891" w:type="dxa"/>
            <w:vAlign w:val="center"/>
          </w:tcPr>
          <w:p>
            <w:pPr>
              <w:pStyle w:val="16"/>
            </w:pPr>
            <w:r>
              <w:t>乡村服务岗位补助标准</w:t>
            </w:r>
          </w:p>
        </w:tc>
        <w:tc>
          <w:tcPr>
            <w:tcW w:w="1276" w:type="dxa"/>
            <w:vAlign w:val="center"/>
          </w:tcPr>
          <w:p>
            <w:pPr>
              <w:pStyle w:val="16"/>
            </w:pPr>
            <w:r>
              <w:t>300元/月</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保险标准</w:t>
            </w:r>
          </w:p>
        </w:tc>
        <w:tc>
          <w:tcPr>
            <w:tcW w:w="2891" w:type="dxa"/>
            <w:vAlign w:val="center"/>
          </w:tcPr>
          <w:p>
            <w:pPr>
              <w:pStyle w:val="16"/>
            </w:pPr>
            <w:r>
              <w:t>“四员”人身意外险标准</w:t>
            </w:r>
          </w:p>
        </w:tc>
        <w:tc>
          <w:tcPr>
            <w:tcW w:w="1276" w:type="dxa"/>
            <w:vAlign w:val="center"/>
          </w:tcPr>
          <w:p>
            <w:pPr>
              <w:pStyle w:val="16"/>
            </w:pPr>
            <w:r>
              <w:t>667元/年</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保险标准</w:t>
            </w:r>
          </w:p>
        </w:tc>
        <w:tc>
          <w:tcPr>
            <w:tcW w:w="2891" w:type="dxa"/>
            <w:vAlign w:val="center"/>
          </w:tcPr>
          <w:p>
            <w:pPr>
              <w:pStyle w:val="16"/>
            </w:pPr>
            <w:r>
              <w:t>乡村服务岗位人员人身意外险标准</w:t>
            </w:r>
          </w:p>
        </w:tc>
        <w:tc>
          <w:tcPr>
            <w:tcW w:w="1276" w:type="dxa"/>
            <w:vAlign w:val="center"/>
          </w:tcPr>
          <w:p>
            <w:pPr>
              <w:pStyle w:val="16"/>
            </w:pPr>
            <w:r>
              <w:t>667元/年</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6"/>
            </w:pPr>
            <w:r>
              <w:t>经济效益指标</w:t>
            </w:r>
          </w:p>
        </w:tc>
        <w:tc>
          <w:tcPr>
            <w:tcW w:w="1332" w:type="dxa"/>
            <w:vAlign w:val="center"/>
          </w:tcPr>
          <w:p>
            <w:pPr>
              <w:pStyle w:val="16"/>
            </w:pPr>
            <w:r>
              <w:t>带动“四员”收入</w:t>
            </w:r>
          </w:p>
        </w:tc>
        <w:tc>
          <w:tcPr>
            <w:tcW w:w="2891" w:type="dxa"/>
            <w:vAlign w:val="center"/>
          </w:tcPr>
          <w:p>
            <w:pPr>
              <w:pStyle w:val="16"/>
            </w:pPr>
            <w:r>
              <w:t>带动“四员”收入</w:t>
            </w:r>
          </w:p>
        </w:tc>
        <w:tc>
          <w:tcPr>
            <w:tcW w:w="1276" w:type="dxa"/>
            <w:vAlign w:val="center"/>
          </w:tcPr>
          <w:p>
            <w:pPr>
              <w:pStyle w:val="16"/>
            </w:pPr>
            <w:r>
              <w:t>500元/月</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经济效益指标</w:t>
            </w:r>
          </w:p>
        </w:tc>
        <w:tc>
          <w:tcPr>
            <w:tcW w:w="1332" w:type="dxa"/>
            <w:vAlign w:val="center"/>
          </w:tcPr>
          <w:p>
            <w:pPr>
              <w:pStyle w:val="16"/>
            </w:pPr>
            <w:r>
              <w:t>带动乡村服务岗人员收入</w:t>
            </w:r>
          </w:p>
        </w:tc>
        <w:tc>
          <w:tcPr>
            <w:tcW w:w="2891" w:type="dxa"/>
            <w:vAlign w:val="center"/>
          </w:tcPr>
          <w:p>
            <w:pPr>
              <w:pStyle w:val="16"/>
            </w:pPr>
            <w:r>
              <w:t>带动乡村服务岗人员收入</w:t>
            </w:r>
          </w:p>
        </w:tc>
        <w:tc>
          <w:tcPr>
            <w:tcW w:w="1276" w:type="dxa"/>
            <w:vAlign w:val="center"/>
          </w:tcPr>
          <w:p>
            <w:pPr>
              <w:pStyle w:val="16"/>
            </w:pPr>
            <w:r>
              <w:t>300元/月</w:t>
            </w:r>
          </w:p>
        </w:tc>
        <w:tc>
          <w:tcPr>
            <w:tcW w:w="1843" w:type="dxa"/>
            <w:vAlign w:val="center"/>
          </w:tcPr>
          <w:p>
            <w:pPr>
              <w:pStyle w:val="16"/>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享受公益岗、乡村服务岗家庭满意度</w:t>
            </w:r>
          </w:p>
        </w:tc>
        <w:tc>
          <w:tcPr>
            <w:tcW w:w="2891" w:type="dxa"/>
            <w:vAlign w:val="center"/>
          </w:tcPr>
          <w:p>
            <w:pPr>
              <w:pStyle w:val="16"/>
            </w:pPr>
            <w:r>
              <w:t>享受公益岗、乡村服务岗家庭满意度</w:t>
            </w:r>
          </w:p>
        </w:tc>
        <w:tc>
          <w:tcPr>
            <w:tcW w:w="1276" w:type="dxa"/>
            <w:vAlign w:val="center"/>
          </w:tcPr>
          <w:p>
            <w:pPr>
              <w:pStyle w:val="16"/>
            </w:pPr>
            <w:r>
              <w:t>≥95%</w:t>
            </w:r>
          </w:p>
        </w:tc>
        <w:tc>
          <w:tcPr>
            <w:tcW w:w="1843" w:type="dxa"/>
            <w:vAlign w:val="center"/>
          </w:tcPr>
          <w:p>
            <w:pPr>
              <w:pStyle w:val="16"/>
            </w:pPr>
            <w:r>
              <w:rPr>
                <w:rFonts w:hint="eastAsia"/>
                <w:lang w:eastAsia="zh-CN"/>
              </w:rPr>
              <w:t>公益性岗位</w:t>
            </w:r>
            <w:r>
              <w:t>管理办法</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6.防火护林员工资补助经费绩效目标表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13062522P00456610358L</w:t>
            </w:r>
          </w:p>
        </w:tc>
        <w:tc>
          <w:tcPr>
            <w:tcW w:w="1587" w:type="dxa"/>
            <w:vAlign w:val="center"/>
          </w:tcPr>
          <w:p>
            <w:pPr>
              <w:pStyle w:val="15"/>
            </w:pPr>
            <w:r>
              <w:t>项目名称</w:t>
            </w:r>
          </w:p>
        </w:tc>
        <w:tc>
          <w:tcPr>
            <w:tcW w:w="4422" w:type="dxa"/>
            <w:gridSpan w:val="3"/>
            <w:vAlign w:val="center"/>
          </w:tcPr>
          <w:p>
            <w:pPr>
              <w:pStyle w:val="16"/>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2.80</w:t>
            </w:r>
          </w:p>
        </w:tc>
        <w:tc>
          <w:tcPr>
            <w:tcW w:w="1587" w:type="dxa"/>
            <w:vAlign w:val="center"/>
          </w:tcPr>
          <w:p>
            <w:pPr>
              <w:pStyle w:val="15"/>
            </w:pPr>
            <w:r>
              <w:t>其中：财政    资金</w:t>
            </w:r>
          </w:p>
        </w:tc>
        <w:tc>
          <w:tcPr>
            <w:tcW w:w="1304" w:type="dxa"/>
            <w:vAlign w:val="center"/>
          </w:tcPr>
          <w:p>
            <w:pPr>
              <w:pStyle w:val="16"/>
            </w:pPr>
            <w:r>
              <w:t>2.80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该资金用于防火护林员工资的发放，该资金预计10月份支出达到100%。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1.保障人员工资等方面的经费支出，确保防火护林日常工作正常运转</w:t>
            </w:r>
            <w:r>
              <w:tab/>
            </w:r>
            <w:r>
              <w:tab/>
            </w:r>
            <w:r>
              <w:tab/>
            </w:r>
            <w:r>
              <w:tab/>
            </w:r>
          </w:p>
          <w:p>
            <w:pPr>
              <w:pStyle w:val="16"/>
            </w:pPr>
            <w:r>
              <w:t>2.防火护林员工资补助2.8万元</w:t>
            </w:r>
          </w:p>
          <w:p>
            <w:pPr>
              <w:pStyle w:val="16"/>
            </w:pPr>
            <w:r>
              <w:t>3.预计2022年1-5月份、9-12月份资金支付完毕</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实发人数比率</w:t>
            </w:r>
          </w:p>
        </w:tc>
        <w:tc>
          <w:tcPr>
            <w:tcW w:w="2891" w:type="dxa"/>
            <w:vAlign w:val="center"/>
          </w:tcPr>
          <w:p>
            <w:pPr>
              <w:pStyle w:val="16"/>
            </w:pPr>
            <w:r>
              <w:t>实发人数占应发人数比率</w:t>
            </w:r>
          </w:p>
        </w:tc>
        <w:tc>
          <w:tcPr>
            <w:tcW w:w="1276" w:type="dxa"/>
            <w:vAlign w:val="center"/>
          </w:tcPr>
          <w:p>
            <w:pPr>
              <w:pStyle w:val="16"/>
            </w:pPr>
            <w:r>
              <w:t>100%</w:t>
            </w:r>
          </w:p>
        </w:tc>
        <w:tc>
          <w:tcPr>
            <w:tcW w:w="1843"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考核完成率</w:t>
            </w:r>
          </w:p>
        </w:tc>
        <w:tc>
          <w:tcPr>
            <w:tcW w:w="2891" w:type="dxa"/>
            <w:vAlign w:val="center"/>
          </w:tcPr>
          <w:p>
            <w:pPr>
              <w:pStyle w:val="16"/>
            </w:pPr>
            <w:r>
              <w:t>考核工作完成占计划完成数</w:t>
            </w:r>
          </w:p>
        </w:tc>
        <w:tc>
          <w:tcPr>
            <w:tcW w:w="1276" w:type="dxa"/>
            <w:vAlign w:val="center"/>
          </w:tcPr>
          <w:p>
            <w:pPr>
              <w:pStyle w:val="16"/>
            </w:pPr>
            <w:r>
              <w:t>≥95%</w:t>
            </w:r>
          </w:p>
        </w:tc>
        <w:tc>
          <w:tcPr>
            <w:tcW w:w="1843"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支付及时率</w:t>
            </w:r>
          </w:p>
        </w:tc>
        <w:tc>
          <w:tcPr>
            <w:tcW w:w="2891" w:type="dxa"/>
            <w:vAlign w:val="center"/>
          </w:tcPr>
          <w:p>
            <w:pPr>
              <w:pStyle w:val="16"/>
            </w:pPr>
            <w:r>
              <w:t>按时支付人员工资及时率</w:t>
            </w:r>
          </w:p>
        </w:tc>
        <w:tc>
          <w:tcPr>
            <w:tcW w:w="1276" w:type="dxa"/>
            <w:vAlign w:val="center"/>
          </w:tcPr>
          <w:p>
            <w:pPr>
              <w:pStyle w:val="16"/>
            </w:pPr>
            <w:r>
              <w:t>≥95%</w:t>
            </w:r>
          </w:p>
        </w:tc>
        <w:tc>
          <w:tcPr>
            <w:tcW w:w="1843"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预算控制数</w:t>
            </w:r>
          </w:p>
        </w:tc>
        <w:tc>
          <w:tcPr>
            <w:tcW w:w="2891" w:type="dxa"/>
            <w:vAlign w:val="center"/>
          </w:tcPr>
          <w:p>
            <w:pPr>
              <w:pStyle w:val="16"/>
            </w:pPr>
            <w:r>
              <w:t>不超年初预算数</w:t>
            </w:r>
          </w:p>
        </w:tc>
        <w:tc>
          <w:tcPr>
            <w:tcW w:w="1276" w:type="dxa"/>
            <w:vAlign w:val="center"/>
          </w:tcPr>
          <w:p>
            <w:pPr>
              <w:pStyle w:val="16"/>
            </w:pPr>
            <w:r>
              <w:t>≤100%</w:t>
            </w:r>
          </w:p>
        </w:tc>
        <w:tc>
          <w:tcPr>
            <w:tcW w:w="1843"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保证工作正常进行</w:t>
            </w:r>
          </w:p>
        </w:tc>
        <w:tc>
          <w:tcPr>
            <w:tcW w:w="2891" w:type="dxa"/>
            <w:vAlign w:val="center"/>
          </w:tcPr>
          <w:p>
            <w:pPr>
              <w:pStyle w:val="16"/>
            </w:pPr>
            <w:r>
              <w:t>能够保障人员日常工作效率</w:t>
            </w:r>
          </w:p>
        </w:tc>
        <w:tc>
          <w:tcPr>
            <w:tcW w:w="1276" w:type="dxa"/>
            <w:vAlign w:val="center"/>
          </w:tcPr>
          <w:p>
            <w:pPr>
              <w:pStyle w:val="16"/>
            </w:pPr>
            <w:r>
              <w:t>≥95%</w:t>
            </w:r>
          </w:p>
        </w:tc>
        <w:tc>
          <w:tcPr>
            <w:tcW w:w="1843"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防火护林人员满意度</w:t>
            </w:r>
          </w:p>
        </w:tc>
        <w:tc>
          <w:tcPr>
            <w:tcW w:w="2891" w:type="dxa"/>
            <w:vAlign w:val="center"/>
          </w:tcPr>
          <w:p>
            <w:pPr>
              <w:pStyle w:val="16"/>
            </w:pPr>
            <w:r>
              <w:t>防火护林人员满意度</w:t>
            </w:r>
          </w:p>
        </w:tc>
        <w:tc>
          <w:tcPr>
            <w:tcW w:w="1276" w:type="dxa"/>
            <w:vAlign w:val="center"/>
          </w:tcPr>
          <w:p>
            <w:pPr>
              <w:pStyle w:val="16"/>
            </w:pPr>
            <w:r>
              <w:t>≥80%</w:t>
            </w:r>
          </w:p>
        </w:tc>
        <w:tc>
          <w:tcPr>
            <w:tcW w:w="1843" w:type="dxa"/>
            <w:vAlign w:val="center"/>
          </w:tcPr>
          <w:p>
            <w:pPr>
              <w:pStyle w:val="16"/>
            </w:pPr>
            <w: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7.服务群众专项经费绩效目标表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13062522P004570100624</w:t>
            </w:r>
          </w:p>
        </w:tc>
        <w:tc>
          <w:tcPr>
            <w:tcW w:w="1587" w:type="dxa"/>
            <w:vAlign w:val="center"/>
          </w:tcPr>
          <w:p>
            <w:pPr>
              <w:pStyle w:val="15"/>
            </w:pPr>
            <w:r>
              <w:t>项目名称</w:t>
            </w:r>
          </w:p>
        </w:tc>
        <w:tc>
          <w:tcPr>
            <w:tcW w:w="4422" w:type="dxa"/>
            <w:gridSpan w:val="3"/>
            <w:vAlign w:val="center"/>
          </w:tcPr>
          <w:p>
            <w:pPr>
              <w:pStyle w:val="16"/>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65.00</w:t>
            </w:r>
          </w:p>
        </w:tc>
        <w:tc>
          <w:tcPr>
            <w:tcW w:w="1587" w:type="dxa"/>
            <w:vAlign w:val="center"/>
          </w:tcPr>
          <w:p>
            <w:pPr>
              <w:pStyle w:val="15"/>
            </w:pPr>
            <w:r>
              <w:t>其中：财政    资金</w:t>
            </w:r>
          </w:p>
        </w:tc>
        <w:tc>
          <w:tcPr>
            <w:tcW w:w="1304" w:type="dxa"/>
            <w:vAlign w:val="center"/>
          </w:tcPr>
          <w:p>
            <w:pPr>
              <w:pStyle w:val="16"/>
            </w:pPr>
            <w:r>
              <w:t>65.00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该项目资金用于村综合服务站日常运转、公共设施维护、公共卫生防疫、村内治安、服务群众生产生活的临时劳务用工等方面的开支，该资金预计6月份支出达到100%。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1.运用服务群众专项经费，保障村内组织日常活动。</w:t>
            </w:r>
          </w:p>
          <w:p>
            <w:pPr>
              <w:pStyle w:val="16"/>
            </w:pPr>
            <w:r>
              <w:t>2.正确使用服务群众专项经费用于村内公益事业,达到群众满意。</w:t>
            </w:r>
          </w:p>
          <w:p>
            <w:pPr>
              <w:pStyle w:val="16"/>
            </w:pPr>
            <w:r>
              <w:t>3.通过实施此项目，促进社会稳定水平逐步提高。此项目资金预计6月份达到100%。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服务保障完成率</w:t>
            </w:r>
          </w:p>
        </w:tc>
        <w:tc>
          <w:tcPr>
            <w:tcW w:w="2891" w:type="dxa"/>
            <w:vAlign w:val="center"/>
          </w:tcPr>
          <w:p>
            <w:pPr>
              <w:pStyle w:val="16"/>
            </w:pPr>
            <w:r>
              <w:t>服务保障完成量/应服务保障总量</w:t>
            </w:r>
          </w:p>
        </w:tc>
        <w:tc>
          <w:tcPr>
            <w:tcW w:w="1276" w:type="dxa"/>
            <w:vAlign w:val="center"/>
          </w:tcPr>
          <w:p>
            <w:pPr>
              <w:pStyle w:val="16"/>
            </w:pPr>
            <w:r>
              <w:t>≥95%</w:t>
            </w:r>
          </w:p>
        </w:tc>
        <w:tc>
          <w:tcPr>
            <w:tcW w:w="1843" w:type="dxa"/>
            <w:vAlign w:val="center"/>
          </w:tcPr>
          <w:p>
            <w:pPr>
              <w:pStyle w:val="16"/>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农村社区综合服务设施覆盖率</w:t>
            </w:r>
          </w:p>
        </w:tc>
        <w:tc>
          <w:tcPr>
            <w:tcW w:w="2891" w:type="dxa"/>
            <w:vAlign w:val="center"/>
          </w:tcPr>
          <w:p>
            <w:pPr>
              <w:pStyle w:val="16"/>
            </w:pPr>
            <w:r>
              <w:t>农村社区综合服务设施覆盖率</w:t>
            </w:r>
          </w:p>
        </w:tc>
        <w:tc>
          <w:tcPr>
            <w:tcW w:w="1276" w:type="dxa"/>
            <w:vAlign w:val="center"/>
          </w:tcPr>
          <w:p>
            <w:pPr>
              <w:pStyle w:val="16"/>
            </w:pPr>
            <w:r>
              <w:t>≥95%</w:t>
            </w:r>
          </w:p>
        </w:tc>
        <w:tc>
          <w:tcPr>
            <w:tcW w:w="1843" w:type="dxa"/>
            <w:vAlign w:val="center"/>
          </w:tcPr>
          <w:p>
            <w:pPr>
              <w:pStyle w:val="16"/>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服务群众工作完成及时率</w:t>
            </w:r>
          </w:p>
        </w:tc>
        <w:tc>
          <w:tcPr>
            <w:tcW w:w="2891" w:type="dxa"/>
            <w:vAlign w:val="center"/>
          </w:tcPr>
          <w:p>
            <w:pPr>
              <w:pStyle w:val="16"/>
            </w:pPr>
            <w:r>
              <w:t>服务群众工作完成及时率</w:t>
            </w:r>
          </w:p>
        </w:tc>
        <w:tc>
          <w:tcPr>
            <w:tcW w:w="1276" w:type="dxa"/>
            <w:vAlign w:val="center"/>
          </w:tcPr>
          <w:p>
            <w:pPr>
              <w:pStyle w:val="16"/>
            </w:pPr>
            <w:r>
              <w:t>≥90%</w:t>
            </w:r>
          </w:p>
        </w:tc>
        <w:tc>
          <w:tcPr>
            <w:tcW w:w="1843" w:type="dxa"/>
            <w:vAlign w:val="center"/>
          </w:tcPr>
          <w:p>
            <w:pPr>
              <w:pStyle w:val="16"/>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项目支出控制在预算范围内</w:t>
            </w:r>
          </w:p>
          <w:p>
            <w:pPr>
              <w:pStyle w:val="16"/>
            </w:pPr>
          </w:p>
        </w:tc>
        <w:tc>
          <w:tcPr>
            <w:tcW w:w="1276" w:type="dxa"/>
            <w:vAlign w:val="center"/>
          </w:tcPr>
          <w:p>
            <w:pPr>
              <w:pStyle w:val="16"/>
            </w:pPr>
            <w:r>
              <w:t>≤65万元</w:t>
            </w:r>
          </w:p>
        </w:tc>
        <w:tc>
          <w:tcPr>
            <w:tcW w:w="1843" w:type="dxa"/>
            <w:vAlign w:val="center"/>
          </w:tcPr>
          <w:p>
            <w:pPr>
              <w:pStyle w:val="16"/>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服务保障效果影响程度</w:t>
            </w:r>
          </w:p>
        </w:tc>
        <w:tc>
          <w:tcPr>
            <w:tcW w:w="2891" w:type="dxa"/>
            <w:vAlign w:val="center"/>
          </w:tcPr>
          <w:p>
            <w:pPr>
              <w:pStyle w:val="16"/>
            </w:pPr>
            <w:r>
              <w:t>村内公益事业服务效果影响程度</w:t>
            </w:r>
          </w:p>
        </w:tc>
        <w:tc>
          <w:tcPr>
            <w:tcW w:w="1276" w:type="dxa"/>
            <w:vAlign w:val="center"/>
          </w:tcPr>
          <w:p>
            <w:pPr>
              <w:pStyle w:val="16"/>
            </w:pPr>
            <w:r>
              <w:t>≥90%</w:t>
            </w:r>
          </w:p>
        </w:tc>
        <w:tc>
          <w:tcPr>
            <w:tcW w:w="1843" w:type="dxa"/>
            <w:vAlign w:val="center"/>
          </w:tcPr>
          <w:p>
            <w:pPr>
              <w:pStyle w:val="16"/>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服务对象满意度</w:t>
            </w:r>
          </w:p>
        </w:tc>
        <w:tc>
          <w:tcPr>
            <w:tcW w:w="2891" w:type="dxa"/>
            <w:vAlign w:val="center"/>
          </w:tcPr>
          <w:p>
            <w:pPr>
              <w:pStyle w:val="16"/>
            </w:pPr>
            <w:r>
              <w:t>群众满意度</w:t>
            </w:r>
          </w:p>
        </w:tc>
        <w:tc>
          <w:tcPr>
            <w:tcW w:w="1276" w:type="dxa"/>
            <w:vAlign w:val="center"/>
          </w:tcPr>
          <w:p>
            <w:pPr>
              <w:pStyle w:val="16"/>
            </w:pPr>
            <w:r>
              <w:t>≥95%</w:t>
            </w:r>
          </w:p>
        </w:tc>
        <w:tc>
          <w:tcPr>
            <w:tcW w:w="1843" w:type="dxa"/>
            <w:vAlign w:val="center"/>
          </w:tcPr>
          <w:p>
            <w:pPr>
              <w:pStyle w:val="16"/>
            </w:pPr>
            <w:r>
              <w:t>依据上级专款文件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8.纪检保障经费（运转保障）绩效目标表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13062522P004567103634</w:t>
            </w:r>
          </w:p>
        </w:tc>
        <w:tc>
          <w:tcPr>
            <w:tcW w:w="1587" w:type="dxa"/>
            <w:vAlign w:val="center"/>
          </w:tcPr>
          <w:p>
            <w:pPr>
              <w:pStyle w:val="15"/>
            </w:pPr>
            <w:r>
              <w:t>项目名称</w:t>
            </w:r>
          </w:p>
        </w:tc>
        <w:tc>
          <w:tcPr>
            <w:tcW w:w="4422" w:type="dxa"/>
            <w:gridSpan w:val="3"/>
            <w:vAlign w:val="center"/>
          </w:tcPr>
          <w:p>
            <w:pPr>
              <w:pStyle w:val="16"/>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4.40</w:t>
            </w:r>
          </w:p>
        </w:tc>
        <w:tc>
          <w:tcPr>
            <w:tcW w:w="1587" w:type="dxa"/>
            <w:vAlign w:val="center"/>
          </w:tcPr>
          <w:p>
            <w:pPr>
              <w:pStyle w:val="15"/>
            </w:pPr>
            <w:r>
              <w:t>其中：财政    资金</w:t>
            </w:r>
          </w:p>
        </w:tc>
        <w:tc>
          <w:tcPr>
            <w:tcW w:w="1304" w:type="dxa"/>
            <w:vAlign w:val="center"/>
          </w:tcPr>
          <w:p>
            <w:pPr>
              <w:pStyle w:val="16"/>
            </w:pPr>
            <w:r>
              <w:t>4.40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此项目资金主要是为促进纪检工作的有效开展，提供资金保障。3月份支出25%，6月份支出50%，9月份支出100%。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1.为促进纪检工作的有效开展，提供资金保障；建立纪检保障长效机制，为纪检组织提供必要的工作条件；更好的推进农村反腐倡廉，服务经济，促进社会和谐。</w:t>
            </w:r>
            <w:r>
              <w:tab/>
            </w:r>
            <w:r>
              <w:tab/>
            </w:r>
            <w:r>
              <w:tab/>
            </w:r>
            <w:r>
              <w:tab/>
            </w:r>
            <w:r>
              <w:tab/>
            </w:r>
            <w:r>
              <w:tab/>
            </w:r>
          </w:p>
          <w:p>
            <w:pPr>
              <w:pStyle w:val="16"/>
            </w:pPr>
            <w:r>
              <w:t>2.资金按进度支出，6月底累计支出达到50%，12月底累计支出达到100%。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纪检办案数量</w:t>
            </w:r>
          </w:p>
        </w:tc>
        <w:tc>
          <w:tcPr>
            <w:tcW w:w="2891" w:type="dxa"/>
            <w:vAlign w:val="center"/>
          </w:tcPr>
          <w:p>
            <w:pPr>
              <w:pStyle w:val="16"/>
            </w:pPr>
            <w:r>
              <w:t>全年纪检办案的数量</w:t>
            </w:r>
          </w:p>
        </w:tc>
        <w:tc>
          <w:tcPr>
            <w:tcW w:w="1276" w:type="dxa"/>
            <w:vAlign w:val="center"/>
          </w:tcPr>
          <w:p>
            <w:pPr>
              <w:pStyle w:val="16"/>
            </w:pPr>
            <w:r>
              <w:t>≥3件</w:t>
            </w:r>
          </w:p>
        </w:tc>
        <w:tc>
          <w:tcPr>
            <w:tcW w:w="1843" w:type="dxa"/>
            <w:vAlign w:val="center"/>
          </w:tcPr>
          <w:p>
            <w:pPr>
              <w:pStyle w:val="16"/>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纪检案件办结率</w:t>
            </w:r>
          </w:p>
        </w:tc>
        <w:tc>
          <w:tcPr>
            <w:tcW w:w="2891" w:type="dxa"/>
            <w:vAlign w:val="center"/>
          </w:tcPr>
          <w:p>
            <w:pPr>
              <w:pStyle w:val="16"/>
            </w:pPr>
            <w:r>
              <w:t>纪检案件办结情况</w:t>
            </w:r>
          </w:p>
        </w:tc>
        <w:tc>
          <w:tcPr>
            <w:tcW w:w="1276" w:type="dxa"/>
            <w:vAlign w:val="center"/>
          </w:tcPr>
          <w:p>
            <w:pPr>
              <w:pStyle w:val="16"/>
            </w:pPr>
            <w:r>
              <w:t>≥85%</w:t>
            </w:r>
          </w:p>
        </w:tc>
        <w:tc>
          <w:tcPr>
            <w:tcW w:w="1843" w:type="dxa"/>
            <w:vAlign w:val="center"/>
          </w:tcPr>
          <w:p>
            <w:pPr>
              <w:pStyle w:val="16"/>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纪检办案及时率</w:t>
            </w:r>
          </w:p>
        </w:tc>
        <w:tc>
          <w:tcPr>
            <w:tcW w:w="2891" w:type="dxa"/>
            <w:vAlign w:val="center"/>
          </w:tcPr>
          <w:p>
            <w:pPr>
              <w:pStyle w:val="16"/>
            </w:pPr>
            <w:r>
              <w:t>纪检办案及时情况</w:t>
            </w:r>
          </w:p>
        </w:tc>
        <w:tc>
          <w:tcPr>
            <w:tcW w:w="1276" w:type="dxa"/>
            <w:vAlign w:val="center"/>
          </w:tcPr>
          <w:p>
            <w:pPr>
              <w:pStyle w:val="16"/>
            </w:pPr>
            <w:r>
              <w:t>≥85%</w:t>
            </w:r>
          </w:p>
        </w:tc>
        <w:tc>
          <w:tcPr>
            <w:tcW w:w="1843" w:type="dxa"/>
            <w:vAlign w:val="center"/>
          </w:tcPr>
          <w:p>
            <w:pPr>
              <w:pStyle w:val="16"/>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项目支出控制在预算范围内</w:t>
            </w:r>
          </w:p>
        </w:tc>
        <w:tc>
          <w:tcPr>
            <w:tcW w:w="1276" w:type="dxa"/>
            <w:vAlign w:val="center"/>
          </w:tcPr>
          <w:p>
            <w:pPr>
              <w:pStyle w:val="16"/>
            </w:pPr>
            <w:r>
              <w:t>≤4.4万元</w:t>
            </w:r>
          </w:p>
        </w:tc>
        <w:tc>
          <w:tcPr>
            <w:tcW w:w="1843" w:type="dxa"/>
            <w:vAlign w:val="center"/>
          </w:tcPr>
          <w:p>
            <w:pPr>
              <w:pStyle w:val="16"/>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纪检办案行为投诉率</w:t>
            </w:r>
          </w:p>
        </w:tc>
        <w:tc>
          <w:tcPr>
            <w:tcW w:w="2891" w:type="dxa"/>
            <w:vAlign w:val="center"/>
          </w:tcPr>
          <w:p>
            <w:pPr>
              <w:pStyle w:val="16"/>
            </w:pPr>
            <w:r>
              <w:t>被投诉案件占办案总量的比例。</w:t>
            </w:r>
          </w:p>
        </w:tc>
        <w:tc>
          <w:tcPr>
            <w:tcW w:w="1276" w:type="dxa"/>
            <w:vAlign w:val="center"/>
          </w:tcPr>
          <w:p>
            <w:pPr>
              <w:pStyle w:val="16"/>
            </w:pPr>
            <w:r>
              <w:t>≤10%</w:t>
            </w:r>
          </w:p>
        </w:tc>
        <w:tc>
          <w:tcPr>
            <w:tcW w:w="1843" w:type="dxa"/>
            <w:vAlign w:val="center"/>
          </w:tcPr>
          <w:p>
            <w:pPr>
              <w:pStyle w:val="16"/>
            </w:pPr>
            <w:r>
              <w:t>徐办发【2012】34号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9.南陈庄烈士陵园祭扫活动和日常维护管理所需资金绩效目标表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13062522P00456710377E</w:t>
            </w:r>
          </w:p>
        </w:tc>
        <w:tc>
          <w:tcPr>
            <w:tcW w:w="1587" w:type="dxa"/>
            <w:vAlign w:val="center"/>
          </w:tcPr>
          <w:p>
            <w:pPr>
              <w:pStyle w:val="15"/>
            </w:pPr>
            <w:r>
              <w:t>项目名称</w:t>
            </w:r>
          </w:p>
        </w:tc>
        <w:tc>
          <w:tcPr>
            <w:tcW w:w="4422" w:type="dxa"/>
            <w:gridSpan w:val="3"/>
            <w:vAlign w:val="center"/>
          </w:tcPr>
          <w:p>
            <w:pPr>
              <w:pStyle w:val="16"/>
            </w:pPr>
            <w:r>
              <w:t>南陈庄烈士陵园祭扫活动和日常维护管理所需资金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3.00</w:t>
            </w:r>
          </w:p>
        </w:tc>
        <w:tc>
          <w:tcPr>
            <w:tcW w:w="1587" w:type="dxa"/>
            <w:vAlign w:val="center"/>
          </w:tcPr>
          <w:p>
            <w:pPr>
              <w:pStyle w:val="15"/>
            </w:pPr>
            <w:r>
              <w:t>其中：财政    资金</w:t>
            </w:r>
          </w:p>
        </w:tc>
        <w:tc>
          <w:tcPr>
            <w:tcW w:w="1304" w:type="dxa"/>
            <w:vAlign w:val="center"/>
          </w:tcPr>
          <w:p>
            <w:pPr>
              <w:pStyle w:val="16"/>
            </w:pPr>
            <w:r>
              <w:t>3.00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此资金用于南陈庄烈士陵园日常维护管理支出，3月底预计支出25%，6月底预计支出达到50%，9月底预计支出达到75%，12月底预计支出达到100%.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1.宣扬红色文化，确保公祭活动正常开展。</w:t>
            </w:r>
          </w:p>
          <w:p>
            <w:pPr>
              <w:pStyle w:val="16"/>
            </w:pPr>
            <w:r>
              <w:t>2.资金按进度支出，6月底累计支出达到50%，12月底累计支出达到100%。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每年公祭的次数</w:t>
            </w:r>
          </w:p>
        </w:tc>
        <w:tc>
          <w:tcPr>
            <w:tcW w:w="2891" w:type="dxa"/>
            <w:vAlign w:val="center"/>
          </w:tcPr>
          <w:p>
            <w:pPr>
              <w:pStyle w:val="16"/>
            </w:pPr>
            <w:r>
              <w:t>每年公祭的次数</w:t>
            </w:r>
          </w:p>
        </w:tc>
        <w:tc>
          <w:tcPr>
            <w:tcW w:w="1276" w:type="dxa"/>
            <w:vAlign w:val="center"/>
          </w:tcPr>
          <w:p>
            <w:pPr>
              <w:pStyle w:val="16"/>
            </w:pPr>
            <w:r>
              <w:t>≥2次</w:t>
            </w:r>
          </w:p>
        </w:tc>
        <w:tc>
          <w:tcPr>
            <w:tcW w:w="1843" w:type="dxa"/>
            <w:vAlign w:val="center"/>
          </w:tcPr>
          <w:p>
            <w:pPr>
              <w:pStyle w:val="16"/>
            </w:pPr>
            <w:r>
              <w:t>资金请示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公祭工作完成率</w:t>
            </w:r>
          </w:p>
        </w:tc>
        <w:tc>
          <w:tcPr>
            <w:tcW w:w="2891" w:type="dxa"/>
            <w:vAlign w:val="center"/>
          </w:tcPr>
          <w:p>
            <w:pPr>
              <w:pStyle w:val="16"/>
            </w:pPr>
            <w:r>
              <w:t>公祭工作完成率</w:t>
            </w:r>
          </w:p>
        </w:tc>
        <w:tc>
          <w:tcPr>
            <w:tcW w:w="1276" w:type="dxa"/>
            <w:vAlign w:val="center"/>
          </w:tcPr>
          <w:p>
            <w:pPr>
              <w:pStyle w:val="16"/>
            </w:pPr>
            <w:r>
              <w:t>≥90%</w:t>
            </w:r>
          </w:p>
        </w:tc>
        <w:tc>
          <w:tcPr>
            <w:tcW w:w="1843" w:type="dxa"/>
            <w:vAlign w:val="center"/>
          </w:tcPr>
          <w:p>
            <w:pPr>
              <w:pStyle w:val="16"/>
            </w:pPr>
            <w:r>
              <w:t>资金请示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项目资金支付及时率</w:t>
            </w:r>
          </w:p>
        </w:tc>
        <w:tc>
          <w:tcPr>
            <w:tcW w:w="2891" w:type="dxa"/>
            <w:vAlign w:val="center"/>
          </w:tcPr>
          <w:p>
            <w:pPr>
              <w:pStyle w:val="16"/>
            </w:pPr>
            <w:r>
              <w:t>项目资金支付及时率</w:t>
            </w:r>
          </w:p>
        </w:tc>
        <w:tc>
          <w:tcPr>
            <w:tcW w:w="1276" w:type="dxa"/>
            <w:vAlign w:val="center"/>
          </w:tcPr>
          <w:p>
            <w:pPr>
              <w:pStyle w:val="16"/>
            </w:pPr>
            <w:r>
              <w:t>≥90%</w:t>
            </w:r>
          </w:p>
        </w:tc>
        <w:tc>
          <w:tcPr>
            <w:tcW w:w="1843" w:type="dxa"/>
            <w:vAlign w:val="center"/>
          </w:tcPr>
          <w:p>
            <w:pPr>
              <w:pStyle w:val="16"/>
            </w:pPr>
            <w:r>
              <w:t>资金请示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预算执行率</w:t>
            </w:r>
          </w:p>
        </w:tc>
        <w:tc>
          <w:tcPr>
            <w:tcW w:w="2891" w:type="dxa"/>
            <w:vAlign w:val="center"/>
          </w:tcPr>
          <w:p>
            <w:pPr>
              <w:pStyle w:val="16"/>
            </w:pPr>
            <w:r>
              <w:t>预算执行率</w:t>
            </w:r>
          </w:p>
        </w:tc>
        <w:tc>
          <w:tcPr>
            <w:tcW w:w="1276" w:type="dxa"/>
            <w:vAlign w:val="center"/>
          </w:tcPr>
          <w:p>
            <w:pPr>
              <w:pStyle w:val="16"/>
            </w:pPr>
            <w:r>
              <w:t>100100%</w:t>
            </w:r>
          </w:p>
        </w:tc>
        <w:tc>
          <w:tcPr>
            <w:tcW w:w="1843" w:type="dxa"/>
            <w:vAlign w:val="center"/>
          </w:tcPr>
          <w:p>
            <w:pPr>
              <w:pStyle w:val="16"/>
            </w:pPr>
            <w:r>
              <w:t>资金请示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每年参加公祭，受教育人数</w:t>
            </w:r>
          </w:p>
        </w:tc>
        <w:tc>
          <w:tcPr>
            <w:tcW w:w="2891" w:type="dxa"/>
            <w:vAlign w:val="center"/>
          </w:tcPr>
          <w:p>
            <w:pPr>
              <w:pStyle w:val="16"/>
            </w:pPr>
            <w:r>
              <w:t>每年参加公祭，受教育人数</w:t>
            </w:r>
          </w:p>
        </w:tc>
        <w:tc>
          <w:tcPr>
            <w:tcW w:w="1276" w:type="dxa"/>
            <w:vAlign w:val="center"/>
          </w:tcPr>
          <w:p>
            <w:pPr>
              <w:pStyle w:val="16"/>
            </w:pPr>
            <w:r>
              <w:t>≥100人</w:t>
            </w:r>
          </w:p>
        </w:tc>
        <w:tc>
          <w:tcPr>
            <w:tcW w:w="1843" w:type="dxa"/>
            <w:vAlign w:val="center"/>
          </w:tcPr>
          <w:p>
            <w:pPr>
              <w:pStyle w:val="16"/>
            </w:pPr>
            <w:r>
              <w:t>资金请示</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10.其他办公费用绩效目标表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13062522P004598100647</w:t>
            </w:r>
          </w:p>
        </w:tc>
        <w:tc>
          <w:tcPr>
            <w:tcW w:w="1587" w:type="dxa"/>
            <w:vAlign w:val="center"/>
          </w:tcPr>
          <w:p>
            <w:pPr>
              <w:pStyle w:val="15"/>
            </w:pPr>
            <w:r>
              <w:t>项目名称</w:t>
            </w:r>
          </w:p>
        </w:tc>
        <w:tc>
          <w:tcPr>
            <w:tcW w:w="4422" w:type="dxa"/>
            <w:gridSpan w:val="3"/>
            <w:vAlign w:val="center"/>
          </w:tcPr>
          <w:p>
            <w:pPr>
              <w:pStyle w:val="16"/>
            </w:pPr>
            <w:r>
              <w:t>其他办公费用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0.10</w:t>
            </w:r>
          </w:p>
        </w:tc>
        <w:tc>
          <w:tcPr>
            <w:tcW w:w="1587" w:type="dxa"/>
            <w:vAlign w:val="center"/>
          </w:tcPr>
          <w:p>
            <w:pPr>
              <w:pStyle w:val="15"/>
            </w:pPr>
            <w:r>
              <w:t>其中：财政    资金</w:t>
            </w:r>
          </w:p>
        </w:tc>
        <w:tc>
          <w:tcPr>
            <w:tcW w:w="1304" w:type="dxa"/>
            <w:vAlign w:val="center"/>
          </w:tcPr>
          <w:p>
            <w:pPr>
              <w:pStyle w:val="16"/>
            </w:pPr>
            <w:r>
              <w:t xml:space="preserve"> </w:t>
            </w:r>
          </w:p>
        </w:tc>
        <w:tc>
          <w:tcPr>
            <w:tcW w:w="1276" w:type="dxa"/>
            <w:vAlign w:val="center"/>
          </w:tcPr>
          <w:p>
            <w:pPr>
              <w:pStyle w:val="15"/>
            </w:pPr>
            <w:r>
              <w:t>其他资金</w:t>
            </w:r>
          </w:p>
        </w:tc>
        <w:tc>
          <w:tcPr>
            <w:tcW w:w="1843" w:type="dxa"/>
            <w:vAlign w:val="center"/>
          </w:tcPr>
          <w:p>
            <w:pPr>
              <w:pStyle w:val="16"/>
            </w:pPr>
            <w:r>
              <w:t>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支付办公用品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75%</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1.用于支付办公用品</w:t>
            </w:r>
          </w:p>
          <w:p>
            <w:pPr>
              <w:pStyle w:val="16"/>
            </w:pPr>
            <w:r>
              <w:t>2.预计12月底支付完成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购买数量</w:t>
            </w:r>
          </w:p>
        </w:tc>
        <w:tc>
          <w:tcPr>
            <w:tcW w:w="2891" w:type="dxa"/>
            <w:vAlign w:val="center"/>
          </w:tcPr>
          <w:p>
            <w:pPr>
              <w:pStyle w:val="16"/>
            </w:pPr>
            <w:r>
              <w:t>购买数量</w:t>
            </w:r>
          </w:p>
        </w:tc>
        <w:tc>
          <w:tcPr>
            <w:tcW w:w="1276" w:type="dxa"/>
            <w:vAlign w:val="center"/>
          </w:tcPr>
          <w:p>
            <w:pPr>
              <w:pStyle w:val="16"/>
            </w:pPr>
            <w:r>
              <w:t>≥1次</w:t>
            </w:r>
          </w:p>
        </w:tc>
        <w:tc>
          <w:tcPr>
            <w:tcW w:w="1843"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完成合格率</w:t>
            </w:r>
          </w:p>
        </w:tc>
        <w:tc>
          <w:tcPr>
            <w:tcW w:w="2891" w:type="dxa"/>
            <w:vAlign w:val="center"/>
          </w:tcPr>
          <w:p>
            <w:pPr>
              <w:pStyle w:val="16"/>
            </w:pPr>
            <w:r>
              <w:t>完成合格率</w:t>
            </w:r>
          </w:p>
        </w:tc>
        <w:tc>
          <w:tcPr>
            <w:tcW w:w="1276" w:type="dxa"/>
            <w:vAlign w:val="center"/>
          </w:tcPr>
          <w:p>
            <w:pPr>
              <w:pStyle w:val="16"/>
            </w:pPr>
            <w:r>
              <w:t>≥85%</w:t>
            </w:r>
          </w:p>
        </w:tc>
        <w:tc>
          <w:tcPr>
            <w:tcW w:w="1843"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完成及时率</w:t>
            </w:r>
          </w:p>
        </w:tc>
        <w:tc>
          <w:tcPr>
            <w:tcW w:w="2891" w:type="dxa"/>
            <w:vAlign w:val="center"/>
          </w:tcPr>
          <w:p>
            <w:pPr>
              <w:pStyle w:val="16"/>
            </w:pPr>
            <w:r>
              <w:t>设施设备运行维护完成及时率</w:t>
            </w:r>
          </w:p>
        </w:tc>
        <w:tc>
          <w:tcPr>
            <w:tcW w:w="1276" w:type="dxa"/>
            <w:vAlign w:val="center"/>
          </w:tcPr>
          <w:p>
            <w:pPr>
              <w:pStyle w:val="16"/>
            </w:pPr>
            <w:r>
              <w:t>≥85%</w:t>
            </w:r>
          </w:p>
        </w:tc>
        <w:tc>
          <w:tcPr>
            <w:tcW w:w="1843"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项目支出控制在预算范围内</w:t>
            </w:r>
          </w:p>
        </w:tc>
        <w:tc>
          <w:tcPr>
            <w:tcW w:w="1276" w:type="dxa"/>
            <w:vAlign w:val="center"/>
          </w:tcPr>
          <w:p>
            <w:pPr>
              <w:pStyle w:val="16"/>
            </w:pPr>
            <w:r>
              <w:t>0.05万元</w:t>
            </w:r>
          </w:p>
        </w:tc>
        <w:tc>
          <w:tcPr>
            <w:tcW w:w="1843"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社会稳定水平提升率</w:t>
            </w:r>
          </w:p>
        </w:tc>
        <w:tc>
          <w:tcPr>
            <w:tcW w:w="2891" w:type="dxa"/>
            <w:vAlign w:val="center"/>
          </w:tcPr>
          <w:p>
            <w:pPr>
              <w:pStyle w:val="16"/>
            </w:pPr>
            <w:r>
              <w:t>社会稳定水平提升率</w:t>
            </w:r>
          </w:p>
        </w:tc>
        <w:tc>
          <w:tcPr>
            <w:tcW w:w="1276" w:type="dxa"/>
            <w:vAlign w:val="center"/>
          </w:tcPr>
          <w:p>
            <w:pPr>
              <w:pStyle w:val="16"/>
            </w:pPr>
            <w:r>
              <w:t>≥85%</w:t>
            </w:r>
          </w:p>
        </w:tc>
        <w:tc>
          <w:tcPr>
            <w:tcW w:w="1843"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服务对象满意率</w:t>
            </w:r>
          </w:p>
        </w:tc>
        <w:tc>
          <w:tcPr>
            <w:tcW w:w="2891" w:type="dxa"/>
            <w:vAlign w:val="center"/>
          </w:tcPr>
          <w:p>
            <w:pPr>
              <w:pStyle w:val="16"/>
            </w:pPr>
            <w:r>
              <w:t>服务对象满意率</w:t>
            </w:r>
          </w:p>
        </w:tc>
        <w:tc>
          <w:tcPr>
            <w:tcW w:w="1276" w:type="dxa"/>
            <w:vAlign w:val="center"/>
          </w:tcPr>
          <w:p>
            <w:pPr>
              <w:pStyle w:val="16"/>
            </w:pPr>
            <w:r>
              <w:t>≥85%</w:t>
            </w:r>
          </w:p>
        </w:tc>
        <w:tc>
          <w:tcPr>
            <w:tcW w:w="1843" w:type="dxa"/>
            <w:vAlign w:val="center"/>
          </w:tcPr>
          <w:p>
            <w:pPr>
              <w:pStyle w:val="16"/>
            </w:pPr>
            <w:r>
              <w:t>工作需求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11.人大工作经费（运转保障）绩效目标表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13062522P00456710104X</w:t>
            </w:r>
          </w:p>
        </w:tc>
        <w:tc>
          <w:tcPr>
            <w:tcW w:w="1587" w:type="dxa"/>
            <w:vAlign w:val="center"/>
          </w:tcPr>
          <w:p>
            <w:pPr>
              <w:pStyle w:val="15"/>
            </w:pPr>
            <w:r>
              <w:t>项目名称</w:t>
            </w:r>
          </w:p>
        </w:tc>
        <w:tc>
          <w:tcPr>
            <w:tcW w:w="4422" w:type="dxa"/>
            <w:gridSpan w:val="3"/>
            <w:vAlign w:val="center"/>
          </w:tcPr>
          <w:p>
            <w:pPr>
              <w:pStyle w:val="16"/>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3.00</w:t>
            </w:r>
          </w:p>
        </w:tc>
        <w:tc>
          <w:tcPr>
            <w:tcW w:w="1587" w:type="dxa"/>
            <w:vAlign w:val="center"/>
          </w:tcPr>
          <w:p>
            <w:pPr>
              <w:pStyle w:val="15"/>
            </w:pPr>
            <w:r>
              <w:t>其中：财政    资金</w:t>
            </w:r>
          </w:p>
        </w:tc>
        <w:tc>
          <w:tcPr>
            <w:tcW w:w="1304" w:type="dxa"/>
            <w:vAlign w:val="center"/>
          </w:tcPr>
          <w:p>
            <w:pPr>
              <w:pStyle w:val="16"/>
            </w:pPr>
            <w:r>
              <w:t>3.00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此项目资金主要用于保障人大日常工作，预计3月份支出25%，6月份支出50%，9月份支出100%。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1.促进基层民主政治建设，提高群众及人大代表满意度。</w:t>
            </w:r>
          </w:p>
          <w:p>
            <w:pPr>
              <w:pStyle w:val="16"/>
            </w:pPr>
            <w:r>
              <w:t>2.资金按进度支出，6月底累计支出达到50%，12月底累计支出达到100%。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召开人代会次数</w:t>
            </w:r>
          </w:p>
        </w:tc>
        <w:tc>
          <w:tcPr>
            <w:tcW w:w="2891" w:type="dxa"/>
            <w:vAlign w:val="center"/>
          </w:tcPr>
          <w:p>
            <w:pPr>
              <w:pStyle w:val="16"/>
            </w:pPr>
            <w:r>
              <w:t>召开人代会次数</w:t>
            </w:r>
          </w:p>
        </w:tc>
        <w:tc>
          <w:tcPr>
            <w:tcW w:w="1276" w:type="dxa"/>
            <w:vAlign w:val="center"/>
          </w:tcPr>
          <w:p>
            <w:pPr>
              <w:pStyle w:val="16"/>
            </w:pPr>
            <w:r>
              <w:t>≥1次</w:t>
            </w:r>
          </w:p>
        </w:tc>
        <w:tc>
          <w:tcPr>
            <w:tcW w:w="1843" w:type="dxa"/>
            <w:vAlign w:val="center"/>
          </w:tcPr>
          <w:p>
            <w:pPr>
              <w:pStyle w:val="16"/>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人大代表出席率</w:t>
            </w:r>
          </w:p>
        </w:tc>
        <w:tc>
          <w:tcPr>
            <w:tcW w:w="2891" w:type="dxa"/>
            <w:vAlign w:val="center"/>
          </w:tcPr>
          <w:p>
            <w:pPr>
              <w:pStyle w:val="16"/>
            </w:pPr>
            <w:r>
              <w:t>人大代表出席情况</w:t>
            </w:r>
          </w:p>
        </w:tc>
        <w:tc>
          <w:tcPr>
            <w:tcW w:w="1276" w:type="dxa"/>
            <w:vAlign w:val="center"/>
          </w:tcPr>
          <w:p>
            <w:pPr>
              <w:pStyle w:val="16"/>
            </w:pPr>
            <w:r>
              <w:t>≥70%</w:t>
            </w:r>
          </w:p>
        </w:tc>
        <w:tc>
          <w:tcPr>
            <w:tcW w:w="1843" w:type="dxa"/>
            <w:vAlign w:val="center"/>
          </w:tcPr>
          <w:p>
            <w:pPr>
              <w:pStyle w:val="16"/>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人大日常工作经费保障及时率</w:t>
            </w:r>
          </w:p>
        </w:tc>
        <w:tc>
          <w:tcPr>
            <w:tcW w:w="2891" w:type="dxa"/>
            <w:vAlign w:val="center"/>
          </w:tcPr>
          <w:p>
            <w:pPr>
              <w:pStyle w:val="16"/>
            </w:pPr>
            <w:r>
              <w:t>保障人大日常工作及时开展</w:t>
            </w:r>
          </w:p>
        </w:tc>
        <w:tc>
          <w:tcPr>
            <w:tcW w:w="1276" w:type="dxa"/>
            <w:vAlign w:val="center"/>
          </w:tcPr>
          <w:p>
            <w:pPr>
              <w:pStyle w:val="16"/>
            </w:pPr>
            <w:r>
              <w:t>≥90%</w:t>
            </w:r>
          </w:p>
        </w:tc>
        <w:tc>
          <w:tcPr>
            <w:tcW w:w="1843" w:type="dxa"/>
            <w:vAlign w:val="center"/>
          </w:tcPr>
          <w:p>
            <w:pPr>
              <w:pStyle w:val="16"/>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预算控制数</w:t>
            </w:r>
          </w:p>
        </w:tc>
        <w:tc>
          <w:tcPr>
            <w:tcW w:w="2891" w:type="dxa"/>
            <w:vAlign w:val="center"/>
          </w:tcPr>
          <w:p>
            <w:pPr>
              <w:pStyle w:val="16"/>
            </w:pPr>
            <w:r>
              <w:t>项目支出控制在预算范围内</w:t>
            </w:r>
          </w:p>
        </w:tc>
        <w:tc>
          <w:tcPr>
            <w:tcW w:w="1276" w:type="dxa"/>
            <w:vAlign w:val="center"/>
          </w:tcPr>
          <w:p>
            <w:pPr>
              <w:pStyle w:val="16"/>
            </w:pPr>
            <w:r>
              <w:t>≤3万元</w:t>
            </w:r>
          </w:p>
        </w:tc>
        <w:tc>
          <w:tcPr>
            <w:tcW w:w="1843" w:type="dxa"/>
            <w:vAlign w:val="center"/>
          </w:tcPr>
          <w:p>
            <w:pPr>
              <w:pStyle w:val="16"/>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人大提议案件数</w:t>
            </w:r>
          </w:p>
        </w:tc>
        <w:tc>
          <w:tcPr>
            <w:tcW w:w="2891" w:type="dxa"/>
            <w:vAlign w:val="center"/>
          </w:tcPr>
          <w:p>
            <w:pPr>
              <w:pStyle w:val="16"/>
            </w:pPr>
            <w:r>
              <w:t>为本辖区民生事项等积极向区人大提议案件数</w:t>
            </w:r>
          </w:p>
        </w:tc>
        <w:tc>
          <w:tcPr>
            <w:tcW w:w="1276" w:type="dxa"/>
            <w:vAlign w:val="center"/>
          </w:tcPr>
          <w:p>
            <w:pPr>
              <w:pStyle w:val="16"/>
            </w:pPr>
            <w:r>
              <w:t>≥1件</w:t>
            </w:r>
          </w:p>
        </w:tc>
        <w:tc>
          <w:tcPr>
            <w:tcW w:w="1843" w:type="dxa"/>
            <w:vAlign w:val="center"/>
          </w:tcPr>
          <w:p>
            <w:pPr>
              <w:pStyle w:val="16"/>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人大代表满意度</w:t>
            </w:r>
          </w:p>
        </w:tc>
        <w:tc>
          <w:tcPr>
            <w:tcW w:w="2891" w:type="dxa"/>
            <w:vAlign w:val="center"/>
          </w:tcPr>
          <w:p>
            <w:pPr>
              <w:pStyle w:val="16"/>
            </w:pPr>
            <w:r>
              <w:t>人大代表满意度</w:t>
            </w:r>
          </w:p>
        </w:tc>
        <w:tc>
          <w:tcPr>
            <w:tcW w:w="1276" w:type="dxa"/>
            <w:vAlign w:val="center"/>
          </w:tcPr>
          <w:p>
            <w:pPr>
              <w:pStyle w:val="16"/>
            </w:pPr>
            <w:r>
              <w:t>≥85%</w:t>
            </w:r>
          </w:p>
        </w:tc>
        <w:tc>
          <w:tcPr>
            <w:tcW w:w="1843" w:type="dxa"/>
            <w:vAlign w:val="center"/>
          </w:tcPr>
          <w:p>
            <w:pPr>
              <w:pStyle w:val="16"/>
            </w:pPr>
            <w:r>
              <w:t>徐字【2019】46号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12.团委综合事务管理经费（运转保障）绩效目标表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13062522P00456710103A</w:t>
            </w:r>
          </w:p>
        </w:tc>
        <w:tc>
          <w:tcPr>
            <w:tcW w:w="1587" w:type="dxa"/>
            <w:vAlign w:val="center"/>
          </w:tcPr>
          <w:p>
            <w:pPr>
              <w:pStyle w:val="15"/>
            </w:pPr>
            <w:r>
              <w:t>项目名称</w:t>
            </w:r>
          </w:p>
        </w:tc>
        <w:tc>
          <w:tcPr>
            <w:tcW w:w="4422" w:type="dxa"/>
            <w:gridSpan w:val="3"/>
            <w:vAlign w:val="center"/>
          </w:tcPr>
          <w:p>
            <w:pPr>
              <w:pStyle w:val="16"/>
            </w:pPr>
            <w:r>
              <w:t>团委综合事务管理经费（运转保障）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2.00</w:t>
            </w:r>
          </w:p>
        </w:tc>
        <w:tc>
          <w:tcPr>
            <w:tcW w:w="1587" w:type="dxa"/>
            <w:vAlign w:val="center"/>
          </w:tcPr>
          <w:p>
            <w:pPr>
              <w:pStyle w:val="15"/>
            </w:pPr>
            <w:r>
              <w:t>其中：财政    资金</w:t>
            </w:r>
          </w:p>
        </w:tc>
        <w:tc>
          <w:tcPr>
            <w:tcW w:w="1304" w:type="dxa"/>
            <w:vAlign w:val="center"/>
          </w:tcPr>
          <w:p>
            <w:pPr>
              <w:pStyle w:val="16"/>
            </w:pPr>
            <w:r>
              <w:t>2.00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此项目资金主要用于保障团委各项工作的开展，预计3月份支出25%，6月份支出50%，9月支出100%。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1.解决缺经费等问题，保障团委各项工作的开展，提高办事效率。</w:t>
            </w:r>
          </w:p>
          <w:p>
            <w:pPr>
              <w:pStyle w:val="16"/>
            </w:pPr>
            <w:r>
              <w:t>2.资金按进度支出，6月底累计支出达到50%，12月底累计支出达到100%。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组织团员活动次数</w:t>
            </w:r>
          </w:p>
        </w:tc>
        <w:tc>
          <w:tcPr>
            <w:tcW w:w="2891" w:type="dxa"/>
            <w:vAlign w:val="center"/>
          </w:tcPr>
          <w:p>
            <w:pPr>
              <w:pStyle w:val="16"/>
            </w:pPr>
            <w:r>
              <w:t>全年组织开展团员活动次数</w:t>
            </w:r>
          </w:p>
        </w:tc>
        <w:tc>
          <w:tcPr>
            <w:tcW w:w="1276" w:type="dxa"/>
            <w:vAlign w:val="center"/>
          </w:tcPr>
          <w:p>
            <w:pPr>
              <w:pStyle w:val="16"/>
            </w:pPr>
            <w:r>
              <w:t>≥4次</w:t>
            </w:r>
          </w:p>
        </w:tc>
        <w:tc>
          <w:tcPr>
            <w:tcW w:w="1843" w:type="dxa"/>
            <w:vAlign w:val="center"/>
          </w:tcPr>
          <w:p>
            <w:pPr>
              <w:pStyle w:val="16"/>
            </w:pPr>
            <w:r>
              <w:t>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团委工作考核通过率</w:t>
            </w:r>
          </w:p>
        </w:tc>
        <w:tc>
          <w:tcPr>
            <w:tcW w:w="2891" w:type="dxa"/>
            <w:vAlign w:val="center"/>
          </w:tcPr>
          <w:p>
            <w:pPr>
              <w:pStyle w:val="16"/>
            </w:pPr>
            <w:r>
              <w:t>各项团委工作是否通过考核</w:t>
            </w:r>
          </w:p>
        </w:tc>
        <w:tc>
          <w:tcPr>
            <w:tcW w:w="1276" w:type="dxa"/>
            <w:vAlign w:val="center"/>
          </w:tcPr>
          <w:p>
            <w:pPr>
              <w:pStyle w:val="16"/>
            </w:pPr>
            <w:r>
              <w:t>≥90%</w:t>
            </w:r>
          </w:p>
        </w:tc>
        <w:tc>
          <w:tcPr>
            <w:tcW w:w="1843" w:type="dxa"/>
            <w:vAlign w:val="center"/>
          </w:tcPr>
          <w:p>
            <w:pPr>
              <w:pStyle w:val="16"/>
            </w:pPr>
            <w:r>
              <w:t>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团委工作完成及时率</w:t>
            </w:r>
          </w:p>
        </w:tc>
        <w:tc>
          <w:tcPr>
            <w:tcW w:w="2891" w:type="dxa"/>
            <w:vAlign w:val="center"/>
          </w:tcPr>
          <w:p>
            <w:pPr>
              <w:pStyle w:val="16"/>
            </w:pPr>
            <w:r>
              <w:t>各项团委工作及时完成情况</w:t>
            </w:r>
          </w:p>
        </w:tc>
        <w:tc>
          <w:tcPr>
            <w:tcW w:w="1276" w:type="dxa"/>
            <w:vAlign w:val="center"/>
          </w:tcPr>
          <w:p>
            <w:pPr>
              <w:pStyle w:val="16"/>
            </w:pPr>
            <w:r>
              <w:t>≥90%</w:t>
            </w:r>
          </w:p>
        </w:tc>
        <w:tc>
          <w:tcPr>
            <w:tcW w:w="1843" w:type="dxa"/>
            <w:vAlign w:val="center"/>
          </w:tcPr>
          <w:p>
            <w:pPr>
              <w:pStyle w:val="16"/>
            </w:pPr>
            <w:r>
              <w:t>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项目支出控制在预算范围内</w:t>
            </w:r>
          </w:p>
        </w:tc>
        <w:tc>
          <w:tcPr>
            <w:tcW w:w="1276" w:type="dxa"/>
            <w:vAlign w:val="center"/>
          </w:tcPr>
          <w:p>
            <w:pPr>
              <w:pStyle w:val="16"/>
            </w:pPr>
            <w:r>
              <w:t>≤2万元</w:t>
            </w:r>
          </w:p>
        </w:tc>
        <w:tc>
          <w:tcPr>
            <w:tcW w:w="1843" w:type="dxa"/>
            <w:vAlign w:val="center"/>
          </w:tcPr>
          <w:p>
            <w:pPr>
              <w:pStyle w:val="16"/>
            </w:pPr>
            <w:r>
              <w:t>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团员入党积极性提升率</w:t>
            </w:r>
          </w:p>
        </w:tc>
        <w:tc>
          <w:tcPr>
            <w:tcW w:w="2891" w:type="dxa"/>
            <w:vAlign w:val="center"/>
          </w:tcPr>
          <w:p>
            <w:pPr>
              <w:pStyle w:val="16"/>
            </w:pPr>
            <w:r>
              <w:t>通过调查有入党意愿团员人数较上一年度的提升比例</w:t>
            </w:r>
          </w:p>
        </w:tc>
        <w:tc>
          <w:tcPr>
            <w:tcW w:w="1276" w:type="dxa"/>
            <w:vAlign w:val="center"/>
          </w:tcPr>
          <w:p>
            <w:pPr>
              <w:pStyle w:val="16"/>
            </w:pPr>
            <w:r>
              <w:t>≥10%</w:t>
            </w:r>
          </w:p>
        </w:tc>
        <w:tc>
          <w:tcPr>
            <w:tcW w:w="1843" w:type="dxa"/>
            <w:vAlign w:val="center"/>
          </w:tcPr>
          <w:p>
            <w:pPr>
              <w:pStyle w:val="16"/>
            </w:pPr>
            <w:r>
              <w:t>徐办发【2018】3号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13.退役军人公益岗人员工资绩效目标表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13062522P004566103546</w:t>
            </w:r>
          </w:p>
        </w:tc>
        <w:tc>
          <w:tcPr>
            <w:tcW w:w="1587" w:type="dxa"/>
            <w:vAlign w:val="center"/>
          </w:tcPr>
          <w:p>
            <w:pPr>
              <w:pStyle w:val="15"/>
            </w:pPr>
            <w:r>
              <w:t>项目名称</w:t>
            </w:r>
          </w:p>
        </w:tc>
        <w:tc>
          <w:tcPr>
            <w:tcW w:w="4422" w:type="dxa"/>
            <w:gridSpan w:val="3"/>
            <w:vAlign w:val="center"/>
          </w:tcPr>
          <w:p>
            <w:pPr>
              <w:pStyle w:val="16"/>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7.80</w:t>
            </w:r>
          </w:p>
        </w:tc>
        <w:tc>
          <w:tcPr>
            <w:tcW w:w="1587" w:type="dxa"/>
            <w:vAlign w:val="center"/>
          </w:tcPr>
          <w:p>
            <w:pPr>
              <w:pStyle w:val="15"/>
            </w:pPr>
            <w:r>
              <w:t>其中：财政    资金</w:t>
            </w:r>
          </w:p>
        </w:tc>
        <w:tc>
          <w:tcPr>
            <w:tcW w:w="1304" w:type="dxa"/>
            <w:vAlign w:val="center"/>
          </w:tcPr>
          <w:p>
            <w:pPr>
              <w:pStyle w:val="16"/>
            </w:pPr>
            <w:r>
              <w:t>7.80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此项目资金主要用于退役军人公益岗人员工资，预计3月份支出25%，6月份支出50%，9月份支出75%，12月份支出100%。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1.确保全区稳定，保障退役军人专岗人员更好发挥作用。</w:t>
            </w:r>
          </w:p>
          <w:p>
            <w:pPr>
              <w:pStyle w:val="16"/>
            </w:pPr>
            <w:r>
              <w:t>2.按月支出，3月份支出25%，6月份支出50%，9月份支出75%，12月份支出100%。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公益岗人数</w:t>
            </w:r>
          </w:p>
        </w:tc>
        <w:tc>
          <w:tcPr>
            <w:tcW w:w="2891" w:type="dxa"/>
            <w:vAlign w:val="center"/>
          </w:tcPr>
          <w:p>
            <w:pPr>
              <w:pStyle w:val="16"/>
            </w:pPr>
            <w:r>
              <w:t>公益岗人数</w:t>
            </w:r>
          </w:p>
        </w:tc>
        <w:tc>
          <w:tcPr>
            <w:tcW w:w="1276" w:type="dxa"/>
            <w:vAlign w:val="center"/>
          </w:tcPr>
          <w:p>
            <w:pPr>
              <w:pStyle w:val="16"/>
            </w:pPr>
            <w:r>
              <w:t>3人</w:t>
            </w:r>
          </w:p>
        </w:tc>
        <w:tc>
          <w:tcPr>
            <w:tcW w:w="1843" w:type="dxa"/>
            <w:vAlign w:val="center"/>
          </w:tcPr>
          <w:p>
            <w:pPr>
              <w:pStyle w:val="16"/>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公益岗工资发放足额率</w:t>
            </w:r>
          </w:p>
        </w:tc>
        <w:tc>
          <w:tcPr>
            <w:tcW w:w="2891" w:type="dxa"/>
            <w:vAlign w:val="center"/>
          </w:tcPr>
          <w:p>
            <w:pPr>
              <w:pStyle w:val="16"/>
            </w:pPr>
            <w:r>
              <w:t>足额发放工资人数占全部人数比例</w:t>
            </w:r>
          </w:p>
        </w:tc>
        <w:tc>
          <w:tcPr>
            <w:tcW w:w="1276" w:type="dxa"/>
            <w:vAlign w:val="center"/>
          </w:tcPr>
          <w:p>
            <w:pPr>
              <w:pStyle w:val="16"/>
            </w:pPr>
            <w:r>
              <w:t>100%</w:t>
            </w:r>
          </w:p>
        </w:tc>
        <w:tc>
          <w:tcPr>
            <w:tcW w:w="1843"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资金及时发放率</w:t>
            </w:r>
          </w:p>
        </w:tc>
        <w:tc>
          <w:tcPr>
            <w:tcW w:w="2891" w:type="dxa"/>
            <w:vAlign w:val="center"/>
          </w:tcPr>
          <w:p>
            <w:pPr>
              <w:pStyle w:val="16"/>
            </w:pPr>
            <w:r>
              <w:t>该笔资金投入后是否能够按照规定时间发放到位</w:t>
            </w:r>
          </w:p>
        </w:tc>
        <w:tc>
          <w:tcPr>
            <w:tcW w:w="1276" w:type="dxa"/>
            <w:vAlign w:val="center"/>
          </w:tcPr>
          <w:p>
            <w:pPr>
              <w:pStyle w:val="16"/>
            </w:pPr>
            <w:r>
              <w:t>≤100%</w:t>
            </w:r>
          </w:p>
        </w:tc>
        <w:tc>
          <w:tcPr>
            <w:tcW w:w="1843"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项目支出金额</w:t>
            </w:r>
          </w:p>
        </w:tc>
        <w:tc>
          <w:tcPr>
            <w:tcW w:w="2891" w:type="dxa"/>
            <w:vAlign w:val="center"/>
          </w:tcPr>
          <w:p>
            <w:pPr>
              <w:pStyle w:val="16"/>
            </w:pPr>
            <w:r>
              <w:t>在预算金额内支付</w:t>
            </w:r>
          </w:p>
        </w:tc>
        <w:tc>
          <w:tcPr>
            <w:tcW w:w="1276" w:type="dxa"/>
            <w:vAlign w:val="center"/>
          </w:tcPr>
          <w:p>
            <w:pPr>
              <w:pStyle w:val="16"/>
            </w:pPr>
            <w:r>
              <w:t>≤7.8万元</w:t>
            </w:r>
          </w:p>
        </w:tc>
        <w:tc>
          <w:tcPr>
            <w:tcW w:w="1843"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拥军优属保障率</w:t>
            </w:r>
          </w:p>
        </w:tc>
        <w:tc>
          <w:tcPr>
            <w:tcW w:w="2891" w:type="dxa"/>
            <w:vAlign w:val="center"/>
          </w:tcPr>
          <w:p>
            <w:pPr>
              <w:pStyle w:val="16"/>
            </w:pPr>
            <w:r>
              <w:t>未发生相关上访的比率</w:t>
            </w:r>
          </w:p>
        </w:tc>
        <w:tc>
          <w:tcPr>
            <w:tcW w:w="1276" w:type="dxa"/>
            <w:vAlign w:val="center"/>
          </w:tcPr>
          <w:p>
            <w:pPr>
              <w:pStyle w:val="16"/>
            </w:pPr>
            <w:r>
              <w:t>100%</w:t>
            </w:r>
          </w:p>
        </w:tc>
        <w:tc>
          <w:tcPr>
            <w:tcW w:w="1843" w:type="dxa"/>
            <w:vAlign w:val="center"/>
          </w:tcPr>
          <w:p>
            <w:pPr>
              <w:pStyle w:val="16"/>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14.乡镇武装工作经费（运转保障）绩效目标表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13062522P00456710105H</w:t>
            </w:r>
          </w:p>
        </w:tc>
        <w:tc>
          <w:tcPr>
            <w:tcW w:w="1587" w:type="dxa"/>
            <w:vAlign w:val="center"/>
          </w:tcPr>
          <w:p>
            <w:pPr>
              <w:pStyle w:val="15"/>
            </w:pPr>
            <w:r>
              <w:t>项目名称</w:t>
            </w:r>
          </w:p>
        </w:tc>
        <w:tc>
          <w:tcPr>
            <w:tcW w:w="4422" w:type="dxa"/>
            <w:gridSpan w:val="3"/>
            <w:vAlign w:val="center"/>
          </w:tcPr>
          <w:p>
            <w:pPr>
              <w:pStyle w:val="16"/>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3.00</w:t>
            </w:r>
          </w:p>
        </w:tc>
        <w:tc>
          <w:tcPr>
            <w:tcW w:w="1587" w:type="dxa"/>
            <w:vAlign w:val="center"/>
          </w:tcPr>
          <w:p>
            <w:pPr>
              <w:pStyle w:val="15"/>
            </w:pPr>
            <w:r>
              <w:t>其中：财政    资金</w:t>
            </w:r>
          </w:p>
        </w:tc>
        <w:tc>
          <w:tcPr>
            <w:tcW w:w="1304" w:type="dxa"/>
            <w:vAlign w:val="center"/>
          </w:tcPr>
          <w:p>
            <w:pPr>
              <w:pStyle w:val="16"/>
            </w:pPr>
            <w:r>
              <w:t>3.00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此项目资金主要为基层武装工作的开展提供资金保障。本资金预计6月底支出50%，9月底支出100%。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1.规范本镇武装部基础设施建设，不断提升行任务能力；保障本单位的民兵训练，征兵等工作的正常开展，圆满完成上级交给的各项工作任务。</w:t>
            </w:r>
          </w:p>
          <w:p>
            <w:pPr>
              <w:pStyle w:val="16"/>
            </w:pPr>
            <w:r>
              <w:t>2.资金按进度6月底前达到50%，12月份达到100%。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组织民兵训练次数</w:t>
            </w:r>
          </w:p>
        </w:tc>
        <w:tc>
          <w:tcPr>
            <w:tcW w:w="2891" w:type="dxa"/>
            <w:vAlign w:val="center"/>
          </w:tcPr>
          <w:p>
            <w:pPr>
              <w:pStyle w:val="16"/>
            </w:pPr>
            <w:r>
              <w:t>组织民兵训练次数</w:t>
            </w:r>
          </w:p>
        </w:tc>
        <w:tc>
          <w:tcPr>
            <w:tcW w:w="1276" w:type="dxa"/>
            <w:vAlign w:val="center"/>
          </w:tcPr>
          <w:p>
            <w:pPr>
              <w:pStyle w:val="16"/>
            </w:pPr>
            <w:r>
              <w:t>≥3次</w:t>
            </w:r>
          </w:p>
        </w:tc>
        <w:tc>
          <w:tcPr>
            <w:tcW w:w="1843" w:type="dxa"/>
            <w:vAlign w:val="center"/>
          </w:tcPr>
          <w:p>
            <w:pPr>
              <w:pStyle w:val="16"/>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民兵训练出勤率</w:t>
            </w:r>
          </w:p>
        </w:tc>
        <w:tc>
          <w:tcPr>
            <w:tcW w:w="2891" w:type="dxa"/>
            <w:vAlign w:val="center"/>
          </w:tcPr>
          <w:p>
            <w:pPr>
              <w:pStyle w:val="16"/>
            </w:pPr>
            <w:r>
              <w:t>民兵训练出勤率</w:t>
            </w:r>
          </w:p>
        </w:tc>
        <w:tc>
          <w:tcPr>
            <w:tcW w:w="1276" w:type="dxa"/>
            <w:vAlign w:val="center"/>
          </w:tcPr>
          <w:p>
            <w:pPr>
              <w:pStyle w:val="16"/>
            </w:pPr>
            <w:r>
              <w:t>≥90%</w:t>
            </w:r>
          </w:p>
        </w:tc>
        <w:tc>
          <w:tcPr>
            <w:tcW w:w="1843" w:type="dxa"/>
            <w:vAlign w:val="center"/>
          </w:tcPr>
          <w:p>
            <w:pPr>
              <w:pStyle w:val="16"/>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民兵训练工作完成及时率</w:t>
            </w:r>
          </w:p>
        </w:tc>
        <w:tc>
          <w:tcPr>
            <w:tcW w:w="2891" w:type="dxa"/>
            <w:vAlign w:val="center"/>
          </w:tcPr>
          <w:p>
            <w:pPr>
              <w:pStyle w:val="16"/>
            </w:pPr>
            <w:r>
              <w:t>民兵训练工作完成及时率</w:t>
            </w:r>
          </w:p>
        </w:tc>
        <w:tc>
          <w:tcPr>
            <w:tcW w:w="1276" w:type="dxa"/>
            <w:vAlign w:val="center"/>
          </w:tcPr>
          <w:p>
            <w:pPr>
              <w:pStyle w:val="16"/>
            </w:pPr>
            <w:r>
              <w:t>≥90%</w:t>
            </w:r>
          </w:p>
        </w:tc>
        <w:tc>
          <w:tcPr>
            <w:tcW w:w="1843" w:type="dxa"/>
            <w:vAlign w:val="center"/>
          </w:tcPr>
          <w:p>
            <w:pPr>
              <w:pStyle w:val="16"/>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项目支出控制在预算范围内</w:t>
            </w:r>
          </w:p>
        </w:tc>
        <w:tc>
          <w:tcPr>
            <w:tcW w:w="1276" w:type="dxa"/>
            <w:vAlign w:val="center"/>
          </w:tcPr>
          <w:p>
            <w:pPr>
              <w:pStyle w:val="16"/>
            </w:pPr>
            <w:r>
              <w:t>3万元</w:t>
            </w:r>
          </w:p>
        </w:tc>
        <w:tc>
          <w:tcPr>
            <w:tcW w:w="1843" w:type="dxa"/>
            <w:vAlign w:val="center"/>
          </w:tcPr>
          <w:p>
            <w:pPr>
              <w:pStyle w:val="16"/>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基层民兵能力提升比率</w:t>
            </w:r>
          </w:p>
        </w:tc>
        <w:tc>
          <w:tcPr>
            <w:tcW w:w="2891" w:type="dxa"/>
            <w:vAlign w:val="center"/>
          </w:tcPr>
          <w:p>
            <w:pPr>
              <w:pStyle w:val="16"/>
            </w:pPr>
            <w:r>
              <w:t>通过调研，基层民兵应急能力、装备保障能力等有所提升人数所占比重</w:t>
            </w:r>
          </w:p>
        </w:tc>
        <w:tc>
          <w:tcPr>
            <w:tcW w:w="1276" w:type="dxa"/>
            <w:vAlign w:val="center"/>
          </w:tcPr>
          <w:p>
            <w:pPr>
              <w:pStyle w:val="16"/>
            </w:pPr>
            <w:r>
              <w:t>≥90%</w:t>
            </w:r>
          </w:p>
        </w:tc>
        <w:tc>
          <w:tcPr>
            <w:tcW w:w="1843" w:type="dxa"/>
            <w:vAlign w:val="center"/>
          </w:tcPr>
          <w:p>
            <w:pPr>
              <w:pStyle w:val="16"/>
            </w:pPr>
            <w:r>
              <w:t>徐办字【2018】36号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15.徐水烈士陵园景观路土地流转资金绩效目标表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13062522P00456610060P</w:t>
            </w:r>
          </w:p>
        </w:tc>
        <w:tc>
          <w:tcPr>
            <w:tcW w:w="1587" w:type="dxa"/>
            <w:vAlign w:val="center"/>
          </w:tcPr>
          <w:p>
            <w:pPr>
              <w:pStyle w:val="15"/>
            </w:pPr>
            <w:r>
              <w:t>项目名称</w:t>
            </w:r>
          </w:p>
        </w:tc>
        <w:tc>
          <w:tcPr>
            <w:tcW w:w="4422" w:type="dxa"/>
            <w:gridSpan w:val="3"/>
            <w:vAlign w:val="center"/>
          </w:tcPr>
          <w:p>
            <w:pPr>
              <w:pStyle w:val="16"/>
            </w:pPr>
            <w:r>
              <w:t>徐水烈士陵园景观路土地流转资金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10.40</w:t>
            </w:r>
          </w:p>
        </w:tc>
        <w:tc>
          <w:tcPr>
            <w:tcW w:w="1587" w:type="dxa"/>
            <w:vAlign w:val="center"/>
          </w:tcPr>
          <w:p>
            <w:pPr>
              <w:pStyle w:val="15"/>
            </w:pPr>
            <w:r>
              <w:t>其中：财政    资金</w:t>
            </w:r>
          </w:p>
        </w:tc>
        <w:tc>
          <w:tcPr>
            <w:tcW w:w="1304" w:type="dxa"/>
            <w:vAlign w:val="center"/>
          </w:tcPr>
          <w:p>
            <w:pPr>
              <w:pStyle w:val="16"/>
            </w:pPr>
            <w:r>
              <w:t>10.40</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用于支付徐水烈士陵园景观路两侧租用土地的租金,补偿被占地农民的相关费用，本资金于6月份支付100%。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8"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1.及时支付徐水烈士陵园景观路两侧租用土地的租金,补偿被占地农民的相关费用。维护占地农民的根本利益，保障占地农民的基本生活，解除后顾之忧</w:t>
            </w:r>
          </w:p>
          <w:p>
            <w:pPr>
              <w:pStyle w:val="16"/>
            </w:pPr>
          </w:p>
          <w:p>
            <w:pPr>
              <w:pStyle w:val="16"/>
            </w:pPr>
          </w:p>
          <w:p>
            <w:pPr>
              <w:pStyle w:val="16"/>
            </w:pPr>
            <w:r>
              <w:t>2.保证陵园景观路畅通。</w:t>
            </w:r>
          </w:p>
          <w:p>
            <w:pPr>
              <w:pStyle w:val="16"/>
            </w:pPr>
            <w:r>
              <w:t>3.资金按进度支出，6月底累计支出达到100%，</w:t>
            </w:r>
            <w:r>
              <w:tab/>
            </w:r>
            <w:r>
              <w:tab/>
            </w:r>
            <w:r>
              <w:tab/>
            </w:r>
            <w:r>
              <w:tab/>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补偿到位的村数</w:t>
            </w:r>
          </w:p>
        </w:tc>
        <w:tc>
          <w:tcPr>
            <w:tcW w:w="2891" w:type="dxa"/>
            <w:vAlign w:val="center"/>
          </w:tcPr>
          <w:p>
            <w:pPr>
              <w:pStyle w:val="16"/>
            </w:pPr>
            <w:r>
              <w:t>补偿到位的村个数</w:t>
            </w:r>
          </w:p>
        </w:tc>
        <w:tc>
          <w:tcPr>
            <w:tcW w:w="1276" w:type="dxa"/>
            <w:vAlign w:val="center"/>
          </w:tcPr>
          <w:p>
            <w:pPr>
              <w:pStyle w:val="16"/>
            </w:pPr>
            <w:r>
              <w:t>≥2个</w:t>
            </w:r>
          </w:p>
        </w:tc>
        <w:tc>
          <w:tcPr>
            <w:tcW w:w="1843" w:type="dxa"/>
            <w:vAlign w:val="center"/>
          </w:tcPr>
          <w:p>
            <w:pPr>
              <w:pStyle w:val="16"/>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补偿覆盖率</w:t>
            </w:r>
          </w:p>
        </w:tc>
        <w:tc>
          <w:tcPr>
            <w:tcW w:w="2891" w:type="dxa"/>
            <w:vAlign w:val="center"/>
          </w:tcPr>
          <w:p>
            <w:pPr>
              <w:pStyle w:val="16"/>
            </w:pPr>
            <w:r>
              <w:t>是否占地户全部得到补偿</w:t>
            </w:r>
          </w:p>
        </w:tc>
        <w:tc>
          <w:tcPr>
            <w:tcW w:w="1276" w:type="dxa"/>
            <w:vAlign w:val="center"/>
          </w:tcPr>
          <w:p>
            <w:pPr>
              <w:pStyle w:val="16"/>
            </w:pPr>
            <w:r>
              <w:t>≥100%</w:t>
            </w:r>
          </w:p>
        </w:tc>
        <w:tc>
          <w:tcPr>
            <w:tcW w:w="1843" w:type="dxa"/>
            <w:vAlign w:val="center"/>
          </w:tcPr>
          <w:p>
            <w:pPr>
              <w:pStyle w:val="16"/>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资金及时拨付率</w:t>
            </w:r>
          </w:p>
        </w:tc>
        <w:tc>
          <w:tcPr>
            <w:tcW w:w="2891" w:type="dxa"/>
            <w:vAlign w:val="center"/>
          </w:tcPr>
          <w:p>
            <w:pPr>
              <w:pStyle w:val="16"/>
            </w:pPr>
            <w:r>
              <w:t>该笔资金投入后是否能够按照规定金额发放落实到位</w:t>
            </w:r>
          </w:p>
        </w:tc>
        <w:tc>
          <w:tcPr>
            <w:tcW w:w="1276" w:type="dxa"/>
            <w:vAlign w:val="center"/>
          </w:tcPr>
          <w:p>
            <w:pPr>
              <w:pStyle w:val="16"/>
            </w:pPr>
            <w:r>
              <w:t>≥90%</w:t>
            </w:r>
          </w:p>
        </w:tc>
        <w:tc>
          <w:tcPr>
            <w:tcW w:w="1843" w:type="dxa"/>
            <w:vAlign w:val="center"/>
          </w:tcPr>
          <w:p>
            <w:pPr>
              <w:pStyle w:val="16"/>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项目预算控制数</w:t>
            </w:r>
          </w:p>
        </w:tc>
        <w:tc>
          <w:tcPr>
            <w:tcW w:w="2891" w:type="dxa"/>
            <w:vAlign w:val="center"/>
          </w:tcPr>
          <w:p>
            <w:pPr>
              <w:pStyle w:val="16"/>
            </w:pPr>
            <w:r>
              <w:t>项目预算控制数</w:t>
            </w:r>
          </w:p>
        </w:tc>
        <w:tc>
          <w:tcPr>
            <w:tcW w:w="1276" w:type="dxa"/>
            <w:vAlign w:val="center"/>
          </w:tcPr>
          <w:p>
            <w:pPr>
              <w:pStyle w:val="16"/>
            </w:pPr>
            <w:r>
              <w:t>10.4万元</w:t>
            </w:r>
          </w:p>
        </w:tc>
        <w:tc>
          <w:tcPr>
            <w:tcW w:w="1843" w:type="dxa"/>
            <w:vAlign w:val="center"/>
          </w:tcPr>
          <w:p>
            <w:pPr>
              <w:pStyle w:val="16"/>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占地农民投诉次数</w:t>
            </w:r>
          </w:p>
        </w:tc>
        <w:tc>
          <w:tcPr>
            <w:tcW w:w="2891" w:type="dxa"/>
            <w:vAlign w:val="center"/>
          </w:tcPr>
          <w:p>
            <w:pPr>
              <w:pStyle w:val="16"/>
            </w:pPr>
            <w:r>
              <w:t>占地农民投诉次数</w:t>
            </w:r>
          </w:p>
        </w:tc>
        <w:tc>
          <w:tcPr>
            <w:tcW w:w="1276" w:type="dxa"/>
            <w:vAlign w:val="center"/>
          </w:tcPr>
          <w:p>
            <w:pPr>
              <w:pStyle w:val="16"/>
            </w:pPr>
            <w:r>
              <w:t>≤1次</w:t>
            </w:r>
          </w:p>
        </w:tc>
        <w:tc>
          <w:tcPr>
            <w:tcW w:w="1843" w:type="dxa"/>
            <w:vAlign w:val="center"/>
          </w:tcPr>
          <w:p>
            <w:pPr>
              <w:pStyle w:val="16"/>
            </w:pPr>
            <w:r>
              <w:t>相关协议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16.选任专职人民调解员经费绩效目标表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911001保定市徐水区东釜山乡人民政府本级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6"/>
            </w:pPr>
            <w:r>
              <w:t>13062522P00456610402W</w:t>
            </w:r>
          </w:p>
        </w:tc>
        <w:tc>
          <w:tcPr>
            <w:tcW w:w="1587" w:type="dxa"/>
            <w:vAlign w:val="center"/>
          </w:tcPr>
          <w:p>
            <w:pPr>
              <w:pStyle w:val="15"/>
            </w:pPr>
            <w:r>
              <w:t>项目名称</w:t>
            </w:r>
          </w:p>
        </w:tc>
        <w:tc>
          <w:tcPr>
            <w:tcW w:w="4422" w:type="dxa"/>
            <w:gridSpan w:val="3"/>
            <w:vAlign w:val="center"/>
          </w:tcPr>
          <w:p>
            <w:pPr>
              <w:pStyle w:val="16"/>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6"/>
            </w:pPr>
            <w:r>
              <w:t>4.86</w:t>
            </w:r>
          </w:p>
        </w:tc>
        <w:tc>
          <w:tcPr>
            <w:tcW w:w="1587" w:type="dxa"/>
            <w:vAlign w:val="center"/>
          </w:tcPr>
          <w:p>
            <w:pPr>
              <w:pStyle w:val="15"/>
            </w:pPr>
            <w:r>
              <w:t>其中：财政    资金</w:t>
            </w:r>
          </w:p>
        </w:tc>
        <w:tc>
          <w:tcPr>
            <w:tcW w:w="1304" w:type="dxa"/>
            <w:vAlign w:val="center"/>
          </w:tcPr>
          <w:p>
            <w:pPr>
              <w:pStyle w:val="16"/>
            </w:pPr>
            <w:r>
              <w:t>4.86</w:t>
            </w:r>
          </w:p>
        </w:tc>
        <w:tc>
          <w:tcPr>
            <w:tcW w:w="1276" w:type="dxa"/>
            <w:vAlign w:val="center"/>
          </w:tcPr>
          <w:p>
            <w:pPr>
              <w:pStyle w:val="15"/>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本项目资金用于专职调解员工资发放和意外保险购置。该资金预计6月份达到50%，12月底达到100%.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6"/>
            </w:pPr>
            <w:r>
              <w:t>1. 通过选任专职人民调解员，做好人民调解工作，更好、更快调解诉前案件和信访案件</w:t>
            </w:r>
          </w:p>
          <w:p>
            <w:pPr>
              <w:pStyle w:val="16"/>
            </w:pPr>
            <w:r>
              <w:t>2.完成当年专职人民调解员选任工作</w:t>
            </w:r>
          </w:p>
          <w:p>
            <w:pPr>
              <w:pStyle w:val="16"/>
            </w:pPr>
            <w:r>
              <w:t>3.预计于5月份前支出45%，11月底前支出100%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选任人数</w:t>
            </w:r>
          </w:p>
        </w:tc>
        <w:tc>
          <w:tcPr>
            <w:tcW w:w="2891" w:type="dxa"/>
            <w:vAlign w:val="center"/>
          </w:tcPr>
          <w:p>
            <w:pPr>
              <w:pStyle w:val="16"/>
            </w:pPr>
            <w:r>
              <w:t>反映专职人民调解员选任人数情况</w:t>
            </w:r>
          </w:p>
        </w:tc>
        <w:tc>
          <w:tcPr>
            <w:tcW w:w="1276" w:type="dxa"/>
            <w:vAlign w:val="center"/>
          </w:tcPr>
          <w:p>
            <w:pPr>
              <w:pStyle w:val="16"/>
            </w:pPr>
            <w:r>
              <w:t>2人</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调解员条件符合率</w:t>
            </w:r>
          </w:p>
        </w:tc>
        <w:tc>
          <w:tcPr>
            <w:tcW w:w="2891" w:type="dxa"/>
            <w:vAlign w:val="center"/>
          </w:tcPr>
          <w:p>
            <w:pPr>
              <w:pStyle w:val="16"/>
            </w:pPr>
            <w:r>
              <w:t>反映选任的专职人民调解员条件是否符合要求</w:t>
            </w:r>
          </w:p>
        </w:tc>
        <w:tc>
          <w:tcPr>
            <w:tcW w:w="1276" w:type="dxa"/>
            <w:vAlign w:val="center"/>
          </w:tcPr>
          <w:p>
            <w:pPr>
              <w:pStyle w:val="16"/>
            </w:pPr>
            <w:r>
              <w:t>100%</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选任及时率</w:t>
            </w:r>
          </w:p>
        </w:tc>
        <w:tc>
          <w:tcPr>
            <w:tcW w:w="2891" w:type="dxa"/>
            <w:vAlign w:val="center"/>
          </w:tcPr>
          <w:p>
            <w:pPr>
              <w:pStyle w:val="16"/>
            </w:pPr>
            <w:r>
              <w:t>反映专职人民调解员选任的及时程度</w:t>
            </w:r>
          </w:p>
        </w:tc>
        <w:tc>
          <w:tcPr>
            <w:tcW w:w="1276" w:type="dxa"/>
            <w:vAlign w:val="center"/>
          </w:tcPr>
          <w:p>
            <w:pPr>
              <w:pStyle w:val="16"/>
            </w:pPr>
            <w:r>
              <w:t>100%</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选任专职人民调解员成本</w:t>
            </w:r>
          </w:p>
        </w:tc>
        <w:tc>
          <w:tcPr>
            <w:tcW w:w="2891" w:type="dxa"/>
            <w:vAlign w:val="center"/>
          </w:tcPr>
          <w:p>
            <w:pPr>
              <w:pStyle w:val="16"/>
            </w:pPr>
            <w:r>
              <w:t>反映项目支出金额不高于预算金额</w:t>
            </w:r>
          </w:p>
        </w:tc>
        <w:tc>
          <w:tcPr>
            <w:tcW w:w="1276" w:type="dxa"/>
            <w:vAlign w:val="center"/>
          </w:tcPr>
          <w:p>
            <w:pPr>
              <w:pStyle w:val="16"/>
            </w:pPr>
            <w:r>
              <w:t>≤4.86万元</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6"/>
            </w:pPr>
            <w:r>
              <w:t>社会效益指标</w:t>
            </w:r>
          </w:p>
        </w:tc>
        <w:tc>
          <w:tcPr>
            <w:tcW w:w="1332" w:type="dxa"/>
            <w:vAlign w:val="center"/>
          </w:tcPr>
          <w:p>
            <w:pPr>
              <w:pStyle w:val="16"/>
            </w:pPr>
            <w:r>
              <w:t>调解案件成功率</w:t>
            </w:r>
          </w:p>
        </w:tc>
        <w:tc>
          <w:tcPr>
            <w:tcW w:w="2891" w:type="dxa"/>
            <w:vAlign w:val="center"/>
          </w:tcPr>
          <w:p>
            <w:pPr>
              <w:pStyle w:val="16"/>
            </w:pPr>
            <w:r>
              <w:t>调解成功案件数量占受理案件数量的比率</w:t>
            </w:r>
          </w:p>
        </w:tc>
        <w:tc>
          <w:tcPr>
            <w:tcW w:w="1276" w:type="dxa"/>
            <w:vAlign w:val="center"/>
          </w:tcPr>
          <w:p>
            <w:pPr>
              <w:pStyle w:val="16"/>
            </w:pPr>
            <w:r>
              <w:t>≥95%</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群众满意度</w:t>
            </w:r>
          </w:p>
        </w:tc>
        <w:tc>
          <w:tcPr>
            <w:tcW w:w="2891" w:type="dxa"/>
            <w:vAlign w:val="center"/>
          </w:tcPr>
          <w:p>
            <w:pPr>
              <w:pStyle w:val="16"/>
            </w:pPr>
            <w:r>
              <w:t>反映群众对专职人员工作的满意程度</w:t>
            </w:r>
          </w:p>
        </w:tc>
        <w:tc>
          <w:tcPr>
            <w:tcW w:w="1276" w:type="dxa"/>
            <w:vAlign w:val="center"/>
          </w:tcPr>
          <w:p>
            <w:pPr>
              <w:pStyle w:val="16"/>
            </w:pPr>
            <w:r>
              <w:t>≥85%</w:t>
            </w:r>
          </w:p>
        </w:tc>
        <w:tc>
          <w:tcPr>
            <w:tcW w:w="1843" w:type="dxa"/>
            <w:vAlign w:val="center"/>
          </w:tcPr>
          <w:p>
            <w:pPr>
              <w:pStyle w:val="16"/>
            </w:pPr>
            <w:r>
              <w:t>计划要求</w:t>
            </w:r>
          </w:p>
        </w:tc>
      </w:tr>
    </w:tbl>
    <w:p/>
    <w:p>
      <w:pPr>
        <w:jc w:val="center"/>
        <w:outlineLvl w:val="0"/>
        <w:rPr>
          <w:rFonts w:ascii="方正书宋_GBK" w:eastAsia="方正书宋_GBK"/>
        </w:r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pPr>
        <w:spacing w:line="360" w:lineRule="auto"/>
        <w:rPr>
          <w:rFonts w:hint="eastAsia" w:ascii="仿宋" w:hAnsi="仿宋" w:eastAsia="仿宋"/>
          <w:sz w:val="32"/>
          <w:szCs w:val="32"/>
        </w:rPr>
      </w:pPr>
    </w:p>
    <w:p>
      <w:pPr>
        <w:jc w:val="center"/>
        <w:outlineLvl w:val="1"/>
        <w:rPr>
          <w:rFonts w:ascii="Times New Roman" w:hAnsi="宋体" w:eastAsia="宋体"/>
          <w:sz w:val="32"/>
        </w:rPr>
      </w:pPr>
      <w:bookmarkStart w:id="19" w:name="_Toc69809617"/>
      <w:r>
        <w:rPr>
          <w:rFonts w:ascii="方正小标宋_GBK" w:eastAsia="方正小标宋_GBK"/>
          <w:sz w:val="32"/>
        </w:rPr>
        <w:t>部门政府采购预算</w:t>
      </w:r>
      <w:bookmarkEnd w:id="19"/>
    </w:p>
    <w:tbl>
      <w:tblPr>
        <w:tblStyle w:val="5"/>
        <w:tblW w:w="99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4"/>
        <w:gridCol w:w="456"/>
        <w:gridCol w:w="812"/>
        <w:gridCol w:w="993"/>
        <w:gridCol w:w="850"/>
        <w:gridCol w:w="709"/>
        <w:gridCol w:w="850"/>
        <w:gridCol w:w="709"/>
        <w:gridCol w:w="851"/>
        <w:gridCol w:w="850"/>
        <w:gridCol w:w="851"/>
        <w:gridCol w:w="708"/>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4" w:hRule="atLeast"/>
          <w:tblHeader/>
          <w:jc w:val="center"/>
        </w:trPr>
        <w:tc>
          <w:tcPr>
            <w:tcW w:w="5244"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微软雅黑" w:hAnsi="微软雅黑" w:eastAsia="微软雅黑" w:cs="微软雅黑"/>
                <w:sz w:val="24"/>
              </w:rPr>
              <w:t>保定市徐水区东釜山人民政府</w:t>
            </w:r>
          </w:p>
        </w:tc>
        <w:tc>
          <w:tcPr>
            <w:tcW w:w="4678"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3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812"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993"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678"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7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56"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812" w:type="dxa"/>
            <w:vMerge w:val="continue"/>
            <w:shd w:val="clear" w:color="auto" w:fill="auto"/>
            <w:vAlign w:val="center"/>
          </w:tcPr>
          <w:p>
            <w:pPr>
              <w:spacing w:line="300" w:lineRule="exact"/>
              <w:jc w:val="left"/>
              <w:outlineLvl w:val="1"/>
              <w:rPr>
                <w:rFonts w:ascii="Times New Roman" w:eastAsia="方正仿宋_GBK"/>
                <w:sz w:val="28"/>
              </w:rPr>
            </w:pPr>
          </w:p>
        </w:tc>
        <w:tc>
          <w:tcPr>
            <w:tcW w:w="993"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08"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456"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0</w:t>
            </w:r>
          </w:p>
        </w:tc>
        <w:tc>
          <w:tcPr>
            <w:tcW w:w="812" w:type="dxa"/>
            <w:shd w:val="clear" w:color="auto" w:fill="auto"/>
            <w:vAlign w:val="center"/>
          </w:tcPr>
          <w:p>
            <w:pPr>
              <w:spacing w:line="300" w:lineRule="exact"/>
              <w:jc w:val="left"/>
              <w:rPr>
                <w:rFonts w:ascii="方正书宋_GBK" w:eastAsia="方正书宋_GBK"/>
                <w:b/>
              </w:rPr>
            </w:pPr>
          </w:p>
        </w:tc>
        <w:tc>
          <w:tcPr>
            <w:tcW w:w="993" w:type="dxa"/>
            <w:shd w:val="clear" w:color="auto" w:fill="auto"/>
            <w:vAlign w:val="center"/>
          </w:tcPr>
          <w:p>
            <w:pPr>
              <w:spacing w:line="300" w:lineRule="exact"/>
              <w:jc w:val="left"/>
              <w:rPr>
                <w:rFonts w:ascii="方正书宋_GBK" w:eastAsia="方正书宋_GBK"/>
                <w:b/>
              </w:rPr>
            </w:pPr>
          </w:p>
        </w:tc>
        <w:tc>
          <w:tcPr>
            <w:tcW w:w="850" w:type="dxa"/>
            <w:shd w:val="clear" w:color="auto" w:fill="auto"/>
            <w:vAlign w:val="center"/>
          </w:tcPr>
          <w:p>
            <w:pPr>
              <w:spacing w:line="300" w:lineRule="exact"/>
              <w:jc w:val="center"/>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708"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b/>
              </w:rPr>
            </w:pPr>
          </w:p>
        </w:tc>
        <w:tc>
          <w:tcPr>
            <w:tcW w:w="456"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0</w:t>
            </w:r>
          </w:p>
        </w:tc>
        <w:tc>
          <w:tcPr>
            <w:tcW w:w="812" w:type="dxa"/>
            <w:shd w:val="clear" w:color="auto" w:fill="auto"/>
            <w:vAlign w:val="center"/>
          </w:tcPr>
          <w:p>
            <w:pPr>
              <w:spacing w:line="300" w:lineRule="exact"/>
              <w:jc w:val="left"/>
              <w:rPr>
                <w:rFonts w:ascii="方正书宋_GBK" w:eastAsia="方正书宋_GBK"/>
                <w:b/>
              </w:rPr>
            </w:pPr>
          </w:p>
        </w:tc>
        <w:tc>
          <w:tcPr>
            <w:tcW w:w="993" w:type="dxa"/>
            <w:shd w:val="clear" w:color="auto" w:fill="auto"/>
            <w:vAlign w:val="center"/>
          </w:tcPr>
          <w:p>
            <w:pPr>
              <w:spacing w:line="300" w:lineRule="exact"/>
              <w:jc w:val="left"/>
              <w:rPr>
                <w:rFonts w:ascii="方正书宋_GBK" w:eastAsia="方正书宋_GBK"/>
                <w:b/>
              </w:rPr>
            </w:pPr>
          </w:p>
        </w:tc>
        <w:tc>
          <w:tcPr>
            <w:tcW w:w="850" w:type="dxa"/>
            <w:shd w:val="clear" w:color="auto" w:fill="auto"/>
            <w:vAlign w:val="center"/>
          </w:tcPr>
          <w:p>
            <w:pPr>
              <w:spacing w:line="300" w:lineRule="exact"/>
              <w:jc w:val="center"/>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708"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rPr>
            </w:pPr>
          </w:p>
        </w:tc>
        <w:tc>
          <w:tcPr>
            <w:tcW w:w="456"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p>
        </w:tc>
        <w:tc>
          <w:tcPr>
            <w:tcW w:w="812" w:type="dxa"/>
            <w:shd w:val="clear" w:color="auto" w:fill="auto"/>
            <w:vAlign w:val="center"/>
          </w:tcPr>
          <w:p>
            <w:pPr>
              <w:spacing w:line="300" w:lineRule="exact"/>
              <w:jc w:val="left"/>
              <w:rPr>
                <w:rFonts w:ascii="方正书宋_GBK" w:eastAsia="方正书宋_GBK"/>
              </w:rPr>
            </w:pPr>
          </w:p>
        </w:tc>
        <w:tc>
          <w:tcPr>
            <w:tcW w:w="993" w:type="dxa"/>
            <w:shd w:val="clear" w:color="auto" w:fill="auto"/>
            <w:vAlign w:val="center"/>
          </w:tcPr>
          <w:p>
            <w:pPr>
              <w:spacing w:line="300" w:lineRule="exact"/>
              <w:jc w:val="left"/>
              <w:rPr>
                <w:rFonts w:ascii="方正书宋_GBK" w:eastAsia="方正书宋_GBK"/>
              </w:rPr>
            </w:pPr>
          </w:p>
        </w:tc>
        <w:tc>
          <w:tcPr>
            <w:tcW w:w="850" w:type="dxa"/>
            <w:shd w:val="clear" w:color="auto" w:fill="auto"/>
            <w:vAlign w:val="center"/>
          </w:tcPr>
          <w:p>
            <w:pPr>
              <w:spacing w:line="300" w:lineRule="exact"/>
              <w:jc w:val="center"/>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708"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rPr>
            </w:pPr>
          </w:p>
        </w:tc>
        <w:tc>
          <w:tcPr>
            <w:tcW w:w="456"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p>
        </w:tc>
        <w:tc>
          <w:tcPr>
            <w:tcW w:w="812" w:type="dxa"/>
            <w:shd w:val="clear" w:color="auto" w:fill="auto"/>
            <w:vAlign w:val="center"/>
          </w:tcPr>
          <w:p>
            <w:pPr>
              <w:spacing w:line="300" w:lineRule="exact"/>
              <w:jc w:val="left"/>
              <w:rPr>
                <w:rFonts w:ascii="方正书宋_GBK"/>
              </w:rPr>
            </w:pPr>
          </w:p>
        </w:tc>
        <w:tc>
          <w:tcPr>
            <w:tcW w:w="993" w:type="dxa"/>
            <w:shd w:val="clear" w:color="auto" w:fill="auto"/>
            <w:vAlign w:val="center"/>
          </w:tcPr>
          <w:p>
            <w:pPr>
              <w:spacing w:line="300" w:lineRule="exact"/>
              <w:jc w:val="left"/>
              <w:rPr>
                <w:rFonts w:ascii="方正书宋_GBK" w:eastAsia="方正书宋_GBK"/>
              </w:rPr>
            </w:pPr>
          </w:p>
        </w:tc>
        <w:tc>
          <w:tcPr>
            <w:tcW w:w="850" w:type="dxa"/>
            <w:shd w:val="clear" w:color="auto" w:fill="auto"/>
            <w:vAlign w:val="center"/>
          </w:tcPr>
          <w:p>
            <w:pPr>
              <w:spacing w:line="300" w:lineRule="exact"/>
              <w:jc w:val="center"/>
              <w:rPr>
                <w:rFonts w:ascii="方正书宋_GBK"/>
              </w:rPr>
            </w:pPr>
          </w:p>
        </w:tc>
        <w:tc>
          <w:tcPr>
            <w:tcW w:w="709"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708"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bl>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default" w:ascii="仿宋" w:hAnsi="仿宋" w:eastAsia="仿宋"/>
          <w:sz w:val="32"/>
          <w:szCs w:val="32"/>
          <w:lang w:val="en-US"/>
        </w:rPr>
        <w:t>287.1</w:t>
      </w:r>
      <w:r>
        <w:rPr>
          <w:rFonts w:hint="eastAsia" w:ascii="仿宋" w:hAnsi="仿宋" w:eastAsia="仿宋"/>
          <w:sz w:val="32"/>
          <w:szCs w:val="32"/>
        </w:rPr>
        <w:t>万元（详见下表）。</w:t>
      </w:r>
      <w:r>
        <w:rPr>
          <w:rFonts w:ascii="仿宋" w:hAnsi="仿宋" w:eastAsia="仿宋"/>
          <w:sz w:val="32"/>
          <w:szCs w:val="32"/>
        </w:rPr>
        <w:t xml:space="preserve"> 本年度拟购置固定资产总额为</w:t>
      </w:r>
      <w:r>
        <w:rPr>
          <w:rFonts w:hint="default" w:ascii="仿宋" w:hAnsi="仿宋" w:eastAsia="仿宋"/>
          <w:sz w:val="32"/>
          <w:szCs w:val="32"/>
          <w:lang w:val="en-US"/>
        </w:rPr>
        <w:t>0</w:t>
      </w:r>
      <w:r>
        <w:rPr>
          <w:rFonts w:ascii="仿宋" w:hAnsi="仿宋" w:eastAsia="仿宋"/>
          <w:sz w:val="32"/>
          <w:szCs w:val="32"/>
        </w:rPr>
        <w:t>万元，已列入政府采购预算，详见政府采购预算表。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287.10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1419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68.5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1258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47.5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7</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45.67</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172.93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D8441"/>
    <w:multiLevelType w:val="singleLevel"/>
    <w:tmpl w:val="FE9D84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1185D4C"/>
    <w:rsid w:val="08FD20B0"/>
    <w:rsid w:val="0A214432"/>
    <w:rsid w:val="0DF441B8"/>
    <w:rsid w:val="150C4DB1"/>
    <w:rsid w:val="17297239"/>
    <w:rsid w:val="23821D18"/>
    <w:rsid w:val="24DA5E15"/>
    <w:rsid w:val="26EB40C6"/>
    <w:rsid w:val="27733670"/>
    <w:rsid w:val="37DB17F4"/>
    <w:rsid w:val="3CD24215"/>
    <w:rsid w:val="433F3085"/>
    <w:rsid w:val="44C95525"/>
    <w:rsid w:val="50124404"/>
    <w:rsid w:val="53E2121E"/>
    <w:rsid w:val="55CA44BE"/>
    <w:rsid w:val="59173E94"/>
    <w:rsid w:val="5AFC1EC7"/>
    <w:rsid w:val="5E943CBD"/>
    <w:rsid w:val="6B81029C"/>
    <w:rsid w:val="6D4113C9"/>
    <w:rsid w:val="77541F88"/>
    <w:rsid w:val="7998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274</Words>
  <Characters>1562</Characters>
  <Lines>13</Lines>
  <Paragraphs>3</Paragraphs>
  <TotalTime>2</TotalTime>
  <ScaleCrop>false</ScaleCrop>
  <LinksUpToDate>false</LinksUpToDate>
  <CharactersWithSpaces>1833</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FuShanOffice1</cp:lastModifiedBy>
  <cp:lastPrinted>2021-04-14T02:06:00Z</cp:lastPrinted>
  <dcterms:modified xsi:type="dcterms:W3CDTF">2025-05-12T02:29:35Z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E4CA7FD4B27E488192B0AD4D70741568</vt:lpwstr>
  </property>
</Properties>
</file>