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BB353">
      <w:pPr>
        <w:spacing w:line="360" w:lineRule="auto"/>
        <w:jc w:val="center"/>
        <w:rPr>
          <w:rFonts w:ascii="宋体" w:hAnsi="宋体" w:eastAsia="宋体"/>
          <w:b/>
          <w:sz w:val="44"/>
          <w:szCs w:val="44"/>
        </w:rPr>
      </w:pPr>
      <w:r>
        <w:rPr>
          <w:rFonts w:hint="eastAsia" w:ascii="宋体" w:hAnsi="宋体" w:eastAsia="宋体"/>
          <w:b/>
          <w:sz w:val="44"/>
          <w:szCs w:val="44"/>
        </w:rPr>
        <w:t>保定市徐水区城市管理综合执法局</w:t>
      </w:r>
    </w:p>
    <w:p w14:paraId="293D15E7">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14:paraId="612746B2">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14:paraId="2B1F850A">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14:paraId="4510B7CC">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14:paraId="066DC672">
      <w:pPr>
        <w:spacing w:line="500" w:lineRule="exact"/>
        <w:ind w:firstLine="640" w:firstLineChars="200"/>
        <w:rPr>
          <w:rFonts w:ascii="仿宋_GB2312" w:eastAsia="仿宋_GB2312"/>
          <w:bCs/>
          <w:sz w:val="32"/>
          <w:szCs w:val="32"/>
        </w:rPr>
      </w:pPr>
      <w:r>
        <w:rPr>
          <w:rFonts w:hint="eastAsia" w:ascii="仿宋_GB2312" w:eastAsia="仿宋_GB2312"/>
          <w:sz w:val="32"/>
          <w:szCs w:val="32"/>
        </w:rPr>
        <w:t>根据中共河北省委、河北省人民政府《关于推进城市执法体制改革改进城市管理工作实施意见》（冀发〔2016〕23号）和保定市委</w:t>
      </w:r>
      <w:r>
        <w:rPr>
          <w:rFonts w:hint="eastAsia" w:ascii="仿宋_GB2312" w:eastAsia="仿宋_GB2312"/>
          <w:sz w:val="32"/>
          <w:szCs w:val="32"/>
          <w:lang w:val="en-US" w:eastAsia="zh-CN"/>
        </w:rPr>
        <w:t>编</w:t>
      </w:r>
      <w:r>
        <w:rPr>
          <w:rFonts w:hint="eastAsia" w:ascii="仿宋_GB2312" w:eastAsia="仿宋_GB2312"/>
          <w:sz w:val="32"/>
          <w:szCs w:val="32"/>
        </w:rPr>
        <w:t>办《关于调整保定市徐水区城市管理执法机构的批复》（保编办[2017]279号）</w:t>
      </w:r>
      <w:r>
        <w:rPr>
          <w:rFonts w:hint="eastAsia" w:ascii="仿宋_GB2312" w:hAnsi="仿宋" w:eastAsia="仿宋_GB2312"/>
          <w:sz w:val="32"/>
          <w:szCs w:val="32"/>
        </w:rPr>
        <w:t>精神，</w:t>
      </w:r>
      <w:r>
        <w:rPr>
          <w:rFonts w:hint="eastAsia" w:ascii="仿宋_GB2312" w:eastAsia="仿宋_GB2312"/>
          <w:bCs/>
          <w:sz w:val="32"/>
          <w:szCs w:val="32"/>
        </w:rPr>
        <w:t>区城市管理行政执法局更名为区城市管理综合执法局，为政府直属事业单位，</w:t>
      </w:r>
      <w:r>
        <w:rPr>
          <w:rFonts w:hint="eastAsia" w:ascii="仿宋_GB2312" w:eastAsia="仿宋_GB2312"/>
          <w:sz w:val="32"/>
          <w:szCs w:val="32"/>
        </w:rPr>
        <w:t>加挂区园林绿化管理局牌子。</w:t>
      </w:r>
      <w:r>
        <w:rPr>
          <w:rFonts w:hint="eastAsia" w:ascii="仿宋_GB2312" w:eastAsia="仿宋_GB2312"/>
          <w:bCs/>
          <w:sz w:val="32"/>
          <w:szCs w:val="32"/>
        </w:rPr>
        <w:t>区城市管理综合执法局具有行政执法主体资格，依法独立履行城区规划区内相对集中的行政处罚权，并承担相应的法律责任。</w:t>
      </w:r>
    </w:p>
    <w:p w14:paraId="246E26E2">
      <w:pPr>
        <w:spacing w:line="500" w:lineRule="exact"/>
        <w:ind w:firstLine="640" w:firstLineChars="200"/>
        <w:rPr>
          <w:rFonts w:ascii="黑体" w:hAnsi="黑体" w:eastAsia="黑体"/>
          <w:bCs/>
          <w:sz w:val="32"/>
          <w:szCs w:val="32"/>
        </w:rPr>
      </w:pPr>
      <w:r>
        <w:rPr>
          <w:rFonts w:hint="eastAsia" w:ascii="黑体" w:hAnsi="黑体" w:eastAsia="黑体"/>
          <w:bCs/>
          <w:sz w:val="32"/>
          <w:szCs w:val="32"/>
        </w:rPr>
        <w:t>一、职责调整</w:t>
      </w:r>
    </w:p>
    <w:p w14:paraId="4E713FA7">
      <w:pPr>
        <w:spacing w:line="500" w:lineRule="exact"/>
        <w:ind w:firstLine="640" w:firstLineChars="200"/>
        <w:rPr>
          <w:rFonts w:ascii="仿宋_GB2312" w:eastAsia="仿宋_GB2312"/>
          <w:bCs/>
          <w:sz w:val="32"/>
          <w:szCs w:val="32"/>
        </w:rPr>
      </w:pPr>
      <w:r>
        <w:rPr>
          <w:rFonts w:hint="eastAsia" w:ascii="仿宋_GB2312" w:eastAsia="仿宋_GB2312"/>
          <w:bCs/>
          <w:sz w:val="32"/>
          <w:szCs w:val="32"/>
        </w:rPr>
        <w:t>整合市政公用、市容环卫、园林绿化、城市管理执法等城市管理相关职能，由区住房和城乡建设局调整至区城市管理综合执法局。</w:t>
      </w:r>
    </w:p>
    <w:p w14:paraId="6C86EF61">
      <w:pPr>
        <w:spacing w:line="500" w:lineRule="exact"/>
        <w:ind w:firstLine="640" w:firstLineChars="200"/>
        <w:rPr>
          <w:rFonts w:ascii="黑体" w:hAnsi="黑体" w:eastAsia="黑体"/>
          <w:bCs/>
          <w:sz w:val="32"/>
          <w:szCs w:val="32"/>
        </w:rPr>
      </w:pPr>
      <w:r>
        <w:rPr>
          <w:rFonts w:hint="eastAsia" w:ascii="黑体" w:hAnsi="黑体" w:eastAsia="黑体"/>
          <w:bCs/>
          <w:sz w:val="32"/>
          <w:szCs w:val="32"/>
        </w:rPr>
        <w:t>二、主要职责</w:t>
      </w:r>
    </w:p>
    <w:p w14:paraId="66AF59ED">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bCs/>
          <w:sz w:val="32"/>
          <w:szCs w:val="32"/>
        </w:rPr>
        <w:t>（一）</w:t>
      </w:r>
      <w:r>
        <w:rPr>
          <w:rFonts w:hint="eastAsia" w:ascii="仿宋_GB2312" w:eastAsia="仿宋_GB2312" w:cs="仿宋_GB2312"/>
          <w:sz w:val="32"/>
          <w:szCs w:val="32"/>
        </w:rPr>
        <w:t>宣传贯彻国家和省、市有关城市管理的政策和法规；拟订和实施城市管理有关规定。</w:t>
      </w:r>
    </w:p>
    <w:p w14:paraId="57A097EA">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（二）负责全区城市管理工作的业务指导、组织协调、监督检查和考核评价。</w:t>
      </w:r>
    </w:p>
    <w:p w14:paraId="3EA47F96">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（三）拟订和实施城市管理长期规划和年度计划，推进数字城管智慧化。</w:t>
      </w:r>
    </w:p>
    <w:p w14:paraId="6C1DC328">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（四）负责城市道路、桥梁、照明、供水、排水、燃气、供热、污水和垃圾处理等市政公用设施运行管理、城市容貌和环境卫生管理、城市园林绿化管理等方面的全部工作。</w:t>
      </w:r>
    </w:p>
    <w:p w14:paraId="2A14EC0C">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（五）负责城市公共空间秩序管理方面的户外广告设置，门头牌匾外立面装修、“街道家具”管理工作。</w:t>
      </w:r>
    </w:p>
    <w:p w14:paraId="6AB2F1A8">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（六）负责城市交通管理方面的便道</w:t>
      </w:r>
      <w:r>
        <w:rPr>
          <w:rFonts w:hint="eastAsia" w:ascii="仿宋_GB2312" w:eastAsia="仿宋_GB2312"/>
          <w:color w:val="000000"/>
          <w:spacing w:val="-8"/>
          <w:sz w:val="32"/>
          <w:szCs w:val="32"/>
        </w:rPr>
        <w:t>（人行道）、广场（游园）</w:t>
      </w:r>
      <w:r>
        <w:rPr>
          <w:rFonts w:hint="eastAsia" w:ascii="仿宋_GB2312" w:eastAsia="仿宋_GB2312" w:cs="仿宋_GB2312"/>
          <w:sz w:val="32"/>
          <w:szCs w:val="32"/>
        </w:rPr>
        <w:t>车辆停放管理工作。</w:t>
      </w:r>
    </w:p>
    <w:p w14:paraId="3CF31C4B">
      <w:pPr>
        <w:pStyle w:val="11"/>
        <w:widowControl w:val="0"/>
        <w:spacing w:line="50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（七）负责城市环境保护管理方面的道路扬尘、露天烧烤整治工作。</w:t>
      </w:r>
    </w:p>
    <w:p w14:paraId="693C3297">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（八）负责城市应急管理等方面的道路清融雪以及城市道路、桥梁、照明应急保障，供水、燃气、污水处理应急工作的指导工作。</w:t>
      </w:r>
    </w:p>
    <w:p w14:paraId="71252D38">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（九）集中行使“与群众生产生活密切相关、执法频率高、多头执法扰民问题突出、专业技术要求适宜、与城市管理密切相关”的行政处罚权，具体包括：</w:t>
      </w:r>
    </w:p>
    <w:p w14:paraId="1306EBEA">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1.城市道路、桥梁、照明、供水、排水、燃气、供热、污水等市政公用设施运行方面法律、法规、规章规定的行政处罚权；</w:t>
      </w:r>
    </w:p>
    <w:p w14:paraId="2AE5A46E">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2.市容环境卫生管理方面法律、法规、规章规定的行政</w:t>
      </w:r>
    </w:p>
    <w:p w14:paraId="0C9E1366">
      <w:pPr>
        <w:pStyle w:val="11"/>
        <w:widowControl w:val="0"/>
        <w:spacing w:line="500" w:lineRule="exact"/>
        <w:rPr>
          <w:rFonts w:ascii="仿宋_GB2312" w:eastAsia="仿宋_GB2312" w:cs="仿宋_GB2312"/>
          <w:sz w:val="32"/>
          <w:szCs w:val="32"/>
        </w:rPr>
      </w:pPr>
      <w:r>
        <w:rPr>
          <w:rFonts w:hint="eastAsia" w:ascii="仿宋_GB2312" w:eastAsia="仿宋_GB2312" w:cs="仿宋_GB2312"/>
          <w:sz w:val="32"/>
          <w:szCs w:val="32"/>
        </w:rPr>
        <w:t>处罚权；</w:t>
      </w:r>
    </w:p>
    <w:p w14:paraId="163E0703">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3.城市绿化管理方面法律、法规、规章规定的行政处罚权；</w:t>
      </w:r>
    </w:p>
    <w:p w14:paraId="05807276">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4.城乡规划管理方面在规划区内未取得《建设工程规划许可证》或者违反《建设工程规划许可证》规定进行建设，严重影响城市规划行为的行政处罚权；</w:t>
      </w:r>
    </w:p>
    <w:p w14:paraId="297F444A">
      <w:pPr>
        <w:pStyle w:val="11"/>
        <w:widowControl w:val="0"/>
        <w:spacing w:line="500" w:lineRule="exact"/>
        <w:rPr>
          <w:rFonts w:ascii="仿宋_GB2312" w:eastAsia="仿宋_GB2312" w:cs="仿宋_GB2312"/>
          <w:sz w:val="32"/>
          <w:szCs w:val="32"/>
        </w:rPr>
      </w:pPr>
      <w:r>
        <w:rPr>
          <w:rFonts w:hint="eastAsia" w:ascii="仿宋_GB2312" w:eastAsia="仿宋_GB2312" w:cs="仿宋_GB2312"/>
          <w:sz w:val="32"/>
          <w:szCs w:val="32"/>
        </w:rPr>
        <w:t xml:space="preserve">    5.住房和城乡建设管理方面未取得施工许可证或者开工报告未经批准擅自施工的法律、法规、规章规定的行政处罚权；</w:t>
      </w:r>
    </w:p>
    <w:p w14:paraId="6B6DDABC">
      <w:pPr>
        <w:pStyle w:val="11"/>
        <w:widowControl w:val="0"/>
        <w:spacing w:line="500" w:lineRule="exact"/>
        <w:ind w:firstLine="600"/>
        <w:rPr>
          <w:rFonts w:ascii="仿宋_GB2312" w:eastAsia="仿宋_GB2312" w:cs="仿宋_GB2312"/>
          <w:sz w:val="32"/>
          <w:szCs w:val="32"/>
        </w:rPr>
      </w:pPr>
      <w:r>
        <w:rPr>
          <w:rFonts w:hint="eastAsia" w:ascii="仿宋_GB2312" w:eastAsia="仿宋_GB2312" w:cs="仿宋_GB2312"/>
          <w:sz w:val="32"/>
          <w:szCs w:val="32"/>
        </w:rPr>
        <w:t>6.公安交通管理方面侵占城市行车道路、违法停放车辆，在人行道、广场等公共场所内违反机动车停放、临时停车规定行为法律、法规、规章规定的行政处罚权；</w:t>
      </w:r>
    </w:p>
    <w:p w14:paraId="69EF9EA5">
      <w:pPr>
        <w:pStyle w:val="11"/>
        <w:widowControl w:val="0"/>
        <w:spacing w:line="500" w:lineRule="exact"/>
        <w:ind w:firstLine="600"/>
        <w:rPr>
          <w:rFonts w:ascii="仿宋_GB2312" w:eastAsia="仿宋_GB2312" w:cs="仿宋_GB2312"/>
          <w:sz w:val="32"/>
          <w:szCs w:val="32"/>
        </w:rPr>
      </w:pPr>
      <w:r>
        <w:rPr>
          <w:rFonts w:hint="eastAsia" w:ascii="仿宋_GB2312" w:eastAsia="仿宋_GB2312" w:cs="仿宋_GB2312"/>
          <w:sz w:val="32"/>
          <w:szCs w:val="32"/>
        </w:rPr>
        <w:t>7.环境保护管理方面社会生活噪</w:t>
      </w:r>
      <w:r>
        <w:rPr>
          <w:rFonts w:hint="eastAsia" w:ascii="仿宋_GB2312" w:eastAsia="仿宋_GB2312" w:cs="仿宋_GB2312"/>
          <w:sz w:val="32"/>
          <w:szCs w:val="32"/>
          <w:lang w:val="en-US" w:eastAsia="zh-CN"/>
        </w:rPr>
        <w:t>声</w:t>
      </w:r>
      <w:bookmarkStart w:id="0" w:name="_GoBack"/>
      <w:bookmarkEnd w:id="0"/>
      <w:r>
        <w:rPr>
          <w:rFonts w:hint="eastAsia" w:ascii="仿宋_GB2312" w:eastAsia="仿宋_GB2312" w:cs="仿宋_GB2312"/>
          <w:sz w:val="32"/>
          <w:szCs w:val="32"/>
        </w:rPr>
        <w:t>污染、建筑施工噪</w:t>
      </w:r>
      <w:r>
        <w:rPr>
          <w:rFonts w:hint="eastAsia" w:ascii="仿宋_GB2312" w:eastAsia="仿宋_GB2312" w:cs="仿宋_GB2312"/>
          <w:sz w:val="32"/>
          <w:szCs w:val="32"/>
          <w:lang w:val="en-US" w:eastAsia="zh-CN"/>
        </w:rPr>
        <w:t>声</w:t>
      </w:r>
      <w:r>
        <w:rPr>
          <w:rFonts w:hint="eastAsia" w:ascii="仿宋_GB2312" w:eastAsia="仿宋_GB2312" w:cs="仿宋_GB2312"/>
          <w:sz w:val="32"/>
          <w:szCs w:val="32"/>
        </w:rPr>
        <w:t>污染、建筑施工扬尘污染、餐饮服务业油烟污染、露天烧烤污染、焚烧沥青塑料垃圾等烟尘和恶臭污染、露天焚烧秸</w:t>
      </w:r>
      <w:r>
        <w:rPr>
          <w:rFonts w:hint="eastAsia" w:ascii="仿宋_GB2312" w:eastAsia="仿宋_GB2312" w:cs="仿宋_GB2312"/>
          <w:sz w:val="32"/>
          <w:szCs w:val="32"/>
          <w:lang w:val="en-US" w:eastAsia="zh-CN"/>
        </w:rPr>
        <w:t>秆</w:t>
      </w:r>
      <w:r>
        <w:rPr>
          <w:rFonts w:hint="eastAsia" w:ascii="仿宋_GB2312" w:eastAsia="仿宋_GB2312" w:cs="仿宋_GB2312"/>
          <w:sz w:val="32"/>
          <w:szCs w:val="32"/>
        </w:rPr>
        <w:t>落叶</w:t>
      </w:r>
      <w:r>
        <w:rPr>
          <w:rFonts w:hint="eastAsia" w:ascii="仿宋_GB2312" w:eastAsia="仿宋_GB2312"/>
          <w:color w:val="000000"/>
          <w:spacing w:val="-8"/>
          <w:sz w:val="32"/>
          <w:szCs w:val="32"/>
        </w:rPr>
        <w:t>污染</w:t>
      </w:r>
      <w:r>
        <w:rPr>
          <w:rFonts w:hint="eastAsia" w:ascii="仿宋_GB2312" w:eastAsia="仿宋_GB2312" w:cs="仿宋_GB2312"/>
          <w:sz w:val="32"/>
          <w:szCs w:val="32"/>
        </w:rPr>
        <w:t>等烟尘污染等行为法律、法规、规章规定的行政处罚权；</w:t>
      </w:r>
    </w:p>
    <w:p w14:paraId="272A10F0">
      <w:pPr>
        <w:shd w:val="clear" w:color="auto" w:fill="FFFFFF"/>
        <w:spacing w:line="500" w:lineRule="exact"/>
        <w:ind w:firstLine="600"/>
        <w:rPr>
          <w:rFonts w:ascii="仿宋_GB2312" w:eastAsia="仿宋_GB2312"/>
          <w:color w:val="000000"/>
          <w:spacing w:val="-8"/>
          <w:sz w:val="32"/>
          <w:szCs w:val="32"/>
        </w:rPr>
      </w:pPr>
      <w:r>
        <w:rPr>
          <w:rFonts w:hint="eastAsia" w:ascii="仿宋_GB2312" w:eastAsia="仿宋_GB2312" w:cs="仿宋_GB2312"/>
          <w:sz w:val="32"/>
          <w:szCs w:val="32"/>
        </w:rPr>
        <w:t>8.</w:t>
      </w:r>
      <w:r>
        <w:rPr>
          <w:rFonts w:hint="eastAsia" w:ascii="仿宋_GB2312" w:eastAsia="仿宋_GB2312"/>
          <w:color w:val="000000"/>
          <w:spacing w:val="-8"/>
          <w:sz w:val="32"/>
          <w:szCs w:val="32"/>
        </w:rPr>
        <w:t>水务管理方面法律、法规、规章规定的向城市河道倾倒废弃物和垃圾、城市河道违法建筑物拆除、河道内违法取土行为的行政处罚权；</w:t>
      </w:r>
    </w:p>
    <w:p w14:paraId="3B9B3BA4">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9.市场监督管理</w:t>
      </w:r>
      <w:r>
        <w:rPr>
          <w:rFonts w:hint="eastAsia" w:ascii="仿宋_GB2312" w:eastAsia="仿宋_GB2312"/>
          <w:color w:val="000000"/>
          <w:spacing w:val="-8"/>
          <w:sz w:val="32"/>
          <w:szCs w:val="32"/>
        </w:rPr>
        <w:t>方面法律、法规、规章规定的户外公共场所无证、无照经营，违规设置户外广告、违法回收贩卖药品行为的行政处罚权</w:t>
      </w:r>
      <w:r>
        <w:rPr>
          <w:rFonts w:hint="eastAsia" w:ascii="仿宋_GB2312" w:eastAsia="仿宋_GB2312" w:cs="仿宋_GB2312"/>
          <w:sz w:val="32"/>
          <w:szCs w:val="32"/>
        </w:rPr>
        <w:t>。</w:t>
      </w:r>
    </w:p>
    <w:p w14:paraId="310F3775">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10.上述规定未涉及的住房和城乡建设领域法律、法规、规章规定的全部行政处罚权。</w:t>
      </w:r>
    </w:p>
    <w:p w14:paraId="1EF6429A">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城市管理综合执法部门可以实施与上述范围内法律、法规、规章规定的行政处罚权有关的行政强制措施。</w:t>
      </w:r>
    </w:p>
    <w:p w14:paraId="2D523850">
      <w:pPr>
        <w:pStyle w:val="11"/>
        <w:widowControl w:val="0"/>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（十）承办市、区人民政府决定调整的城市管理领域的其他职责。</w:t>
      </w:r>
    </w:p>
    <w:p w14:paraId="5656C5A1">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5FAF5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4D87A56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60C70E7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72BA226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46727AD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19D4608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26279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48F0FAE4">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103E116E">
            <w:pPr>
              <w:jc w:val="center"/>
              <w:rPr>
                <w:rFonts w:ascii="仿宋_GB2312" w:hAnsi="仿宋" w:eastAsia="仿宋_GB2312"/>
                <w:bCs/>
                <w:sz w:val="24"/>
                <w:szCs w:val="24"/>
              </w:rPr>
            </w:pPr>
            <w:r>
              <w:rPr>
                <w:rFonts w:hint="eastAsia" w:ascii="仿宋" w:hAnsi="仿宋" w:eastAsia="仿宋" w:cs="宋体"/>
                <w:color w:val="000000"/>
                <w:kern w:val="0"/>
                <w:sz w:val="24"/>
                <w:szCs w:val="24"/>
              </w:rPr>
              <w:t>保定市徐水区城市管理综合执法局（行政）</w:t>
            </w:r>
          </w:p>
        </w:tc>
        <w:tc>
          <w:tcPr>
            <w:tcW w:w="1701" w:type="dxa"/>
            <w:vAlign w:val="center"/>
          </w:tcPr>
          <w:p w14:paraId="2C370E3F">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27E2D08C">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14:paraId="0A228EDA">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646D8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0B55B4A9">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14:paraId="5EF088A0">
            <w:pPr>
              <w:jc w:val="center"/>
              <w:rPr>
                <w:rFonts w:ascii="仿宋_GB2312" w:hAnsi="仿宋" w:eastAsia="仿宋_GB2312"/>
                <w:bCs/>
                <w:sz w:val="24"/>
                <w:szCs w:val="24"/>
              </w:rPr>
            </w:pPr>
            <w:r>
              <w:rPr>
                <w:rFonts w:hint="eastAsia" w:ascii="仿宋" w:hAnsi="仿宋" w:eastAsia="仿宋" w:cs="宋体"/>
                <w:color w:val="000000"/>
                <w:kern w:val="0"/>
                <w:sz w:val="24"/>
                <w:szCs w:val="24"/>
              </w:rPr>
              <w:t>保定市徐水区城市管理行政执法局</w:t>
            </w:r>
            <w:r>
              <w:rPr>
                <w:rFonts w:hint="eastAsia" w:ascii="仿宋" w:hAnsi="仿宋" w:eastAsia="仿宋"/>
                <w:sz w:val="24"/>
                <w:szCs w:val="24"/>
              </w:rPr>
              <w:t>（事业）</w:t>
            </w:r>
          </w:p>
        </w:tc>
        <w:tc>
          <w:tcPr>
            <w:tcW w:w="1701" w:type="dxa"/>
            <w:vAlign w:val="center"/>
          </w:tcPr>
          <w:p w14:paraId="5D07D84A">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14:paraId="4FB78180">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14:paraId="4876D13A">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14:paraId="6015E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033BE446">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10BD6AD5">
            <w:pPr>
              <w:jc w:val="center"/>
              <w:rPr>
                <w:rFonts w:ascii="仿宋_GB2312" w:hAnsi="仿宋" w:eastAsia="仿宋_GB2312"/>
                <w:bCs/>
                <w:sz w:val="24"/>
                <w:szCs w:val="24"/>
              </w:rPr>
            </w:pPr>
          </w:p>
        </w:tc>
        <w:tc>
          <w:tcPr>
            <w:tcW w:w="1701" w:type="dxa"/>
            <w:vAlign w:val="center"/>
          </w:tcPr>
          <w:p w14:paraId="6FDE724A">
            <w:pPr>
              <w:jc w:val="center"/>
              <w:rPr>
                <w:rFonts w:ascii="仿宋_GB2312" w:hAnsi="仿宋" w:eastAsia="仿宋_GB2312"/>
                <w:bCs/>
                <w:sz w:val="24"/>
                <w:szCs w:val="24"/>
              </w:rPr>
            </w:pPr>
          </w:p>
        </w:tc>
        <w:tc>
          <w:tcPr>
            <w:tcW w:w="1418" w:type="dxa"/>
            <w:vAlign w:val="center"/>
          </w:tcPr>
          <w:p w14:paraId="47A90A8F">
            <w:pPr>
              <w:jc w:val="center"/>
              <w:rPr>
                <w:rFonts w:ascii="仿宋_GB2312" w:hAnsi="仿宋" w:eastAsia="仿宋_GB2312"/>
                <w:bCs/>
                <w:sz w:val="24"/>
                <w:szCs w:val="24"/>
              </w:rPr>
            </w:pPr>
          </w:p>
        </w:tc>
        <w:tc>
          <w:tcPr>
            <w:tcW w:w="3260" w:type="dxa"/>
            <w:vAlign w:val="center"/>
          </w:tcPr>
          <w:p w14:paraId="05563E7F">
            <w:pPr>
              <w:jc w:val="center"/>
              <w:rPr>
                <w:rFonts w:ascii="仿宋_GB2312" w:hAnsi="仿宋" w:eastAsia="仿宋_GB2312"/>
                <w:bCs/>
                <w:sz w:val="24"/>
                <w:szCs w:val="24"/>
              </w:rPr>
            </w:pPr>
          </w:p>
        </w:tc>
      </w:tr>
    </w:tbl>
    <w:p w14:paraId="31E3CE14">
      <w:pPr>
        <w:spacing w:line="360" w:lineRule="auto"/>
        <w:jc w:val="center"/>
        <w:rPr>
          <w:rFonts w:ascii="黑体" w:hAnsi="黑体" w:eastAsia="黑体" w:cs="Times New Roman"/>
          <w:sz w:val="32"/>
          <w:szCs w:val="32"/>
        </w:rPr>
      </w:pPr>
    </w:p>
    <w:p w14:paraId="2184EF04">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14:paraId="2E0D5D5C">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30E598CD">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7E7F3775">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11116.16</w:t>
      </w:r>
      <w:r>
        <w:rPr>
          <w:rFonts w:ascii="仿宋" w:hAnsi="仿宋" w:eastAsia="仿宋"/>
          <w:sz w:val="32"/>
          <w:szCs w:val="32"/>
        </w:rPr>
        <w:t>万元,其中：一般公共预算收入</w:t>
      </w:r>
      <w:r>
        <w:rPr>
          <w:rFonts w:hint="eastAsia" w:ascii="仿宋" w:hAnsi="仿宋" w:eastAsia="仿宋"/>
          <w:sz w:val="32"/>
          <w:szCs w:val="32"/>
        </w:rPr>
        <w:t>7121.00</w:t>
      </w:r>
      <w:r>
        <w:rPr>
          <w:rFonts w:ascii="仿宋" w:hAnsi="仿宋" w:eastAsia="仿宋"/>
          <w:sz w:val="32"/>
          <w:szCs w:val="32"/>
        </w:rPr>
        <w:t>万元，基金预算收入</w:t>
      </w:r>
      <w:r>
        <w:rPr>
          <w:rFonts w:hint="eastAsia" w:ascii="仿宋" w:hAnsi="仿宋" w:eastAsia="仿宋"/>
          <w:sz w:val="32"/>
          <w:szCs w:val="32"/>
        </w:rPr>
        <w:t>3995.16</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14:paraId="663CCA38">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208E2D9A">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11116.16</w:t>
      </w:r>
      <w:r>
        <w:rPr>
          <w:rFonts w:ascii="仿宋" w:hAnsi="仿宋" w:eastAsia="仿宋"/>
          <w:sz w:val="32"/>
          <w:szCs w:val="32"/>
        </w:rPr>
        <w:t>万元</w:t>
      </w:r>
    </w:p>
    <w:p w14:paraId="1A0B67A6">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基本支出2646.81万元</w:t>
      </w:r>
    </w:p>
    <w:p w14:paraId="1AB6C859">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其中：人员经费2514.54万元</w:t>
      </w:r>
    </w:p>
    <w:p w14:paraId="59E190CF">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132.27</w:t>
      </w:r>
      <w:r>
        <w:rPr>
          <w:rFonts w:ascii="仿宋" w:hAnsi="仿宋" w:eastAsia="仿宋"/>
          <w:sz w:val="32"/>
          <w:szCs w:val="32"/>
        </w:rPr>
        <w:t>万元</w:t>
      </w:r>
    </w:p>
    <w:p w14:paraId="3E14CC9A">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8469.35</w:t>
      </w:r>
      <w:r>
        <w:rPr>
          <w:rFonts w:ascii="仿宋" w:hAnsi="仿宋" w:eastAsia="仿宋"/>
          <w:sz w:val="32"/>
          <w:szCs w:val="32"/>
        </w:rPr>
        <w:t>万元</w:t>
      </w:r>
    </w:p>
    <w:p w14:paraId="70ED753A">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8469.35</w:t>
      </w:r>
      <w:r>
        <w:rPr>
          <w:rFonts w:ascii="仿宋" w:hAnsi="仿宋" w:eastAsia="仿宋"/>
          <w:sz w:val="32"/>
          <w:szCs w:val="32"/>
        </w:rPr>
        <w:t>万元</w:t>
      </w:r>
    </w:p>
    <w:p w14:paraId="7AC91CBF">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70956D91">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本年度预算收支安排11116.16万元，较上年增加6235.71</w:t>
      </w:r>
      <w:r>
        <w:rPr>
          <w:rFonts w:ascii="仿宋" w:hAnsi="仿宋" w:eastAsia="仿宋"/>
          <w:sz w:val="32"/>
          <w:szCs w:val="32"/>
        </w:rPr>
        <w:t>万元。其中:基本支出增加</w:t>
      </w:r>
      <w:r>
        <w:rPr>
          <w:rFonts w:hint="eastAsia" w:ascii="仿宋" w:hAnsi="仿宋" w:eastAsia="仿宋"/>
          <w:sz w:val="32"/>
          <w:szCs w:val="32"/>
        </w:rPr>
        <w:t>748.98</w:t>
      </w:r>
      <w:r>
        <w:rPr>
          <w:rFonts w:ascii="仿宋" w:hAnsi="仿宋" w:eastAsia="仿宋"/>
          <w:sz w:val="32"/>
          <w:szCs w:val="32"/>
        </w:rPr>
        <w:t>万元，主要原因是</w:t>
      </w:r>
      <w:r>
        <w:rPr>
          <w:rFonts w:hint="eastAsia" w:ascii="仿宋" w:hAnsi="仿宋" w:eastAsia="仿宋"/>
          <w:sz w:val="32"/>
          <w:szCs w:val="32"/>
        </w:rPr>
        <w:t>有建设局划转人员</w:t>
      </w:r>
      <w:r>
        <w:rPr>
          <w:rFonts w:ascii="仿宋" w:hAnsi="仿宋" w:eastAsia="仿宋"/>
          <w:sz w:val="32"/>
          <w:szCs w:val="32"/>
        </w:rPr>
        <w:t>；项目支出增加</w:t>
      </w:r>
      <w:r>
        <w:rPr>
          <w:rFonts w:hint="eastAsia" w:ascii="仿宋" w:hAnsi="仿宋" w:eastAsia="仿宋"/>
          <w:sz w:val="32"/>
          <w:szCs w:val="32"/>
        </w:rPr>
        <w:t>5486.73</w:t>
      </w:r>
      <w:r>
        <w:rPr>
          <w:rFonts w:ascii="仿宋" w:hAnsi="仿宋" w:eastAsia="仿宋"/>
          <w:sz w:val="32"/>
          <w:szCs w:val="32"/>
        </w:rPr>
        <w:t>万元，主要原因是</w:t>
      </w:r>
      <w:r>
        <w:rPr>
          <w:rFonts w:hint="eastAsia" w:ascii="仿宋" w:hAnsi="仿宋" w:eastAsia="仿宋"/>
          <w:sz w:val="32"/>
          <w:szCs w:val="32"/>
        </w:rPr>
        <w:t>有建设局划转项目</w:t>
      </w:r>
      <w:r>
        <w:rPr>
          <w:rFonts w:ascii="仿宋" w:hAnsi="仿宋" w:eastAsia="仿宋"/>
          <w:sz w:val="32"/>
          <w:szCs w:val="32"/>
        </w:rPr>
        <w:t>。</w:t>
      </w:r>
    </w:p>
    <w:p w14:paraId="05823AC8">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14:paraId="5D2A79C6">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132.27</w:t>
      </w:r>
      <w:r>
        <w:rPr>
          <w:rFonts w:ascii="仿宋" w:hAnsi="仿宋" w:eastAsia="仿宋"/>
          <w:sz w:val="32"/>
          <w:szCs w:val="32"/>
        </w:rPr>
        <w:t>万元，其中办公费</w:t>
      </w:r>
      <w:r>
        <w:rPr>
          <w:rFonts w:hint="eastAsia" w:ascii="仿宋" w:hAnsi="仿宋" w:eastAsia="仿宋"/>
          <w:sz w:val="32"/>
          <w:szCs w:val="32"/>
        </w:rPr>
        <w:t>80.97</w:t>
      </w:r>
      <w:r>
        <w:rPr>
          <w:rFonts w:ascii="仿宋" w:hAnsi="仿宋" w:eastAsia="仿宋"/>
          <w:sz w:val="32"/>
          <w:szCs w:val="32"/>
        </w:rPr>
        <w:t>万元，邮电费</w:t>
      </w:r>
      <w:r>
        <w:rPr>
          <w:rFonts w:hint="eastAsia" w:ascii="仿宋" w:hAnsi="仿宋" w:eastAsia="仿宋"/>
          <w:sz w:val="32"/>
          <w:szCs w:val="32"/>
        </w:rPr>
        <w:t>1.62</w:t>
      </w:r>
      <w:r>
        <w:rPr>
          <w:rFonts w:ascii="仿宋" w:hAnsi="仿宋" w:eastAsia="仿宋"/>
          <w:sz w:val="32"/>
          <w:szCs w:val="32"/>
        </w:rPr>
        <w:t>万元，工会经费、福利费</w:t>
      </w:r>
      <w:r>
        <w:rPr>
          <w:rFonts w:hint="eastAsia" w:ascii="仿宋" w:hAnsi="仿宋" w:eastAsia="仿宋"/>
          <w:sz w:val="32"/>
          <w:szCs w:val="32"/>
        </w:rPr>
        <w:t>40.93</w:t>
      </w:r>
      <w:r>
        <w:rPr>
          <w:rFonts w:ascii="仿宋" w:hAnsi="仿宋" w:eastAsia="仿宋"/>
          <w:sz w:val="32"/>
          <w:szCs w:val="32"/>
        </w:rPr>
        <w:t>万元</w:t>
      </w:r>
      <w:r>
        <w:rPr>
          <w:rFonts w:hint="eastAsia" w:ascii="仿宋" w:hAnsi="仿宋" w:eastAsia="仿宋"/>
          <w:sz w:val="32"/>
          <w:szCs w:val="32"/>
        </w:rPr>
        <w:t>。</w:t>
      </w:r>
    </w:p>
    <w:p w14:paraId="181E4494">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8528"/>
      </w:tblGrid>
      <w:tr w14:paraId="29598C69">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14:paraId="2D3019C7">
            <w:pPr>
              <w:widowControl/>
              <w:spacing w:line="520" w:lineRule="exact"/>
              <w:rPr>
                <w:rFonts w:ascii="黑体" w:hAnsi="黑体" w:eastAsia="黑体"/>
                <w:sz w:val="32"/>
                <w:szCs w:val="32"/>
              </w:rPr>
            </w:pPr>
          </w:p>
          <w:tbl>
            <w:tblPr>
              <w:tblStyle w:val="5"/>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14:paraId="6EADEC96">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14:paraId="6F7E25C4">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752DF6A6">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14:paraId="29CC402B">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A326859">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09D8A8B9">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3F4FE0A1">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7C866E75">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149C0274">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14:paraId="6BF3C8E5">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0C38E545">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14:paraId="2114E26C">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14:paraId="3F49859A">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0635E03E">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44C78188">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14:paraId="5BCA132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3A640D9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411F87A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5C0FA9E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508007E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61B6F30D">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14:paraId="04AF04C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2AE3E06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2FDAE7A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03F771E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4E5313B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4A10840">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14:paraId="6943236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345B93B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169.46</w:t>
                  </w:r>
                </w:p>
              </w:tc>
              <w:tc>
                <w:tcPr>
                  <w:tcW w:w="1418" w:type="dxa"/>
                  <w:tcBorders>
                    <w:top w:val="nil"/>
                    <w:left w:val="nil"/>
                    <w:bottom w:val="single" w:color="auto" w:sz="4" w:space="0"/>
                    <w:right w:val="single" w:color="auto" w:sz="4" w:space="0"/>
                  </w:tcBorders>
                  <w:vAlign w:val="center"/>
                </w:tcPr>
                <w:p w14:paraId="3DB0B31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166.46</w:t>
                  </w:r>
                </w:p>
              </w:tc>
              <w:tc>
                <w:tcPr>
                  <w:tcW w:w="836" w:type="dxa"/>
                  <w:tcBorders>
                    <w:top w:val="nil"/>
                    <w:left w:val="nil"/>
                    <w:bottom w:val="single" w:color="auto" w:sz="4" w:space="0"/>
                    <w:right w:val="single" w:color="auto" w:sz="4" w:space="0"/>
                  </w:tcBorders>
                  <w:vAlign w:val="center"/>
                </w:tcPr>
                <w:p w14:paraId="0CDA9634">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w:t>
                  </w:r>
                  <w:r>
                    <w:rPr>
                      <w:rFonts w:hint="eastAsia"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14:paraId="66419F8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1辆租用车辆交回</w:t>
                  </w:r>
                </w:p>
              </w:tc>
            </w:tr>
            <w:tr w14:paraId="2DE71A9C">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14:paraId="20CE926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6D23143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191E3E5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6F4654F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778B4AB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9F3B5FB">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14:paraId="356B89F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6686434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169.46</w:t>
                  </w:r>
                </w:p>
              </w:tc>
              <w:tc>
                <w:tcPr>
                  <w:tcW w:w="1418" w:type="dxa"/>
                  <w:tcBorders>
                    <w:top w:val="nil"/>
                    <w:left w:val="nil"/>
                    <w:bottom w:val="single" w:color="auto" w:sz="4" w:space="0"/>
                    <w:right w:val="single" w:color="auto" w:sz="4" w:space="0"/>
                  </w:tcBorders>
                  <w:vAlign w:val="center"/>
                </w:tcPr>
                <w:p w14:paraId="6483FCA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166.46</w:t>
                  </w:r>
                </w:p>
              </w:tc>
              <w:tc>
                <w:tcPr>
                  <w:tcW w:w="836" w:type="dxa"/>
                  <w:tcBorders>
                    <w:top w:val="nil"/>
                    <w:left w:val="nil"/>
                    <w:bottom w:val="single" w:color="auto" w:sz="4" w:space="0"/>
                    <w:right w:val="single" w:color="auto" w:sz="4" w:space="0"/>
                  </w:tcBorders>
                  <w:vAlign w:val="center"/>
                </w:tcPr>
                <w:p w14:paraId="62D81835">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w:t>
                  </w:r>
                  <w:r>
                    <w:rPr>
                      <w:rFonts w:hint="eastAsia"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14:paraId="32A36FD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2019年，我部门针对三公经费支出制定了严格的管理制度，认真执行中央八项规定，厉行节约，杜绝浪费。从总量来讲，我局的三公经费与上年相比减少了3万元。</w:t>
                  </w:r>
                </w:p>
              </w:tc>
            </w:tr>
            <w:tr w14:paraId="585FAD82">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14:paraId="663591D3">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BA30332">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712869A7">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7B98B49C">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01FB8468">
                  <w:pPr>
                    <w:widowControl/>
                    <w:jc w:val="left"/>
                    <w:rPr>
                      <w:rFonts w:ascii="宋体" w:hAnsi="宋体" w:cs="宋体"/>
                      <w:kern w:val="0"/>
                      <w:sz w:val="24"/>
                      <w:szCs w:val="24"/>
                    </w:rPr>
                  </w:pPr>
                </w:p>
              </w:tc>
            </w:tr>
          </w:tbl>
          <w:p w14:paraId="6E5F9294">
            <w:pPr>
              <w:widowControl/>
              <w:spacing w:line="520" w:lineRule="exact"/>
              <w:ind w:right="480"/>
              <w:rPr>
                <w:rFonts w:ascii="仿宋" w:hAnsi="仿宋" w:eastAsia="仿宋" w:cs="宋体"/>
                <w:kern w:val="0"/>
                <w:sz w:val="24"/>
                <w:szCs w:val="24"/>
              </w:rPr>
            </w:pPr>
          </w:p>
        </w:tc>
      </w:tr>
    </w:tbl>
    <w:p w14:paraId="3A083996">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14:paraId="7626086F">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14:paraId="011852A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firstLineChars="200"/>
        <w:rPr>
          <w:rFonts w:ascii="仿宋" w:hAnsi="仿宋" w:eastAsia="仿宋"/>
          <w:sz w:val="32"/>
          <w:szCs w:val="32"/>
        </w:rPr>
      </w:pPr>
      <w:r>
        <w:rPr>
          <w:rFonts w:ascii="MingLiU-ExtB" w:hAnsi="MingLiU-ExtB" w:eastAsia="MingLiU-ExtB"/>
          <w:sz w:val="28"/>
        </w:rPr>
        <w:t>健</w:t>
      </w:r>
      <w:r>
        <w:rPr>
          <w:rFonts w:ascii="仿宋" w:hAnsi="仿宋" w:eastAsia="仿宋"/>
          <w:sz w:val="32"/>
          <w:szCs w:val="32"/>
        </w:rPr>
        <w:t>全城市管理综合协调长效机制，营造齐抓共管城市管理工作的整体合力；健全城市管理委员会高位协调工作机制；建立数字化、网格化、精细化城市管理机制。加快建设国家标准数字化城市管理指挥平台，全面提高我区综合执法管理工作的数字化、网格化、精细化水平。</w:t>
      </w:r>
    </w:p>
    <w:p w14:paraId="61A8E8D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 w:hAnsi="仿宋" w:eastAsia="仿宋"/>
          <w:sz w:val="32"/>
          <w:szCs w:val="32"/>
        </w:rPr>
      </w:pPr>
      <w:r>
        <w:rPr>
          <w:rFonts w:ascii="仿宋" w:hAnsi="仿宋" w:eastAsia="仿宋"/>
          <w:sz w:val="32"/>
          <w:szCs w:val="32"/>
        </w:rPr>
        <w:t>开展市容环境综合整治活动，打造整洁优美、和谐有序城区。强化市容环境综合整治，开展市容环境综合整治载体活动，健全完善城管执法长效工作机制。</w:t>
      </w:r>
    </w:p>
    <w:p w14:paraId="4F0E49D2">
      <w:pPr>
        <w:spacing w:line="360" w:lineRule="auto"/>
        <w:ind w:firstLine="643" w:firstLineChars="200"/>
        <w:rPr>
          <w:rFonts w:ascii="仿宋" w:hAnsi="仿宋" w:eastAsia="仿宋"/>
          <w:b/>
          <w:sz w:val="32"/>
          <w:szCs w:val="32"/>
        </w:rPr>
      </w:pPr>
      <w:r>
        <w:rPr>
          <w:rFonts w:hint="eastAsia" w:ascii="仿宋" w:hAnsi="仿宋" w:eastAsia="仿宋"/>
          <w:b/>
          <w:sz w:val="32"/>
          <w:szCs w:val="32"/>
        </w:rPr>
        <w:t>二、部门职责及工作活动绩效目标指标</w:t>
      </w:r>
    </w:p>
    <w:p w14:paraId="157AA88D">
      <w:pPr>
        <w:jc w:val="center"/>
        <w:outlineLvl w:val="0"/>
        <w:rPr>
          <w:rFonts w:ascii="黑体" w:hAnsi="黑体" w:eastAsia="黑体"/>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linePitch="312" w:charSpace="0"/>
        </w:sectPr>
      </w:pPr>
    </w:p>
    <w:p w14:paraId="25ACB9EC">
      <w:pPr>
        <w:jc w:val="center"/>
        <w:outlineLvl w:val="0"/>
        <w:rPr>
          <w:rFonts w:ascii="黑体" w:hAnsi="黑体" w:eastAsia="黑体"/>
          <w:b/>
          <w:sz w:val="32"/>
        </w:rPr>
      </w:pPr>
      <w:r>
        <w:rPr>
          <w:rFonts w:hint="eastAsia" w:ascii="黑体" w:hAnsi="黑体" w:eastAsia="黑体"/>
          <w:b/>
          <w:sz w:val="32"/>
        </w:rPr>
        <w:t>部门职责-工作活动绩效目标</w:t>
      </w:r>
    </w:p>
    <w:p w14:paraId="1661D8C9">
      <w:pPr>
        <w:jc w:val="center"/>
        <w:outlineLvl w:val="0"/>
        <w:rPr>
          <w:rFonts w:ascii="黑体" w:hAnsi="黑体" w:eastAsia="黑体"/>
          <w:b/>
          <w:sz w:val="32"/>
        </w:rPr>
      </w:pPr>
    </w:p>
    <w:p w14:paraId="7786500A">
      <w:pPr>
        <w:jc w:val="center"/>
        <w:outlineLvl w:val="0"/>
        <w:rPr>
          <w:rFonts w:ascii="黑体" w:hAnsi="黑体" w:eastAsia="黑体"/>
          <w:b/>
          <w:sz w:val="32"/>
        </w:rPr>
      </w:pPr>
    </w:p>
    <w:p w14:paraId="43C5E3AB">
      <w:pPr>
        <w:spacing w:line="300" w:lineRule="exact"/>
        <w:jc w:val="left"/>
        <w:outlineLvl w:val="0"/>
      </w:pP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6FFC5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3E5BF5A9">
            <w:pPr>
              <w:spacing w:line="300" w:lineRule="exact"/>
              <w:jc w:val="left"/>
              <w:rPr>
                <w:rFonts w:ascii="方正小标宋_GBK" w:eastAsia="方正小标宋_GBK"/>
                <w:sz w:val="24"/>
              </w:rPr>
            </w:pPr>
            <w:r>
              <w:rPr>
                <w:rFonts w:ascii="方正小标宋_GBK" w:eastAsia="方正小标宋_GBK"/>
                <w:sz w:val="24"/>
              </w:rPr>
              <w:t>506</w:t>
            </w:r>
            <w:r>
              <w:rPr>
                <w:rFonts w:hint="eastAsia" w:ascii="方正小标宋_GBK" w:eastAsia="方正小标宋_GBK"/>
                <w:sz w:val="24"/>
              </w:rPr>
              <w:t>保定市徐水区城市管理综合执法局</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2916B65A">
            <w:pPr>
              <w:spacing w:line="300" w:lineRule="exact"/>
              <w:jc w:val="right"/>
              <w:rPr>
                <w:rFonts w:ascii="方正书宋_GBK" w:eastAsia="方正书宋_GBK"/>
                <w:sz w:val="24"/>
              </w:rPr>
            </w:pPr>
            <w:r>
              <w:rPr>
                <w:rFonts w:hint="eastAsia" w:ascii="方正书宋_GBK" w:eastAsia="方正书宋_GBK"/>
                <w:sz w:val="24"/>
              </w:rPr>
              <w:t>单位：万元</w:t>
            </w:r>
          </w:p>
        </w:tc>
      </w:tr>
      <w:tr w14:paraId="1EFA5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51DA9BF3">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67613D90">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3132B190">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2645CA9F">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19231BB2">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45E10428">
            <w:pPr>
              <w:spacing w:line="300" w:lineRule="exact"/>
              <w:jc w:val="center"/>
              <w:rPr>
                <w:rFonts w:ascii="方正书宋_GBK" w:eastAsia="方正书宋_GBK"/>
                <w:b/>
              </w:rPr>
            </w:pPr>
            <w:r>
              <w:rPr>
                <w:rFonts w:hint="eastAsia" w:ascii="方正书宋_GBK" w:eastAsia="方正书宋_GBK"/>
                <w:b/>
              </w:rPr>
              <w:t>评价标准</w:t>
            </w:r>
          </w:p>
        </w:tc>
      </w:tr>
      <w:tr w14:paraId="2BB0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499E4757">
            <w:pPr>
              <w:spacing w:line="300" w:lineRule="exact"/>
              <w:jc w:val="left"/>
              <w:outlineLvl w:val="0"/>
            </w:pPr>
          </w:p>
        </w:tc>
        <w:tc>
          <w:tcPr>
            <w:tcW w:w="1276" w:type="dxa"/>
            <w:vMerge w:val="continue"/>
            <w:shd w:val="clear" w:color="auto" w:fill="auto"/>
            <w:vAlign w:val="center"/>
          </w:tcPr>
          <w:p w14:paraId="062E7039">
            <w:pPr>
              <w:spacing w:line="300" w:lineRule="exact"/>
              <w:jc w:val="left"/>
              <w:outlineLvl w:val="0"/>
            </w:pPr>
          </w:p>
        </w:tc>
        <w:tc>
          <w:tcPr>
            <w:tcW w:w="2976" w:type="dxa"/>
            <w:vMerge w:val="continue"/>
            <w:shd w:val="clear" w:color="auto" w:fill="auto"/>
            <w:vAlign w:val="center"/>
          </w:tcPr>
          <w:p w14:paraId="1E819FA8">
            <w:pPr>
              <w:spacing w:line="300" w:lineRule="exact"/>
              <w:jc w:val="left"/>
              <w:outlineLvl w:val="0"/>
            </w:pPr>
          </w:p>
        </w:tc>
        <w:tc>
          <w:tcPr>
            <w:tcW w:w="2976" w:type="dxa"/>
            <w:vMerge w:val="continue"/>
            <w:shd w:val="clear" w:color="auto" w:fill="auto"/>
            <w:vAlign w:val="center"/>
          </w:tcPr>
          <w:p w14:paraId="6701BFA0">
            <w:pPr>
              <w:spacing w:line="300" w:lineRule="exact"/>
              <w:jc w:val="left"/>
              <w:outlineLvl w:val="0"/>
            </w:pPr>
          </w:p>
        </w:tc>
        <w:tc>
          <w:tcPr>
            <w:tcW w:w="1417" w:type="dxa"/>
            <w:vMerge w:val="continue"/>
            <w:shd w:val="clear" w:color="auto" w:fill="auto"/>
            <w:vAlign w:val="center"/>
          </w:tcPr>
          <w:p w14:paraId="77339297">
            <w:pPr>
              <w:spacing w:line="300" w:lineRule="exact"/>
              <w:jc w:val="left"/>
              <w:outlineLvl w:val="0"/>
            </w:pPr>
          </w:p>
        </w:tc>
        <w:tc>
          <w:tcPr>
            <w:tcW w:w="737" w:type="dxa"/>
            <w:shd w:val="clear" w:color="auto" w:fill="auto"/>
            <w:vAlign w:val="center"/>
          </w:tcPr>
          <w:p w14:paraId="1E7B0284">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69EC3D18">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2BBEE232">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60E56703">
            <w:pPr>
              <w:spacing w:line="300" w:lineRule="exact"/>
              <w:jc w:val="center"/>
              <w:rPr>
                <w:rFonts w:ascii="方正书宋_GBK" w:eastAsia="方正书宋_GBK"/>
                <w:b/>
              </w:rPr>
            </w:pPr>
            <w:r>
              <w:rPr>
                <w:rFonts w:hint="eastAsia" w:ascii="方正书宋_GBK" w:eastAsia="方正书宋_GBK"/>
                <w:b/>
              </w:rPr>
              <w:t>差</w:t>
            </w:r>
          </w:p>
        </w:tc>
      </w:tr>
      <w:tr w14:paraId="6310E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F18EF64">
            <w:pPr>
              <w:spacing w:line="300" w:lineRule="exact"/>
              <w:jc w:val="left"/>
              <w:rPr>
                <w:rFonts w:ascii="方正书宋_GBK" w:eastAsia="方正书宋_GBK"/>
                <w:b/>
              </w:rPr>
            </w:pPr>
            <w:r>
              <w:rPr>
                <w:rFonts w:hint="eastAsia" w:ascii="方正书宋_GBK" w:eastAsia="方正书宋_GBK"/>
                <w:b/>
              </w:rPr>
              <w:t>城乡建设管理</w:t>
            </w:r>
          </w:p>
        </w:tc>
        <w:tc>
          <w:tcPr>
            <w:tcW w:w="1276" w:type="dxa"/>
            <w:shd w:val="clear" w:color="auto" w:fill="auto"/>
            <w:vAlign w:val="center"/>
          </w:tcPr>
          <w:p w14:paraId="3F3D792D">
            <w:pPr>
              <w:spacing w:line="300" w:lineRule="exact"/>
              <w:jc w:val="left"/>
              <w:rPr>
                <w:rFonts w:ascii="方正书宋_GBK" w:eastAsia="方正书宋_GBK"/>
              </w:rPr>
            </w:pPr>
            <w:r>
              <w:rPr>
                <w:rFonts w:hint="eastAsia" w:ascii="方正书宋_GBK" w:eastAsia="方正书宋_GBK"/>
              </w:rPr>
              <w:t>8469.35</w:t>
            </w:r>
          </w:p>
        </w:tc>
        <w:tc>
          <w:tcPr>
            <w:tcW w:w="2976" w:type="dxa"/>
            <w:shd w:val="clear" w:color="auto" w:fill="auto"/>
            <w:vAlign w:val="center"/>
          </w:tcPr>
          <w:p w14:paraId="3683936B">
            <w:pPr>
              <w:spacing w:line="300" w:lineRule="exact"/>
              <w:jc w:val="left"/>
              <w:rPr>
                <w:rFonts w:ascii="方正书宋_GBK" w:eastAsia="方正书宋_GBK"/>
              </w:rPr>
            </w:pPr>
            <w:r>
              <w:rPr>
                <w:rFonts w:hint="eastAsia" w:ascii="方正书宋_GBK" w:eastAsia="方正书宋_GBK"/>
              </w:rPr>
              <w:t>负责市政公用设施建设、安全和应急管理；负责农村住房建设、住房安全和危房改造；改善小城镇和村庄人居环境。</w:t>
            </w:r>
          </w:p>
        </w:tc>
        <w:tc>
          <w:tcPr>
            <w:tcW w:w="2976" w:type="dxa"/>
            <w:shd w:val="clear" w:color="auto" w:fill="auto"/>
            <w:vAlign w:val="center"/>
          </w:tcPr>
          <w:p w14:paraId="42DD4C5F">
            <w:pPr>
              <w:spacing w:line="300" w:lineRule="exact"/>
              <w:jc w:val="left"/>
              <w:rPr>
                <w:rFonts w:ascii="方正书宋_GBK" w:eastAsia="方正书宋_GBK"/>
              </w:rPr>
            </w:pPr>
            <w:r>
              <w:rPr>
                <w:rFonts w:hint="eastAsia" w:ascii="方正书宋_GBK" w:eastAsia="方正书宋_GBK"/>
              </w:rPr>
              <w:t>加强管理，提高城市承载能力和宜居度。加强村镇建设，改善农村人居环境，实现城乡统筹发展。</w:t>
            </w:r>
          </w:p>
        </w:tc>
        <w:tc>
          <w:tcPr>
            <w:tcW w:w="1417" w:type="dxa"/>
            <w:shd w:val="clear" w:color="auto" w:fill="auto"/>
            <w:vAlign w:val="center"/>
          </w:tcPr>
          <w:p w14:paraId="20D1D193">
            <w:pPr>
              <w:spacing w:line="300" w:lineRule="exact"/>
              <w:jc w:val="left"/>
              <w:rPr>
                <w:rFonts w:ascii="方正书宋_GBK" w:eastAsia="方正书宋_GBK"/>
              </w:rPr>
            </w:pPr>
          </w:p>
        </w:tc>
        <w:tc>
          <w:tcPr>
            <w:tcW w:w="737" w:type="dxa"/>
            <w:shd w:val="clear" w:color="auto" w:fill="auto"/>
            <w:vAlign w:val="center"/>
          </w:tcPr>
          <w:p w14:paraId="01667629">
            <w:pPr>
              <w:spacing w:line="300" w:lineRule="exact"/>
              <w:jc w:val="center"/>
              <w:rPr>
                <w:rFonts w:ascii="方正书宋_GBK" w:eastAsia="方正书宋_GBK"/>
              </w:rPr>
            </w:pPr>
          </w:p>
        </w:tc>
        <w:tc>
          <w:tcPr>
            <w:tcW w:w="737" w:type="dxa"/>
            <w:shd w:val="clear" w:color="auto" w:fill="auto"/>
            <w:vAlign w:val="center"/>
          </w:tcPr>
          <w:p w14:paraId="2FAF1D9F">
            <w:pPr>
              <w:spacing w:line="300" w:lineRule="exact"/>
              <w:jc w:val="center"/>
              <w:rPr>
                <w:rFonts w:ascii="方正书宋_GBK" w:eastAsia="方正书宋_GBK"/>
              </w:rPr>
            </w:pPr>
          </w:p>
        </w:tc>
        <w:tc>
          <w:tcPr>
            <w:tcW w:w="737" w:type="dxa"/>
            <w:shd w:val="clear" w:color="auto" w:fill="auto"/>
            <w:vAlign w:val="center"/>
          </w:tcPr>
          <w:p w14:paraId="7168FE75">
            <w:pPr>
              <w:spacing w:line="300" w:lineRule="exact"/>
              <w:jc w:val="center"/>
              <w:rPr>
                <w:rFonts w:ascii="方正书宋_GBK" w:eastAsia="方正书宋_GBK"/>
              </w:rPr>
            </w:pPr>
          </w:p>
        </w:tc>
        <w:tc>
          <w:tcPr>
            <w:tcW w:w="737" w:type="dxa"/>
            <w:shd w:val="clear" w:color="auto" w:fill="auto"/>
            <w:vAlign w:val="center"/>
          </w:tcPr>
          <w:p w14:paraId="0244B10B">
            <w:pPr>
              <w:spacing w:line="300" w:lineRule="exact"/>
              <w:jc w:val="center"/>
              <w:rPr>
                <w:rFonts w:ascii="方正书宋_GBK" w:eastAsia="方正书宋_GBK"/>
              </w:rPr>
            </w:pPr>
          </w:p>
        </w:tc>
      </w:tr>
      <w:tr w14:paraId="3D1A5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7C5BB3E">
            <w:pPr>
              <w:spacing w:line="300" w:lineRule="exact"/>
              <w:jc w:val="left"/>
              <w:rPr>
                <w:rFonts w:ascii="方正书宋_GBK" w:eastAsia="方正书宋_GBK"/>
                <w:b/>
              </w:rPr>
            </w:pPr>
            <w:r>
              <w:rPr>
                <w:rFonts w:hint="eastAsia" w:ascii="方正书宋_GBK" w:eastAsia="方正书宋_GBK"/>
                <w:b/>
              </w:rPr>
              <w:t>　　市政公用设施建设与管理</w:t>
            </w:r>
          </w:p>
        </w:tc>
        <w:tc>
          <w:tcPr>
            <w:tcW w:w="1276" w:type="dxa"/>
            <w:vMerge w:val="restart"/>
            <w:shd w:val="clear" w:color="auto" w:fill="auto"/>
            <w:vAlign w:val="center"/>
          </w:tcPr>
          <w:p w14:paraId="647AA2AB">
            <w:pPr>
              <w:spacing w:line="300" w:lineRule="exact"/>
              <w:jc w:val="left"/>
              <w:rPr>
                <w:rFonts w:ascii="方正书宋_GBK" w:eastAsia="方正书宋_GBK"/>
              </w:rPr>
            </w:pPr>
            <w:r>
              <w:rPr>
                <w:rFonts w:hint="eastAsia" w:ascii="方正书宋_GBK" w:eastAsia="方正书宋_GBK"/>
              </w:rPr>
              <w:t>3995.16</w:t>
            </w:r>
          </w:p>
        </w:tc>
        <w:tc>
          <w:tcPr>
            <w:tcW w:w="2976" w:type="dxa"/>
            <w:vMerge w:val="restart"/>
            <w:shd w:val="clear" w:color="auto" w:fill="auto"/>
            <w:vAlign w:val="center"/>
          </w:tcPr>
          <w:p w14:paraId="7EA2B863">
            <w:pPr>
              <w:spacing w:line="300" w:lineRule="exact"/>
              <w:jc w:val="left"/>
              <w:rPr>
                <w:rFonts w:ascii="方正书宋_GBK" w:eastAsia="方正书宋_GBK"/>
              </w:rPr>
            </w:pPr>
            <w:r>
              <w:rPr>
                <w:rFonts w:hint="eastAsia" w:ascii="方正书宋_GBK" w:eastAsia="方正书宋_GBK"/>
              </w:rPr>
              <w:t>负责市政公用事业建设、市政公用设施安全和应急管理；逐步推进供热计量改革，开展燃气行业安全监督检查；开展城市园林水域安全监管、公园和绿地技术评估和动态监测。</w:t>
            </w:r>
          </w:p>
        </w:tc>
        <w:tc>
          <w:tcPr>
            <w:tcW w:w="2976" w:type="dxa"/>
            <w:vMerge w:val="restart"/>
            <w:shd w:val="clear" w:color="auto" w:fill="auto"/>
            <w:vAlign w:val="center"/>
          </w:tcPr>
          <w:p w14:paraId="63013814">
            <w:pPr>
              <w:spacing w:line="300" w:lineRule="exact"/>
              <w:jc w:val="left"/>
              <w:rPr>
                <w:rFonts w:ascii="方正书宋_GBK" w:eastAsia="方正书宋_GBK"/>
              </w:rPr>
            </w:pPr>
            <w:r>
              <w:rPr>
                <w:rFonts w:hint="eastAsia" w:ascii="方正书宋_GBK" w:eastAsia="方正书宋_GBK"/>
              </w:rPr>
              <w:t>市政公用事业建设、市政公用设施安全和应急管理</w:t>
            </w:r>
          </w:p>
        </w:tc>
        <w:tc>
          <w:tcPr>
            <w:tcW w:w="1417" w:type="dxa"/>
            <w:shd w:val="clear" w:color="auto" w:fill="auto"/>
            <w:vAlign w:val="center"/>
          </w:tcPr>
          <w:p w14:paraId="5059D79C">
            <w:pPr>
              <w:spacing w:line="300" w:lineRule="exact"/>
              <w:jc w:val="left"/>
              <w:rPr>
                <w:rFonts w:ascii="方正书宋_GBK" w:eastAsia="方正书宋_GBK"/>
              </w:rPr>
            </w:pPr>
            <w:r>
              <w:rPr>
                <w:rFonts w:hint="eastAsia" w:ascii="方正书宋_GBK" w:eastAsia="方正书宋_GBK"/>
              </w:rPr>
              <w:t>星级公园、园林式单位、小区创建数量（个）</w:t>
            </w:r>
          </w:p>
        </w:tc>
        <w:tc>
          <w:tcPr>
            <w:tcW w:w="737" w:type="dxa"/>
            <w:shd w:val="clear" w:color="auto" w:fill="auto"/>
            <w:vAlign w:val="center"/>
          </w:tcPr>
          <w:p w14:paraId="2DA22EE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7506CC80">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6770595D">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47B9C02A">
            <w:pPr>
              <w:spacing w:line="300" w:lineRule="exact"/>
              <w:jc w:val="center"/>
              <w:rPr>
                <w:rFonts w:ascii="方正书宋_GBK" w:eastAsia="方正书宋_GBK"/>
              </w:rPr>
            </w:pPr>
            <w:r>
              <w:rPr>
                <w:rFonts w:hint="eastAsia" w:ascii="方正书宋_GBK" w:eastAsia="方正书宋_GBK"/>
              </w:rPr>
              <w:t>无</w:t>
            </w:r>
          </w:p>
        </w:tc>
      </w:tr>
      <w:tr w14:paraId="561D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0ABAD74">
            <w:pPr>
              <w:spacing w:line="300" w:lineRule="exact"/>
              <w:jc w:val="left"/>
              <w:rPr>
                <w:rFonts w:ascii="方正书宋_GBK" w:eastAsia="方正书宋_GBK"/>
                <w:b/>
              </w:rPr>
            </w:pPr>
          </w:p>
        </w:tc>
        <w:tc>
          <w:tcPr>
            <w:tcW w:w="1276" w:type="dxa"/>
            <w:vMerge w:val="continue"/>
            <w:shd w:val="clear" w:color="auto" w:fill="auto"/>
            <w:vAlign w:val="center"/>
          </w:tcPr>
          <w:p w14:paraId="51C39424">
            <w:pPr>
              <w:spacing w:line="300" w:lineRule="exact"/>
              <w:jc w:val="left"/>
              <w:rPr>
                <w:rFonts w:ascii="方正书宋_GBK" w:eastAsia="方正书宋_GBK"/>
              </w:rPr>
            </w:pPr>
          </w:p>
        </w:tc>
        <w:tc>
          <w:tcPr>
            <w:tcW w:w="2976" w:type="dxa"/>
            <w:vMerge w:val="continue"/>
            <w:shd w:val="clear" w:color="auto" w:fill="auto"/>
            <w:vAlign w:val="center"/>
          </w:tcPr>
          <w:p w14:paraId="562137C0">
            <w:pPr>
              <w:spacing w:line="300" w:lineRule="exact"/>
              <w:jc w:val="left"/>
              <w:rPr>
                <w:rFonts w:ascii="方正书宋_GBK" w:eastAsia="方正书宋_GBK"/>
              </w:rPr>
            </w:pPr>
          </w:p>
        </w:tc>
        <w:tc>
          <w:tcPr>
            <w:tcW w:w="2976" w:type="dxa"/>
            <w:vMerge w:val="continue"/>
            <w:shd w:val="clear" w:color="auto" w:fill="auto"/>
            <w:vAlign w:val="center"/>
          </w:tcPr>
          <w:p w14:paraId="1F72B280">
            <w:pPr>
              <w:spacing w:line="300" w:lineRule="exact"/>
              <w:jc w:val="left"/>
              <w:rPr>
                <w:rFonts w:ascii="方正书宋_GBK" w:eastAsia="方正书宋_GBK"/>
              </w:rPr>
            </w:pPr>
          </w:p>
        </w:tc>
        <w:tc>
          <w:tcPr>
            <w:tcW w:w="1417" w:type="dxa"/>
            <w:shd w:val="clear" w:color="auto" w:fill="auto"/>
            <w:vAlign w:val="center"/>
          </w:tcPr>
          <w:p w14:paraId="422D649B">
            <w:pPr>
              <w:spacing w:line="300" w:lineRule="exact"/>
              <w:jc w:val="left"/>
              <w:rPr>
                <w:rFonts w:ascii="方正书宋_GBK" w:eastAsia="方正书宋_GBK"/>
              </w:rPr>
            </w:pPr>
            <w:r>
              <w:rPr>
                <w:rFonts w:hint="eastAsia" w:ascii="方正书宋_GBK" w:eastAsia="方正书宋_GBK"/>
              </w:rPr>
              <w:t>城市公园绿地、城市植树、城镇古树名木和风景名胜资源保护完成率</w:t>
            </w:r>
          </w:p>
        </w:tc>
        <w:tc>
          <w:tcPr>
            <w:tcW w:w="737" w:type="dxa"/>
            <w:shd w:val="clear" w:color="auto" w:fill="auto"/>
            <w:vAlign w:val="center"/>
          </w:tcPr>
          <w:p w14:paraId="162FD38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5DAB84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474AC1D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6DA266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B33E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811812E">
            <w:pPr>
              <w:spacing w:line="300" w:lineRule="exact"/>
              <w:jc w:val="left"/>
              <w:rPr>
                <w:rFonts w:ascii="方正书宋_GBK" w:eastAsia="方正书宋_GBK"/>
                <w:b/>
              </w:rPr>
            </w:pPr>
          </w:p>
        </w:tc>
        <w:tc>
          <w:tcPr>
            <w:tcW w:w="1276" w:type="dxa"/>
            <w:vMerge w:val="continue"/>
            <w:shd w:val="clear" w:color="auto" w:fill="auto"/>
            <w:vAlign w:val="center"/>
          </w:tcPr>
          <w:p w14:paraId="5EC3D8E8">
            <w:pPr>
              <w:spacing w:line="300" w:lineRule="exact"/>
              <w:jc w:val="left"/>
              <w:rPr>
                <w:rFonts w:ascii="方正书宋_GBK" w:eastAsia="方正书宋_GBK"/>
              </w:rPr>
            </w:pPr>
          </w:p>
        </w:tc>
        <w:tc>
          <w:tcPr>
            <w:tcW w:w="2976" w:type="dxa"/>
            <w:vMerge w:val="continue"/>
            <w:shd w:val="clear" w:color="auto" w:fill="auto"/>
            <w:vAlign w:val="center"/>
          </w:tcPr>
          <w:p w14:paraId="02471494">
            <w:pPr>
              <w:spacing w:line="300" w:lineRule="exact"/>
              <w:jc w:val="left"/>
              <w:rPr>
                <w:rFonts w:ascii="方正书宋_GBK" w:eastAsia="方正书宋_GBK"/>
              </w:rPr>
            </w:pPr>
          </w:p>
        </w:tc>
        <w:tc>
          <w:tcPr>
            <w:tcW w:w="2976" w:type="dxa"/>
            <w:vMerge w:val="continue"/>
            <w:shd w:val="clear" w:color="auto" w:fill="auto"/>
            <w:vAlign w:val="center"/>
          </w:tcPr>
          <w:p w14:paraId="034B0940">
            <w:pPr>
              <w:spacing w:line="300" w:lineRule="exact"/>
              <w:jc w:val="left"/>
              <w:rPr>
                <w:rFonts w:ascii="方正书宋_GBK" w:eastAsia="方正书宋_GBK"/>
              </w:rPr>
            </w:pPr>
          </w:p>
        </w:tc>
        <w:tc>
          <w:tcPr>
            <w:tcW w:w="1417" w:type="dxa"/>
            <w:shd w:val="clear" w:color="auto" w:fill="auto"/>
            <w:vAlign w:val="center"/>
          </w:tcPr>
          <w:p w14:paraId="3451C054">
            <w:pPr>
              <w:spacing w:line="300" w:lineRule="exact"/>
              <w:jc w:val="left"/>
              <w:rPr>
                <w:rFonts w:ascii="方正书宋_GBK" w:eastAsia="方正书宋_GBK"/>
              </w:rPr>
            </w:pPr>
            <w:r>
              <w:rPr>
                <w:rFonts w:hint="eastAsia" w:ascii="方正书宋_GBK" w:eastAsia="方正书宋_GBK"/>
              </w:rPr>
              <w:t>市政公用事业基础设施建设及维护工作目标完成率</w:t>
            </w:r>
          </w:p>
        </w:tc>
        <w:tc>
          <w:tcPr>
            <w:tcW w:w="737" w:type="dxa"/>
            <w:shd w:val="clear" w:color="auto" w:fill="auto"/>
            <w:vAlign w:val="center"/>
          </w:tcPr>
          <w:p w14:paraId="512A04F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987EE5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444907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97095E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DB2F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1E8A9C2">
            <w:pPr>
              <w:spacing w:line="300" w:lineRule="exact"/>
              <w:jc w:val="left"/>
              <w:rPr>
                <w:rFonts w:ascii="方正书宋_GBK" w:eastAsia="方正书宋_GBK"/>
                <w:b/>
              </w:rPr>
            </w:pPr>
            <w:r>
              <w:rPr>
                <w:rFonts w:hint="eastAsia" w:ascii="方正书宋_GBK" w:eastAsia="方正书宋_GBK"/>
                <w:b/>
              </w:rPr>
              <w:t>　　城市容貌环境综合整治</w:t>
            </w:r>
          </w:p>
        </w:tc>
        <w:tc>
          <w:tcPr>
            <w:tcW w:w="1276" w:type="dxa"/>
            <w:vMerge w:val="restart"/>
            <w:shd w:val="clear" w:color="auto" w:fill="auto"/>
            <w:vAlign w:val="center"/>
          </w:tcPr>
          <w:p w14:paraId="2B20692D">
            <w:pPr>
              <w:spacing w:line="300" w:lineRule="exact"/>
              <w:jc w:val="left"/>
              <w:rPr>
                <w:rFonts w:ascii="方正书宋_GBK" w:eastAsia="方正书宋_GBK"/>
              </w:rPr>
            </w:pPr>
            <w:r>
              <w:rPr>
                <w:rFonts w:hint="eastAsia" w:ascii="方正书宋_GBK" w:eastAsia="方正书宋_GBK"/>
              </w:rPr>
              <w:t>4474.19</w:t>
            </w:r>
          </w:p>
        </w:tc>
        <w:tc>
          <w:tcPr>
            <w:tcW w:w="2976" w:type="dxa"/>
            <w:vMerge w:val="restart"/>
            <w:shd w:val="clear" w:color="auto" w:fill="auto"/>
            <w:vAlign w:val="center"/>
          </w:tcPr>
          <w:p w14:paraId="681ACDC9">
            <w:pPr>
              <w:spacing w:line="300" w:lineRule="exact"/>
              <w:jc w:val="left"/>
              <w:rPr>
                <w:rFonts w:ascii="方正书宋_GBK" w:eastAsia="方正书宋_GBK"/>
              </w:rPr>
            </w:pPr>
            <w:r>
              <w:rPr>
                <w:rFonts w:hint="eastAsia" w:ascii="方正书宋_GBK" w:eastAsia="方正书宋_GBK"/>
              </w:rPr>
              <w:t>负责城区市容环境治理、城建监察等各项工作，改善人居环境，大气污染治理。</w:t>
            </w:r>
          </w:p>
        </w:tc>
        <w:tc>
          <w:tcPr>
            <w:tcW w:w="2976" w:type="dxa"/>
            <w:vMerge w:val="restart"/>
            <w:shd w:val="clear" w:color="auto" w:fill="auto"/>
            <w:vAlign w:val="center"/>
          </w:tcPr>
          <w:p w14:paraId="473541EC">
            <w:pPr>
              <w:spacing w:line="300" w:lineRule="exact"/>
              <w:jc w:val="left"/>
              <w:rPr>
                <w:rFonts w:ascii="方正书宋_GBK" w:eastAsia="方正书宋_GBK"/>
              </w:rPr>
            </w:pPr>
            <w:r>
              <w:rPr>
                <w:rFonts w:hint="eastAsia" w:ascii="方正书宋_GBK" w:eastAsia="方正书宋_GBK"/>
              </w:rPr>
              <w:t>推进洁净城市创建进程，加强大气污染治理力度。</w:t>
            </w:r>
          </w:p>
        </w:tc>
        <w:tc>
          <w:tcPr>
            <w:tcW w:w="1417" w:type="dxa"/>
            <w:shd w:val="clear" w:color="auto" w:fill="auto"/>
            <w:vAlign w:val="center"/>
          </w:tcPr>
          <w:p w14:paraId="0CCCF60B">
            <w:pPr>
              <w:spacing w:line="300" w:lineRule="exact"/>
              <w:jc w:val="left"/>
              <w:rPr>
                <w:rFonts w:ascii="方正书宋_GBK" w:eastAsia="方正书宋_GBK"/>
              </w:rPr>
            </w:pPr>
            <w:r>
              <w:rPr>
                <w:rFonts w:hint="eastAsia" w:ascii="方正书宋_GBK" w:eastAsia="方正书宋_GBK"/>
              </w:rPr>
              <w:t>机械化清扫率</w:t>
            </w:r>
          </w:p>
        </w:tc>
        <w:tc>
          <w:tcPr>
            <w:tcW w:w="737" w:type="dxa"/>
            <w:shd w:val="clear" w:color="auto" w:fill="auto"/>
            <w:vAlign w:val="center"/>
          </w:tcPr>
          <w:p w14:paraId="0CFE89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57%</w:t>
            </w:r>
          </w:p>
        </w:tc>
        <w:tc>
          <w:tcPr>
            <w:tcW w:w="737" w:type="dxa"/>
            <w:shd w:val="clear" w:color="auto" w:fill="auto"/>
            <w:vAlign w:val="center"/>
          </w:tcPr>
          <w:p w14:paraId="4723CB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20D389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53%</w:t>
            </w:r>
          </w:p>
        </w:tc>
        <w:tc>
          <w:tcPr>
            <w:tcW w:w="737" w:type="dxa"/>
            <w:shd w:val="clear" w:color="auto" w:fill="auto"/>
            <w:vAlign w:val="center"/>
          </w:tcPr>
          <w:p w14:paraId="0EE298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53%</w:t>
            </w:r>
          </w:p>
        </w:tc>
      </w:tr>
      <w:tr w14:paraId="41905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F5646C8">
            <w:pPr>
              <w:spacing w:line="300" w:lineRule="exact"/>
              <w:jc w:val="left"/>
              <w:rPr>
                <w:rFonts w:ascii="方正书宋_GBK" w:eastAsia="方正书宋_GBK"/>
                <w:b/>
              </w:rPr>
            </w:pPr>
          </w:p>
        </w:tc>
        <w:tc>
          <w:tcPr>
            <w:tcW w:w="1276" w:type="dxa"/>
            <w:vMerge w:val="continue"/>
            <w:shd w:val="clear" w:color="auto" w:fill="auto"/>
            <w:vAlign w:val="center"/>
          </w:tcPr>
          <w:p w14:paraId="234A729F">
            <w:pPr>
              <w:spacing w:line="300" w:lineRule="exact"/>
              <w:jc w:val="left"/>
              <w:rPr>
                <w:rFonts w:ascii="方正书宋_GBK" w:eastAsia="方正书宋_GBK"/>
              </w:rPr>
            </w:pPr>
          </w:p>
        </w:tc>
        <w:tc>
          <w:tcPr>
            <w:tcW w:w="2976" w:type="dxa"/>
            <w:vMerge w:val="continue"/>
            <w:shd w:val="clear" w:color="auto" w:fill="auto"/>
            <w:vAlign w:val="center"/>
          </w:tcPr>
          <w:p w14:paraId="366D95AB">
            <w:pPr>
              <w:spacing w:line="300" w:lineRule="exact"/>
              <w:jc w:val="left"/>
              <w:rPr>
                <w:rFonts w:ascii="方正书宋_GBK" w:eastAsia="方正书宋_GBK"/>
              </w:rPr>
            </w:pPr>
          </w:p>
        </w:tc>
        <w:tc>
          <w:tcPr>
            <w:tcW w:w="2976" w:type="dxa"/>
            <w:vMerge w:val="continue"/>
            <w:shd w:val="clear" w:color="auto" w:fill="auto"/>
            <w:vAlign w:val="center"/>
          </w:tcPr>
          <w:p w14:paraId="363B50EE">
            <w:pPr>
              <w:spacing w:line="300" w:lineRule="exact"/>
              <w:jc w:val="left"/>
              <w:rPr>
                <w:rFonts w:ascii="方正书宋_GBK" w:eastAsia="方正书宋_GBK"/>
              </w:rPr>
            </w:pPr>
          </w:p>
        </w:tc>
        <w:tc>
          <w:tcPr>
            <w:tcW w:w="1417" w:type="dxa"/>
            <w:shd w:val="clear" w:color="auto" w:fill="auto"/>
            <w:vAlign w:val="center"/>
          </w:tcPr>
          <w:p w14:paraId="452FFF85">
            <w:pPr>
              <w:spacing w:line="300" w:lineRule="exact"/>
              <w:jc w:val="left"/>
              <w:rPr>
                <w:rFonts w:ascii="方正书宋_GBK" w:eastAsia="方正书宋_GBK"/>
              </w:rPr>
            </w:pPr>
            <w:r>
              <w:rPr>
                <w:rFonts w:hint="eastAsia" w:ascii="方正书宋_GBK" w:eastAsia="方正书宋_GBK"/>
              </w:rPr>
              <w:t>市容环境治理完成率</w:t>
            </w:r>
          </w:p>
        </w:tc>
        <w:tc>
          <w:tcPr>
            <w:tcW w:w="737" w:type="dxa"/>
            <w:shd w:val="clear" w:color="auto" w:fill="auto"/>
            <w:vAlign w:val="center"/>
          </w:tcPr>
          <w:p w14:paraId="3CCF3711">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AB6599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C7D312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1D2759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7B4A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F5E2DA1">
            <w:pPr>
              <w:spacing w:line="300" w:lineRule="exact"/>
              <w:jc w:val="left"/>
              <w:rPr>
                <w:rFonts w:ascii="方正书宋_GBK" w:eastAsia="方正书宋_GBK"/>
                <w:b/>
              </w:rPr>
            </w:pPr>
            <w:r>
              <w:rPr>
                <w:rFonts w:hint="eastAsia" w:ascii="方正书宋_GBK" w:eastAsia="方正书宋_GBK"/>
                <w:b/>
              </w:rPr>
              <w:t>　　推进城镇化建设</w:t>
            </w:r>
          </w:p>
        </w:tc>
        <w:tc>
          <w:tcPr>
            <w:tcW w:w="1276" w:type="dxa"/>
            <w:vMerge w:val="restart"/>
            <w:shd w:val="clear" w:color="auto" w:fill="auto"/>
            <w:vAlign w:val="center"/>
          </w:tcPr>
          <w:p w14:paraId="261CB155">
            <w:pPr>
              <w:spacing w:line="300" w:lineRule="exact"/>
              <w:jc w:val="left"/>
              <w:rPr>
                <w:rFonts w:ascii="方正书宋_GBK" w:eastAsia="方正书宋_GBK"/>
              </w:rPr>
            </w:pPr>
          </w:p>
        </w:tc>
        <w:tc>
          <w:tcPr>
            <w:tcW w:w="2976" w:type="dxa"/>
            <w:vMerge w:val="restart"/>
            <w:shd w:val="clear" w:color="auto" w:fill="auto"/>
            <w:vAlign w:val="center"/>
          </w:tcPr>
          <w:p w14:paraId="44B333FC">
            <w:pPr>
              <w:spacing w:line="300" w:lineRule="exact"/>
              <w:jc w:val="left"/>
              <w:rPr>
                <w:rFonts w:ascii="方正书宋_GBK" w:eastAsia="方正书宋_GBK"/>
              </w:rPr>
            </w:pPr>
            <w:r>
              <w:rPr>
                <w:rFonts w:hint="eastAsia" w:ascii="方正书宋_GBK" w:eastAsia="方正书宋_GBK"/>
              </w:rPr>
              <w:t>负责农村住房建设、住房安全和危房改造，推进小城镇村庄人居环境改善；推进城镇化工作，开展城乡规划提升、基础设施建设、公共服务设施配套、环境容貌治理、建筑能效提升等工作，全面提升区城建设质量和水平。</w:t>
            </w:r>
          </w:p>
        </w:tc>
        <w:tc>
          <w:tcPr>
            <w:tcW w:w="2976" w:type="dxa"/>
            <w:vMerge w:val="restart"/>
            <w:shd w:val="clear" w:color="auto" w:fill="auto"/>
            <w:vAlign w:val="center"/>
          </w:tcPr>
          <w:p w14:paraId="6422BCFE">
            <w:pPr>
              <w:spacing w:line="300" w:lineRule="exact"/>
              <w:jc w:val="left"/>
              <w:rPr>
                <w:rFonts w:ascii="方正书宋_GBK" w:eastAsia="方正书宋_GBK"/>
              </w:rPr>
            </w:pPr>
            <w:r>
              <w:rPr>
                <w:rFonts w:hint="eastAsia" w:ascii="方正书宋_GBK" w:eastAsia="方正书宋_GBK"/>
              </w:rPr>
              <w:t>加强村镇建设，改善农村人居环境，实现城乡统筹发展</w:t>
            </w:r>
          </w:p>
        </w:tc>
        <w:tc>
          <w:tcPr>
            <w:tcW w:w="1417" w:type="dxa"/>
            <w:shd w:val="clear" w:color="auto" w:fill="auto"/>
            <w:vAlign w:val="center"/>
          </w:tcPr>
          <w:p w14:paraId="3B2B8621">
            <w:pPr>
              <w:spacing w:line="300" w:lineRule="exact"/>
              <w:jc w:val="left"/>
              <w:rPr>
                <w:rFonts w:ascii="方正书宋_GBK" w:eastAsia="方正书宋_GBK"/>
              </w:rPr>
            </w:pPr>
            <w:r>
              <w:rPr>
                <w:rFonts w:hint="eastAsia" w:ascii="方正书宋_GBK" w:eastAsia="方正书宋_GBK"/>
              </w:rPr>
              <w:t>垃圾处理率</w:t>
            </w:r>
          </w:p>
        </w:tc>
        <w:tc>
          <w:tcPr>
            <w:tcW w:w="737" w:type="dxa"/>
            <w:shd w:val="clear" w:color="auto" w:fill="auto"/>
            <w:vAlign w:val="center"/>
          </w:tcPr>
          <w:p w14:paraId="252ACAF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14:paraId="50F211C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C7808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0CD1260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6E14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26C3D0B">
            <w:pPr>
              <w:spacing w:line="300" w:lineRule="exact"/>
              <w:jc w:val="left"/>
              <w:rPr>
                <w:rFonts w:ascii="方正书宋_GBK" w:eastAsia="方正书宋_GBK"/>
                <w:b/>
              </w:rPr>
            </w:pPr>
          </w:p>
        </w:tc>
        <w:tc>
          <w:tcPr>
            <w:tcW w:w="1276" w:type="dxa"/>
            <w:vMerge w:val="continue"/>
            <w:shd w:val="clear" w:color="auto" w:fill="auto"/>
            <w:vAlign w:val="center"/>
          </w:tcPr>
          <w:p w14:paraId="77B44F7D">
            <w:pPr>
              <w:spacing w:line="300" w:lineRule="exact"/>
              <w:jc w:val="left"/>
              <w:rPr>
                <w:rFonts w:ascii="方正书宋_GBK" w:eastAsia="方正书宋_GBK"/>
              </w:rPr>
            </w:pPr>
          </w:p>
        </w:tc>
        <w:tc>
          <w:tcPr>
            <w:tcW w:w="2976" w:type="dxa"/>
            <w:vMerge w:val="continue"/>
            <w:shd w:val="clear" w:color="auto" w:fill="auto"/>
            <w:vAlign w:val="center"/>
          </w:tcPr>
          <w:p w14:paraId="0B7C0460">
            <w:pPr>
              <w:spacing w:line="300" w:lineRule="exact"/>
              <w:jc w:val="left"/>
              <w:rPr>
                <w:rFonts w:ascii="方正书宋_GBK" w:eastAsia="方正书宋_GBK"/>
              </w:rPr>
            </w:pPr>
          </w:p>
        </w:tc>
        <w:tc>
          <w:tcPr>
            <w:tcW w:w="2976" w:type="dxa"/>
            <w:vMerge w:val="continue"/>
            <w:shd w:val="clear" w:color="auto" w:fill="auto"/>
            <w:vAlign w:val="center"/>
          </w:tcPr>
          <w:p w14:paraId="71C6E8EE">
            <w:pPr>
              <w:spacing w:line="300" w:lineRule="exact"/>
              <w:jc w:val="left"/>
              <w:rPr>
                <w:rFonts w:ascii="方正书宋_GBK" w:eastAsia="方正书宋_GBK"/>
              </w:rPr>
            </w:pPr>
          </w:p>
        </w:tc>
        <w:tc>
          <w:tcPr>
            <w:tcW w:w="1417" w:type="dxa"/>
            <w:shd w:val="clear" w:color="auto" w:fill="auto"/>
            <w:vAlign w:val="center"/>
          </w:tcPr>
          <w:p w14:paraId="72F43ACA">
            <w:pPr>
              <w:spacing w:line="300" w:lineRule="exact"/>
              <w:jc w:val="left"/>
              <w:rPr>
                <w:rFonts w:ascii="方正书宋_GBK" w:eastAsia="方正书宋_GBK"/>
              </w:rPr>
            </w:pPr>
            <w:r>
              <w:rPr>
                <w:rFonts w:hint="eastAsia" w:ascii="方正书宋_GBK" w:eastAsia="方正书宋_GBK"/>
              </w:rPr>
              <w:t>危房改造完成率</w:t>
            </w:r>
          </w:p>
        </w:tc>
        <w:tc>
          <w:tcPr>
            <w:tcW w:w="737" w:type="dxa"/>
            <w:shd w:val="clear" w:color="auto" w:fill="auto"/>
            <w:vAlign w:val="center"/>
          </w:tcPr>
          <w:p w14:paraId="0425EFCA">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063783D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1DC75C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595AF3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0EE8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C8DFD4E">
            <w:pPr>
              <w:spacing w:line="300" w:lineRule="exact"/>
              <w:jc w:val="left"/>
              <w:rPr>
                <w:rFonts w:ascii="方正书宋_GBK" w:eastAsia="方正书宋_GBK"/>
                <w:b/>
              </w:rPr>
            </w:pPr>
            <w:r>
              <w:rPr>
                <w:rFonts w:hint="eastAsia" w:ascii="方正书宋_GBK" w:eastAsia="方正书宋_GBK"/>
                <w:b/>
              </w:rPr>
              <w:t>城管政务管理</w:t>
            </w:r>
          </w:p>
        </w:tc>
        <w:tc>
          <w:tcPr>
            <w:tcW w:w="1276" w:type="dxa"/>
            <w:shd w:val="clear" w:color="auto" w:fill="auto"/>
            <w:vAlign w:val="center"/>
          </w:tcPr>
          <w:p w14:paraId="47883DB6">
            <w:pPr>
              <w:spacing w:line="300" w:lineRule="exact"/>
              <w:jc w:val="left"/>
              <w:rPr>
                <w:rFonts w:ascii="方正书宋_GBK" w:eastAsia="方正书宋_GBK"/>
              </w:rPr>
            </w:pPr>
          </w:p>
        </w:tc>
        <w:tc>
          <w:tcPr>
            <w:tcW w:w="2976" w:type="dxa"/>
            <w:shd w:val="clear" w:color="auto" w:fill="auto"/>
            <w:vAlign w:val="center"/>
          </w:tcPr>
          <w:p w14:paraId="012EC1F5">
            <w:pPr>
              <w:spacing w:line="300" w:lineRule="exact"/>
              <w:jc w:val="left"/>
              <w:rPr>
                <w:rFonts w:ascii="方正书宋_GBK" w:eastAsia="方正书宋_GBK"/>
              </w:rPr>
            </w:pPr>
            <w:r>
              <w:rPr>
                <w:rFonts w:hint="eastAsia" w:ascii="方正书宋_GBK" w:eastAsia="方正书宋_GBK"/>
              </w:rPr>
              <w:t>负责城管系统综合业务管理和机关综合事务管理。</w:t>
            </w:r>
          </w:p>
        </w:tc>
        <w:tc>
          <w:tcPr>
            <w:tcW w:w="2976" w:type="dxa"/>
            <w:shd w:val="clear" w:color="auto" w:fill="auto"/>
            <w:vAlign w:val="center"/>
          </w:tcPr>
          <w:p w14:paraId="5482E673">
            <w:pPr>
              <w:spacing w:line="300" w:lineRule="exact"/>
              <w:jc w:val="left"/>
              <w:rPr>
                <w:rFonts w:ascii="方正书宋_GBK" w:eastAsia="方正书宋_GBK"/>
              </w:rPr>
            </w:pPr>
            <w:r>
              <w:rPr>
                <w:rFonts w:hint="eastAsia" w:ascii="方正书宋_GBK" w:eastAsia="方正书宋_GBK"/>
              </w:rPr>
              <w:t>加强全区城管执法人才队伍建设，提高人才业务素质，提高行业水平。提升机关及行业信息化水平，保障各类业务系统安全稳定运行。规范审批行为，推进政务公开，增加服务意识，提高工作效率。</w:t>
            </w:r>
          </w:p>
        </w:tc>
        <w:tc>
          <w:tcPr>
            <w:tcW w:w="1417" w:type="dxa"/>
            <w:shd w:val="clear" w:color="auto" w:fill="auto"/>
            <w:vAlign w:val="center"/>
          </w:tcPr>
          <w:p w14:paraId="5B237E5B">
            <w:pPr>
              <w:spacing w:line="300" w:lineRule="exact"/>
              <w:jc w:val="left"/>
              <w:rPr>
                <w:rFonts w:ascii="方正书宋_GBK" w:eastAsia="方正书宋_GBK"/>
              </w:rPr>
            </w:pPr>
          </w:p>
        </w:tc>
        <w:tc>
          <w:tcPr>
            <w:tcW w:w="737" w:type="dxa"/>
            <w:shd w:val="clear" w:color="auto" w:fill="auto"/>
            <w:vAlign w:val="center"/>
          </w:tcPr>
          <w:p w14:paraId="16CB6F9A">
            <w:pPr>
              <w:spacing w:line="300" w:lineRule="exact"/>
              <w:jc w:val="center"/>
              <w:rPr>
                <w:rFonts w:ascii="方正书宋_GBK" w:eastAsia="方正书宋_GBK"/>
              </w:rPr>
            </w:pPr>
          </w:p>
        </w:tc>
        <w:tc>
          <w:tcPr>
            <w:tcW w:w="737" w:type="dxa"/>
            <w:shd w:val="clear" w:color="auto" w:fill="auto"/>
            <w:vAlign w:val="center"/>
          </w:tcPr>
          <w:p w14:paraId="6DF54F7C">
            <w:pPr>
              <w:spacing w:line="300" w:lineRule="exact"/>
              <w:jc w:val="center"/>
              <w:rPr>
                <w:rFonts w:ascii="方正书宋_GBK" w:eastAsia="方正书宋_GBK"/>
              </w:rPr>
            </w:pPr>
          </w:p>
        </w:tc>
        <w:tc>
          <w:tcPr>
            <w:tcW w:w="737" w:type="dxa"/>
            <w:shd w:val="clear" w:color="auto" w:fill="auto"/>
            <w:vAlign w:val="center"/>
          </w:tcPr>
          <w:p w14:paraId="4CB7B8A1">
            <w:pPr>
              <w:spacing w:line="300" w:lineRule="exact"/>
              <w:jc w:val="center"/>
              <w:rPr>
                <w:rFonts w:ascii="方正书宋_GBK" w:eastAsia="方正书宋_GBK"/>
              </w:rPr>
            </w:pPr>
          </w:p>
        </w:tc>
        <w:tc>
          <w:tcPr>
            <w:tcW w:w="737" w:type="dxa"/>
            <w:shd w:val="clear" w:color="auto" w:fill="auto"/>
            <w:vAlign w:val="center"/>
          </w:tcPr>
          <w:p w14:paraId="7CA4FD89">
            <w:pPr>
              <w:spacing w:line="300" w:lineRule="exact"/>
              <w:jc w:val="center"/>
              <w:rPr>
                <w:rFonts w:ascii="方正书宋_GBK" w:eastAsia="方正书宋_GBK"/>
              </w:rPr>
            </w:pPr>
          </w:p>
        </w:tc>
      </w:tr>
      <w:tr w14:paraId="7CF79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7959055">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14:paraId="74B82979">
            <w:pPr>
              <w:spacing w:line="300" w:lineRule="exact"/>
              <w:jc w:val="left"/>
              <w:rPr>
                <w:rFonts w:ascii="方正书宋_GBK" w:eastAsia="方正书宋_GBK"/>
              </w:rPr>
            </w:pPr>
          </w:p>
        </w:tc>
        <w:tc>
          <w:tcPr>
            <w:tcW w:w="2976" w:type="dxa"/>
            <w:shd w:val="clear" w:color="auto" w:fill="auto"/>
            <w:vAlign w:val="center"/>
          </w:tcPr>
          <w:p w14:paraId="3CCC7100">
            <w:pPr>
              <w:spacing w:line="300" w:lineRule="exact"/>
              <w:jc w:val="left"/>
              <w:rPr>
                <w:rFonts w:ascii="方正书宋_GBK" w:eastAsia="方正书宋_GBK"/>
              </w:rPr>
            </w:pPr>
            <w:r>
              <w:rPr>
                <w:rFonts w:hint="eastAsia" w:ascii="方正书宋_GBK" w:eastAsia="方正书宋_GBK"/>
              </w:rPr>
              <w:t>调研提出城管执法工作规划和建议，工作部署、协调推动、督促指导、行政审批、业务监管及区委、政府交办的其他事项等行政管理事项。</w:t>
            </w:r>
          </w:p>
        </w:tc>
        <w:tc>
          <w:tcPr>
            <w:tcW w:w="2976" w:type="dxa"/>
            <w:shd w:val="clear" w:color="auto" w:fill="auto"/>
            <w:vAlign w:val="center"/>
          </w:tcPr>
          <w:p w14:paraId="301910A1">
            <w:pPr>
              <w:spacing w:line="300" w:lineRule="exact"/>
              <w:jc w:val="left"/>
              <w:rPr>
                <w:rFonts w:ascii="方正书宋_GBK" w:eastAsia="方正书宋_GBK"/>
              </w:rPr>
            </w:pPr>
            <w:r>
              <w:rPr>
                <w:rFonts w:hint="eastAsia" w:ascii="方正书宋_GBK" w:eastAsia="方正书宋_GBK"/>
              </w:rPr>
              <w:t>加强管理，圆满完成区委、区政府交办任务</w:t>
            </w:r>
          </w:p>
        </w:tc>
        <w:tc>
          <w:tcPr>
            <w:tcW w:w="1417" w:type="dxa"/>
            <w:shd w:val="clear" w:color="auto" w:fill="auto"/>
            <w:vAlign w:val="center"/>
          </w:tcPr>
          <w:p w14:paraId="2B7C0166">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14:paraId="0EB6455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0DF75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E7F7FA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7FA76B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A69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97BEB26">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14:paraId="1422C4D8">
            <w:pPr>
              <w:spacing w:line="300" w:lineRule="exact"/>
              <w:jc w:val="left"/>
              <w:rPr>
                <w:rFonts w:ascii="方正书宋_GBK" w:eastAsia="方正书宋_GBK"/>
              </w:rPr>
            </w:pPr>
          </w:p>
        </w:tc>
        <w:tc>
          <w:tcPr>
            <w:tcW w:w="2976" w:type="dxa"/>
            <w:shd w:val="clear" w:color="auto" w:fill="auto"/>
            <w:vAlign w:val="center"/>
          </w:tcPr>
          <w:p w14:paraId="6FE912DC">
            <w:pPr>
              <w:spacing w:line="300" w:lineRule="exact"/>
              <w:jc w:val="left"/>
              <w:rPr>
                <w:rFonts w:ascii="方正书宋_GBK" w:eastAsia="方正书宋_GBK"/>
              </w:rPr>
            </w:pPr>
            <w:r>
              <w:rPr>
                <w:rFonts w:hint="eastAsia" w:ascii="方正书宋_GBK" w:eastAsia="方正书宋_GBK"/>
              </w:rPr>
              <w:t>加强机关事务性管理，开展机关自身能力建设。</w:t>
            </w:r>
          </w:p>
        </w:tc>
        <w:tc>
          <w:tcPr>
            <w:tcW w:w="2976" w:type="dxa"/>
            <w:shd w:val="clear" w:color="auto" w:fill="auto"/>
            <w:vAlign w:val="center"/>
          </w:tcPr>
          <w:p w14:paraId="0FE83E0E">
            <w:pPr>
              <w:spacing w:line="300" w:lineRule="exact"/>
              <w:jc w:val="left"/>
              <w:rPr>
                <w:rFonts w:ascii="方正书宋_GBK" w:eastAsia="方正书宋_GBK"/>
              </w:rPr>
            </w:pPr>
            <w:r>
              <w:rPr>
                <w:rFonts w:hint="eastAsia" w:ascii="方正书宋_GBK" w:eastAsia="方正书宋_GBK"/>
              </w:rPr>
              <w:t>加强机关事务性管理，提高机关自身工作能力。</w:t>
            </w:r>
          </w:p>
        </w:tc>
        <w:tc>
          <w:tcPr>
            <w:tcW w:w="1417" w:type="dxa"/>
            <w:shd w:val="clear" w:color="auto" w:fill="auto"/>
            <w:vAlign w:val="center"/>
          </w:tcPr>
          <w:p w14:paraId="03BFAA04">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14:paraId="4A334C6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B44E79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57FD69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0E5243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14:paraId="2D7F4D2C">
      <w:pPr>
        <w:spacing w:line="600" w:lineRule="exact"/>
        <w:ind w:left="643"/>
        <w:rPr>
          <w:rStyle w:val="7"/>
          <w:rFonts w:ascii="黑体" w:eastAsia="黑体"/>
          <w:b w:val="0"/>
          <w:bCs w:val="0"/>
          <w:sz w:val="32"/>
          <w:szCs w:val="21"/>
        </w:rPr>
      </w:pPr>
    </w:p>
    <w:p w14:paraId="66BEE57B">
      <w:pPr>
        <w:spacing w:line="360" w:lineRule="auto"/>
        <w:ind w:firstLine="640" w:firstLineChars="200"/>
        <w:rPr>
          <w:rFonts w:ascii="仿宋" w:hAnsi="仿宋" w:eastAsia="仿宋"/>
          <w:sz w:val="32"/>
          <w:szCs w:val="32"/>
        </w:rPr>
      </w:pPr>
    </w:p>
    <w:p w14:paraId="7ED348BC">
      <w:pPr>
        <w:spacing w:line="360" w:lineRule="auto"/>
        <w:ind w:firstLine="640" w:firstLineChars="200"/>
        <w:rPr>
          <w:rFonts w:ascii="仿宋" w:hAnsi="仿宋" w:eastAsia="仿宋"/>
          <w:sz w:val="32"/>
          <w:szCs w:val="32"/>
        </w:rPr>
      </w:pPr>
    </w:p>
    <w:p w14:paraId="42AFE133">
      <w:pPr>
        <w:spacing w:line="360" w:lineRule="auto"/>
        <w:ind w:firstLine="640" w:firstLineChars="200"/>
        <w:rPr>
          <w:rFonts w:ascii="仿宋" w:hAnsi="仿宋" w:eastAsia="仿宋"/>
          <w:sz w:val="32"/>
          <w:szCs w:val="32"/>
        </w:rPr>
      </w:pPr>
    </w:p>
    <w:p w14:paraId="0AD59AE4">
      <w:pPr>
        <w:spacing w:line="360" w:lineRule="auto"/>
        <w:ind w:firstLine="640" w:firstLineChars="200"/>
        <w:rPr>
          <w:rFonts w:ascii="仿宋" w:hAnsi="仿宋" w:eastAsia="仿宋"/>
          <w:sz w:val="32"/>
          <w:szCs w:val="32"/>
        </w:rPr>
      </w:pPr>
    </w:p>
    <w:p w14:paraId="10238453">
      <w:pPr>
        <w:spacing w:line="360" w:lineRule="auto"/>
        <w:ind w:firstLine="640" w:firstLineChars="200"/>
        <w:rPr>
          <w:rFonts w:ascii="仿宋" w:hAnsi="仿宋" w:eastAsia="仿宋"/>
          <w:sz w:val="32"/>
          <w:szCs w:val="32"/>
        </w:rPr>
      </w:pPr>
    </w:p>
    <w:p w14:paraId="04044160">
      <w:pPr>
        <w:spacing w:line="360" w:lineRule="auto"/>
        <w:ind w:firstLine="640" w:firstLineChars="200"/>
        <w:rPr>
          <w:rFonts w:ascii="仿宋" w:hAnsi="仿宋" w:eastAsia="仿宋"/>
          <w:sz w:val="32"/>
          <w:szCs w:val="32"/>
        </w:rPr>
      </w:pPr>
    </w:p>
    <w:p w14:paraId="401F496B">
      <w:pPr>
        <w:spacing w:line="360" w:lineRule="auto"/>
        <w:ind w:firstLine="640" w:firstLineChars="200"/>
        <w:rPr>
          <w:rFonts w:ascii="仿宋" w:hAnsi="仿宋" w:eastAsia="仿宋"/>
          <w:sz w:val="32"/>
          <w:szCs w:val="32"/>
        </w:rPr>
      </w:pPr>
    </w:p>
    <w:p w14:paraId="4C1C1583">
      <w:pPr>
        <w:spacing w:line="360" w:lineRule="auto"/>
        <w:ind w:firstLine="640" w:firstLineChars="200"/>
        <w:rPr>
          <w:rFonts w:ascii="仿宋" w:hAnsi="仿宋" w:eastAsia="仿宋"/>
          <w:sz w:val="32"/>
          <w:szCs w:val="32"/>
        </w:rPr>
      </w:pPr>
    </w:p>
    <w:p w14:paraId="060422C7">
      <w:pPr>
        <w:spacing w:line="360" w:lineRule="auto"/>
        <w:ind w:firstLine="640" w:firstLineChars="200"/>
        <w:rPr>
          <w:rFonts w:ascii="仿宋" w:hAnsi="仿宋" w:eastAsia="仿宋"/>
          <w:sz w:val="32"/>
          <w:szCs w:val="32"/>
        </w:rPr>
      </w:pPr>
    </w:p>
    <w:p w14:paraId="5AD4397F">
      <w:pPr>
        <w:spacing w:line="360" w:lineRule="auto"/>
        <w:ind w:firstLine="640" w:firstLineChars="200"/>
        <w:rPr>
          <w:rFonts w:ascii="仿宋" w:hAnsi="仿宋" w:eastAsia="仿宋"/>
          <w:sz w:val="32"/>
          <w:szCs w:val="32"/>
        </w:rPr>
      </w:pPr>
    </w:p>
    <w:p w14:paraId="09AC7059">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14:paraId="2E17FA1A">
      <w:pPr>
        <w:spacing w:line="360" w:lineRule="auto"/>
        <w:ind w:firstLine="640" w:firstLineChars="200"/>
        <w:rPr>
          <w:rFonts w:ascii="仿宋" w:hAnsi="仿宋" w:eastAsia="仿宋"/>
          <w:sz w:val="32"/>
          <w:szCs w:val="32"/>
        </w:rPr>
      </w:pPr>
      <w:r>
        <w:rPr>
          <w:rFonts w:ascii="仿宋" w:hAnsi="仿宋" w:eastAsia="仿宋"/>
          <w:sz w:val="32"/>
          <w:szCs w:val="32"/>
        </w:rPr>
        <w:t>2019年我部门安排政府采购预算</w:t>
      </w:r>
      <w:r>
        <w:rPr>
          <w:rFonts w:hint="eastAsia" w:ascii="仿宋" w:hAnsi="仿宋" w:eastAsia="仿宋"/>
          <w:sz w:val="32"/>
          <w:szCs w:val="32"/>
        </w:rPr>
        <w:t>623.7</w:t>
      </w:r>
      <w:r>
        <w:rPr>
          <w:rFonts w:ascii="仿宋" w:hAnsi="仿宋" w:eastAsia="仿宋"/>
          <w:sz w:val="32"/>
          <w:szCs w:val="32"/>
        </w:rPr>
        <w:t>万元，具体内容见下表：</w:t>
      </w:r>
    </w:p>
    <w:tbl>
      <w:tblPr>
        <w:tblStyle w:val="5"/>
        <w:tblW w:w="155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9"/>
        <w:gridCol w:w="851"/>
        <w:gridCol w:w="708"/>
        <w:gridCol w:w="826"/>
        <w:gridCol w:w="549"/>
        <w:gridCol w:w="555"/>
        <w:gridCol w:w="500"/>
        <w:gridCol w:w="897"/>
        <w:gridCol w:w="992"/>
        <w:gridCol w:w="1134"/>
        <w:gridCol w:w="851"/>
        <w:gridCol w:w="850"/>
        <w:gridCol w:w="851"/>
        <w:gridCol w:w="1062"/>
      </w:tblGrid>
      <w:tr w14:paraId="353E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958" w:type="dxa"/>
            <w:gridSpan w:val="7"/>
            <w:tcBorders>
              <w:top w:val="single" w:color="FFFFFF" w:sz="6" w:space="0"/>
              <w:left w:val="single" w:color="FFFFFF" w:sz="6" w:space="0"/>
              <w:right w:val="single" w:color="FFFFFF" w:sz="6" w:space="0"/>
            </w:tcBorders>
            <w:vAlign w:val="center"/>
          </w:tcPr>
          <w:p w14:paraId="5E81602A">
            <w:pPr>
              <w:spacing w:line="700" w:lineRule="exact"/>
              <w:jc w:val="left"/>
              <w:rPr>
                <w:rFonts w:ascii="方正小标宋_GBK" w:eastAsia="方正小标宋_GBK"/>
                <w:sz w:val="24"/>
              </w:rPr>
            </w:pPr>
            <w:r>
              <w:rPr>
                <w:rFonts w:hint="eastAsia" w:ascii="方正小标宋_GBK" w:hAnsi="方正小标宋_GBK" w:eastAsia="方正小标宋_GBK" w:cs="方正小标宋_GBK"/>
                <w:sz w:val="24"/>
              </w:rPr>
              <w:t>©</w:t>
            </w:r>
          </w:p>
        </w:tc>
        <w:tc>
          <w:tcPr>
            <w:tcW w:w="6637" w:type="dxa"/>
            <w:gridSpan w:val="7"/>
            <w:tcBorders>
              <w:top w:val="single" w:color="FFFFFF" w:sz="6" w:space="0"/>
              <w:left w:val="single" w:color="FFFFFF" w:sz="6" w:space="0"/>
              <w:right w:val="single" w:color="FFFFFF" w:sz="6" w:space="0"/>
            </w:tcBorders>
            <w:vAlign w:val="center"/>
          </w:tcPr>
          <w:p w14:paraId="04FCDAB9">
            <w:pPr>
              <w:spacing w:line="700" w:lineRule="exact"/>
              <w:jc w:val="right"/>
              <w:rPr>
                <w:rFonts w:ascii="方正书宋_GBK" w:eastAsia="方正书宋_GBK"/>
                <w:sz w:val="24"/>
              </w:rPr>
            </w:pPr>
            <w:r>
              <w:rPr>
                <w:rFonts w:hint="eastAsia" w:ascii="宋体" w:hAnsi="宋体" w:cs="宋体"/>
                <w:sz w:val="24"/>
              </w:rPr>
              <w:t>单位：万元</w:t>
            </w:r>
          </w:p>
        </w:tc>
      </w:tr>
      <w:tr w14:paraId="343E1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820" w:type="dxa"/>
            <w:gridSpan w:val="2"/>
            <w:vAlign w:val="center"/>
          </w:tcPr>
          <w:p w14:paraId="4113E333">
            <w:pPr>
              <w:spacing w:line="700" w:lineRule="exact"/>
              <w:jc w:val="center"/>
              <w:rPr>
                <w:rFonts w:ascii="方正书宋_GBK" w:eastAsia="方正书宋_GBK"/>
                <w:b/>
              </w:rPr>
            </w:pPr>
            <w:r>
              <w:rPr>
                <w:rFonts w:hint="eastAsia" w:ascii="宋体" w:hAnsi="宋体" w:cs="宋体"/>
                <w:b/>
              </w:rPr>
              <w:t>政府采购项目来源</w:t>
            </w:r>
          </w:p>
        </w:tc>
        <w:tc>
          <w:tcPr>
            <w:tcW w:w="708" w:type="dxa"/>
            <w:vMerge w:val="restart"/>
            <w:vAlign w:val="center"/>
          </w:tcPr>
          <w:p w14:paraId="0A965E11">
            <w:pPr>
              <w:spacing w:line="700" w:lineRule="exact"/>
              <w:jc w:val="center"/>
              <w:rPr>
                <w:rFonts w:ascii="方正书宋_GBK" w:eastAsia="方正书宋_GBK"/>
                <w:b/>
              </w:rPr>
            </w:pPr>
            <w:r>
              <w:rPr>
                <w:rFonts w:hint="eastAsia" w:ascii="宋体" w:hAnsi="宋体" w:cs="宋体"/>
                <w:b/>
              </w:rPr>
              <w:t>采购物品名称</w:t>
            </w:r>
          </w:p>
        </w:tc>
        <w:tc>
          <w:tcPr>
            <w:tcW w:w="826" w:type="dxa"/>
            <w:vMerge w:val="restart"/>
            <w:vAlign w:val="center"/>
          </w:tcPr>
          <w:p w14:paraId="0032CE58">
            <w:pPr>
              <w:spacing w:line="700" w:lineRule="exact"/>
              <w:jc w:val="center"/>
              <w:rPr>
                <w:rFonts w:ascii="方正书宋_GBK" w:eastAsia="方正书宋_GBK"/>
                <w:b/>
              </w:rPr>
            </w:pPr>
            <w:r>
              <w:rPr>
                <w:rFonts w:hint="eastAsia" w:ascii="宋体" w:hAnsi="宋体" w:cs="宋体"/>
                <w:b/>
              </w:rPr>
              <w:t>政府采购目录序号</w:t>
            </w:r>
          </w:p>
        </w:tc>
        <w:tc>
          <w:tcPr>
            <w:tcW w:w="549" w:type="dxa"/>
            <w:vMerge w:val="restart"/>
            <w:vAlign w:val="center"/>
          </w:tcPr>
          <w:p w14:paraId="6408753A">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555" w:type="dxa"/>
            <w:vMerge w:val="restart"/>
            <w:vAlign w:val="center"/>
          </w:tcPr>
          <w:p w14:paraId="3244AB99">
            <w:pPr>
              <w:spacing w:line="700" w:lineRule="exact"/>
              <w:jc w:val="center"/>
              <w:rPr>
                <w:rFonts w:ascii="方正书宋_GBK" w:eastAsia="方正书宋_GBK"/>
                <w:b/>
              </w:rPr>
            </w:pPr>
            <w:r>
              <w:rPr>
                <w:rFonts w:hint="eastAsia" w:ascii="宋体" w:hAnsi="宋体" w:cs="宋体"/>
                <w:b/>
              </w:rPr>
              <w:t>数量</w:t>
            </w:r>
          </w:p>
        </w:tc>
        <w:tc>
          <w:tcPr>
            <w:tcW w:w="500" w:type="dxa"/>
            <w:vMerge w:val="restart"/>
            <w:vAlign w:val="center"/>
          </w:tcPr>
          <w:p w14:paraId="07C50CB6">
            <w:pPr>
              <w:spacing w:line="700" w:lineRule="exact"/>
              <w:jc w:val="center"/>
              <w:rPr>
                <w:rFonts w:ascii="方正书宋_GBK" w:eastAsia="方正书宋_GBK"/>
                <w:b/>
              </w:rPr>
            </w:pPr>
            <w:r>
              <w:rPr>
                <w:rFonts w:hint="eastAsia" w:ascii="宋体" w:hAnsi="宋体" w:cs="宋体"/>
                <w:b/>
              </w:rPr>
              <w:t>单价</w:t>
            </w:r>
          </w:p>
        </w:tc>
        <w:tc>
          <w:tcPr>
            <w:tcW w:w="6637" w:type="dxa"/>
            <w:gridSpan w:val="7"/>
            <w:vAlign w:val="center"/>
          </w:tcPr>
          <w:p w14:paraId="513E9E40">
            <w:pPr>
              <w:spacing w:line="700" w:lineRule="exact"/>
              <w:jc w:val="center"/>
              <w:rPr>
                <w:rFonts w:ascii="方正书宋_GBK" w:eastAsia="方正书宋_GBK"/>
                <w:b/>
              </w:rPr>
            </w:pPr>
            <w:r>
              <w:rPr>
                <w:rFonts w:hint="eastAsia" w:ascii="宋体" w:hAnsi="宋体" w:cs="宋体"/>
                <w:b/>
              </w:rPr>
              <w:t>政府采购金额</w:t>
            </w:r>
          </w:p>
        </w:tc>
      </w:tr>
      <w:tr w14:paraId="566B1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69" w:type="dxa"/>
            <w:vMerge w:val="restart"/>
            <w:vAlign w:val="center"/>
          </w:tcPr>
          <w:p w14:paraId="59D1EE18">
            <w:pPr>
              <w:spacing w:line="700" w:lineRule="exact"/>
              <w:jc w:val="center"/>
              <w:rPr>
                <w:rFonts w:ascii="方正书宋_GBK" w:eastAsia="方正书宋_GBK"/>
                <w:b/>
              </w:rPr>
            </w:pPr>
            <w:r>
              <w:rPr>
                <w:rFonts w:hint="eastAsia" w:ascii="宋体" w:hAnsi="宋体" w:cs="宋体"/>
                <w:b/>
              </w:rPr>
              <w:t>项目名称</w:t>
            </w:r>
          </w:p>
        </w:tc>
        <w:tc>
          <w:tcPr>
            <w:tcW w:w="851" w:type="dxa"/>
            <w:vMerge w:val="restart"/>
            <w:vAlign w:val="center"/>
          </w:tcPr>
          <w:p w14:paraId="0179BA32">
            <w:pPr>
              <w:spacing w:line="700" w:lineRule="exact"/>
              <w:jc w:val="center"/>
              <w:rPr>
                <w:rFonts w:ascii="方正书宋_GBK" w:eastAsia="方正书宋_GBK"/>
                <w:b/>
              </w:rPr>
            </w:pPr>
            <w:r>
              <w:rPr>
                <w:rFonts w:hint="eastAsia" w:ascii="宋体" w:hAnsi="宋体" w:cs="宋体"/>
                <w:b/>
              </w:rPr>
              <w:t>预算资金</w:t>
            </w:r>
          </w:p>
        </w:tc>
        <w:tc>
          <w:tcPr>
            <w:tcW w:w="708" w:type="dxa"/>
            <w:vMerge w:val="continue"/>
            <w:vAlign w:val="center"/>
          </w:tcPr>
          <w:p w14:paraId="58CF809F">
            <w:pPr>
              <w:spacing w:line="700" w:lineRule="exact"/>
              <w:jc w:val="left"/>
              <w:outlineLvl w:val="0"/>
            </w:pPr>
          </w:p>
        </w:tc>
        <w:tc>
          <w:tcPr>
            <w:tcW w:w="826" w:type="dxa"/>
            <w:vMerge w:val="continue"/>
            <w:vAlign w:val="center"/>
          </w:tcPr>
          <w:p w14:paraId="7D9801BB">
            <w:pPr>
              <w:spacing w:line="700" w:lineRule="exact"/>
              <w:jc w:val="left"/>
              <w:outlineLvl w:val="0"/>
            </w:pPr>
          </w:p>
        </w:tc>
        <w:tc>
          <w:tcPr>
            <w:tcW w:w="549" w:type="dxa"/>
            <w:vMerge w:val="continue"/>
            <w:vAlign w:val="center"/>
          </w:tcPr>
          <w:p w14:paraId="1E008E97">
            <w:pPr>
              <w:spacing w:line="700" w:lineRule="exact"/>
              <w:jc w:val="left"/>
              <w:outlineLvl w:val="0"/>
            </w:pPr>
          </w:p>
        </w:tc>
        <w:tc>
          <w:tcPr>
            <w:tcW w:w="555" w:type="dxa"/>
            <w:vMerge w:val="continue"/>
            <w:vAlign w:val="center"/>
          </w:tcPr>
          <w:p w14:paraId="79F70F95">
            <w:pPr>
              <w:spacing w:line="700" w:lineRule="exact"/>
              <w:jc w:val="left"/>
              <w:outlineLvl w:val="0"/>
            </w:pPr>
          </w:p>
        </w:tc>
        <w:tc>
          <w:tcPr>
            <w:tcW w:w="500" w:type="dxa"/>
            <w:vMerge w:val="continue"/>
            <w:vAlign w:val="center"/>
          </w:tcPr>
          <w:p w14:paraId="636BB333">
            <w:pPr>
              <w:spacing w:line="700" w:lineRule="exact"/>
              <w:jc w:val="left"/>
              <w:outlineLvl w:val="0"/>
            </w:pPr>
          </w:p>
        </w:tc>
        <w:tc>
          <w:tcPr>
            <w:tcW w:w="897" w:type="dxa"/>
            <w:vMerge w:val="restart"/>
            <w:vAlign w:val="center"/>
          </w:tcPr>
          <w:p w14:paraId="4BAFFFC3">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14:paraId="287CCBEA">
            <w:pPr>
              <w:spacing w:line="700" w:lineRule="exact"/>
              <w:jc w:val="center"/>
              <w:rPr>
                <w:rFonts w:ascii="方正书宋_GBK" w:eastAsia="方正书宋_GBK"/>
                <w:b/>
              </w:rPr>
            </w:pPr>
            <w:r>
              <w:rPr>
                <w:rFonts w:hint="eastAsia" w:ascii="宋体" w:hAnsi="宋体" w:cs="宋体"/>
                <w:b/>
              </w:rPr>
              <w:t>当年部门预算安排资金</w:t>
            </w:r>
          </w:p>
        </w:tc>
        <w:tc>
          <w:tcPr>
            <w:tcW w:w="1062" w:type="dxa"/>
            <w:vMerge w:val="restart"/>
            <w:vAlign w:val="center"/>
          </w:tcPr>
          <w:p w14:paraId="1C776D5A">
            <w:pPr>
              <w:spacing w:line="700" w:lineRule="exact"/>
              <w:jc w:val="center"/>
              <w:rPr>
                <w:rFonts w:ascii="方正书宋_GBK" w:eastAsia="方正书宋_GBK"/>
                <w:b/>
              </w:rPr>
            </w:pPr>
            <w:r>
              <w:rPr>
                <w:rFonts w:hint="eastAsia" w:ascii="宋体" w:hAnsi="宋体" w:cs="宋体"/>
                <w:b/>
              </w:rPr>
              <w:t>其他渠道资金</w:t>
            </w:r>
          </w:p>
        </w:tc>
      </w:tr>
      <w:tr w14:paraId="1A8E8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69" w:type="dxa"/>
            <w:vMerge w:val="continue"/>
            <w:vAlign w:val="center"/>
          </w:tcPr>
          <w:p w14:paraId="0CA3641E">
            <w:pPr>
              <w:spacing w:line="700" w:lineRule="exact"/>
              <w:jc w:val="left"/>
              <w:outlineLvl w:val="0"/>
            </w:pPr>
          </w:p>
        </w:tc>
        <w:tc>
          <w:tcPr>
            <w:tcW w:w="851" w:type="dxa"/>
            <w:vMerge w:val="continue"/>
            <w:vAlign w:val="center"/>
          </w:tcPr>
          <w:p w14:paraId="5C73E51C">
            <w:pPr>
              <w:spacing w:line="700" w:lineRule="exact"/>
              <w:jc w:val="left"/>
              <w:outlineLvl w:val="0"/>
            </w:pPr>
          </w:p>
        </w:tc>
        <w:tc>
          <w:tcPr>
            <w:tcW w:w="708" w:type="dxa"/>
            <w:vMerge w:val="continue"/>
            <w:vAlign w:val="center"/>
          </w:tcPr>
          <w:p w14:paraId="3DC3F3DE">
            <w:pPr>
              <w:spacing w:line="700" w:lineRule="exact"/>
              <w:jc w:val="left"/>
              <w:outlineLvl w:val="0"/>
            </w:pPr>
          </w:p>
        </w:tc>
        <w:tc>
          <w:tcPr>
            <w:tcW w:w="826" w:type="dxa"/>
            <w:vMerge w:val="continue"/>
            <w:vAlign w:val="center"/>
          </w:tcPr>
          <w:p w14:paraId="52A651D4">
            <w:pPr>
              <w:spacing w:line="700" w:lineRule="exact"/>
              <w:jc w:val="left"/>
              <w:outlineLvl w:val="0"/>
            </w:pPr>
          </w:p>
        </w:tc>
        <w:tc>
          <w:tcPr>
            <w:tcW w:w="549" w:type="dxa"/>
            <w:vMerge w:val="continue"/>
            <w:vAlign w:val="center"/>
          </w:tcPr>
          <w:p w14:paraId="16DE244B">
            <w:pPr>
              <w:spacing w:line="700" w:lineRule="exact"/>
              <w:jc w:val="left"/>
              <w:outlineLvl w:val="0"/>
            </w:pPr>
          </w:p>
        </w:tc>
        <w:tc>
          <w:tcPr>
            <w:tcW w:w="555" w:type="dxa"/>
            <w:vMerge w:val="continue"/>
            <w:vAlign w:val="center"/>
          </w:tcPr>
          <w:p w14:paraId="2BAC7FA7">
            <w:pPr>
              <w:spacing w:line="700" w:lineRule="exact"/>
              <w:jc w:val="left"/>
              <w:outlineLvl w:val="0"/>
            </w:pPr>
          </w:p>
        </w:tc>
        <w:tc>
          <w:tcPr>
            <w:tcW w:w="500" w:type="dxa"/>
            <w:vMerge w:val="continue"/>
            <w:vAlign w:val="center"/>
          </w:tcPr>
          <w:p w14:paraId="21F450E0">
            <w:pPr>
              <w:spacing w:line="700" w:lineRule="exact"/>
              <w:jc w:val="left"/>
              <w:outlineLvl w:val="0"/>
            </w:pPr>
          </w:p>
        </w:tc>
        <w:tc>
          <w:tcPr>
            <w:tcW w:w="897" w:type="dxa"/>
            <w:vMerge w:val="continue"/>
            <w:vAlign w:val="center"/>
          </w:tcPr>
          <w:p w14:paraId="1F4CAC02">
            <w:pPr>
              <w:spacing w:line="700" w:lineRule="exact"/>
              <w:jc w:val="left"/>
              <w:outlineLvl w:val="0"/>
            </w:pPr>
          </w:p>
        </w:tc>
        <w:tc>
          <w:tcPr>
            <w:tcW w:w="992" w:type="dxa"/>
            <w:vAlign w:val="center"/>
          </w:tcPr>
          <w:p w14:paraId="2140C905">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14:paraId="2AC4BD9B">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14:paraId="18F18C48">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14:paraId="1833FAA2">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14:paraId="1E4CF55B">
            <w:pPr>
              <w:spacing w:line="700" w:lineRule="exact"/>
              <w:jc w:val="center"/>
              <w:rPr>
                <w:rFonts w:ascii="方正书宋_GBK" w:eastAsia="方正书宋_GBK"/>
                <w:b/>
              </w:rPr>
            </w:pPr>
            <w:r>
              <w:rPr>
                <w:rFonts w:hint="eastAsia" w:ascii="宋体" w:hAnsi="宋体" w:cs="宋体"/>
                <w:b/>
              </w:rPr>
              <w:t>其他来源收入</w:t>
            </w:r>
          </w:p>
        </w:tc>
        <w:tc>
          <w:tcPr>
            <w:tcW w:w="1062" w:type="dxa"/>
            <w:vMerge w:val="continue"/>
            <w:vAlign w:val="center"/>
          </w:tcPr>
          <w:p w14:paraId="455BB8A9">
            <w:pPr>
              <w:spacing w:line="700" w:lineRule="exact"/>
              <w:jc w:val="left"/>
              <w:outlineLvl w:val="0"/>
            </w:pPr>
          </w:p>
        </w:tc>
      </w:tr>
      <w:tr w14:paraId="66FB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4969" w:type="dxa"/>
            <w:vAlign w:val="center"/>
          </w:tcPr>
          <w:p w14:paraId="2BA70061">
            <w:pPr>
              <w:spacing w:line="700" w:lineRule="exact"/>
              <w:jc w:val="left"/>
              <w:rPr>
                <w:rFonts w:ascii="方正书宋_GBK" w:eastAsia="方正书宋_GBK"/>
                <w:b/>
              </w:rPr>
            </w:pPr>
            <w:r>
              <w:rPr>
                <w:rFonts w:hint="eastAsia" w:ascii="方正书宋_GBK" w:eastAsia="方正书宋_GBK"/>
              </w:rPr>
              <w:t>执法局巡逻盯守治理西部山区乱采砂石服务项目</w:t>
            </w:r>
          </w:p>
        </w:tc>
        <w:tc>
          <w:tcPr>
            <w:tcW w:w="851" w:type="dxa"/>
            <w:vAlign w:val="center"/>
          </w:tcPr>
          <w:p w14:paraId="364273B9">
            <w:pPr>
              <w:spacing w:line="700" w:lineRule="exact"/>
              <w:jc w:val="right"/>
              <w:rPr>
                <w:rFonts w:ascii="方正书宋_GBK" w:eastAsia="方正书宋_GBK"/>
              </w:rPr>
            </w:pPr>
            <w:r>
              <w:rPr>
                <w:rFonts w:hint="eastAsia" w:ascii="方正书宋_GBK" w:eastAsia="方正书宋_GBK"/>
              </w:rPr>
              <w:t>487</w:t>
            </w:r>
          </w:p>
        </w:tc>
        <w:tc>
          <w:tcPr>
            <w:tcW w:w="708" w:type="dxa"/>
            <w:vAlign w:val="center"/>
          </w:tcPr>
          <w:p w14:paraId="2E4CBC23">
            <w:pPr>
              <w:spacing w:line="700" w:lineRule="exact"/>
              <w:jc w:val="left"/>
              <w:rPr>
                <w:rFonts w:ascii="方正书宋_GBK" w:eastAsia="方正书宋_GBK"/>
              </w:rPr>
            </w:pPr>
            <w:r>
              <w:rPr>
                <w:rFonts w:hint="eastAsia" w:ascii="方正书宋_GBK" w:eastAsia="方正书宋_GBK"/>
              </w:rPr>
              <w:t>服务</w:t>
            </w:r>
          </w:p>
        </w:tc>
        <w:tc>
          <w:tcPr>
            <w:tcW w:w="826" w:type="dxa"/>
            <w:vAlign w:val="center"/>
          </w:tcPr>
          <w:p w14:paraId="39B8F81F">
            <w:pPr>
              <w:spacing w:line="700" w:lineRule="exact"/>
              <w:jc w:val="left"/>
              <w:rPr>
                <w:rFonts w:ascii="方正书宋_GBK" w:eastAsia="方正书宋_GBK"/>
              </w:rPr>
            </w:pPr>
            <w:r>
              <w:rPr>
                <w:rFonts w:hint="eastAsia" w:ascii="方正书宋_GBK" w:eastAsia="方正书宋_GBK"/>
              </w:rPr>
              <w:t>C</w:t>
            </w:r>
          </w:p>
        </w:tc>
        <w:tc>
          <w:tcPr>
            <w:tcW w:w="549" w:type="dxa"/>
            <w:vAlign w:val="center"/>
          </w:tcPr>
          <w:p w14:paraId="581A10CD">
            <w:pPr>
              <w:spacing w:line="700" w:lineRule="exact"/>
              <w:jc w:val="left"/>
              <w:rPr>
                <w:rFonts w:ascii="方正书宋_GBK" w:eastAsia="方正书宋_GBK"/>
              </w:rPr>
            </w:pPr>
          </w:p>
        </w:tc>
        <w:tc>
          <w:tcPr>
            <w:tcW w:w="555" w:type="dxa"/>
            <w:vAlign w:val="center"/>
          </w:tcPr>
          <w:p w14:paraId="529FC9B2">
            <w:pPr>
              <w:spacing w:line="700" w:lineRule="exact"/>
              <w:jc w:val="right"/>
              <w:rPr>
                <w:rFonts w:ascii="方正书宋_GBK" w:eastAsia="方正书宋_GBK"/>
              </w:rPr>
            </w:pPr>
            <w:r>
              <w:rPr>
                <w:rFonts w:hint="eastAsia" w:ascii="方正书宋_GBK" w:eastAsia="方正书宋_GBK"/>
              </w:rPr>
              <w:t>1</w:t>
            </w:r>
          </w:p>
        </w:tc>
        <w:tc>
          <w:tcPr>
            <w:tcW w:w="500" w:type="dxa"/>
            <w:vAlign w:val="center"/>
          </w:tcPr>
          <w:p w14:paraId="66CE2BE3">
            <w:pPr>
              <w:rPr>
                <w:rFonts w:ascii="方正书宋_GBK" w:eastAsia="方正书宋_GBK"/>
              </w:rPr>
            </w:pPr>
          </w:p>
        </w:tc>
        <w:tc>
          <w:tcPr>
            <w:tcW w:w="897" w:type="dxa"/>
            <w:vAlign w:val="center"/>
          </w:tcPr>
          <w:p w14:paraId="78978C2D">
            <w:pPr>
              <w:spacing w:line="700" w:lineRule="exact"/>
              <w:jc w:val="right"/>
              <w:rPr>
                <w:rFonts w:ascii="方正书宋_GBK" w:eastAsia="方正书宋_GBK"/>
              </w:rPr>
            </w:pPr>
            <w:r>
              <w:rPr>
                <w:rFonts w:hint="eastAsia" w:ascii="方正书宋_GBK" w:eastAsia="方正书宋_GBK"/>
              </w:rPr>
              <w:t>487</w:t>
            </w:r>
          </w:p>
        </w:tc>
        <w:tc>
          <w:tcPr>
            <w:tcW w:w="992" w:type="dxa"/>
            <w:vAlign w:val="center"/>
          </w:tcPr>
          <w:p w14:paraId="56FD1601">
            <w:pPr>
              <w:spacing w:line="700" w:lineRule="exact"/>
              <w:jc w:val="right"/>
              <w:rPr>
                <w:rFonts w:ascii="方正书宋_GBK" w:eastAsia="方正书宋_GBK"/>
              </w:rPr>
            </w:pPr>
            <w:r>
              <w:rPr>
                <w:rFonts w:hint="eastAsia" w:ascii="方正书宋_GBK" w:eastAsia="方正书宋_GBK"/>
              </w:rPr>
              <w:t>487</w:t>
            </w:r>
          </w:p>
        </w:tc>
        <w:tc>
          <w:tcPr>
            <w:tcW w:w="1134" w:type="dxa"/>
            <w:vAlign w:val="center"/>
          </w:tcPr>
          <w:p w14:paraId="55D236A4">
            <w:pPr>
              <w:spacing w:line="700" w:lineRule="exact"/>
              <w:jc w:val="right"/>
              <w:rPr>
                <w:rFonts w:ascii="方正书宋_GBK" w:eastAsia="方正书宋_GBK"/>
              </w:rPr>
            </w:pPr>
            <w:r>
              <w:rPr>
                <w:rFonts w:hint="eastAsia" w:ascii="方正书宋_GBK" w:eastAsia="方正书宋_GBK"/>
              </w:rPr>
              <w:t>487</w:t>
            </w:r>
          </w:p>
        </w:tc>
        <w:tc>
          <w:tcPr>
            <w:tcW w:w="851" w:type="dxa"/>
            <w:vAlign w:val="center"/>
          </w:tcPr>
          <w:p w14:paraId="42707B61">
            <w:pPr>
              <w:spacing w:line="700" w:lineRule="exact"/>
              <w:jc w:val="right"/>
              <w:rPr>
                <w:rFonts w:ascii="方正书宋_GBK" w:eastAsia="方正书宋_GBK"/>
                <w:b/>
              </w:rPr>
            </w:pPr>
          </w:p>
        </w:tc>
        <w:tc>
          <w:tcPr>
            <w:tcW w:w="850" w:type="dxa"/>
            <w:vAlign w:val="center"/>
          </w:tcPr>
          <w:p w14:paraId="02FEAE83">
            <w:pPr>
              <w:spacing w:line="700" w:lineRule="exact"/>
              <w:jc w:val="right"/>
              <w:rPr>
                <w:rFonts w:ascii="方正书宋_GBK" w:eastAsia="方正书宋_GBK"/>
                <w:b/>
              </w:rPr>
            </w:pPr>
          </w:p>
        </w:tc>
        <w:tc>
          <w:tcPr>
            <w:tcW w:w="851" w:type="dxa"/>
            <w:vAlign w:val="center"/>
          </w:tcPr>
          <w:p w14:paraId="43BE7DB4">
            <w:pPr>
              <w:spacing w:line="700" w:lineRule="exact"/>
              <w:jc w:val="right"/>
              <w:rPr>
                <w:rFonts w:ascii="方正书宋_GBK" w:eastAsia="方正书宋_GBK"/>
                <w:b/>
              </w:rPr>
            </w:pPr>
          </w:p>
        </w:tc>
        <w:tc>
          <w:tcPr>
            <w:tcW w:w="1062" w:type="dxa"/>
            <w:vAlign w:val="center"/>
          </w:tcPr>
          <w:p w14:paraId="45D88463">
            <w:pPr>
              <w:spacing w:line="700" w:lineRule="exact"/>
              <w:jc w:val="right"/>
              <w:rPr>
                <w:rFonts w:ascii="方正书宋_GBK" w:eastAsia="方正书宋_GBK"/>
                <w:b/>
              </w:rPr>
            </w:pPr>
          </w:p>
        </w:tc>
      </w:tr>
      <w:tr w14:paraId="09993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4969" w:type="dxa"/>
            <w:vAlign w:val="center"/>
          </w:tcPr>
          <w:p w14:paraId="7A137B3F">
            <w:pPr>
              <w:spacing w:line="700" w:lineRule="exact"/>
              <w:jc w:val="left"/>
              <w:rPr>
                <w:rFonts w:ascii="方正书宋_GBK" w:eastAsia="方正书宋_GBK"/>
              </w:rPr>
            </w:pPr>
            <w:r>
              <w:rPr>
                <w:rFonts w:hint="eastAsia" w:ascii="方正书宋_GBK" w:eastAsia="方正书宋_GBK"/>
              </w:rPr>
              <w:t>执法局城区“野广告”清理工作市场化运作服务项目</w:t>
            </w:r>
          </w:p>
        </w:tc>
        <w:tc>
          <w:tcPr>
            <w:tcW w:w="851" w:type="dxa"/>
            <w:vAlign w:val="center"/>
          </w:tcPr>
          <w:p w14:paraId="20756298">
            <w:pPr>
              <w:spacing w:line="700" w:lineRule="exact"/>
              <w:jc w:val="right"/>
              <w:rPr>
                <w:rFonts w:ascii="方正书宋_GBK" w:eastAsia="方正书宋_GBK"/>
              </w:rPr>
            </w:pPr>
            <w:r>
              <w:rPr>
                <w:rFonts w:hint="eastAsia" w:ascii="方正书宋_GBK" w:eastAsia="方正书宋_GBK"/>
              </w:rPr>
              <w:t>136.7</w:t>
            </w:r>
          </w:p>
        </w:tc>
        <w:tc>
          <w:tcPr>
            <w:tcW w:w="708" w:type="dxa"/>
            <w:vAlign w:val="center"/>
          </w:tcPr>
          <w:p w14:paraId="304F0AF9">
            <w:pPr>
              <w:spacing w:line="700" w:lineRule="exact"/>
              <w:jc w:val="left"/>
              <w:rPr>
                <w:rFonts w:ascii="方正书宋_GBK" w:eastAsia="方正书宋_GBK"/>
              </w:rPr>
            </w:pPr>
            <w:r>
              <w:rPr>
                <w:rFonts w:hint="eastAsia" w:ascii="方正书宋_GBK" w:eastAsia="方正书宋_GBK"/>
              </w:rPr>
              <w:t>服务</w:t>
            </w:r>
          </w:p>
        </w:tc>
        <w:tc>
          <w:tcPr>
            <w:tcW w:w="826" w:type="dxa"/>
            <w:vAlign w:val="center"/>
          </w:tcPr>
          <w:p w14:paraId="33A45360">
            <w:pPr>
              <w:spacing w:line="700" w:lineRule="exact"/>
              <w:jc w:val="left"/>
              <w:rPr>
                <w:rFonts w:ascii="方正书宋_GBK" w:eastAsia="方正书宋_GBK"/>
              </w:rPr>
            </w:pPr>
            <w:r>
              <w:rPr>
                <w:rFonts w:hint="eastAsia" w:ascii="方正书宋_GBK" w:eastAsia="方正书宋_GBK"/>
              </w:rPr>
              <w:t>C</w:t>
            </w:r>
          </w:p>
        </w:tc>
        <w:tc>
          <w:tcPr>
            <w:tcW w:w="549" w:type="dxa"/>
            <w:vAlign w:val="center"/>
          </w:tcPr>
          <w:p w14:paraId="35542DEC">
            <w:pPr>
              <w:spacing w:line="700" w:lineRule="exact"/>
              <w:jc w:val="left"/>
              <w:rPr>
                <w:rFonts w:ascii="方正书宋_GBK" w:eastAsia="方正书宋_GBK"/>
              </w:rPr>
            </w:pPr>
          </w:p>
        </w:tc>
        <w:tc>
          <w:tcPr>
            <w:tcW w:w="555" w:type="dxa"/>
            <w:vAlign w:val="center"/>
          </w:tcPr>
          <w:p w14:paraId="6AC4F544">
            <w:pPr>
              <w:spacing w:line="700" w:lineRule="exact"/>
              <w:jc w:val="right"/>
              <w:rPr>
                <w:rFonts w:ascii="方正书宋_GBK" w:eastAsia="方正书宋_GBK"/>
              </w:rPr>
            </w:pPr>
            <w:r>
              <w:rPr>
                <w:rFonts w:hint="eastAsia" w:ascii="方正书宋_GBK" w:eastAsia="方正书宋_GBK"/>
              </w:rPr>
              <w:t>1</w:t>
            </w:r>
          </w:p>
        </w:tc>
        <w:tc>
          <w:tcPr>
            <w:tcW w:w="500" w:type="dxa"/>
            <w:vAlign w:val="center"/>
          </w:tcPr>
          <w:p w14:paraId="7097340F">
            <w:pPr>
              <w:spacing w:line="700" w:lineRule="exact"/>
              <w:jc w:val="right"/>
              <w:rPr>
                <w:rFonts w:ascii="方正书宋_GBK" w:eastAsia="方正书宋_GBK"/>
              </w:rPr>
            </w:pPr>
          </w:p>
        </w:tc>
        <w:tc>
          <w:tcPr>
            <w:tcW w:w="897" w:type="dxa"/>
            <w:vAlign w:val="center"/>
          </w:tcPr>
          <w:p w14:paraId="3C223B0F">
            <w:pPr>
              <w:spacing w:line="700" w:lineRule="exact"/>
              <w:jc w:val="right"/>
              <w:rPr>
                <w:rFonts w:ascii="方正书宋_GBK" w:eastAsia="方正书宋_GBK"/>
              </w:rPr>
            </w:pPr>
            <w:r>
              <w:rPr>
                <w:rFonts w:hint="eastAsia" w:ascii="方正书宋_GBK" w:eastAsia="方正书宋_GBK"/>
              </w:rPr>
              <w:t>136.7</w:t>
            </w:r>
          </w:p>
        </w:tc>
        <w:tc>
          <w:tcPr>
            <w:tcW w:w="992" w:type="dxa"/>
            <w:vAlign w:val="center"/>
          </w:tcPr>
          <w:p w14:paraId="1E52A0A6">
            <w:pPr>
              <w:spacing w:line="700" w:lineRule="exact"/>
              <w:jc w:val="right"/>
              <w:rPr>
                <w:rFonts w:ascii="方正书宋_GBK" w:eastAsia="方正书宋_GBK"/>
              </w:rPr>
            </w:pPr>
            <w:r>
              <w:rPr>
                <w:rFonts w:hint="eastAsia" w:ascii="方正书宋_GBK" w:eastAsia="方正书宋_GBK"/>
              </w:rPr>
              <w:t>136.7</w:t>
            </w:r>
          </w:p>
        </w:tc>
        <w:tc>
          <w:tcPr>
            <w:tcW w:w="1134" w:type="dxa"/>
            <w:vAlign w:val="center"/>
          </w:tcPr>
          <w:p w14:paraId="6B41ED73">
            <w:pPr>
              <w:spacing w:line="700" w:lineRule="exact"/>
              <w:jc w:val="right"/>
              <w:rPr>
                <w:rFonts w:ascii="方正书宋_GBK" w:eastAsia="方正书宋_GBK"/>
              </w:rPr>
            </w:pPr>
            <w:r>
              <w:rPr>
                <w:rFonts w:hint="eastAsia" w:ascii="方正书宋_GBK" w:eastAsia="方正书宋_GBK"/>
              </w:rPr>
              <w:t>136.7</w:t>
            </w:r>
          </w:p>
        </w:tc>
        <w:tc>
          <w:tcPr>
            <w:tcW w:w="851" w:type="dxa"/>
            <w:vAlign w:val="center"/>
          </w:tcPr>
          <w:p w14:paraId="1423A629">
            <w:pPr>
              <w:spacing w:line="700" w:lineRule="exact"/>
              <w:jc w:val="right"/>
              <w:rPr>
                <w:rFonts w:ascii="方正书宋_GBK" w:eastAsia="方正书宋_GBK"/>
              </w:rPr>
            </w:pPr>
          </w:p>
        </w:tc>
        <w:tc>
          <w:tcPr>
            <w:tcW w:w="850" w:type="dxa"/>
            <w:vAlign w:val="center"/>
          </w:tcPr>
          <w:p w14:paraId="125599EC">
            <w:pPr>
              <w:spacing w:line="700" w:lineRule="exact"/>
              <w:jc w:val="right"/>
              <w:rPr>
                <w:rFonts w:ascii="方正书宋_GBK" w:eastAsia="方正书宋_GBK"/>
              </w:rPr>
            </w:pPr>
          </w:p>
        </w:tc>
        <w:tc>
          <w:tcPr>
            <w:tcW w:w="851" w:type="dxa"/>
            <w:vAlign w:val="center"/>
          </w:tcPr>
          <w:p w14:paraId="2687DAC6">
            <w:pPr>
              <w:spacing w:line="700" w:lineRule="exact"/>
              <w:jc w:val="right"/>
              <w:rPr>
                <w:rFonts w:ascii="方正书宋_GBK" w:eastAsia="方正书宋_GBK"/>
              </w:rPr>
            </w:pPr>
          </w:p>
        </w:tc>
        <w:tc>
          <w:tcPr>
            <w:tcW w:w="1062" w:type="dxa"/>
            <w:vAlign w:val="center"/>
          </w:tcPr>
          <w:p w14:paraId="18C7FD3C">
            <w:pPr>
              <w:spacing w:line="700" w:lineRule="exact"/>
              <w:jc w:val="right"/>
              <w:rPr>
                <w:rFonts w:ascii="方正书宋_GBK" w:eastAsia="方正书宋_GBK"/>
              </w:rPr>
            </w:pPr>
          </w:p>
        </w:tc>
      </w:tr>
    </w:tbl>
    <w:p w14:paraId="3A0CC8DD">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linePitch="312" w:charSpace="0"/>
        </w:sectPr>
      </w:pPr>
    </w:p>
    <w:p w14:paraId="1D80C4D7">
      <w:pPr>
        <w:spacing w:line="360" w:lineRule="auto"/>
        <w:rPr>
          <w:rFonts w:ascii="仿宋" w:hAnsi="仿宋" w:eastAsia="仿宋"/>
          <w:sz w:val="32"/>
          <w:szCs w:val="32"/>
        </w:rPr>
      </w:pPr>
    </w:p>
    <w:p w14:paraId="42CB5550">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14:paraId="7B8AE423">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上年末我部门固定资产总金额为1475.59万元</w:t>
      </w:r>
      <w:r>
        <w:rPr>
          <w:rFonts w:ascii="仿宋" w:hAnsi="仿宋" w:eastAsia="仿宋"/>
          <w:sz w:val="32"/>
          <w:szCs w:val="32"/>
        </w:rPr>
        <w:t>。</w:t>
      </w:r>
      <w:r>
        <w:rPr>
          <w:rFonts w:hint="eastAsia" w:ascii="仿宋" w:hAnsi="仿宋" w:eastAsia="仿宋"/>
          <w:sz w:val="32"/>
          <w:szCs w:val="32"/>
        </w:rPr>
        <w:t>本年度</w:t>
      </w:r>
      <w:r>
        <w:rPr>
          <w:rFonts w:ascii="仿宋" w:hAnsi="仿宋" w:eastAsia="仿宋"/>
          <w:sz w:val="32"/>
          <w:szCs w:val="32"/>
        </w:rPr>
        <w:t>拟购量</w:t>
      </w:r>
      <w:r>
        <w:rPr>
          <w:rFonts w:hint="eastAsia" w:ascii="仿宋" w:hAnsi="仿宋" w:eastAsia="仿宋"/>
          <w:sz w:val="32"/>
          <w:szCs w:val="32"/>
        </w:rPr>
        <w:t>0元</w:t>
      </w:r>
      <w:r>
        <w:rPr>
          <w:rFonts w:ascii="仿宋" w:hAnsi="仿宋" w:eastAsia="仿宋"/>
          <w:sz w:val="32"/>
          <w:szCs w:val="32"/>
        </w:rPr>
        <w:t>。</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7A2ED2A0">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5BCFEC98">
            <w:pPr>
              <w:widowControl/>
              <w:jc w:val="center"/>
              <w:rPr>
                <w:rFonts w:ascii="宋体" w:hAnsi="宋体" w:cs="宋体"/>
                <w:kern w:val="0"/>
                <w:sz w:val="28"/>
                <w:szCs w:val="28"/>
              </w:rPr>
            </w:pPr>
            <w:r>
              <w:rPr>
                <w:rFonts w:hint="eastAsia" w:ascii="宋体" w:hAnsi="宋体"/>
                <w:sz w:val="32"/>
                <w:szCs w:val="32"/>
              </w:rPr>
              <w:t>固定资产占用情况表</w:t>
            </w:r>
          </w:p>
        </w:tc>
      </w:tr>
      <w:tr w14:paraId="44705377">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4C938CF6">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14:paraId="566A52B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C17D8CD">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3122474E">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7392FFD7">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76C9334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705CAE1">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324D8AE7">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7797AE4A">
            <w:pPr>
              <w:widowControl/>
              <w:jc w:val="center"/>
              <w:rPr>
                <w:rFonts w:ascii="仿宋_GB2312" w:hAnsi="仿宋" w:eastAsia="仿宋_GB2312" w:cs="宋体"/>
                <w:b/>
                <w:kern w:val="0"/>
                <w:sz w:val="24"/>
                <w:szCs w:val="24"/>
              </w:rPr>
            </w:pPr>
            <w:r>
              <w:rPr>
                <w:rFonts w:hint="eastAsia" w:ascii="仿宋_GB2312" w:hAnsi="仿宋" w:eastAsia="仿宋_GB2312" w:cs="宋体"/>
                <w:kern w:val="0"/>
                <w:sz w:val="24"/>
                <w:szCs w:val="24"/>
              </w:rPr>
              <w:t>1475.59</w:t>
            </w:r>
            <w:r>
              <w:rPr>
                <w:rFonts w:ascii="仿宋_GB2312" w:hAnsi="仿宋" w:eastAsia="仿宋_GB2312" w:cs="宋体"/>
                <w:b/>
                <w:kern w:val="0"/>
                <w:sz w:val="24"/>
                <w:szCs w:val="24"/>
              </w:rPr>
              <w:t xml:space="preserve"> </w:t>
            </w:r>
          </w:p>
        </w:tc>
      </w:tr>
      <w:tr w14:paraId="058D860A">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DE8CCE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1C9073C8">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2959AEB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6ED3BFF7">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70F2E">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237E3CF">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9052FEA">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2C75E709">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0CD961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1273901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47</w:t>
            </w:r>
          </w:p>
        </w:tc>
        <w:tc>
          <w:tcPr>
            <w:tcW w:w="4261" w:type="dxa"/>
            <w:tcBorders>
              <w:top w:val="nil"/>
              <w:left w:val="nil"/>
              <w:bottom w:val="single" w:color="auto" w:sz="4" w:space="0"/>
              <w:right w:val="single" w:color="auto" w:sz="4" w:space="0"/>
            </w:tcBorders>
            <w:shd w:val="clear" w:color="auto" w:fill="auto"/>
            <w:noWrap/>
            <w:vAlign w:val="center"/>
          </w:tcPr>
          <w:p w14:paraId="1F339CD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1100.84</w:t>
            </w:r>
          </w:p>
        </w:tc>
      </w:tr>
      <w:tr w14:paraId="76BAB76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BB5832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19439D69">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053B866F">
            <w:pPr>
              <w:widowControl/>
              <w:jc w:val="center"/>
              <w:rPr>
                <w:rFonts w:ascii="仿宋_GB2312" w:hAnsi="仿宋" w:eastAsia="仿宋_GB2312" w:cs="宋体"/>
                <w:kern w:val="0"/>
                <w:sz w:val="24"/>
                <w:szCs w:val="24"/>
              </w:rPr>
            </w:pPr>
          </w:p>
        </w:tc>
      </w:tr>
      <w:tr w14:paraId="4C88F12E">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F30B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24CD6">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5C96">
            <w:pPr>
              <w:widowControl/>
              <w:jc w:val="center"/>
              <w:rPr>
                <w:rFonts w:ascii="仿宋_GB2312" w:hAnsi="仿宋" w:eastAsia="仿宋_GB2312" w:cs="宋体"/>
                <w:kern w:val="0"/>
                <w:sz w:val="24"/>
                <w:szCs w:val="24"/>
              </w:rPr>
            </w:pPr>
          </w:p>
        </w:tc>
      </w:tr>
      <w:tr w14:paraId="4BF2CE20">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0383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141F1C8">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3202872E">
            <w:pPr>
              <w:widowControl/>
              <w:jc w:val="center"/>
              <w:rPr>
                <w:rFonts w:ascii="仿宋_GB2312" w:hAnsi="仿宋" w:eastAsia="仿宋_GB2312" w:cs="宋体"/>
                <w:kern w:val="0"/>
                <w:sz w:val="24"/>
                <w:szCs w:val="24"/>
              </w:rPr>
            </w:pPr>
          </w:p>
        </w:tc>
      </w:tr>
      <w:tr w14:paraId="7538B107">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3B721">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8172500">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6A769BB3">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374.75</w:t>
            </w:r>
          </w:p>
        </w:tc>
      </w:tr>
    </w:tbl>
    <w:p w14:paraId="087E4B83">
      <w:pPr>
        <w:spacing w:line="360" w:lineRule="auto"/>
        <w:rPr>
          <w:rFonts w:ascii="黑体" w:hAnsi="黑体" w:eastAsia="黑体" w:cs="Times New Roman"/>
          <w:sz w:val="32"/>
          <w:szCs w:val="32"/>
        </w:rPr>
      </w:pPr>
    </w:p>
    <w:p w14:paraId="4A6773C7">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14:paraId="0FE4F7D8">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72CBD0DA">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27244DC0">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02199C81">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52F561CD">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2ED8965">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FB156EE">
      <w:pPr>
        <w:spacing w:line="360" w:lineRule="auto"/>
        <w:jc w:val="center"/>
        <w:rPr>
          <w:rFonts w:ascii="黑体" w:hAnsi="黑体" w:eastAsia="黑体" w:cs="Times New Roman"/>
          <w:sz w:val="32"/>
          <w:szCs w:val="32"/>
        </w:rPr>
      </w:pPr>
    </w:p>
    <w:p w14:paraId="449E485D">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14:paraId="174FF6F0">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ExtB">
    <w:panose1 w:val="02020500000000000000"/>
    <w:charset w:val="88"/>
    <w:family w:val="roman"/>
    <w:pitch w:val="default"/>
    <w:sig w:usb0="8000002F" w:usb1="02000008" w:usb2="00000000"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5670415"/>
      <w:docPartObj>
        <w:docPartGallery w:val="autotext"/>
      </w:docPartObj>
    </w:sdtPr>
    <w:sdtContent>
      <w:p w14:paraId="2B033379">
        <w:pPr>
          <w:pStyle w:val="3"/>
          <w:jc w:val="center"/>
        </w:pPr>
        <w:r>
          <w:fldChar w:fldCharType="begin"/>
        </w:r>
        <w:r>
          <w:instrText xml:space="preserve">PAGE   \* MERGEFORMAT</w:instrText>
        </w:r>
        <w:r>
          <w:fldChar w:fldCharType="separate"/>
        </w:r>
        <w:r>
          <w:rPr>
            <w:lang w:val="zh-CN"/>
          </w:rPr>
          <w:t>10</w:t>
        </w:r>
        <w:r>
          <w:fldChar w:fldCharType="end"/>
        </w:r>
      </w:p>
    </w:sdtContent>
  </w:sdt>
  <w:p w14:paraId="0D33DE0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4BAF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4640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D1F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4033">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3B67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MjQ0NzM1ZTg4NjUyMzZjNjBlMjEyNDkwMTI2YWMifQ=="/>
  </w:docVars>
  <w:rsids>
    <w:rsidRoot w:val="00055F1F"/>
    <w:rsid w:val="00013B8A"/>
    <w:rsid w:val="00044FBC"/>
    <w:rsid w:val="00054306"/>
    <w:rsid w:val="00055F1F"/>
    <w:rsid w:val="00057F18"/>
    <w:rsid w:val="000A445D"/>
    <w:rsid w:val="00131DEC"/>
    <w:rsid w:val="001462BD"/>
    <w:rsid w:val="00152380"/>
    <w:rsid w:val="001638BE"/>
    <w:rsid w:val="00181777"/>
    <w:rsid w:val="001B4688"/>
    <w:rsid w:val="001E6BDB"/>
    <w:rsid w:val="001F4875"/>
    <w:rsid w:val="00256F64"/>
    <w:rsid w:val="002918C6"/>
    <w:rsid w:val="00296524"/>
    <w:rsid w:val="002E01F6"/>
    <w:rsid w:val="002F530F"/>
    <w:rsid w:val="00305E97"/>
    <w:rsid w:val="00311FE1"/>
    <w:rsid w:val="0032782B"/>
    <w:rsid w:val="003278E4"/>
    <w:rsid w:val="00340B3D"/>
    <w:rsid w:val="003579C4"/>
    <w:rsid w:val="00367A30"/>
    <w:rsid w:val="00384E13"/>
    <w:rsid w:val="003A06D2"/>
    <w:rsid w:val="003A1DA9"/>
    <w:rsid w:val="003A3A92"/>
    <w:rsid w:val="003C2317"/>
    <w:rsid w:val="003C442E"/>
    <w:rsid w:val="003D1092"/>
    <w:rsid w:val="003D37CD"/>
    <w:rsid w:val="003E5531"/>
    <w:rsid w:val="0040243C"/>
    <w:rsid w:val="00406BD1"/>
    <w:rsid w:val="00426C19"/>
    <w:rsid w:val="00450FD9"/>
    <w:rsid w:val="00453CE0"/>
    <w:rsid w:val="004703B4"/>
    <w:rsid w:val="00470BBB"/>
    <w:rsid w:val="0048611E"/>
    <w:rsid w:val="004B6929"/>
    <w:rsid w:val="004E4E7C"/>
    <w:rsid w:val="004F099E"/>
    <w:rsid w:val="004F3C52"/>
    <w:rsid w:val="00510A1E"/>
    <w:rsid w:val="0054128D"/>
    <w:rsid w:val="00570142"/>
    <w:rsid w:val="005B1B6F"/>
    <w:rsid w:val="005B6CCB"/>
    <w:rsid w:val="005C54AA"/>
    <w:rsid w:val="005C7B89"/>
    <w:rsid w:val="005D58B0"/>
    <w:rsid w:val="0062491C"/>
    <w:rsid w:val="0062788A"/>
    <w:rsid w:val="00641F8A"/>
    <w:rsid w:val="0066284D"/>
    <w:rsid w:val="006A4FE2"/>
    <w:rsid w:val="006C62DF"/>
    <w:rsid w:val="006F5104"/>
    <w:rsid w:val="00735B02"/>
    <w:rsid w:val="007657C8"/>
    <w:rsid w:val="00771E49"/>
    <w:rsid w:val="00782208"/>
    <w:rsid w:val="007C7FD7"/>
    <w:rsid w:val="007E1C7E"/>
    <w:rsid w:val="007F3746"/>
    <w:rsid w:val="00833132"/>
    <w:rsid w:val="008672EA"/>
    <w:rsid w:val="00891680"/>
    <w:rsid w:val="008A0B5F"/>
    <w:rsid w:val="008B5402"/>
    <w:rsid w:val="008C5E5C"/>
    <w:rsid w:val="00904434"/>
    <w:rsid w:val="0090527E"/>
    <w:rsid w:val="00905BB7"/>
    <w:rsid w:val="00912DA4"/>
    <w:rsid w:val="009302B8"/>
    <w:rsid w:val="009305C6"/>
    <w:rsid w:val="00982F3D"/>
    <w:rsid w:val="009B0096"/>
    <w:rsid w:val="009C15EE"/>
    <w:rsid w:val="009D470C"/>
    <w:rsid w:val="00A8079E"/>
    <w:rsid w:val="00A82232"/>
    <w:rsid w:val="00A92D66"/>
    <w:rsid w:val="00AA4262"/>
    <w:rsid w:val="00AA4766"/>
    <w:rsid w:val="00AB5A90"/>
    <w:rsid w:val="00AD3B3C"/>
    <w:rsid w:val="00AE4AA5"/>
    <w:rsid w:val="00AE7FA9"/>
    <w:rsid w:val="00B147EB"/>
    <w:rsid w:val="00B772C3"/>
    <w:rsid w:val="00B80FAB"/>
    <w:rsid w:val="00B81C88"/>
    <w:rsid w:val="00BA2ED8"/>
    <w:rsid w:val="00BA5C83"/>
    <w:rsid w:val="00BC6A7D"/>
    <w:rsid w:val="00BD42F7"/>
    <w:rsid w:val="00BD719F"/>
    <w:rsid w:val="00BF79FC"/>
    <w:rsid w:val="00C177A5"/>
    <w:rsid w:val="00C6153C"/>
    <w:rsid w:val="00C64191"/>
    <w:rsid w:val="00CC7D74"/>
    <w:rsid w:val="00D02F97"/>
    <w:rsid w:val="00D22464"/>
    <w:rsid w:val="00D45530"/>
    <w:rsid w:val="00DA5A9C"/>
    <w:rsid w:val="00DA5DA7"/>
    <w:rsid w:val="00DC56DC"/>
    <w:rsid w:val="00DE3935"/>
    <w:rsid w:val="00E2325B"/>
    <w:rsid w:val="00E24075"/>
    <w:rsid w:val="00E35F38"/>
    <w:rsid w:val="00E46F27"/>
    <w:rsid w:val="00E509CC"/>
    <w:rsid w:val="00E71A04"/>
    <w:rsid w:val="00E724C6"/>
    <w:rsid w:val="00E96342"/>
    <w:rsid w:val="00F000B1"/>
    <w:rsid w:val="00F012D3"/>
    <w:rsid w:val="00F10D04"/>
    <w:rsid w:val="00F572CB"/>
    <w:rsid w:val="00F621AF"/>
    <w:rsid w:val="00F82447"/>
    <w:rsid w:val="00F96A29"/>
    <w:rsid w:val="00FB2F32"/>
    <w:rsid w:val="00FE0F1F"/>
    <w:rsid w:val="00FF61F3"/>
    <w:rsid w:val="0DF32289"/>
    <w:rsid w:val="1BDD71C8"/>
    <w:rsid w:val="3AD05557"/>
    <w:rsid w:val="4B064850"/>
    <w:rsid w:val="4BE4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sz w:val="18"/>
      <w:szCs w:val="18"/>
    </w:rPr>
  </w:style>
  <w:style w:type="paragraph" w:customStyle="1" w:styleId="11">
    <w:name w:val="p0"/>
    <w:basedOn w:val="1"/>
    <w:uiPriority w:val="0"/>
    <w:pPr>
      <w:widowControl/>
    </w:pPr>
    <w:rPr>
      <w:rFonts w:ascii="Times New Roman" w:hAnsi="Times New Roman" w:eastAsia="宋体" w:cs="Times New Roman"/>
      <w:kern w:val="0"/>
      <w:szCs w:val="21"/>
    </w:rPr>
  </w:style>
  <w:style w:type="paragraph" w:customStyle="1" w:styleId="12">
    <w:name w:val="Char"/>
    <w:basedOn w:val="1"/>
    <w:uiPriority w:val="0"/>
    <w:pPr>
      <w:tabs>
        <w:tab w:val="left" w:pos="360"/>
      </w:tabs>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5CEB-234F-41D2-87FB-85C685A0B019}">
  <ds:schemaRefs/>
</ds:datastoreItem>
</file>

<file path=docProps/app.xml><?xml version="1.0" encoding="utf-8"?>
<Properties xmlns="http://schemas.openxmlformats.org/officeDocument/2006/extended-properties" xmlns:vt="http://schemas.openxmlformats.org/officeDocument/2006/docPropsVTypes">
  <Template>Normal</Template>
  <Pages>12</Pages>
  <Words>2299</Words>
  <Characters>2460</Characters>
  <Lines>34</Lines>
  <Paragraphs>9</Paragraphs>
  <TotalTime>549</TotalTime>
  <ScaleCrop>false</ScaleCrop>
  <LinksUpToDate>false</LinksUpToDate>
  <CharactersWithSpaces>2484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1</cp:lastModifiedBy>
  <cp:lastPrinted>2019-02-19T07:03:00Z</cp:lastPrinted>
  <dcterms:modified xsi:type="dcterms:W3CDTF">2025-05-12T06:52:21Z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E0A72EBA0C8D464492BFA5B6B207E8E4_12</vt:lpwstr>
  </property>
  <property fmtid="{D5CDD505-2E9C-101B-9397-08002B2CF9AE}" pid="4" name="KSOTemplateDocerSaveRecord">
    <vt:lpwstr>eyJoZGlkIjoiZDBhYTNmYzJjMmZlZTRjNzllMDk4M2QxOGQ2YWFmNTAifQ==</vt:lpwstr>
  </property>
</Properties>
</file>