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drawings/drawing1.xml" ContentType="application/vnd.openxmlformats-officedocument.drawingml.chartshapes+xml"/>
  <Override PartName="/word/drawings/drawing2.xml" ContentType="application/vnd.openxmlformats-officedocument.drawingml.chartshapes+xml"/>
  <Override PartName="/word/drawings/drawing3.xml" ContentType="application/vnd.openxmlformats-officedocument.drawingml.chartshapes+xml"/>
  <Override PartName="/word/drawings/drawing4.xml" ContentType="application/vnd.openxmlformats-officedocument.drawingml.chartshap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rPr>
          <w:rFonts w:ascii="Times New Roman" w:hAnsi="Times New Roman" w:eastAsia="宋体" w:cs="Times New Roman"/>
          <w:bCs/>
          <w:kern w:val="2"/>
          <w:sz w:val="32"/>
          <w:szCs w:val="32"/>
        </w:rPr>
      </w:pPr>
      <w:r>
        <w:rPr>
          <w:rFonts w:hint="eastAsia" w:ascii="黑体" w:hAnsi="黑体" w:eastAsia="黑体" w:cs="黑体"/>
          <w:bCs/>
          <w:kern w:val="2"/>
          <w:sz w:val="32"/>
          <w:szCs w:val="32"/>
        </w:rPr>
        <w:t>徐政财字〔202</w:t>
      </w:r>
      <w:r>
        <w:rPr>
          <w:rFonts w:hint="default" w:ascii="黑体" w:hAnsi="黑体" w:eastAsia="黑体" w:cs="黑体"/>
          <w:bCs/>
          <w:kern w:val="2"/>
          <w:sz w:val="32"/>
          <w:szCs w:val="32"/>
          <w:lang w:val="en-US"/>
        </w:rPr>
        <w:t>3</w:t>
      </w:r>
      <w:r>
        <w:rPr>
          <w:rFonts w:hint="eastAsia" w:ascii="黑体" w:hAnsi="黑体" w:eastAsia="黑体" w:cs="黑体"/>
          <w:bCs/>
          <w:kern w:val="2"/>
          <w:sz w:val="32"/>
          <w:szCs w:val="32"/>
        </w:rPr>
        <w:t>〕</w:t>
      </w:r>
      <w:r>
        <w:rPr>
          <w:rFonts w:hint="eastAsia" w:ascii="黑体" w:hAnsi="黑体" w:eastAsia="黑体" w:cs="黑体"/>
          <w:bCs/>
          <w:kern w:val="2"/>
          <w:sz w:val="32"/>
          <w:szCs w:val="32"/>
          <w:lang w:val="en-US" w:eastAsia="zh-CN"/>
        </w:rPr>
        <w:t>78</w:t>
      </w:r>
      <w:r>
        <w:rPr>
          <w:rFonts w:hint="eastAsia" w:ascii="黑体" w:hAnsi="黑体" w:eastAsia="黑体" w:cs="黑体"/>
          <w:bCs/>
          <w:kern w:val="2"/>
          <w:sz w:val="32"/>
          <w:szCs w:val="32"/>
        </w:rPr>
        <w:t>号附件</w:t>
      </w:r>
      <w:r>
        <w:rPr>
          <w:rFonts w:hint="default" w:ascii="黑体" w:hAnsi="黑体" w:eastAsia="黑体" w:cs="黑体"/>
          <w:bCs/>
          <w:kern w:val="2"/>
          <w:sz w:val="32"/>
          <w:szCs w:val="32"/>
          <w:lang w:val="en-US"/>
        </w:rPr>
        <w:t>2</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36"/>
          <w:szCs w:val="36"/>
        </w:rPr>
      </w:pPr>
      <w:r>
        <w:rPr>
          <w:rFonts w:hint="eastAsia" w:asciiTheme="majorEastAsia" w:hAnsiTheme="majorEastAsia" w:eastAsiaTheme="majorEastAsia" w:cstheme="majorEastAsia"/>
          <w:b/>
          <w:bCs w:val="0"/>
          <w:kern w:val="2"/>
          <w:sz w:val="36"/>
          <w:szCs w:val="36"/>
        </w:rPr>
        <w:t>保定市徐水区</w:t>
      </w:r>
      <w:r>
        <w:rPr>
          <w:rFonts w:hint="eastAsia" w:asciiTheme="majorEastAsia" w:hAnsiTheme="majorEastAsia" w:eastAsiaTheme="majorEastAsia" w:cstheme="majorEastAsia"/>
          <w:b/>
          <w:bCs w:val="0"/>
          <w:kern w:val="2"/>
          <w:sz w:val="36"/>
          <w:szCs w:val="36"/>
          <w:lang w:val="en-US" w:eastAsia="zh-CN"/>
        </w:rPr>
        <w:t>人力资源和社会保障局</w:t>
      </w:r>
      <w:r>
        <w:rPr>
          <w:rFonts w:hint="eastAsia" w:asciiTheme="majorEastAsia" w:hAnsiTheme="majorEastAsia" w:eastAsiaTheme="majorEastAsia" w:cstheme="majorEastAsia"/>
          <w:b/>
          <w:bCs w:val="0"/>
          <w:kern w:val="2"/>
          <w:sz w:val="36"/>
          <w:szCs w:val="36"/>
        </w:rPr>
        <w:t>202</w:t>
      </w:r>
      <w:r>
        <w:rPr>
          <w:rFonts w:hint="default" w:asciiTheme="majorEastAsia" w:hAnsiTheme="majorEastAsia" w:eastAsiaTheme="majorEastAsia" w:cstheme="majorEastAsia"/>
          <w:b/>
          <w:bCs w:val="0"/>
          <w:kern w:val="2"/>
          <w:sz w:val="36"/>
          <w:szCs w:val="36"/>
          <w:lang w:val="en-US"/>
        </w:rPr>
        <w:t>2</w:t>
      </w:r>
      <w:r>
        <w:rPr>
          <w:rFonts w:hint="eastAsia" w:asciiTheme="majorEastAsia" w:hAnsiTheme="majorEastAsia" w:eastAsiaTheme="majorEastAsia" w:cstheme="majorEastAsia"/>
          <w:b/>
          <w:bCs w:val="0"/>
          <w:kern w:val="2"/>
          <w:sz w:val="36"/>
          <w:szCs w:val="36"/>
        </w:rPr>
        <w:t>年部门</w:t>
      </w: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kern w:val="2"/>
          <w:sz w:val="40"/>
          <w:szCs w:val="40"/>
        </w:rPr>
      </w:pPr>
      <w:r>
        <w:rPr>
          <w:rFonts w:hint="eastAsia" w:asciiTheme="majorEastAsia" w:hAnsiTheme="majorEastAsia" w:eastAsiaTheme="majorEastAsia" w:cstheme="majorEastAsia"/>
          <w:b/>
          <w:bCs w:val="0"/>
          <w:kern w:val="2"/>
          <w:sz w:val="36"/>
          <w:szCs w:val="36"/>
        </w:rPr>
        <w:t>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default" w:cs="Times New Roman" w:asciiTheme="minorEastAsia" w:hAnsiTheme="minorEastAsia" w:eastAsiaTheme="minorEastAsia"/>
          <w:bCs/>
          <w:kern w:val="2"/>
          <w:sz w:val="36"/>
          <w:szCs w:val="36"/>
          <w:lang w:val="en-US"/>
        </w:rPr>
        <w:t>3</w:t>
      </w:r>
      <w:r>
        <w:rPr>
          <w:rFonts w:hint="eastAsia" w:cs="Times New Roman" w:asciiTheme="minorEastAsia" w:hAnsiTheme="minorEastAsia" w:eastAsiaTheme="minorEastAsia"/>
          <w:bCs/>
          <w:kern w:val="2"/>
          <w:sz w:val="36"/>
          <w:szCs w:val="36"/>
        </w:rPr>
        <w:t>年</w:t>
      </w:r>
      <w:r>
        <w:rPr>
          <w:rFonts w:hint="eastAsia" w:cs="Times New Roman" w:asciiTheme="minorEastAsia" w:hAnsiTheme="minorEastAsia" w:eastAsiaTheme="minorEastAsia"/>
          <w:bCs/>
          <w:kern w:val="2"/>
          <w:sz w:val="36"/>
          <w:szCs w:val="36"/>
          <w:lang w:val="en-US" w:eastAsia="zh-CN"/>
        </w:rPr>
        <w:t>8</w:t>
      </w:r>
      <w:r>
        <w:rPr>
          <w:rFonts w:hint="eastAsia" w:cs="Times New Roman" w:asciiTheme="minorEastAsia" w:hAnsiTheme="minorEastAsia" w:eastAsiaTheme="minorEastAsia"/>
          <w:bCs/>
          <w:kern w:val="2"/>
          <w:sz w:val="36"/>
          <w:szCs w:val="36"/>
        </w:rPr>
        <w:t>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rFonts w:ascii="Tahoma" w:hAnsi="Tahoma" w:eastAsia="微软雅黑" w:cstheme="minorBidi"/>
              <w:b w:val="0"/>
              <w:bCs w:val="0"/>
              <w:color w:val="auto"/>
              <w:sz w:val="22"/>
              <w:szCs w:val="22"/>
              <w:lang w:val="zh-CN"/>
            </w:rPr>
          </w:pPr>
        </w:p>
        <w:p>
          <w:pPr>
            <w:pStyle w:val="71"/>
            <w:ind w:firstLine="883"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lang w:val="en-US" w:eastAsia="zh-CN"/>
            </w:rPr>
            <w:t>6</w:t>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一、保定市徐水区</w:t>
          </w:r>
          <w:r>
            <w:rPr>
              <w:rFonts w:hint="eastAsia" w:asciiTheme="majorEastAsia" w:hAnsiTheme="majorEastAsia" w:eastAsiaTheme="majorEastAsia" w:cstheme="majorEastAsia"/>
              <w:b/>
              <w:bCs/>
              <w:sz w:val="24"/>
              <w:lang w:val="en-US" w:eastAsia="zh-CN"/>
            </w:rPr>
            <w:t>人社局</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6</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lang w:val="en-US" w:eastAsia="zh-CN"/>
            </w:rPr>
            <w:t>6</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lang w:val="en-US" w:eastAsia="zh-CN"/>
            </w:rPr>
            <w:t>7</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lang w:val="en-US" w:eastAsia="zh-CN"/>
            </w:rPr>
            <w:t>8</w:t>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18</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31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3"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highlight w:val="none"/>
        </w:rPr>
      </w:pPr>
      <w:bookmarkStart w:id="0" w:name="_Toc25184"/>
      <w:r>
        <w:rPr>
          <w:rFonts w:hint="eastAsia" w:ascii="黑体" w:hAnsi="黑体"/>
          <w:b w:val="0"/>
          <w:highlight w:val="none"/>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河北省财政厅《全面实施预算绩效管理推进工作方案》的精神，进一步加强和规范预算绩效运行监控工作，确保绩效目标如期保质保量实现，提高预算执行效率和财政资金使用效益，我单位对</w:t>
      </w:r>
      <w:r>
        <w:rPr>
          <w:rFonts w:ascii="仿宋_GB2312" w:eastAsia="仿宋_GB2312" w:cs="DengXian-Regular"/>
          <w:sz w:val="32"/>
          <w:szCs w:val="32"/>
        </w:rPr>
        <w:t>20</w:t>
      </w:r>
      <w:r>
        <w:rPr>
          <w:rFonts w:hint="eastAsia" w:ascii="仿宋_GB2312" w:eastAsia="仿宋_GB2312" w:cs="DengXian-Regular"/>
          <w:sz w:val="32"/>
          <w:szCs w:val="32"/>
          <w:lang w:val="en-US" w:eastAsia="zh-CN"/>
        </w:rPr>
        <w:t>22</w:t>
      </w:r>
      <w:r>
        <w:rPr>
          <w:rFonts w:hint="eastAsia" w:ascii="仿宋_GB2312" w:eastAsia="仿宋_GB2312" w:cs="DengXian-Regular"/>
          <w:sz w:val="32"/>
          <w:szCs w:val="32"/>
        </w:rPr>
        <w:t>年部门整体支出情况开展了绩效自评价工作。</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保定市徐水区人力资源和社会保障局为正科级行政单位，经费保障形式为财政拨款，下设4个股室，分别为办公室、事业单位管理股、工资福利保险股、劳动保障股，主要职责有主要职责有负责促进</w:t>
      </w:r>
      <w:r>
        <w:rPr>
          <w:rFonts w:hint="eastAsia" w:ascii="仿宋_GB2312" w:hAnsi="仿宋" w:eastAsia="仿宋_GB2312"/>
          <w:sz w:val="32"/>
          <w:szCs w:val="32"/>
          <w:highlight w:val="none"/>
        </w:rPr>
        <w:t>就业工作，拟定统筹城乡的就业发展规划和政策，完善公共就业服务体系，落实就业援助制度；牵头拟定高校毕业生就业政策；会同有关部门拟定高技能人才、农村实用人才的培养和激励政策；按规定实施机关企事业单位人员福利和离退休政策；完善最低工资制度和工资支付保障机制；统筹实施劳动争议、人事仲裁制度；完善劳动关系协调机制；督促落实消除非法使用童工政策和女工、未成年工的特殊劳动保护政策；组织实施劳动监察，协调劳动者维权工作，依法查处重大案件；负责拟定工伤保险。　</w:t>
      </w:r>
    </w:p>
    <w:p>
      <w:pPr>
        <w:spacing w:after="0" w:line="360" w:lineRule="auto"/>
        <w:ind w:firstLine="640" w:firstLineChars="200"/>
        <w:jc w:val="both"/>
        <w:textAlignment w:val="baseline"/>
        <w:rPr>
          <w:rFonts w:hint="eastAsia" w:ascii="仿宋_GB2312" w:eastAsia="仿宋_GB2312" w:cs="DengXian-Regular"/>
          <w:sz w:val="32"/>
          <w:szCs w:val="32"/>
          <w:highlight w:val="none"/>
        </w:rPr>
      </w:pPr>
      <w:r>
        <w:rPr>
          <w:rFonts w:hint="eastAsia" w:ascii="仿宋_GB2312" w:eastAsia="仿宋_GB2312" w:cs="DengXian-Regular"/>
          <w:sz w:val="32"/>
          <w:szCs w:val="32"/>
          <w:highlight w:val="none"/>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按照中共河北省委河北省人民政府《关于全面实施预算绩效管理的实施意见》的相关规定，以河北省财政厅《全面实施预算绩效管理推进工作方案》中的相关工作要求作为评价标准，采取定量和定性评价相结合的方法，对资料进行审核、分析，实事求是、客观公正地完成了</w:t>
      </w:r>
      <w:r>
        <w:rPr>
          <w:rFonts w:hint="eastAsia" w:ascii="仿宋_GB2312" w:eastAsia="仿宋_GB2312" w:cs="DengXian-Regular"/>
          <w:sz w:val="32"/>
          <w:szCs w:val="32"/>
          <w:highlight w:val="none"/>
          <w:lang w:val="en-US" w:eastAsia="zh-CN"/>
        </w:rPr>
        <w:t>人社局</w:t>
      </w: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2</w:t>
      </w:r>
      <w:r>
        <w:rPr>
          <w:rFonts w:hint="eastAsia" w:ascii="仿宋_GB2312" w:eastAsia="仿宋_GB2312" w:cs="DengXian-Regular"/>
          <w:sz w:val="32"/>
          <w:szCs w:val="32"/>
          <w:highlight w:val="none"/>
        </w:rPr>
        <w:t>年部门整体支出绩效评价工作。</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区</w:t>
      </w:r>
      <w:r>
        <w:rPr>
          <w:rFonts w:hint="eastAsia" w:ascii="仿宋_GB2312" w:eastAsia="仿宋_GB2312" w:cs="DengXian-Regular"/>
          <w:sz w:val="32"/>
          <w:szCs w:val="32"/>
          <w:highlight w:val="none"/>
          <w:lang w:val="en-US" w:eastAsia="zh-CN"/>
        </w:rPr>
        <w:t>人社局</w:t>
      </w: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2</w:t>
      </w:r>
      <w:r>
        <w:rPr>
          <w:rFonts w:hint="eastAsia" w:ascii="仿宋_GB2312" w:eastAsia="仿宋_GB2312" w:cs="DengXian-Regular"/>
          <w:sz w:val="32"/>
          <w:szCs w:val="32"/>
          <w:highlight w:val="none"/>
        </w:rPr>
        <w:t>年部门整体支出绩效评价指标体系共设置4个一级指标、7个二级指标、27个三级指标，从投入、过程、产出、效果四个方面对区</w:t>
      </w:r>
      <w:r>
        <w:rPr>
          <w:rFonts w:hint="eastAsia" w:ascii="仿宋_GB2312" w:eastAsia="仿宋_GB2312" w:cs="DengXian-Regular"/>
          <w:sz w:val="32"/>
          <w:szCs w:val="32"/>
          <w:highlight w:val="none"/>
          <w:lang w:val="en-US" w:eastAsia="zh-CN"/>
        </w:rPr>
        <w:t>人社局</w:t>
      </w:r>
      <w:r>
        <w:rPr>
          <w:rFonts w:hint="eastAsia" w:ascii="仿宋_GB2312" w:eastAsia="仿宋_GB2312" w:cs="DengXian-Regular"/>
          <w:sz w:val="32"/>
          <w:szCs w:val="32"/>
          <w:highlight w:val="none"/>
        </w:rPr>
        <w:t>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区</w:t>
      </w:r>
      <w:r>
        <w:rPr>
          <w:rFonts w:hint="eastAsia" w:ascii="仿宋_GB2312" w:eastAsia="仿宋_GB2312" w:cs="DengXian-Regular"/>
          <w:sz w:val="32"/>
          <w:szCs w:val="32"/>
          <w:highlight w:val="none"/>
          <w:lang w:val="en-US" w:eastAsia="zh-CN"/>
        </w:rPr>
        <w:t>人社局</w:t>
      </w: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2</w:t>
      </w:r>
      <w:r>
        <w:rPr>
          <w:rFonts w:hint="eastAsia" w:ascii="仿宋_GB2312" w:eastAsia="仿宋_GB2312" w:cs="DengXian-Regular"/>
          <w:sz w:val="32"/>
          <w:szCs w:val="32"/>
          <w:highlight w:val="none"/>
        </w:rPr>
        <w:t>年部门整体支出综合评价得分为</w:t>
      </w:r>
      <w:r>
        <w:rPr>
          <w:rFonts w:hint="eastAsia" w:ascii="仿宋_GB2312" w:eastAsia="仿宋_GB2312" w:cs="DengXian-Regular"/>
          <w:sz w:val="32"/>
          <w:szCs w:val="32"/>
          <w:highlight w:val="none"/>
          <w:lang w:val="en-US" w:eastAsia="zh-CN"/>
        </w:rPr>
        <w:t>95</w:t>
      </w:r>
      <w:r>
        <w:rPr>
          <w:rFonts w:hint="eastAsia" w:ascii="仿宋_GB2312" w:eastAsia="仿宋_GB2312" w:cs="DengXian-Regular"/>
          <w:sz w:val="32"/>
          <w:szCs w:val="32"/>
          <w:highlight w:val="none"/>
        </w:rPr>
        <w:t>分，评价等级为“</w:t>
      </w:r>
      <w:r>
        <w:rPr>
          <w:rFonts w:hint="eastAsia" w:ascii="仿宋_GB2312" w:eastAsia="仿宋_GB2312" w:cs="DengXian-Regular"/>
          <w:sz w:val="32"/>
          <w:szCs w:val="32"/>
          <w:highlight w:val="none"/>
          <w:lang w:val="en-US" w:eastAsia="zh-CN"/>
        </w:rPr>
        <w:t>优</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rPr>
        <w:t>经评价，区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w:t>
      </w:r>
      <w:r>
        <w:rPr>
          <w:rFonts w:hint="eastAsia" w:ascii="仿宋_GB2312" w:eastAsia="仿宋_GB2312" w:cs="DengXian-Regular"/>
          <w:sz w:val="32"/>
          <w:szCs w:val="32"/>
          <w:highlight w:val="none"/>
        </w:rPr>
        <w:t>整体效益等指标完成情况较好。</w:t>
      </w:r>
    </w:p>
    <w:p>
      <w:pPr>
        <w:spacing w:after="0" w:line="360" w:lineRule="auto"/>
        <w:ind w:firstLine="640" w:firstLineChars="200"/>
        <w:jc w:val="both"/>
        <w:textAlignment w:val="baseline"/>
        <w:rPr>
          <w:rFonts w:hint="eastAsia" w:ascii="仿宋_GB2312" w:eastAsia="仿宋_GB2312" w:cs="DengXian-Regular"/>
          <w:sz w:val="32"/>
          <w:szCs w:val="32"/>
          <w:highlight w:val="none"/>
        </w:rPr>
      </w:pPr>
      <w:r>
        <w:rPr>
          <w:rFonts w:hint="eastAsia" w:ascii="仿宋_GB2312" w:eastAsia="仿宋_GB2312" w:cs="DengXian-Regular"/>
          <w:sz w:val="32"/>
          <w:szCs w:val="32"/>
          <w:highlight w:val="none"/>
        </w:rPr>
        <w:t>通过本次绩效评价工作，发现我单位在以下几个方面存在一些不足之处，具体如下：</w:t>
      </w:r>
    </w:p>
    <w:p>
      <w:pPr>
        <w:numPr>
          <w:ilvl w:val="0"/>
          <w:numId w:val="0"/>
        </w:num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Times New Roman" w:hAnsiTheme="minorEastAsia"/>
          <w:sz w:val="32"/>
          <w:szCs w:val="32"/>
          <w:u w:color="000000"/>
          <w:lang w:val="en-US" w:eastAsia="zh-CN"/>
        </w:rPr>
        <w:t>1.</w:t>
      </w:r>
      <w:r>
        <w:rPr>
          <w:rFonts w:hint="eastAsia" w:ascii="仿宋_GB2312" w:eastAsia="仿宋_GB2312" w:cs="Times New Roman" w:hAnsiTheme="minorEastAsia"/>
          <w:sz w:val="32"/>
          <w:szCs w:val="32"/>
          <w:u w:color="000000"/>
        </w:rPr>
        <w:t>绩效指标方面：</w:t>
      </w:r>
      <w:r>
        <w:rPr>
          <w:rFonts w:hint="eastAsia" w:ascii="仿宋_GB2312" w:eastAsia="仿宋_GB2312" w:cs="DengXian-Regular"/>
          <w:sz w:val="32"/>
          <w:szCs w:val="32"/>
        </w:rPr>
        <w:t>细化不够明确，有的没有化</w:t>
      </w:r>
    </w:p>
    <w:p>
      <w:pPr>
        <w:numPr>
          <w:ilvl w:val="0"/>
          <w:numId w:val="0"/>
        </w:numPr>
        <w:spacing w:after="0" w:line="360" w:lineRule="auto"/>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分</w:t>
      </w:r>
      <w:r>
        <w:rPr>
          <w:rFonts w:hint="eastAsia" w:ascii="仿宋_GB2312" w:eastAsia="仿宋_GB2312" w:cs="DengXian-Regular"/>
          <w:sz w:val="32"/>
          <w:szCs w:val="32"/>
        </w:rPr>
        <w:t>进来</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涵盖不全面</w:t>
      </w:r>
      <w:r>
        <w:rPr>
          <w:rFonts w:hint="eastAsia" w:ascii="仿宋_GB2312" w:eastAsia="仿宋_GB2312" w:cs="DengXian-Regular"/>
          <w:sz w:val="32"/>
          <w:szCs w:val="32"/>
        </w:rPr>
        <w:t>。</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Times New Roman" w:hAnsiTheme="minorEastAsia"/>
          <w:sz w:val="32"/>
          <w:szCs w:val="32"/>
          <w:u w:color="000000"/>
        </w:rPr>
        <w:t>2.预算决算比较：</w:t>
      </w:r>
      <w:r>
        <w:rPr>
          <w:rFonts w:hint="eastAsia" w:ascii="仿宋_GB2312" w:eastAsia="仿宋_GB2312" w:cs="DengXian-Regular"/>
          <w:sz w:val="32"/>
          <w:szCs w:val="32"/>
          <w:lang w:val="en-US" w:eastAsia="zh-CN"/>
        </w:rPr>
        <w:t>我</w:t>
      </w:r>
      <w:r>
        <w:rPr>
          <w:rFonts w:hint="eastAsia" w:ascii="仿宋_GB2312" w:eastAsia="仿宋_GB2312" w:cs="DengXian-Regular"/>
          <w:sz w:val="32"/>
          <w:szCs w:val="32"/>
        </w:rPr>
        <w:t>单位一般公共预算财政拨款决算收入比年初预算增加</w:t>
      </w:r>
      <w:r>
        <w:rPr>
          <w:rFonts w:hint="eastAsia" w:ascii="仿宋_GB2312" w:eastAsia="仿宋_GB2312" w:cs="DengXian-Regular"/>
          <w:sz w:val="32"/>
          <w:szCs w:val="32"/>
          <w:lang w:val="en-US" w:eastAsia="zh-CN"/>
        </w:rPr>
        <w:t>1736.27</w:t>
      </w:r>
      <w:r>
        <w:rPr>
          <w:rFonts w:hint="eastAsia" w:ascii="仿宋_GB2312" w:eastAsia="仿宋_GB2312" w:cs="DengXian-Regular"/>
          <w:sz w:val="32"/>
          <w:szCs w:val="32"/>
        </w:rPr>
        <w:t>万元，完成年初预算的</w:t>
      </w:r>
      <w:r>
        <w:rPr>
          <w:rFonts w:hint="eastAsia" w:ascii="仿宋_GB2312" w:eastAsia="仿宋_GB2312" w:cs="DengXian-Regular"/>
          <w:sz w:val="32"/>
          <w:szCs w:val="32"/>
          <w:lang w:val="en-US" w:eastAsia="zh-CN"/>
        </w:rPr>
        <w:t>200.74</w:t>
      </w:r>
      <w:r>
        <w:rPr>
          <w:rFonts w:hint="eastAsia" w:ascii="仿宋_GB2312" w:eastAsia="仿宋_GB2312" w:cs="DengXian-Regular"/>
          <w:sz w:val="32"/>
          <w:szCs w:val="32"/>
        </w:rPr>
        <w:t>%。决算收入大于预算收入的主要原因为202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年度我单位追加了中央就业补助资金</w:t>
      </w:r>
      <w:r>
        <w:rPr>
          <w:rFonts w:hint="eastAsia" w:ascii="仿宋_GB2312" w:eastAsia="仿宋_GB2312" w:cs="DengXian-Regular"/>
          <w:sz w:val="32"/>
          <w:szCs w:val="32"/>
          <w:lang w:val="en-US" w:eastAsia="zh-CN"/>
        </w:rPr>
        <w:t>及购置基层公共服务平台自助机所需资金</w:t>
      </w:r>
      <w:r>
        <w:rPr>
          <w:rFonts w:hint="eastAsia" w:ascii="仿宋_GB2312" w:eastAsia="仿宋_GB2312" w:cs="DengXian-Regular"/>
          <w:sz w:val="32"/>
          <w:szCs w:val="32"/>
        </w:rPr>
        <w:t>。</w:t>
      </w: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预算追加方面：追加项目共</w:t>
      </w:r>
      <w:r>
        <w:rPr>
          <w:rFonts w:hint="eastAsia" w:ascii="仿宋_GB2312" w:eastAsia="仿宋_GB2312" w:cs="DengXian-Regular"/>
          <w:sz w:val="32"/>
          <w:szCs w:val="32"/>
          <w:lang w:val="en-US" w:eastAsia="zh-CN"/>
        </w:rPr>
        <w:t>11</w:t>
      </w:r>
      <w:r>
        <w:rPr>
          <w:rFonts w:hint="eastAsia" w:ascii="仿宋_GB2312" w:eastAsia="仿宋_GB2312" w:cs="DengXian-Regular"/>
          <w:sz w:val="32"/>
          <w:szCs w:val="32"/>
        </w:rPr>
        <w:t>项，</w:t>
      </w:r>
      <w:r>
        <w:rPr>
          <w:rFonts w:hint="eastAsia" w:ascii="仿宋_GB2312" w:eastAsia="仿宋_GB2312" w:cs="DengXian-Regular"/>
          <w:sz w:val="32"/>
          <w:szCs w:val="32"/>
          <w:lang w:val="en-US" w:eastAsia="zh-CN"/>
        </w:rPr>
        <w:t>下达 2022年中央就业补助资金215万元；提前下达2022年中央就业补助资金1220万元；提前下达2022年度省级城乡居民基本养老保险就业公共服务村级代办员补助资金14万元；城乡居民基本养老保险村（居）代办员补助0.67万元；追加人社局建设社会保险综合柜员制服务大厅所需资金11.98万元；下达2020-2021年国有企业退休人员社会化管理中央和省级财政补助资金【清算】预算11.49万元；提前下达2022年省级就业补助资金265万元；劳动人事争议仲裁院标准化建设所需资金9.77万元；购置基层公共服务平台自助机所需资金75万元；服务大厅实行综合柜员制购置专用设备经费22万元；参保单位网报系统第三方数字认证收费资金12万元。</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Times New Roman" w:hAnsiTheme="minorEastAsia"/>
          <w:sz w:val="32"/>
          <w:szCs w:val="32"/>
          <w:u w:color="000000"/>
        </w:rPr>
        <w:t>4.政府采购方面：</w:t>
      </w:r>
      <w:r>
        <w:rPr>
          <w:rFonts w:hint="eastAsia" w:ascii="仿宋_GB2312" w:eastAsia="仿宋_GB2312" w:cs="DengXian-Regular"/>
          <w:sz w:val="32"/>
          <w:szCs w:val="32"/>
          <w:highlight w:val="none"/>
        </w:rPr>
        <w:t>根据区</w:t>
      </w:r>
      <w:r>
        <w:rPr>
          <w:rFonts w:hint="eastAsia" w:ascii="仿宋_GB2312" w:eastAsia="仿宋_GB2312" w:cs="DengXian-Regular"/>
          <w:sz w:val="32"/>
          <w:szCs w:val="32"/>
          <w:highlight w:val="none"/>
          <w:lang w:val="en-US" w:eastAsia="zh-CN"/>
        </w:rPr>
        <w:t>人社局</w:t>
      </w:r>
      <w:r>
        <w:rPr>
          <w:rFonts w:hint="eastAsia" w:ascii="仿宋_GB2312" w:eastAsia="仿宋_GB2312" w:cs="DengXian-Regular"/>
          <w:sz w:val="32"/>
          <w:szCs w:val="32"/>
          <w:highlight w:val="none"/>
        </w:rPr>
        <w:t>202</w:t>
      </w:r>
      <w:r>
        <w:rPr>
          <w:rFonts w:hint="eastAsia" w:ascii="仿宋_GB2312" w:eastAsia="仿宋_GB2312" w:cs="DengXian-Regular"/>
          <w:sz w:val="32"/>
          <w:szCs w:val="32"/>
          <w:highlight w:val="none"/>
          <w:lang w:val="en-US" w:eastAsia="zh-CN"/>
        </w:rPr>
        <w:t>2</w:t>
      </w:r>
      <w:r>
        <w:rPr>
          <w:rFonts w:hint="eastAsia" w:ascii="仿宋_GB2312" w:eastAsia="仿宋_GB2312" w:cs="DengXian-Regular"/>
          <w:sz w:val="32"/>
          <w:szCs w:val="32"/>
          <w:highlight w:val="none"/>
        </w:rPr>
        <w:t>年预算文本及决算文本，政府采购年初预算数</w:t>
      </w:r>
      <w:r>
        <w:rPr>
          <w:rFonts w:hint="eastAsia" w:ascii="仿宋_GB2312" w:eastAsia="仿宋_GB2312" w:cs="DengXian-Regular"/>
          <w:sz w:val="32"/>
          <w:szCs w:val="32"/>
          <w:highlight w:val="none"/>
          <w:lang w:val="en-US" w:eastAsia="zh-CN"/>
        </w:rPr>
        <w:t>122.2</w:t>
      </w:r>
      <w:r>
        <w:rPr>
          <w:rFonts w:hint="eastAsia" w:ascii="仿宋_GB2312" w:eastAsia="仿宋_GB2312" w:cs="DengXian-Regular"/>
          <w:sz w:val="32"/>
          <w:szCs w:val="32"/>
          <w:highlight w:val="none"/>
        </w:rPr>
        <w:t>万元，年末决算数</w:t>
      </w:r>
      <w:r>
        <w:rPr>
          <w:rFonts w:hint="eastAsia" w:ascii="仿宋_GB2312" w:eastAsia="仿宋_GB2312" w:cs="DengXian-Regular"/>
          <w:sz w:val="32"/>
          <w:szCs w:val="32"/>
          <w:highlight w:val="none"/>
          <w:lang w:val="en-US" w:eastAsia="zh-CN"/>
        </w:rPr>
        <w:t>119.91</w:t>
      </w:r>
      <w:r>
        <w:rPr>
          <w:rFonts w:hint="eastAsia" w:ascii="仿宋_GB2312" w:eastAsia="仿宋_GB2312" w:cs="DengXian-Regular"/>
          <w:sz w:val="32"/>
          <w:szCs w:val="32"/>
          <w:highlight w:val="none"/>
        </w:rPr>
        <w:t>万元，政府采购执行率为</w:t>
      </w:r>
      <w:r>
        <w:rPr>
          <w:rFonts w:hint="eastAsia" w:ascii="仿宋_GB2312" w:eastAsia="仿宋_GB2312" w:cs="DengXian-Regular"/>
          <w:sz w:val="32"/>
          <w:szCs w:val="32"/>
          <w:highlight w:val="none"/>
          <w:lang w:val="en-US" w:eastAsia="zh-CN"/>
        </w:rPr>
        <w:t>98.13%</w:t>
      </w:r>
      <w:r>
        <w:rPr>
          <w:rFonts w:hint="eastAsia" w:ascii="仿宋_GB2312" w:eastAsia="仿宋_GB2312" w:cs="DengXian-Regular"/>
          <w:sz w:val="32"/>
          <w:szCs w:val="32"/>
          <w:highlight w:val="none"/>
        </w:rPr>
        <w:t>。</w:t>
      </w:r>
    </w:p>
    <w:p>
      <w:pPr>
        <w:numPr>
          <w:ilvl w:val="0"/>
          <w:numId w:val="0"/>
        </w:numPr>
        <w:spacing w:after="0" w:line="360" w:lineRule="auto"/>
        <w:ind w:right="396" w:rightChars="180" w:firstLine="640" w:firstLineChars="200"/>
        <w:jc w:val="both"/>
        <w:textAlignment w:val="baseline"/>
        <w:rPr>
          <w:rFonts w:ascii="仿宋_GB2312" w:eastAsia="仿宋_GB2312" w:cs="DengXian-Regular"/>
          <w:sz w:val="32"/>
          <w:szCs w:val="32"/>
        </w:rPr>
      </w:pPr>
      <w:r>
        <w:rPr>
          <w:rFonts w:hint="eastAsia" w:ascii="仿宋_GB2312" w:eastAsia="仿宋_GB2312" w:cs="Times New Roman" w:hAnsiTheme="minorEastAsia"/>
          <w:sz w:val="32"/>
          <w:szCs w:val="32"/>
          <w:u w:color="000000"/>
          <w:lang w:val="en-US" w:eastAsia="zh-CN"/>
        </w:rPr>
        <w:t>5.</w:t>
      </w:r>
      <w:r>
        <w:rPr>
          <w:rFonts w:hint="eastAsia" w:ascii="仿宋_GB2312" w:eastAsia="仿宋_GB2312" w:cs="Times New Roman" w:hAnsiTheme="minorEastAsia"/>
          <w:sz w:val="32"/>
          <w:szCs w:val="32"/>
          <w:u w:color="000000"/>
        </w:rPr>
        <w:t>项目资金使用率方面：</w:t>
      </w:r>
      <w:r>
        <w:rPr>
          <w:rFonts w:hint="eastAsia" w:ascii="仿宋_GB2312" w:eastAsia="仿宋_GB2312" w:cs="DengXian-Regular"/>
          <w:sz w:val="32"/>
          <w:szCs w:val="32"/>
        </w:rPr>
        <w:t>养老保险、城居保、仲</w:t>
      </w:r>
    </w:p>
    <w:p>
      <w:pPr>
        <w:numPr>
          <w:ilvl w:val="0"/>
          <w:numId w:val="0"/>
        </w:numPr>
        <w:spacing w:after="0" w:line="360" w:lineRule="auto"/>
        <w:ind w:right="396" w:rightChars="180"/>
        <w:jc w:val="both"/>
        <w:textAlignment w:val="baseline"/>
        <w:rPr>
          <w:rFonts w:ascii="仿宋_GB2312" w:eastAsia="仿宋_GB2312" w:cs="DengXian-Regular"/>
          <w:sz w:val="32"/>
          <w:szCs w:val="32"/>
        </w:rPr>
      </w:pPr>
      <w:r>
        <w:rPr>
          <w:rFonts w:hint="eastAsia" w:ascii="仿宋_GB2312" w:eastAsia="仿宋_GB2312" w:cs="DengXian-Regular"/>
          <w:sz w:val="32"/>
          <w:szCs w:val="32"/>
        </w:rPr>
        <w:t>裁工作经费支付率略低一些，做下一年度预算时，争取更精准些。</w:t>
      </w:r>
    </w:p>
    <w:p>
      <w:pPr>
        <w:spacing w:after="0" w:line="360" w:lineRule="auto"/>
        <w:ind w:right="396" w:rightChars="180"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highlight w:val="none"/>
        </w:rPr>
        <w:t>6.部分基础数据信息方面</w:t>
      </w:r>
      <w:r>
        <w:rPr>
          <w:rFonts w:hint="eastAsia" w:ascii="仿宋_GB2312" w:eastAsia="仿宋_GB2312" w:cs="DengXian-Regular"/>
          <w:sz w:val="32"/>
          <w:szCs w:val="32"/>
          <w:highlight w:val="none"/>
          <w:lang w:eastAsia="zh-CN"/>
        </w:rPr>
        <w:t>：</w:t>
      </w:r>
      <w:r>
        <w:rPr>
          <w:rFonts w:hint="eastAsia" w:ascii="仿宋_GB2312" w:eastAsia="仿宋_GB2312" w:cs="DengXian-Regular"/>
          <w:sz w:val="32"/>
          <w:szCs w:val="32"/>
          <w:highlight w:val="none"/>
        </w:rPr>
        <w:t>一</w:t>
      </w:r>
      <w:r>
        <w:rPr>
          <w:rFonts w:hint="eastAsia" w:ascii="仿宋_GB2312" w:eastAsia="仿宋_GB2312" w:cs="DengXian-Regular"/>
          <w:sz w:val="32"/>
          <w:szCs w:val="32"/>
        </w:rPr>
        <w:t>些信息不太完善，做的不够详细</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相关数据没有量化</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针对此次绩效评价过程中发现的问题，我们建议：</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1.增强绩效指标设置的明确性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2.提高预算编制质量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3.强化政府采购执行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建议严格按照《中华人民共和国政府采购法》及河北省《政府采购集中采购目录和限额标准》的相关规定，执行政府采购，加快预算执行进度，提高政府采购效率。</w:t>
      </w:r>
      <w:bookmarkStart w:id="1" w:name="_Toc434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建议区</w:t>
      </w:r>
      <w:r>
        <w:rPr>
          <w:rFonts w:hint="eastAsia" w:ascii="仿宋_GB2312" w:eastAsia="仿宋_GB2312" w:cs="Times New Roman" w:hAnsiTheme="minorEastAsia"/>
          <w:sz w:val="32"/>
          <w:szCs w:val="32"/>
          <w:u w:color="000000"/>
          <w:lang w:val="en-US" w:eastAsia="zh-CN"/>
        </w:rPr>
        <w:t>人社局</w:t>
      </w:r>
      <w:r>
        <w:rPr>
          <w:rFonts w:hint="eastAsia" w:ascii="仿宋_GB2312" w:eastAsia="仿宋_GB2312" w:cs="Times New Roman" w:hAnsiTheme="minorEastAsia"/>
          <w:sz w:val="32"/>
          <w:szCs w:val="32"/>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w:t>
      </w:r>
      <w:r>
        <w:rPr>
          <w:rFonts w:ascii="仿宋_GB2312" w:eastAsia="仿宋_GB2312" w:cs="DengXian-Regular"/>
          <w:sz w:val="32"/>
          <w:szCs w:val="32"/>
        </w:rPr>
        <w:t>.完善基础信息管理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建议严格按照档案管理的相关规定对基础数据信息档案资料及时归档保存，保证项目资料的完整性和可查阅性。</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6.预算安排建议</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人员经费方面：</w:t>
      </w:r>
      <w:r>
        <w:rPr>
          <w:rFonts w:ascii="仿宋_GB2312" w:eastAsia="仿宋_GB2312" w:cs="DengXian-Regular"/>
          <w:sz w:val="32"/>
          <w:szCs w:val="32"/>
          <w:highlight w:val="none"/>
        </w:rPr>
        <w:t>20</w:t>
      </w:r>
      <w:r>
        <w:rPr>
          <w:rFonts w:hint="default" w:ascii="仿宋_GB2312" w:eastAsia="仿宋_GB2312" w:cs="DengXian-Regular"/>
          <w:sz w:val="32"/>
          <w:szCs w:val="32"/>
          <w:highlight w:val="none"/>
          <w:lang w:val="en-US"/>
        </w:rPr>
        <w:t>2</w:t>
      </w:r>
      <w:r>
        <w:rPr>
          <w:rFonts w:hint="eastAsia" w:ascii="仿宋_GB2312" w:eastAsia="仿宋_GB2312" w:cs="DengXian-Regular"/>
          <w:sz w:val="32"/>
          <w:szCs w:val="32"/>
          <w:highlight w:val="none"/>
          <w:lang w:val="en-US" w:eastAsia="zh-CN"/>
        </w:rPr>
        <w:t>2</w:t>
      </w:r>
      <w:r>
        <w:rPr>
          <w:rFonts w:ascii="仿宋_GB2312" w:eastAsia="仿宋_GB2312" w:cs="DengXian-Regular"/>
          <w:sz w:val="32"/>
          <w:szCs w:val="32"/>
          <w:highlight w:val="none"/>
        </w:rPr>
        <w:t>年基本支出决算数较预算数</w:t>
      </w:r>
      <w:r>
        <w:rPr>
          <w:rFonts w:hint="eastAsia" w:ascii="仿宋_GB2312" w:eastAsia="仿宋_GB2312" w:cs="DengXian-Regular"/>
          <w:sz w:val="32"/>
          <w:szCs w:val="32"/>
          <w:highlight w:val="none"/>
          <w:lang w:val="en-US" w:eastAsia="zh-CN"/>
        </w:rPr>
        <w:t>减少</w:t>
      </w:r>
      <w:r>
        <w:rPr>
          <w:rFonts w:ascii="仿宋_GB2312" w:eastAsia="仿宋_GB2312" w:cs="DengXian-Regular"/>
          <w:sz w:val="32"/>
          <w:szCs w:val="32"/>
          <w:highlight w:val="none"/>
        </w:rPr>
        <w:t>，主要原因为</w:t>
      </w:r>
      <w:r>
        <w:rPr>
          <w:rFonts w:hint="eastAsia" w:ascii="仿宋_GB2312" w:eastAsia="仿宋_GB2312" w:cs="DengXian-Regular"/>
          <w:sz w:val="32"/>
          <w:szCs w:val="32"/>
          <w:highlight w:val="none"/>
          <w:lang w:val="en-US" w:eastAsia="zh-CN"/>
        </w:rPr>
        <w:t>人员退休</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hint="default" w:ascii="仿宋_GB2312" w:eastAsia="仿宋_GB2312" w:cs="DengXian-Regular"/>
          <w:sz w:val="32"/>
          <w:szCs w:val="32"/>
          <w:highlight w:val="none"/>
          <w:lang w:val="en-US" w:eastAsia="zh-CN"/>
        </w:rPr>
      </w:pPr>
      <w:r>
        <w:rPr>
          <w:rFonts w:hint="eastAsia" w:ascii="仿宋_GB2312" w:eastAsia="仿宋_GB2312" w:cs="DengXian-Regular"/>
          <w:sz w:val="32"/>
          <w:szCs w:val="32"/>
          <w:highlight w:val="none"/>
        </w:rPr>
        <w:t>项目资金方面：</w:t>
      </w:r>
      <w:r>
        <w:rPr>
          <w:rFonts w:ascii="仿宋_GB2312" w:eastAsia="仿宋_GB2312" w:cs="DengXian-Regular"/>
          <w:sz w:val="32"/>
          <w:szCs w:val="32"/>
          <w:highlight w:val="none"/>
        </w:rPr>
        <w:t>20</w:t>
      </w:r>
      <w:r>
        <w:rPr>
          <w:rFonts w:hint="default" w:ascii="仿宋_GB2312" w:eastAsia="仿宋_GB2312" w:cs="DengXian-Regular"/>
          <w:sz w:val="32"/>
          <w:szCs w:val="32"/>
          <w:highlight w:val="none"/>
          <w:lang w:val="en-US"/>
        </w:rPr>
        <w:t>2</w:t>
      </w:r>
      <w:r>
        <w:rPr>
          <w:rFonts w:hint="eastAsia" w:ascii="仿宋_GB2312" w:eastAsia="仿宋_GB2312" w:cs="DengXian-Regular"/>
          <w:sz w:val="32"/>
          <w:szCs w:val="32"/>
          <w:highlight w:val="none"/>
          <w:lang w:val="en-US" w:eastAsia="zh-CN"/>
        </w:rPr>
        <w:t>2</w:t>
      </w:r>
      <w:r>
        <w:rPr>
          <w:rFonts w:ascii="仿宋_GB2312" w:eastAsia="仿宋_GB2312" w:cs="DengXian-Regular"/>
          <w:sz w:val="32"/>
          <w:szCs w:val="32"/>
          <w:highlight w:val="none"/>
        </w:rPr>
        <w:t>年</w:t>
      </w:r>
      <w:r>
        <w:rPr>
          <w:rFonts w:hint="eastAsia" w:ascii="仿宋_GB2312" w:eastAsia="仿宋_GB2312" w:cs="DengXian-Regular"/>
          <w:sz w:val="32"/>
          <w:szCs w:val="32"/>
          <w:highlight w:val="none"/>
          <w:lang w:val="en-US" w:eastAsia="zh-CN"/>
        </w:rPr>
        <w:t>项目</w:t>
      </w:r>
      <w:r>
        <w:rPr>
          <w:rFonts w:ascii="仿宋_GB2312" w:eastAsia="仿宋_GB2312" w:cs="DengXian-Regular"/>
          <w:sz w:val="32"/>
          <w:szCs w:val="32"/>
          <w:highlight w:val="none"/>
        </w:rPr>
        <w:t>支出决算数较预算数</w:t>
      </w:r>
      <w:r>
        <w:rPr>
          <w:rFonts w:hint="eastAsia" w:ascii="仿宋_GB2312" w:eastAsia="仿宋_GB2312" w:cs="DengXian-Regular"/>
          <w:sz w:val="32"/>
          <w:szCs w:val="32"/>
          <w:highlight w:val="none"/>
          <w:lang w:val="en-US" w:eastAsia="zh-CN"/>
        </w:rPr>
        <w:t>增加较大</w:t>
      </w:r>
      <w:r>
        <w:rPr>
          <w:rFonts w:ascii="仿宋_GB2312" w:eastAsia="仿宋_GB2312" w:cs="DengXian-Regular"/>
          <w:sz w:val="32"/>
          <w:szCs w:val="32"/>
          <w:highlight w:val="none"/>
        </w:rPr>
        <w:t>，</w:t>
      </w:r>
      <w:r>
        <w:rPr>
          <w:rFonts w:hint="eastAsia" w:ascii="仿宋_GB2312" w:eastAsia="仿宋_GB2312" w:cs="DengXian-Regular"/>
          <w:sz w:val="32"/>
          <w:szCs w:val="32"/>
          <w:highlight w:val="none"/>
          <w:lang w:val="en-US" w:eastAsia="zh-CN"/>
        </w:rPr>
        <w:t>主要原因是年初未做就业资金项目，全年支出均为追加项目。</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27"/>
      <w:bookmarkStart w:id="3" w:name="_Toc492652763"/>
      <w:r>
        <w:rPr>
          <w:rFonts w:hint="eastAsia" w:ascii="楷体" w:hAnsi="楷体" w:eastAsia="楷体" w:cs="楷体"/>
        </w:rPr>
        <w:t>一、保定市徐水区</w:t>
      </w:r>
      <w:r>
        <w:rPr>
          <w:rFonts w:hint="eastAsia" w:ascii="楷体" w:hAnsi="楷体" w:eastAsia="楷体" w:cs="楷体"/>
          <w:lang w:val="en-US" w:eastAsia="zh-CN"/>
        </w:rPr>
        <w:t>人社局</w:t>
      </w:r>
      <w:r>
        <w:rPr>
          <w:rFonts w:hint="eastAsia" w:ascii="楷体" w:hAnsi="楷体" w:eastAsia="楷体" w:cs="楷体"/>
        </w:rPr>
        <w:t>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职能配置内设机构和人员编制规定》的通知，区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为区政府工作部门，正科级单位，下设</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个股室。</w:t>
      </w:r>
      <w:r>
        <w:rPr>
          <w:rFonts w:hint="eastAsia" w:ascii="仿宋_GB2312" w:eastAsia="仿宋_GB2312" w:cs="DengXian-Regular"/>
          <w:sz w:val="32"/>
          <w:szCs w:val="32"/>
          <w:lang w:val="en-US" w:eastAsia="zh-CN"/>
        </w:rPr>
        <w:t>我</w:t>
      </w:r>
      <w:r>
        <w:rPr>
          <w:rFonts w:hint="eastAsia" w:ascii="仿宋_GB2312" w:eastAsia="仿宋_GB2312" w:cs="DengXian-Regular"/>
          <w:sz w:val="32"/>
          <w:szCs w:val="32"/>
        </w:rPr>
        <w:t>单位根据绩效预算管理改革的相关要求，按照“部门职责—工作活动绩效目标”的层级设立了绩效预算架构，</w:t>
      </w:r>
      <w:bookmarkStart w:id="6" w:name="_Toc465149499"/>
      <w:bookmarkStart w:id="7" w:name="_Toc492652765"/>
      <w:r>
        <w:rPr>
          <w:rFonts w:hint="eastAsia" w:ascii="仿宋_GB2312" w:eastAsia="仿宋_GB2312" w:cs="DengXian-Regular"/>
          <w:sz w:val="32"/>
          <w:szCs w:val="32"/>
        </w:rPr>
        <w:t>职责活动包括贯彻执行人力资源和社会保障法律、法规、规章；拟定全区人力资源和社会保障事业发展规划；人事管理政策人员总体规划、结构调整和宏观管理；拟定政府奖励办法、审核上报以区政府名义奖励表彰的人员；拟定人才市场发展规划和政策，建立统一规范的人力资源市场；专业技术人员职称改革；就业工作、全区城乡的社会保障体系；就业、失业、社会保险基金预测预警和信息引导，贯彻落实劳动；人事争议调解仲裁制度和劳动关系政策等共十一部分。</w:t>
      </w:r>
    </w:p>
    <w:p>
      <w:pPr>
        <w:spacing w:after="0" w:line="360" w:lineRule="auto"/>
        <w:ind w:firstLine="640" w:firstLineChars="200"/>
        <w:jc w:val="both"/>
        <w:textAlignment w:val="baseline"/>
        <w:rPr>
          <w:rFonts w:ascii="仿宋_GB2312" w:eastAsia="仿宋_GB2312" w:cs="DengXian-Regular"/>
          <w:sz w:val="32"/>
          <w:szCs w:val="32"/>
        </w:rPr>
      </w:pPr>
    </w:p>
    <w:p>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年绩效预算编制要求，</w:t>
      </w:r>
      <w:r>
        <w:rPr>
          <w:rFonts w:hint="eastAsia" w:ascii="仿宋_GB2312" w:eastAsia="仿宋_GB2312" w:cs="DengXian-Regular"/>
          <w:sz w:val="32"/>
          <w:szCs w:val="32"/>
          <w:lang w:val="en-US" w:eastAsia="zh-CN"/>
        </w:rPr>
        <w:t>我</w:t>
      </w:r>
      <w:r>
        <w:rPr>
          <w:rFonts w:hint="eastAsia" w:ascii="仿宋_GB2312" w:eastAsia="仿宋_GB2312" w:cs="DengXian-Regular"/>
          <w:sz w:val="32"/>
          <w:szCs w:val="32"/>
        </w:rPr>
        <w:t>单位设置的年度发展规划总体目标为：</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负责贯彻执行党和国家关于制定我局工作要点，并监督实施。指导全区指导全区事业单位工作人员总体规划、结构调整和宏观管理工作。制定统筹建立覆盖全区城乡的社会保障体系；贯彻落实养老、工伤、社会保险；贯彻落实全省统一的社会保险关系转续办法和基金统筹办法等规划并组织实施，指导检查全区专业技术人员职称改革工作。负责全区工资分配宏观政策及工资标准、调控政策工作，负责全区会同有关部门研究拟订政府奖励办法等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pPr>
        <w:spacing w:after="0" w:line="360" w:lineRule="auto"/>
        <w:jc w:val="both"/>
        <w:textAlignment w:val="baseline"/>
        <w:rPr>
          <w:rFonts w:ascii="仿宋_GB2312" w:eastAsia="仿宋_GB2312" w:cs="DengXian-Regular"/>
          <w:sz w:val="32"/>
          <w:szCs w:val="32"/>
        </w:rPr>
      </w:pPr>
      <w:bookmarkStart w:id="9" w:name="_Toc1678"/>
      <w:bookmarkStart w:id="10" w:name="_Toc492652766"/>
      <w:bookmarkStart w:id="11" w:name="_Toc465149500"/>
      <w:r>
        <w:rPr>
          <w:rFonts w:hint="eastAsia" w:ascii="仿宋_GB2312" w:eastAsia="仿宋_GB2312" w:cs="DengXian-Regular"/>
          <w:sz w:val="32"/>
          <w:szCs w:val="32"/>
        </w:rPr>
        <w:t>1. 开展制定统筹建立覆盖全区城乡的社会保障体系工作。</w:t>
      </w:r>
    </w:p>
    <w:p>
      <w:pPr>
        <w:spacing w:after="0" w:line="360" w:lineRule="auto"/>
        <w:jc w:val="both"/>
        <w:textAlignment w:val="baseline"/>
        <w:rPr>
          <w:rFonts w:ascii="仿宋_GB2312" w:eastAsia="仿宋_GB2312" w:cs="DengXian-Regular"/>
          <w:sz w:val="32"/>
          <w:szCs w:val="32"/>
        </w:rPr>
      </w:pPr>
      <w:r>
        <w:rPr>
          <w:rFonts w:hint="eastAsia" w:ascii="仿宋_GB2312" w:eastAsia="仿宋_GB2312" w:cs="DengXian-Regular"/>
          <w:sz w:val="32"/>
          <w:szCs w:val="32"/>
        </w:rPr>
        <w:t>2. 开展人事争议调解仲裁制度和劳动关系政策工作。</w:t>
      </w:r>
    </w:p>
    <w:p>
      <w:pPr>
        <w:spacing w:after="0" w:line="360" w:lineRule="auto"/>
        <w:jc w:val="both"/>
        <w:textAlignment w:val="baseline"/>
        <w:rPr>
          <w:rFonts w:ascii="仿宋_GB2312" w:eastAsia="仿宋_GB2312" w:cs="DengXian-Regular"/>
          <w:sz w:val="32"/>
          <w:szCs w:val="32"/>
        </w:rPr>
      </w:pPr>
      <w:r>
        <w:rPr>
          <w:rFonts w:hint="eastAsia" w:ascii="仿宋_GB2312" w:eastAsia="仿宋_GB2312" w:cs="DengXian-Regular"/>
          <w:sz w:val="32"/>
          <w:szCs w:val="32"/>
        </w:rPr>
        <w:t>3. 开展就业工作、全区城乡的社会保障体系；就业、失业、社会保险基金预测预警和信息引导，贯彻落实劳动工作。</w:t>
      </w:r>
    </w:p>
    <w:p>
      <w:pPr>
        <w:spacing w:after="0" w:line="360" w:lineRule="auto"/>
        <w:ind w:firstLine="643" w:firstLineChars="200"/>
        <w:jc w:val="both"/>
        <w:textAlignment w:val="baseline"/>
        <w:rPr>
          <w:rFonts w:ascii="仿宋_GB2312" w:eastAsia="仿宋_GB2312" w:cs="DengXian-Regular"/>
          <w:b/>
          <w:bCs/>
          <w:sz w:val="32"/>
          <w:szCs w:val="32"/>
          <w:highlight w:val="none"/>
        </w:rPr>
      </w:pPr>
      <w:r>
        <w:rPr>
          <w:rFonts w:hint="eastAsia" w:ascii="仿宋_GB2312" w:eastAsia="仿宋_GB2312" w:cs="DengXian-Regular"/>
          <w:b/>
          <w:bCs/>
          <w:sz w:val="32"/>
          <w:szCs w:val="32"/>
          <w:highlight w:val="none"/>
        </w:rPr>
        <w:t>（三）部门预算收入及决算收入</w:t>
      </w:r>
      <w:bookmarkEnd w:id="9"/>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预算收入</w:t>
      </w:r>
      <w:r>
        <w:rPr>
          <w:rFonts w:hint="eastAsia" w:ascii="仿宋_GB2312" w:eastAsia="仿宋_GB2312" w:cs="DengXian-Regular"/>
          <w:sz w:val="32"/>
          <w:szCs w:val="32"/>
          <w:lang w:val="en-US" w:eastAsia="zh-CN"/>
        </w:rPr>
        <w:t>1730.70</w:t>
      </w:r>
      <w:r>
        <w:rPr>
          <w:rFonts w:hint="eastAsia" w:ascii="仿宋_GB2312" w:eastAsia="仿宋_GB2312" w:cs="DengXian-Regular"/>
          <w:sz w:val="32"/>
          <w:szCs w:val="32"/>
        </w:rPr>
        <w:t>万元，一般公共预算拨款</w:t>
      </w:r>
      <w:r>
        <w:rPr>
          <w:rFonts w:hint="eastAsia" w:ascii="仿宋_GB2312" w:eastAsia="仿宋_GB2312" w:cs="DengXian-Regular"/>
          <w:sz w:val="32"/>
          <w:szCs w:val="32"/>
          <w:lang w:val="en-US" w:eastAsia="zh-CN"/>
        </w:rPr>
        <w:t>1723.57万元，单位资金利息收入0.08万元，上年一般公共预算财政拨款结转7.05万元</w:t>
      </w:r>
      <w:r>
        <w:rPr>
          <w:rFonts w:hint="eastAsia" w:ascii="仿宋_GB2312" w:eastAsia="仿宋_GB2312" w:cs="DengXian-Regular"/>
          <w:sz w:val="32"/>
          <w:szCs w:val="32"/>
        </w:rPr>
        <w:t>，其中：财政拨款</w:t>
      </w:r>
      <w:r>
        <w:rPr>
          <w:rFonts w:hint="eastAsia" w:ascii="仿宋_GB2312" w:eastAsia="仿宋_GB2312" w:cs="DengXian-Regular"/>
          <w:sz w:val="32"/>
          <w:szCs w:val="32"/>
          <w:lang w:val="en-US" w:eastAsia="zh-CN"/>
        </w:rPr>
        <w:t>1730.62</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单位资金利息收入0.08万元。</w:t>
      </w:r>
      <w:r>
        <w:rPr>
          <w:rFonts w:hint="eastAsia" w:ascii="仿宋_GB2312" w:eastAsia="仿宋_GB2312" w:cs="DengXian-Regular"/>
          <w:sz w:val="32"/>
          <w:szCs w:val="32"/>
        </w:rPr>
        <w:t>中央财政提前通知转移支付</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万元。预算收入按功能分类包含：公共安全支出</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万元，社会保障和就业支出</w:t>
      </w:r>
      <w:r>
        <w:rPr>
          <w:rFonts w:hint="eastAsia" w:ascii="仿宋_GB2312" w:eastAsia="仿宋_GB2312" w:cs="DengXian-Regular"/>
          <w:sz w:val="32"/>
          <w:szCs w:val="32"/>
          <w:lang w:val="en-US" w:eastAsia="zh-CN"/>
        </w:rPr>
        <w:t>1619.14</w:t>
      </w:r>
      <w:r>
        <w:rPr>
          <w:rFonts w:hint="eastAsia" w:ascii="仿宋_GB2312" w:eastAsia="仿宋_GB2312" w:cs="DengXian-Regular"/>
          <w:sz w:val="32"/>
          <w:szCs w:val="32"/>
        </w:rPr>
        <w:t>万元，医疗卫生与计划生育支出</w:t>
      </w:r>
      <w:r>
        <w:rPr>
          <w:rFonts w:hint="eastAsia" w:ascii="仿宋_GB2312" w:eastAsia="仿宋_GB2312" w:cs="DengXian-Regular"/>
          <w:sz w:val="32"/>
          <w:szCs w:val="32"/>
          <w:lang w:val="en-US" w:eastAsia="zh-CN"/>
        </w:rPr>
        <w:t>46.10</w:t>
      </w:r>
      <w:r>
        <w:rPr>
          <w:rFonts w:hint="eastAsia" w:ascii="仿宋_GB2312" w:eastAsia="仿宋_GB2312" w:cs="DengXian-Regular"/>
          <w:sz w:val="32"/>
          <w:szCs w:val="32"/>
        </w:rPr>
        <w:t>万元，住房保障支出</w:t>
      </w:r>
      <w:r>
        <w:rPr>
          <w:rFonts w:hint="eastAsia" w:ascii="仿宋_GB2312" w:eastAsia="仿宋_GB2312" w:cs="DengXian-Regular"/>
          <w:sz w:val="32"/>
          <w:szCs w:val="32"/>
          <w:lang w:val="en-US" w:eastAsia="zh-CN"/>
        </w:rPr>
        <w:t>65.46</w:t>
      </w:r>
      <w:r>
        <w:rPr>
          <w:rFonts w:hint="eastAsia" w:ascii="仿宋_GB2312" w:eastAsia="仿宋_GB2312" w:cs="DengXian-Regular"/>
          <w:sz w:val="32"/>
          <w:szCs w:val="32"/>
        </w:rPr>
        <w:t>万元。</w:t>
      </w:r>
    </w:p>
    <w:p>
      <w:pPr>
        <w:spacing w:after="0" w:line="360" w:lineRule="auto"/>
        <w:ind w:firstLine="640" w:firstLineChars="200"/>
        <w:jc w:val="both"/>
        <w:textAlignment w:val="baseline"/>
        <w:rPr>
          <w:rFonts w:hint="eastAsia" w:ascii="仿宋_GB2312" w:eastAsia="仿宋_GB2312" w:cs="DengXian-Regular"/>
          <w:sz w:val="32"/>
          <w:szCs w:val="32"/>
          <w:highlight w:val="yellow"/>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决算收入</w:t>
      </w:r>
      <w:r>
        <w:rPr>
          <w:rFonts w:hint="eastAsia" w:ascii="仿宋_GB2312" w:eastAsia="仿宋_GB2312" w:cs="DengXian-Regular"/>
          <w:sz w:val="32"/>
          <w:szCs w:val="32"/>
          <w:highlight w:val="none"/>
          <w:lang w:val="en-US" w:eastAsia="zh-CN"/>
        </w:rPr>
        <w:t>3464.19</w:t>
      </w:r>
      <w:r>
        <w:rPr>
          <w:rFonts w:hint="eastAsia" w:ascii="仿宋_GB2312" w:eastAsia="仿宋_GB2312" w:cs="DengXian-Regular"/>
          <w:sz w:val="32"/>
          <w:szCs w:val="32"/>
          <w:highlight w:val="none"/>
        </w:rPr>
        <w:t>万元</w:t>
      </w:r>
      <w:r>
        <w:rPr>
          <w:rFonts w:hint="eastAsia" w:ascii="仿宋_GB2312" w:eastAsia="仿宋_GB2312" w:cs="DengXian-Regular"/>
          <w:sz w:val="32"/>
          <w:szCs w:val="32"/>
        </w:rPr>
        <w:t>，其中：财政拨款收入</w:t>
      </w:r>
      <w:r>
        <w:rPr>
          <w:rFonts w:hint="eastAsia" w:ascii="仿宋_GB2312" w:eastAsia="仿宋_GB2312" w:cs="DengXian-Regular"/>
          <w:sz w:val="32"/>
          <w:szCs w:val="32"/>
          <w:lang w:val="en-US" w:eastAsia="zh-CN"/>
        </w:rPr>
        <w:t>3459.84</w:t>
      </w:r>
      <w:r>
        <w:rPr>
          <w:rFonts w:hint="eastAsia" w:ascii="仿宋_GB2312" w:eastAsia="仿宋_GB2312" w:cs="DengXian-Regular"/>
          <w:sz w:val="32"/>
          <w:szCs w:val="32"/>
        </w:rPr>
        <w:t>万元，其他收入</w:t>
      </w:r>
      <w:r>
        <w:rPr>
          <w:rFonts w:hint="eastAsia" w:ascii="仿宋_GB2312" w:eastAsia="仿宋_GB2312" w:cs="DengXian-Regular"/>
          <w:sz w:val="32"/>
          <w:szCs w:val="32"/>
          <w:lang w:val="en-US" w:eastAsia="zh-CN"/>
        </w:rPr>
        <w:t>4.35</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收到大厅接入监测指挥平台经费1.5万元；收到2021年创业担保贷款将补资金1.7万元；收到退役军人事务局拨来2021年8-10月养老保险1.1</w:t>
      </w:r>
      <w:r>
        <w:rPr>
          <w:rFonts w:hint="eastAsia" w:ascii="仿宋_GB2312" w:eastAsia="仿宋_GB2312" w:cs="DengXian-Regular"/>
          <w:sz w:val="32"/>
          <w:szCs w:val="32"/>
          <w:highlight w:val="none"/>
          <w:lang w:val="en-US" w:eastAsia="zh-CN"/>
        </w:rPr>
        <w:t>0万元；收到代扣个税返还手续费及利息0.05万元</w:t>
      </w:r>
      <w:r>
        <w:rPr>
          <w:rFonts w:hint="eastAsia" w:ascii="仿宋_GB2312" w:eastAsia="仿宋_GB2312" w:cs="DengXian-Regular"/>
          <w:sz w:val="32"/>
          <w:szCs w:val="32"/>
          <w:highlight w:val="none"/>
        </w:rPr>
        <w:t>）。决算收入按功能分类包含：公共安全支出</w:t>
      </w:r>
      <w:r>
        <w:rPr>
          <w:rFonts w:hint="eastAsia" w:ascii="仿宋_GB2312" w:eastAsia="仿宋_GB2312" w:cs="DengXian-Regular"/>
          <w:sz w:val="32"/>
          <w:szCs w:val="32"/>
          <w:highlight w:val="none"/>
          <w:lang w:val="en-US" w:eastAsia="zh-CN"/>
        </w:rPr>
        <w:t>0</w:t>
      </w:r>
      <w:r>
        <w:rPr>
          <w:rFonts w:hint="eastAsia" w:ascii="仿宋_GB2312" w:eastAsia="仿宋_GB2312" w:cs="DengXian-Regular"/>
          <w:sz w:val="32"/>
          <w:szCs w:val="32"/>
          <w:highlight w:val="none"/>
        </w:rPr>
        <w:t>万元，占比</w:t>
      </w:r>
      <w:r>
        <w:rPr>
          <w:rFonts w:hint="eastAsia" w:ascii="仿宋_GB2312" w:eastAsia="仿宋_GB2312" w:cs="DengXian-Regular"/>
          <w:sz w:val="32"/>
          <w:szCs w:val="32"/>
          <w:highlight w:val="none"/>
          <w:lang w:val="en-US" w:eastAsia="zh-CN"/>
        </w:rPr>
        <w:t>0</w:t>
      </w:r>
      <w:r>
        <w:rPr>
          <w:rFonts w:hint="eastAsia" w:ascii="仿宋_GB2312" w:eastAsia="仿宋_GB2312" w:cs="DengXian-Regular"/>
          <w:sz w:val="32"/>
          <w:szCs w:val="32"/>
          <w:highlight w:val="none"/>
        </w:rPr>
        <w:t>%；社会保障和就业支出</w:t>
      </w:r>
      <w:r>
        <w:rPr>
          <w:rFonts w:hint="eastAsia" w:ascii="仿宋_GB2312" w:eastAsia="仿宋_GB2312" w:cs="DengXian-Regular"/>
          <w:sz w:val="32"/>
          <w:szCs w:val="32"/>
          <w:highlight w:val="none"/>
          <w:lang w:val="en-US" w:eastAsia="zh-CN"/>
        </w:rPr>
        <w:t>3350.27</w:t>
      </w:r>
      <w:r>
        <w:rPr>
          <w:rFonts w:hint="eastAsia" w:ascii="仿宋_GB2312" w:eastAsia="仿宋_GB2312" w:cs="DengXian-Regular"/>
          <w:sz w:val="32"/>
          <w:szCs w:val="32"/>
          <w:highlight w:val="none"/>
        </w:rPr>
        <w:t>万元，占比</w:t>
      </w:r>
      <w:r>
        <w:rPr>
          <w:rFonts w:hint="eastAsia" w:ascii="仿宋_GB2312" w:eastAsia="仿宋_GB2312" w:cs="DengXian-Regular"/>
          <w:sz w:val="32"/>
          <w:szCs w:val="32"/>
          <w:highlight w:val="none"/>
          <w:lang w:val="en-US" w:eastAsia="zh-CN"/>
        </w:rPr>
        <w:t>97.05</w:t>
      </w:r>
      <w:r>
        <w:rPr>
          <w:rFonts w:hint="eastAsia" w:ascii="仿宋_GB2312" w:eastAsia="仿宋_GB2312" w:cs="DengXian-Regular"/>
          <w:sz w:val="32"/>
          <w:szCs w:val="32"/>
          <w:highlight w:val="none"/>
        </w:rPr>
        <w:t>%；医疗卫生与计划生育支出</w:t>
      </w:r>
      <w:r>
        <w:rPr>
          <w:rFonts w:hint="eastAsia" w:ascii="仿宋_GB2312" w:eastAsia="仿宋_GB2312" w:cs="DengXian-Regular"/>
          <w:sz w:val="32"/>
          <w:szCs w:val="32"/>
          <w:highlight w:val="none"/>
          <w:lang w:val="en-US" w:eastAsia="zh-CN"/>
        </w:rPr>
        <w:t>36.43</w:t>
      </w:r>
      <w:r>
        <w:rPr>
          <w:rFonts w:hint="eastAsia" w:ascii="仿宋_GB2312" w:eastAsia="仿宋_GB2312" w:cs="DengXian-Regular"/>
          <w:sz w:val="32"/>
          <w:szCs w:val="32"/>
          <w:highlight w:val="none"/>
        </w:rPr>
        <w:t>万元，占比</w:t>
      </w:r>
      <w:r>
        <w:rPr>
          <w:rFonts w:hint="eastAsia" w:ascii="仿宋_GB2312" w:eastAsia="仿宋_GB2312" w:cs="DengXian-Regular"/>
          <w:sz w:val="32"/>
          <w:szCs w:val="32"/>
          <w:highlight w:val="none"/>
          <w:lang w:val="en-US" w:eastAsia="zh-CN"/>
        </w:rPr>
        <w:t>1.06</w:t>
      </w:r>
      <w:r>
        <w:rPr>
          <w:rFonts w:hint="eastAsia" w:ascii="仿宋_GB2312" w:eastAsia="仿宋_GB2312" w:cs="DengXian-Regular"/>
          <w:sz w:val="32"/>
          <w:szCs w:val="32"/>
          <w:highlight w:val="none"/>
        </w:rPr>
        <w:t>%；住房保障支出</w:t>
      </w:r>
      <w:r>
        <w:rPr>
          <w:rFonts w:hint="eastAsia" w:ascii="仿宋_GB2312" w:eastAsia="仿宋_GB2312" w:cs="DengXian-Regular"/>
          <w:sz w:val="32"/>
          <w:szCs w:val="32"/>
          <w:highlight w:val="none"/>
          <w:lang w:val="en-US" w:eastAsia="zh-CN"/>
        </w:rPr>
        <w:t>65.26</w:t>
      </w:r>
      <w:r>
        <w:rPr>
          <w:rFonts w:hint="eastAsia" w:ascii="仿宋_GB2312" w:eastAsia="仿宋_GB2312" w:cs="DengXian-Regular"/>
          <w:sz w:val="32"/>
          <w:szCs w:val="32"/>
          <w:highlight w:val="none"/>
        </w:rPr>
        <w:t>万元，占比</w:t>
      </w:r>
      <w:r>
        <w:rPr>
          <w:rFonts w:hint="eastAsia" w:ascii="仿宋_GB2312" w:eastAsia="仿宋_GB2312" w:cs="DengXian-Regular"/>
          <w:sz w:val="32"/>
          <w:szCs w:val="32"/>
          <w:highlight w:val="none"/>
          <w:lang w:val="en-US" w:eastAsia="zh-CN"/>
        </w:rPr>
        <w:t>1.89</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w:t>
      </w:r>
      <w:r>
        <w:rPr>
          <w:rFonts w:hint="eastAsia" w:ascii="仿宋_GB2312" w:eastAsia="仿宋_GB2312" w:cs="DengXian-Regular"/>
          <w:sz w:val="32"/>
          <w:szCs w:val="32"/>
          <w:lang w:eastAsia="zh-CN"/>
        </w:rPr>
        <w:t>.</w:t>
      </w:r>
      <w:r>
        <w:rPr>
          <w:rFonts w:hint="eastAsia" w:ascii="仿宋_GB2312" w:eastAsia="仿宋_GB2312" w:cs="DengXian-Regular"/>
          <w:sz w:val="32"/>
          <w:szCs w:val="32"/>
        </w:rPr>
        <w:t>决算收入结构如图1。</w:t>
      </w:r>
    </w:p>
    <w:p>
      <w:pPr>
        <w:spacing w:after="0" w:line="360" w:lineRule="auto"/>
        <w:jc w:val="center"/>
        <w:textAlignment w:val="baseline"/>
        <w:rPr>
          <w:rFonts w:hint="eastAsia" w:asciiTheme="minorEastAsia" w:hAnsiTheme="minorEastAsia" w:eastAsiaTheme="minorEastAsia" w:cstheme="minorEastAsia"/>
          <w:b/>
          <w:bCs/>
          <w:sz w:val="32"/>
          <w:szCs w:val="32"/>
        </w:rPr>
      </w:pPr>
    </w:p>
    <w:p>
      <w:pPr>
        <w:spacing w:after="0" w:line="360" w:lineRule="auto"/>
        <w:jc w:val="center"/>
        <w:textAlignment w:val="baseline"/>
        <w:rPr>
          <w:rFonts w:hint="eastAsia" w:asciiTheme="minorEastAsia" w:hAnsiTheme="minorEastAsia" w:eastAsiaTheme="minorEastAsia" w:cstheme="minorEastAsia"/>
          <w:b/>
          <w:bCs/>
          <w:sz w:val="32"/>
          <w:szCs w:val="32"/>
        </w:rPr>
      </w:pPr>
    </w:p>
    <w:p>
      <w:pPr>
        <w:spacing w:after="0" w:line="360" w:lineRule="auto"/>
        <w:jc w:val="center"/>
        <w:textAlignment w:val="baseline"/>
        <w:rPr>
          <w:rFonts w:hint="eastAsia" w:asciiTheme="minorEastAsia" w:hAnsiTheme="minorEastAsia" w:eastAsiaTheme="minorEastAsia" w:cstheme="minorEastAsia"/>
          <w:b/>
          <w:bCs/>
          <w:sz w:val="32"/>
          <w:szCs w:val="32"/>
        </w:rPr>
      </w:pPr>
    </w:p>
    <w:p>
      <w:pPr>
        <w:spacing w:after="0" w:line="360" w:lineRule="auto"/>
        <w:jc w:val="center"/>
        <w:textAlignment w:val="baseline"/>
        <w:rPr>
          <w:rFonts w:ascii="仿宋_GB2312" w:eastAsia="仿宋_GB2312" w:cs="DengXian-Regular"/>
          <w:sz w:val="32"/>
          <w:szCs w:val="32"/>
        </w:rPr>
      </w:pPr>
      <w:r>
        <w:drawing>
          <wp:anchor distT="0" distB="0" distL="114300" distR="114300" simplePos="0" relativeHeight="251663360" behindDoc="1" locked="0" layoutInCell="1" allowOverlap="1">
            <wp:simplePos x="0" y="0"/>
            <wp:positionH relativeFrom="column">
              <wp:posOffset>322580</wp:posOffset>
            </wp:positionH>
            <wp:positionV relativeFrom="paragraph">
              <wp:posOffset>390525</wp:posOffset>
            </wp:positionV>
            <wp:extent cx="4641215" cy="2857500"/>
            <wp:effectExtent l="5080" t="4445" r="17145" b="18415"/>
            <wp:wrapNone/>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Theme="minorEastAsia" w:hAnsiTheme="minorEastAsia" w:eastAsiaTheme="minorEastAsia" w:cstheme="minorEastAsia"/>
          <w:b/>
          <w:bCs/>
          <w:sz w:val="32"/>
          <w:szCs w:val="32"/>
        </w:rPr>
        <w:t>图1  202</w:t>
      </w:r>
      <w:r>
        <w:rPr>
          <w:rFonts w:hint="default" w:asciiTheme="minorEastAsia" w:hAnsiTheme="minorEastAsia" w:eastAsiaTheme="minorEastAsia" w:cstheme="minorEastAsia"/>
          <w:b/>
          <w:bCs/>
          <w:sz w:val="32"/>
          <w:szCs w:val="32"/>
          <w:lang w:val="en-US"/>
        </w:rPr>
        <w:t>2</w:t>
      </w:r>
      <w:r>
        <w:rPr>
          <w:rFonts w:hint="eastAsia" w:asciiTheme="minorEastAsia" w:hAnsiTheme="minorEastAsia" w:eastAsiaTheme="minorEastAsia" w:cstheme="minorEastAsia"/>
          <w:b/>
          <w:bCs/>
          <w:sz w:val="32"/>
          <w:szCs w:val="32"/>
        </w:rPr>
        <w:t>年度区</w:t>
      </w:r>
      <w:r>
        <w:rPr>
          <w:rFonts w:hint="eastAsia" w:asciiTheme="minorEastAsia" w:hAnsiTheme="minorEastAsia" w:eastAsiaTheme="minorEastAsia" w:cstheme="minorEastAsia"/>
          <w:b/>
          <w:bCs/>
          <w:sz w:val="32"/>
          <w:szCs w:val="32"/>
          <w:lang w:val="en-US" w:eastAsia="zh-CN"/>
        </w:rPr>
        <w:t>人社局</w:t>
      </w:r>
      <w:r>
        <w:rPr>
          <w:rFonts w:hint="eastAsia" w:asciiTheme="minorEastAsia" w:hAnsiTheme="minorEastAsia" w:eastAsiaTheme="minorEastAsia" w:cstheme="minorEastAsia"/>
          <w:b/>
          <w:bCs/>
          <w:sz w:val="32"/>
          <w:szCs w:val="32"/>
        </w:rPr>
        <w:t>决算收入结构图</w:t>
      </w:r>
    </w:p>
    <w:p>
      <w:pPr>
        <w:spacing w:after="0" w:line="540" w:lineRule="exact"/>
        <w:ind w:firstLine="640" w:firstLineChars="200"/>
        <w:jc w:val="both"/>
        <w:rPr>
          <w:rFonts w:ascii="仿宋_GB2312" w:eastAsia="仿宋_GB2312" w:cs="Times New Roman" w:hAnsiTheme="minorEastAsia"/>
          <w:sz w:val="32"/>
          <w:szCs w:val="32"/>
          <w:u w:color="000000"/>
        </w:rPr>
      </w:pPr>
    </w:p>
    <w:p>
      <w:pPr>
        <w:spacing w:after="0" w:line="540" w:lineRule="exact"/>
        <w:ind w:firstLine="640" w:firstLineChars="200"/>
        <w:jc w:val="both"/>
        <w:rPr>
          <w:rFonts w:ascii="仿宋_GB2312" w:eastAsia="仿宋_GB2312" w:cs="Times New Roman" w:hAnsiTheme="minorEastAsia"/>
          <w:sz w:val="32"/>
          <w:szCs w:val="32"/>
          <w:u w:color="000000"/>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540" w:lineRule="exact"/>
        <w:ind w:firstLine="640" w:firstLineChars="200"/>
        <w:jc w:val="both"/>
        <w:rPr>
          <w:rFonts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val="en-US" w:eastAsia="zh-CN"/>
        </w:rPr>
        <w:t>我</w:t>
      </w:r>
      <w:r>
        <w:rPr>
          <w:rFonts w:hint="eastAsia" w:ascii="仿宋_GB2312" w:eastAsia="仿宋_GB2312" w:cs="DengXian-Regular"/>
          <w:sz w:val="32"/>
          <w:szCs w:val="32"/>
        </w:rPr>
        <w:t>单位一般公共预算财政拨款决算收入比年初预算增加</w:t>
      </w:r>
      <w:r>
        <w:rPr>
          <w:rFonts w:hint="eastAsia" w:ascii="仿宋_GB2312" w:eastAsia="仿宋_GB2312" w:cs="DengXian-Regular"/>
          <w:sz w:val="32"/>
          <w:szCs w:val="32"/>
          <w:lang w:val="en-US" w:eastAsia="zh-CN"/>
        </w:rPr>
        <w:t>1736.27</w:t>
      </w:r>
      <w:r>
        <w:rPr>
          <w:rFonts w:hint="eastAsia" w:ascii="仿宋_GB2312" w:eastAsia="仿宋_GB2312" w:cs="DengXian-Regular"/>
          <w:sz w:val="32"/>
          <w:szCs w:val="32"/>
        </w:rPr>
        <w:t>万元，完成年初预算的</w:t>
      </w:r>
      <w:r>
        <w:rPr>
          <w:rFonts w:hint="eastAsia" w:ascii="仿宋_GB2312" w:eastAsia="仿宋_GB2312" w:cs="DengXian-Regular"/>
          <w:sz w:val="32"/>
          <w:szCs w:val="32"/>
          <w:lang w:val="en-US" w:eastAsia="zh-CN"/>
        </w:rPr>
        <w:t>200.74</w:t>
      </w:r>
      <w:r>
        <w:rPr>
          <w:rFonts w:hint="eastAsia" w:ascii="仿宋_GB2312" w:eastAsia="仿宋_GB2312" w:cs="DengXian-Regular"/>
          <w:sz w:val="32"/>
          <w:szCs w:val="32"/>
        </w:rPr>
        <w:t>%。决算收入大于预算收入的主要原因为202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年度我单位追加了中央就业补助资金项目。</w:t>
      </w:r>
    </w:p>
    <w:p>
      <w:pPr>
        <w:spacing w:after="0" w:line="360" w:lineRule="auto"/>
        <w:ind w:firstLine="640" w:firstLineChars="200"/>
        <w:jc w:val="both"/>
        <w:rPr>
          <w:rFonts w:ascii="仿宋_GB2312" w:eastAsia="仿宋_GB2312" w:cs="DengXian-Regular"/>
          <w:sz w:val="32"/>
          <w:szCs w:val="32"/>
        </w:rPr>
      </w:pPr>
    </w:p>
    <w:p>
      <w:pPr>
        <w:spacing w:after="0" w:line="360" w:lineRule="auto"/>
        <w:jc w:val="center"/>
        <w:rPr>
          <w:rFonts w:hint="eastAsia" w:asciiTheme="minorEastAsia" w:hAnsiTheme="minorEastAsia" w:eastAsiaTheme="minorEastAsia" w:cstheme="minorEastAsia"/>
          <w:b/>
          <w:sz w:val="32"/>
          <w:szCs w:val="32"/>
          <w:u w:color="000000"/>
        </w:rPr>
      </w:pPr>
      <w:r>
        <w:rPr>
          <w:rFonts w:hint="eastAsia" w:asciiTheme="minorEastAsia" w:hAnsiTheme="minorEastAsia" w:eastAsiaTheme="minorEastAsia" w:cstheme="minorEastAsia"/>
          <w:b/>
          <w:sz w:val="32"/>
          <w:szCs w:val="32"/>
          <w:u w:color="000000"/>
        </w:rPr>
        <w:t>图2  202</w:t>
      </w:r>
      <w:r>
        <w:rPr>
          <w:rFonts w:hint="eastAsia" w:ascii="仿宋_GB2312" w:eastAsia="仿宋_GB2312" w:cs="DengXian-Regular"/>
          <w:sz w:val="32"/>
          <w:szCs w:val="32"/>
          <w:lang w:val="en-US" w:eastAsia="zh-CN"/>
        </w:rPr>
        <w:t>2</w:t>
      </w:r>
      <w:r>
        <w:rPr>
          <w:rFonts w:hint="eastAsia" w:asciiTheme="minorEastAsia" w:hAnsiTheme="minorEastAsia" w:eastAsiaTheme="minorEastAsia" w:cstheme="minorEastAsia"/>
          <w:b/>
          <w:sz w:val="32"/>
          <w:szCs w:val="32"/>
          <w:u w:color="000000"/>
        </w:rPr>
        <w:t>年度区</w:t>
      </w:r>
      <w:r>
        <w:rPr>
          <w:rFonts w:hint="eastAsia" w:asciiTheme="minorEastAsia" w:hAnsiTheme="minorEastAsia" w:eastAsiaTheme="minorEastAsia" w:cstheme="minorEastAsia"/>
          <w:b/>
          <w:sz w:val="32"/>
          <w:szCs w:val="32"/>
          <w:u w:color="000000"/>
          <w:lang w:val="en-US" w:eastAsia="zh-CN"/>
        </w:rPr>
        <w:t>人社局</w:t>
      </w:r>
      <w:r>
        <w:rPr>
          <w:rFonts w:hint="eastAsia" w:asciiTheme="minorEastAsia" w:hAnsiTheme="minorEastAsia" w:eastAsiaTheme="minorEastAsia" w:cstheme="minorEastAsia"/>
          <w:b/>
          <w:sz w:val="32"/>
          <w:szCs w:val="32"/>
          <w:u w:color="000000"/>
        </w:rPr>
        <w:t>预算收入与决算收入对比图</w:t>
      </w:r>
    </w:p>
    <w:p>
      <w:pPr>
        <w:spacing w:after="0" w:line="360" w:lineRule="auto"/>
        <w:jc w:val="center"/>
        <w:rPr>
          <w:rFonts w:hint="eastAsia" w:asciiTheme="minorEastAsia" w:hAnsiTheme="minorEastAsia" w:eastAsiaTheme="minorEastAsia" w:cstheme="minorEastAsia"/>
          <w:b/>
          <w:sz w:val="32"/>
          <w:szCs w:val="32"/>
          <w:u w:color="000000"/>
        </w:rPr>
      </w:pPr>
      <w:r>
        <w:drawing>
          <wp:inline distT="0" distB="0" distL="114300" distR="114300">
            <wp:extent cx="4016375" cy="2807970"/>
            <wp:effectExtent l="4445" t="5080" r="17780" b="635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4"/>
        <w:spacing w:before="0" w:after="0"/>
        <w:ind w:firstLine="321" w:firstLineChars="100"/>
        <w:jc w:val="both"/>
        <w:rPr>
          <w:rFonts w:ascii="仿宋_GB2312" w:hAnsiTheme="minorEastAsia"/>
          <w:sz w:val="32"/>
        </w:rPr>
      </w:pPr>
      <w:bookmarkStart w:id="12" w:name="_Toc18197"/>
      <w:r>
        <w:rPr>
          <w:rFonts w:hint="eastAsia" w:ascii="仿宋_GB2312" w:hAnsiTheme="minorEastAsia"/>
          <w:sz w:val="32"/>
        </w:rPr>
        <w:t>（四）预算支出及决算</w:t>
      </w:r>
      <w:bookmarkEnd w:id="10"/>
      <w:bookmarkEnd w:id="11"/>
      <w:r>
        <w:rPr>
          <w:rFonts w:hint="eastAsia" w:ascii="仿宋_GB2312" w:hAnsiTheme="minorEastAsia"/>
          <w:sz w:val="32"/>
        </w:rPr>
        <w:t>支出</w:t>
      </w:r>
      <w:bookmarkEnd w:id="12"/>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人社局</w:t>
      </w:r>
      <w:r>
        <w:rPr>
          <w:rFonts w:hint="eastAsia" w:ascii="仿宋_GB2312" w:eastAsia="仿宋_GB2312" w:cs="Times New Roman" w:hAnsiTheme="minorEastAsia"/>
          <w:sz w:val="32"/>
          <w:szCs w:val="32"/>
          <w:u w:color="000000"/>
        </w:rPr>
        <w:t>预算支出安排</w:t>
      </w:r>
      <w:r>
        <w:rPr>
          <w:rFonts w:hint="eastAsia" w:ascii="仿宋_GB2312" w:eastAsia="仿宋_GB2312" w:cs="Times New Roman" w:hAnsiTheme="minorEastAsia"/>
          <w:sz w:val="32"/>
          <w:szCs w:val="32"/>
          <w:u w:color="000000"/>
          <w:lang w:val="en-US" w:eastAsia="zh-CN"/>
        </w:rPr>
        <w:t>1730.70</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1684.08</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46.62</w:t>
      </w:r>
      <w:r>
        <w:rPr>
          <w:rFonts w:hint="eastAsia" w:ascii="仿宋_GB2312" w:eastAsia="仿宋_GB2312" w:cs="Times New Roman" w:hAnsiTheme="minorEastAsia"/>
          <w:sz w:val="32"/>
          <w:szCs w:val="32"/>
          <w:u w:color="000000"/>
        </w:rPr>
        <w:t>万元。预算支出按功能分类包含：公共安全支出</w:t>
      </w:r>
      <w:r>
        <w:rPr>
          <w:rFonts w:hint="eastAsia" w:ascii="仿宋_GB2312" w:eastAsia="仿宋_GB2312" w:cs="Times New Roman" w:hAnsiTheme="minorEastAsia"/>
          <w:sz w:val="32"/>
          <w:szCs w:val="32"/>
          <w:u w:color="000000"/>
          <w:lang w:val="en-US" w:eastAsia="zh-CN"/>
        </w:rPr>
        <w:t>0</w:t>
      </w:r>
      <w:r>
        <w:rPr>
          <w:rFonts w:hint="eastAsia" w:ascii="仿宋_GB2312" w:eastAsia="仿宋_GB2312" w:cs="Times New Roman" w:hAnsiTheme="minorEastAsia"/>
          <w:sz w:val="32"/>
          <w:szCs w:val="32"/>
          <w:u w:color="000000"/>
        </w:rPr>
        <w:t>万元，社会保障和就业支出</w:t>
      </w:r>
      <w:r>
        <w:rPr>
          <w:rFonts w:hint="eastAsia" w:ascii="仿宋_GB2312" w:eastAsia="仿宋_GB2312" w:cs="Times New Roman" w:hAnsiTheme="minorEastAsia"/>
          <w:sz w:val="32"/>
          <w:szCs w:val="32"/>
          <w:u w:color="000000"/>
          <w:lang w:val="en-US" w:eastAsia="zh-CN"/>
        </w:rPr>
        <w:t>1619.14</w:t>
      </w:r>
      <w:r>
        <w:rPr>
          <w:rFonts w:hint="eastAsia" w:ascii="仿宋_GB2312" w:eastAsia="仿宋_GB2312" w:cs="Times New Roman" w:hAnsiTheme="minorEastAsia"/>
          <w:sz w:val="32"/>
          <w:szCs w:val="32"/>
          <w:u w:color="000000"/>
        </w:rPr>
        <w:t>万元，医疗卫生与计划教育支出</w:t>
      </w:r>
      <w:r>
        <w:rPr>
          <w:rFonts w:hint="eastAsia" w:ascii="仿宋_GB2312" w:eastAsia="仿宋_GB2312" w:cs="Times New Roman" w:hAnsiTheme="minorEastAsia"/>
          <w:sz w:val="32"/>
          <w:szCs w:val="32"/>
          <w:u w:color="000000"/>
          <w:lang w:val="en-US" w:eastAsia="zh-CN"/>
        </w:rPr>
        <w:t>46.10</w:t>
      </w:r>
      <w:r>
        <w:rPr>
          <w:rFonts w:hint="eastAsia" w:ascii="仿宋_GB2312" w:eastAsia="仿宋_GB2312" w:cs="Times New Roman" w:hAnsiTheme="minorEastAsia"/>
          <w:sz w:val="32"/>
          <w:szCs w:val="32"/>
          <w:u w:color="000000"/>
        </w:rPr>
        <w:t>万元，住房保障支出</w:t>
      </w:r>
      <w:r>
        <w:rPr>
          <w:rFonts w:hint="eastAsia" w:ascii="仿宋_GB2312" w:eastAsia="仿宋_GB2312" w:cs="Times New Roman" w:hAnsiTheme="minorEastAsia"/>
          <w:sz w:val="32"/>
          <w:szCs w:val="32"/>
          <w:u w:color="000000"/>
          <w:lang w:val="en-US" w:eastAsia="zh-CN"/>
        </w:rPr>
        <w:t>65.46</w:t>
      </w:r>
      <w:r>
        <w:rPr>
          <w:rFonts w:hint="eastAsia" w:ascii="仿宋_GB2312" w:eastAsia="仿宋_GB2312" w:cs="Times New Roman" w:hAnsiTheme="minorEastAsia"/>
          <w:sz w:val="32"/>
          <w:szCs w:val="32"/>
          <w:u w:color="000000"/>
        </w:rPr>
        <w:t>万元。具体预算支出详见附件2。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人社局</w:t>
      </w:r>
      <w:r>
        <w:rPr>
          <w:rFonts w:hint="eastAsia" w:ascii="仿宋_GB2312" w:eastAsia="仿宋_GB2312" w:cs="Times New Roman" w:hAnsiTheme="minorEastAsia"/>
          <w:sz w:val="32"/>
          <w:szCs w:val="32"/>
          <w:u w:color="000000"/>
        </w:rPr>
        <w:t>决算支出为</w:t>
      </w:r>
      <w:r>
        <w:rPr>
          <w:rFonts w:hint="eastAsia" w:ascii="仿宋_GB2312" w:eastAsia="仿宋_GB2312" w:cs="Times New Roman" w:hAnsiTheme="minorEastAsia"/>
          <w:sz w:val="32"/>
          <w:szCs w:val="32"/>
          <w:u w:color="000000"/>
          <w:lang w:val="en-US" w:eastAsia="zh-CN"/>
        </w:rPr>
        <w:t>3463.39</w:t>
      </w:r>
      <w:r>
        <w:rPr>
          <w:rFonts w:hint="eastAsia" w:ascii="仿宋_GB2312" w:eastAsia="仿宋_GB2312" w:cs="Times New Roman" w:hAnsiTheme="minorEastAsia"/>
          <w:sz w:val="32"/>
          <w:szCs w:val="32"/>
          <w:u w:color="000000"/>
        </w:rPr>
        <w:t>万元，其中：基本支出</w:t>
      </w:r>
      <w:r>
        <w:rPr>
          <w:rFonts w:hint="eastAsia" w:ascii="仿宋_GB2312" w:eastAsia="仿宋_GB2312" w:cs="Times New Roman" w:hAnsiTheme="minorEastAsia"/>
          <w:sz w:val="32"/>
          <w:szCs w:val="32"/>
          <w:u w:color="000000"/>
          <w:lang w:val="en-US" w:eastAsia="zh-CN"/>
        </w:rPr>
        <w:t>1654.52</w:t>
      </w:r>
      <w:r>
        <w:rPr>
          <w:rFonts w:hint="eastAsia" w:ascii="仿宋_GB2312" w:eastAsia="仿宋_GB2312" w:cs="Times New Roman" w:hAnsiTheme="minorEastAsia"/>
          <w:sz w:val="32"/>
          <w:szCs w:val="32"/>
          <w:u w:color="000000"/>
        </w:rPr>
        <w:t>万元，项目支出</w:t>
      </w:r>
      <w:r>
        <w:rPr>
          <w:rFonts w:hint="eastAsia" w:ascii="仿宋_GB2312" w:eastAsia="仿宋_GB2312" w:cs="Times New Roman" w:hAnsiTheme="minorEastAsia"/>
          <w:sz w:val="32"/>
          <w:szCs w:val="32"/>
          <w:u w:color="000000"/>
          <w:lang w:val="en-US" w:eastAsia="zh-CN"/>
        </w:rPr>
        <w:t>1808.87</w:t>
      </w:r>
      <w:r>
        <w:rPr>
          <w:rFonts w:hint="eastAsia" w:ascii="仿宋_GB2312" w:eastAsia="仿宋_GB2312" w:cs="Times New Roman" w:hAnsiTheme="minorEastAsia"/>
          <w:sz w:val="32"/>
          <w:szCs w:val="32"/>
          <w:u w:color="000000"/>
        </w:rPr>
        <w:t>万元。决算支出按功能分类包含：公共安全支出</w:t>
      </w:r>
      <w:r>
        <w:rPr>
          <w:rFonts w:hint="eastAsia" w:ascii="仿宋_GB2312" w:eastAsia="仿宋_GB2312" w:cs="Times New Roman" w:hAnsiTheme="minorEastAsia"/>
          <w:sz w:val="32"/>
          <w:szCs w:val="32"/>
          <w:u w:color="000000"/>
          <w:lang w:val="en-US" w:eastAsia="zh-CN"/>
        </w:rPr>
        <w:t>0</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0</w:t>
      </w:r>
      <w:r>
        <w:rPr>
          <w:rFonts w:hint="eastAsia" w:ascii="仿宋_GB2312" w:eastAsia="仿宋_GB2312" w:cs="Times New Roman" w:hAnsiTheme="minorEastAsia"/>
          <w:sz w:val="32"/>
          <w:szCs w:val="32"/>
          <w:u w:color="000000"/>
        </w:rPr>
        <w:t>%；社会保障和就业支出</w:t>
      </w:r>
      <w:r>
        <w:rPr>
          <w:rFonts w:hint="eastAsia" w:ascii="仿宋_GB2312" w:eastAsia="仿宋_GB2312" w:cs="Times New Roman" w:hAnsiTheme="minorEastAsia"/>
          <w:sz w:val="32"/>
          <w:szCs w:val="32"/>
          <w:u w:color="000000"/>
          <w:lang w:val="en-US" w:eastAsia="zh-CN"/>
        </w:rPr>
        <w:t>3350.27</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96.73</w:t>
      </w:r>
      <w:r>
        <w:rPr>
          <w:rFonts w:hint="eastAsia" w:ascii="仿宋_GB2312" w:eastAsia="仿宋_GB2312" w:cs="Times New Roman" w:hAnsiTheme="minorEastAsia"/>
          <w:sz w:val="32"/>
          <w:szCs w:val="32"/>
          <w:u w:color="000000"/>
        </w:rPr>
        <w:t>%；医疗卫生与计划教育支出</w:t>
      </w:r>
      <w:r>
        <w:rPr>
          <w:rFonts w:hint="eastAsia" w:ascii="仿宋_GB2312" w:eastAsia="仿宋_GB2312" w:cs="Times New Roman" w:hAnsiTheme="minorEastAsia"/>
          <w:sz w:val="32"/>
          <w:szCs w:val="32"/>
          <w:u w:color="000000"/>
          <w:lang w:val="en-US" w:eastAsia="zh-CN"/>
        </w:rPr>
        <w:t>36.43</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1.05</w:t>
      </w:r>
      <w:r>
        <w:rPr>
          <w:rFonts w:hint="eastAsia" w:ascii="仿宋_GB2312" w:eastAsia="仿宋_GB2312" w:cs="Times New Roman" w:hAnsiTheme="minorEastAsia"/>
          <w:sz w:val="32"/>
          <w:szCs w:val="32"/>
          <w:u w:color="000000"/>
        </w:rPr>
        <w:t>%；住房保障支出</w:t>
      </w:r>
      <w:r>
        <w:rPr>
          <w:rFonts w:hint="eastAsia" w:ascii="仿宋_GB2312" w:eastAsia="仿宋_GB2312" w:cs="Times New Roman" w:hAnsiTheme="minorEastAsia"/>
          <w:sz w:val="32"/>
          <w:szCs w:val="32"/>
          <w:u w:color="000000"/>
          <w:lang w:val="en-US" w:eastAsia="zh-CN"/>
        </w:rPr>
        <w:t>65.26</w:t>
      </w:r>
      <w:r>
        <w:rPr>
          <w:rFonts w:hint="eastAsia" w:ascii="仿宋_GB2312" w:eastAsia="仿宋_GB2312" w:cs="Times New Roman" w:hAnsiTheme="minorEastAsia"/>
          <w:sz w:val="32"/>
          <w:szCs w:val="32"/>
          <w:u w:color="000000"/>
        </w:rPr>
        <w:t>万元，占比</w:t>
      </w:r>
      <w:r>
        <w:rPr>
          <w:rFonts w:hint="eastAsia" w:ascii="仿宋_GB2312" w:eastAsia="仿宋_GB2312" w:cs="Times New Roman" w:hAnsiTheme="minorEastAsia"/>
          <w:sz w:val="32"/>
          <w:szCs w:val="32"/>
          <w:u w:color="000000"/>
          <w:lang w:val="en-US" w:eastAsia="zh-CN"/>
        </w:rPr>
        <w:t>1.88</w:t>
      </w:r>
      <w:r>
        <w:rPr>
          <w:rFonts w:hint="eastAsia" w:ascii="仿宋_GB2312" w:eastAsia="仿宋_GB2312" w:cs="Times New Roman" w:hAnsiTheme="minorEastAsia"/>
          <w:sz w:val="32"/>
          <w:szCs w:val="32"/>
          <w:u w:color="000000"/>
        </w:rPr>
        <w:t>%</w:t>
      </w:r>
      <w:r>
        <w:rPr>
          <w:rFonts w:hint="eastAsia" w:ascii="仿宋_GB2312" w:eastAsia="仿宋_GB2312" w:cs="Times New Roman" w:hAnsiTheme="minorEastAsia"/>
          <w:sz w:val="32"/>
          <w:szCs w:val="32"/>
          <w:u w:color="000000"/>
          <w:lang w:eastAsia="zh-CN"/>
        </w:rPr>
        <w:t>；</w:t>
      </w:r>
      <w:r>
        <w:rPr>
          <w:rFonts w:hint="eastAsia" w:ascii="仿宋_GB2312" w:eastAsia="仿宋_GB2312" w:cs="Times New Roman" w:hAnsiTheme="minorEastAsia"/>
          <w:sz w:val="32"/>
          <w:szCs w:val="32"/>
          <w:u w:color="000000"/>
        </w:rPr>
        <w:t>国有资本经营预算支出</w:t>
      </w:r>
      <w:r>
        <w:rPr>
          <w:rFonts w:hint="eastAsia" w:ascii="仿宋_GB2312" w:eastAsia="仿宋_GB2312" w:cs="Times New Roman" w:hAnsiTheme="minorEastAsia"/>
          <w:sz w:val="32"/>
          <w:szCs w:val="32"/>
          <w:u w:color="000000"/>
          <w:lang w:val="en-US" w:eastAsia="zh-CN"/>
        </w:rPr>
        <w:t>11.43</w:t>
      </w:r>
      <w:r>
        <w:rPr>
          <w:rFonts w:hint="eastAsia" w:ascii="仿宋_GB2312" w:eastAsia="仿宋_GB2312" w:cs="Times New Roman" w:hAnsiTheme="minorEastAsia"/>
          <w:sz w:val="32"/>
          <w:szCs w:val="32"/>
          <w:u w:color="000000"/>
        </w:rPr>
        <w:t>万元，占比0.</w:t>
      </w:r>
      <w:r>
        <w:rPr>
          <w:rFonts w:hint="eastAsia" w:ascii="仿宋_GB2312" w:eastAsia="仿宋_GB2312" w:cs="Times New Roman" w:hAnsiTheme="minorEastAsia"/>
          <w:sz w:val="32"/>
          <w:szCs w:val="32"/>
          <w:u w:color="000000"/>
          <w:lang w:val="en-US" w:eastAsia="zh-CN"/>
        </w:rPr>
        <w:t>34</w:t>
      </w:r>
      <w:r>
        <w:rPr>
          <w:rFonts w:hint="eastAsia" w:ascii="仿宋_GB2312" w:eastAsia="仿宋_GB2312" w:cs="Times New Roman" w:hAnsiTheme="minorEastAsia"/>
          <w:sz w:val="32"/>
          <w:szCs w:val="32"/>
          <w:u w:color="000000"/>
        </w:rPr>
        <w:t>%。具体决算支出详见附件2。</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决算支出结构如图3。</w:t>
      </w:r>
    </w:p>
    <w:p>
      <w:pPr>
        <w:spacing w:after="0" w:line="360" w:lineRule="auto"/>
        <w:jc w:val="center"/>
        <w:rPr>
          <w:rFonts w:hint="eastAsia"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 xml:space="preserve">图3  </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年度区</w:t>
      </w:r>
      <w:r>
        <w:rPr>
          <w:rFonts w:hint="eastAsia" w:ascii="仿宋_GB2312" w:eastAsia="仿宋_GB2312" w:cs="DengXian-Regular"/>
          <w:sz w:val="32"/>
          <w:szCs w:val="32"/>
          <w:lang w:val="en-US" w:eastAsia="zh-CN"/>
        </w:rPr>
        <w:t>人社局</w:t>
      </w:r>
      <w:r>
        <w:rPr>
          <w:rFonts w:hint="eastAsia" w:asciiTheme="minorEastAsia" w:hAnsiTheme="minorEastAsia" w:eastAsiaTheme="minorEastAsia" w:cstheme="minorEastAsia"/>
          <w:b/>
          <w:bCs/>
          <w:sz w:val="32"/>
          <w:szCs w:val="32"/>
          <w:u w:color="000000"/>
        </w:rPr>
        <w:t>决算支出结构图</w:t>
      </w:r>
    </w:p>
    <w:p>
      <w:pPr>
        <w:spacing w:after="0" w:line="360" w:lineRule="auto"/>
        <w:jc w:val="center"/>
        <w:rPr>
          <w:rFonts w:hint="eastAsia" w:asciiTheme="minorEastAsia" w:hAnsiTheme="minorEastAsia" w:eastAsiaTheme="minorEastAsia" w:cstheme="minorEastAsia"/>
          <w:b/>
          <w:bCs/>
          <w:sz w:val="32"/>
          <w:szCs w:val="32"/>
          <w:u w:color="000000"/>
        </w:rPr>
      </w:pPr>
      <w:r>
        <w:drawing>
          <wp:inline distT="0" distB="0" distL="114300" distR="114300">
            <wp:extent cx="4191000" cy="2362835"/>
            <wp:effectExtent l="4445" t="4445" r="10795" b="1016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财政拨款决算支出比年初预算增加</w:t>
      </w:r>
      <w:r>
        <w:rPr>
          <w:rFonts w:hint="eastAsia" w:ascii="仿宋_GB2312" w:eastAsia="仿宋_GB2312" w:cs="DengXian-Regular"/>
          <w:sz w:val="32"/>
          <w:szCs w:val="32"/>
          <w:lang w:val="en-US" w:eastAsia="zh-CN"/>
        </w:rPr>
        <w:t>1736.27</w:t>
      </w:r>
      <w:r>
        <w:rPr>
          <w:rFonts w:hint="eastAsia" w:ascii="仿宋_GB2312" w:eastAsia="仿宋_GB2312" w:cs="DengXian-Regular"/>
          <w:sz w:val="32"/>
          <w:szCs w:val="32"/>
        </w:rPr>
        <w:t>万元。决算支出完成年初预算的</w:t>
      </w:r>
      <w:r>
        <w:rPr>
          <w:rFonts w:hint="eastAsia" w:ascii="仿宋_GB2312" w:eastAsia="仿宋_GB2312" w:cs="DengXian-Regular"/>
          <w:sz w:val="32"/>
          <w:szCs w:val="32"/>
          <w:lang w:val="en-US" w:eastAsia="zh-CN"/>
        </w:rPr>
        <w:t>200.74</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决算支出大于预算支出的</w:t>
      </w:r>
      <w:r>
        <w:rPr>
          <w:rFonts w:hint="eastAsia" w:ascii="仿宋_GB2312" w:eastAsia="仿宋_GB2312" w:cs="DengXian-Regular"/>
          <w:sz w:val="32"/>
          <w:szCs w:val="32"/>
        </w:rPr>
        <w:t>主要原因为202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年度我单位追加了中央就业补助资金项目。</w:t>
      </w:r>
    </w:p>
    <w:p>
      <w:pPr>
        <w:spacing w:after="0" w:line="360" w:lineRule="auto"/>
        <w:ind w:firstLine="320" w:firstLineChars="100"/>
        <w:jc w:val="both"/>
        <w:rPr>
          <w:rFonts w:ascii="仿宋" w:hAnsi="仿宋" w:eastAsia="仿宋"/>
          <w:snapToGrid w:val="0"/>
          <w:sz w:val="32"/>
          <w:szCs w:val="32"/>
        </w:rPr>
      </w:pPr>
      <w:r>
        <w:rPr>
          <w:rFonts w:hint="eastAsia" w:ascii="仿宋" w:hAnsi="仿宋" w:eastAsia="仿宋"/>
          <w:snapToGrid w:val="0"/>
          <w:sz w:val="32"/>
          <w:szCs w:val="32"/>
        </w:rPr>
        <w:t>预算支出与决算支出对比情况如图4。</w:t>
      </w:r>
    </w:p>
    <w:p>
      <w:pPr>
        <w:spacing w:after="0" w:line="360" w:lineRule="auto"/>
        <w:jc w:val="center"/>
        <w:rPr>
          <w:rFonts w:hint="eastAsia"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图4  202</w:t>
      </w:r>
      <w:r>
        <w:rPr>
          <w:rFonts w:hint="eastAsia" w:asciiTheme="minorEastAsia" w:hAnsiTheme="minorEastAsia" w:eastAsiaTheme="minorEastAsia" w:cstheme="minorEastAsia"/>
          <w:b/>
          <w:bCs/>
          <w:sz w:val="32"/>
          <w:szCs w:val="32"/>
          <w:lang w:val="en-US" w:eastAsia="zh-CN"/>
        </w:rPr>
        <w:t>2</w:t>
      </w:r>
      <w:r>
        <w:rPr>
          <w:rFonts w:hint="eastAsia" w:asciiTheme="minorEastAsia" w:hAnsiTheme="minorEastAsia" w:eastAsiaTheme="minorEastAsia" w:cstheme="minorEastAsia"/>
          <w:b/>
          <w:bCs/>
          <w:sz w:val="32"/>
          <w:szCs w:val="32"/>
        </w:rPr>
        <w:t>年度区</w:t>
      </w:r>
      <w:r>
        <w:rPr>
          <w:rFonts w:hint="eastAsia" w:asciiTheme="minorEastAsia" w:hAnsiTheme="minorEastAsia" w:eastAsiaTheme="minorEastAsia" w:cstheme="minorEastAsia"/>
          <w:b/>
          <w:bCs/>
          <w:sz w:val="32"/>
          <w:szCs w:val="32"/>
          <w:lang w:val="en-US" w:eastAsia="zh-CN"/>
        </w:rPr>
        <w:t>人社局</w:t>
      </w:r>
      <w:r>
        <w:rPr>
          <w:rFonts w:hint="eastAsia" w:asciiTheme="minorEastAsia" w:hAnsiTheme="minorEastAsia" w:eastAsiaTheme="minorEastAsia" w:cstheme="minorEastAsia"/>
          <w:b/>
          <w:bCs/>
          <w:sz w:val="32"/>
          <w:szCs w:val="32"/>
        </w:rPr>
        <w:t>预算支出与决算支出对比图</w:t>
      </w:r>
    </w:p>
    <w:p>
      <w:pPr>
        <w:spacing w:after="0" w:line="360" w:lineRule="auto"/>
        <w:jc w:val="center"/>
        <w:rPr>
          <w:rFonts w:hint="eastAsia" w:asciiTheme="minorEastAsia" w:hAnsiTheme="minorEastAsia" w:eastAsiaTheme="minorEastAsia" w:cstheme="minorEastAsia"/>
          <w:b/>
          <w:bCs/>
          <w:sz w:val="32"/>
          <w:szCs w:val="32"/>
        </w:rPr>
      </w:pPr>
      <w:r>
        <w:drawing>
          <wp:inline distT="0" distB="0" distL="114300" distR="114300">
            <wp:extent cx="4446270" cy="2794635"/>
            <wp:effectExtent l="4445" t="4445" r="14605" b="5080"/>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年实际项目支出</w:t>
      </w:r>
      <w:r>
        <w:rPr>
          <w:rFonts w:hint="eastAsia" w:ascii="仿宋_GB2312" w:eastAsia="仿宋_GB2312" w:cs="DengXian-Regular"/>
          <w:sz w:val="32"/>
          <w:szCs w:val="32"/>
          <w:lang w:val="en-US" w:eastAsia="zh-CN"/>
        </w:rPr>
        <w:t>1808.87</w:t>
      </w:r>
      <w:r>
        <w:rPr>
          <w:rFonts w:hint="eastAsia" w:ascii="仿宋_GB2312" w:eastAsia="仿宋_GB2312" w:cs="DengXian-Regular"/>
          <w:sz w:val="32"/>
          <w:szCs w:val="32"/>
        </w:rPr>
        <w:t>万元，决算报表中项目支出</w:t>
      </w:r>
      <w:r>
        <w:rPr>
          <w:rFonts w:hint="eastAsia" w:ascii="仿宋_GB2312" w:eastAsia="仿宋_GB2312" w:cs="DengXian-Regular"/>
          <w:sz w:val="32"/>
          <w:szCs w:val="32"/>
          <w:lang w:val="en-US" w:eastAsia="zh-CN"/>
        </w:rPr>
        <w:t>1808.87</w:t>
      </w:r>
      <w:r>
        <w:rPr>
          <w:rFonts w:hint="eastAsia" w:ascii="仿宋_GB2312" w:eastAsia="仿宋_GB2312" w:cs="DengXian-Regular"/>
          <w:sz w:val="32"/>
          <w:szCs w:val="32"/>
        </w:rPr>
        <w:t>万元，实际支出与决算报表差0万元。</w:t>
      </w:r>
    </w:p>
    <w:p>
      <w:pPr>
        <w:pStyle w:val="4"/>
        <w:spacing w:before="0" w:after="0"/>
        <w:ind w:firstLine="643" w:firstLineChars="200"/>
        <w:jc w:val="both"/>
        <w:rPr>
          <w:rFonts w:ascii="仿宋_GB2312" w:hAnsi="Tahoma" w:cs="DengXian-Regular"/>
          <w:sz w:val="32"/>
        </w:rPr>
      </w:pPr>
      <w:bookmarkStart w:id="13" w:name="_Toc465149503"/>
      <w:bookmarkStart w:id="14" w:name="_Toc19291"/>
      <w:bookmarkStart w:id="15" w:name="_Toc492652769"/>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“三公”经费预算</w:t>
      </w:r>
      <w:r>
        <w:rPr>
          <w:rFonts w:hint="eastAsia" w:ascii="仿宋_GB2312" w:eastAsia="仿宋_GB2312" w:cs="DengXian-Regular"/>
          <w:sz w:val="32"/>
          <w:szCs w:val="32"/>
          <w:lang w:val="en-US" w:eastAsia="zh-CN"/>
        </w:rPr>
        <w:t>6.52</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4.86</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1.66</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4.30</w:t>
      </w:r>
      <w:r>
        <w:rPr>
          <w:rFonts w:hint="eastAsia" w:ascii="仿宋_GB2312" w:eastAsia="仿宋_GB2312" w:cs="DengXian-Regular"/>
          <w:sz w:val="32"/>
          <w:szCs w:val="32"/>
        </w:rPr>
        <w:t>万元（公务用车运行维护费</w:t>
      </w:r>
      <w:r>
        <w:rPr>
          <w:rFonts w:hint="eastAsia" w:ascii="仿宋_GB2312" w:eastAsia="仿宋_GB2312" w:cs="DengXian-Regular"/>
          <w:sz w:val="32"/>
          <w:szCs w:val="32"/>
          <w:lang w:val="en-US" w:eastAsia="zh-CN"/>
        </w:rPr>
        <w:t>2.97</w:t>
      </w:r>
      <w:r>
        <w:rPr>
          <w:rFonts w:hint="eastAsia" w:ascii="仿宋_GB2312" w:eastAsia="仿宋_GB2312" w:cs="DengXian-Regular"/>
          <w:sz w:val="32"/>
          <w:szCs w:val="32"/>
        </w:rPr>
        <w:t>万元，公务接待费</w:t>
      </w:r>
      <w:r>
        <w:rPr>
          <w:rFonts w:hint="eastAsia" w:ascii="仿宋_GB2312" w:eastAsia="仿宋_GB2312" w:cs="DengXian-Regular"/>
          <w:sz w:val="32"/>
          <w:szCs w:val="32"/>
          <w:lang w:val="en-US" w:eastAsia="zh-CN"/>
        </w:rPr>
        <w:t>1.33</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2.22</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34.05</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年预算数相比</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减少2.48万元</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年实际支出相比，减少</w:t>
      </w:r>
      <w:r>
        <w:rPr>
          <w:rFonts w:hint="eastAsia" w:ascii="仿宋_GB2312" w:eastAsia="仿宋_GB2312" w:cs="DengXian-Regular"/>
          <w:sz w:val="32"/>
          <w:szCs w:val="32"/>
          <w:lang w:val="en-US" w:eastAsia="zh-CN"/>
        </w:rPr>
        <w:t>2.57</w:t>
      </w:r>
      <w:r>
        <w:rPr>
          <w:rFonts w:hint="eastAsia" w:ascii="仿宋_GB2312" w:eastAsia="仿宋_GB2312" w:cs="DengXian-Regular"/>
          <w:sz w:val="32"/>
          <w:szCs w:val="32"/>
        </w:rPr>
        <w:t>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表1  区</w:t>
      </w:r>
      <w:r>
        <w:rPr>
          <w:rFonts w:hint="eastAsia" w:asciiTheme="minorEastAsia" w:hAnsiTheme="minorEastAsia" w:eastAsiaTheme="minorEastAsia" w:cstheme="minorEastAsia"/>
          <w:b/>
          <w:bCs/>
          <w:sz w:val="32"/>
          <w:szCs w:val="32"/>
          <w:lang w:val="en-US" w:eastAsia="zh-CN"/>
        </w:rPr>
        <w:t>人社局</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2021</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w:t>
            </w:r>
            <w:r>
              <w:rPr>
                <w:rFonts w:hint="default" w:ascii="宋体" w:hAnsi="宋体" w:eastAsia="宋体" w:cs="宋体"/>
                <w:b/>
                <w:bCs/>
                <w:color w:val="000000"/>
                <w:sz w:val="21"/>
                <w:szCs w:val="21"/>
                <w:lang w:val="en-US"/>
              </w:rPr>
              <w:t>2</w:t>
            </w:r>
            <w:r>
              <w:rPr>
                <w:rFonts w:hint="eastAsia" w:ascii="宋体" w:hAnsi="宋体" w:eastAsia="宋体" w:cs="宋体"/>
                <w:b/>
                <w:bCs/>
                <w:color w:val="000000"/>
                <w:sz w:val="21"/>
                <w:szCs w:val="21"/>
              </w:rPr>
              <w:t>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rPr>
              <w:t>6</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rPr>
              <w:t>3.92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4.86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2.97</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-1.14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-0.95</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rPr>
              <w:t>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rPr>
              <w:t>2.95</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1.66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1.33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-1.34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-1.62</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rPr>
              <w:t>9</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lang w:val="en-US" w:eastAsia="zh-CN" w:bidi="ar-SA"/>
              </w:rPr>
            </w:pPr>
            <w:r>
              <w:rPr>
                <w:rFonts w:hint="eastAsia" w:asciiTheme="minorEastAsia" w:hAnsiTheme="minorEastAsia" w:eastAsiaTheme="minorEastAsia" w:cstheme="minorEastAsia"/>
                <w:color w:val="000000"/>
                <w:sz w:val="21"/>
                <w:szCs w:val="21"/>
              </w:rPr>
              <w:t>6.87</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6.52</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4.3</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-2.48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-2.57</w:t>
            </w:r>
          </w:p>
        </w:tc>
      </w:tr>
    </w:tbl>
    <w:p>
      <w:pPr>
        <w:spacing w:after="0" w:line="360" w:lineRule="auto"/>
        <w:ind w:firstLine="640" w:firstLineChars="200"/>
        <w:jc w:val="both"/>
        <w:rPr>
          <w:rFonts w:hint="eastAsia" w:ascii="仿宋_GB2312" w:eastAsia="仿宋_GB2312" w:cs="DengXian-Regular"/>
          <w:sz w:val="32"/>
          <w:szCs w:val="32"/>
        </w:rPr>
      </w:pP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年底区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车辆合计</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辆，其中</w:t>
      </w:r>
      <w:r>
        <w:rPr>
          <w:rFonts w:hint="eastAsia" w:ascii="仿宋_GB2312" w:eastAsia="仿宋_GB2312" w:cs="DengXian-Regular"/>
          <w:sz w:val="32"/>
          <w:szCs w:val="32"/>
          <w:lang w:val="en-US" w:eastAsia="zh-CN"/>
        </w:rPr>
        <w:t>公务</w:t>
      </w:r>
      <w:r>
        <w:rPr>
          <w:rFonts w:hint="eastAsia" w:ascii="仿宋_GB2312" w:eastAsia="仿宋_GB2312" w:cs="DengXian-Regular"/>
          <w:sz w:val="32"/>
          <w:szCs w:val="32"/>
        </w:rPr>
        <w:t>用车</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辆，其他用车</w:t>
      </w:r>
      <w:r>
        <w:rPr>
          <w:rFonts w:hint="eastAsia" w:ascii="仿宋_GB2312" w:eastAsia="仿宋_GB2312" w:cs="DengXian-Regular"/>
          <w:sz w:val="32"/>
          <w:szCs w:val="32"/>
          <w:lang w:val="en-US" w:eastAsia="zh-CN"/>
        </w:rPr>
        <w:t>0</w:t>
      </w:r>
      <w:r>
        <w:rPr>
          <w:rFonts w:hint="eastAsia" w:ascii="仿宋_GB2312" w:eastAsia="仿宋_GB2312" w:cs="DengXian-Regular"/>
          <w:sz w:val="32"/>
          <w:szCs w:val="32"/>
        </w:rPr>
        <w:t>辆。202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年公务用车购置及运维费年初预算</w:t>
      </w:r>
      <w:r>
        <w:rPr>
          <w:rFonts w:hint="eastAsia" w:ascii="仿宋_GB2312" w:eastAsia="仿宋_GB2312" w:cs="DengXian-Regular"/>
          <w:sz w:val="32"/>
          <w:szCs w:val="32"/>
          <w:lang w:val="en-US" w:eastAsia="zh-CN"/>
        </w:rPr>
        <w:t>4.86</w:t>
      </w:r>
      <w:r>
        <w:rPr>
          <w:rFonts w:hint="eastAsia" w:ascii="仿宋_GB2312" w:eastAsia="仿宋_GB2312" w:cs="DengXian-Regular"/>
          <w:sz w:val="32"/>
          <w:szCs w:val="32"/>
        </w:rPr>
        <w:t>万元，全部为公务用车运行维护费，实际支出</w:t>
      </w:r>
      <w:r>
        <w:rPr>
          <w:rFonts w:hint="eastAsia" w:ascii="仿宋_GB2312" w:eastAsia="仿宋_GB2312" w:cs="DengXian-Regular"/>
          <w:sz w:val="32"/>
          <w:szCs w:val="32"/>
          <w:lang w:val="en-US" w:eastAsia="zh-CN"/>
        </w:rPr>
        <w:t>2.97</w:t>
      </w:r>
      <w:r>
        <w:rPr>
          <w:rFonts w:hint="eastAsia" w:ascii="仿宋_GB2312" w:eastAsia="仿宋_GB2312" w:cs="DengXian-Regular"/>
          <w:sz w:val="32"/>
          <w:szCs w:val="32"/>
        </w:rPr>
        <w:t>万元，比预算减少</w:t>
      </w:r>
      <w:r>
        <w:rPr>
          <w:rFonts w:hint="eastAsia" w:ascii="仿宋_GB2312" w:eastAsia="仿宋_GB2312" w:cs="DengXian-Regular"/>
          <w:sz w:val="32"/>
          <w:szCs w:val="32"/>
          <w:lang w:val="en-US" w:eastAsia="zh-CN"/>
        </w:rPr>
        <w:t>1.89</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38.89</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年预算相比</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减少1.14万元</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年实际支出相比，减少</w:t>
      </w:r>
      <w:r>
        <w:rPr>
          <w:rFonts w:hint="eastAsia" w:ascii="仿宋_GB2312" w:eastAsia="仿宋_GB2312" w:cs="DengXian-Regular"/>
          <w:sz w:val="32"/>
          <w:szCs w:val="32"/>
          <w:lang w:val="en-US" w:eastAsia="zh-CN"/>
        </w:rPr>
        <w:t>0.95</w:t>
      </w:r>
      <w:r>
        <w:rPr>
          <w:rFonts w:hint="eastAsia" w:ascii="仿宋_GB2312" w:eastAsia="仿宋_GB2312" w:cs="DengXian-Regular"/>
          <w:sz w:val="32"/>
          <w:szCs w:val="32"/>
        </w:rPr>
        <w:t>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公务接待费年初预算</w:t>
      </w:r>
      <w:r>
        <w:rPr>
          <w:rFonts w:hint="eastAsia" w:ascii="仿宋_GB2312" w:eastAsia="仿宋_GB2312" w:cs="DengXian-Regular"/>
          <w:sz w:val="32"/>
          <w:szCs w:val="32"/>
          <w:lang w:val="en-US" w:eastAsia="zh-CN"/>
        </w:rPr>
        <w:t>1.66</w:t>
      </w:r>
      <w:r>
        <w:rPr>
          <w:rFonts w:hint="eastAsia" w:ascii="仿宋_GB2312" w:eastAsia="仿宋_GB2312" w:cs="DengXian-Regular"/>
          <w:sz w:val="32"/>
          <w:szCs w:val="32"/>
        </w:rPr>
        <w:t>万元，实际支出</w:t>
      </w:r>
      <w:r>
        <w:rPr>
          <w:rFonts w:hint="eastAsia" w:ascii="仿宋_GB2312" w:eastAsia="仿宋_GB2312" w:cs="DengXian-Regular"/>
          <w:sz w:val="32"/>
          <w:szCs w:val="32"/>
          <w:lang w:val="en-US" w:eastAsia="zh-CN"/>
        </w:rPr>
        <w:t>1.33</w:t>
      </w:r>
      <w:r>
        <w:rPr>
          <w:rFonts w:hint="eastAsia" w:ascii="仿宋_GB2312" w:eastAsia="仿宋_GB2312" w:cs="DengXian-Regular"/>
          <w:sz w:val="32"/>
          <w:szCs w:val="32"/>
        </w:rPr>
        <w:t>万元，比预算减少了</w:t>
      </w:r>
      <w:r>
        <w:rPr>
          <w:rFonts w:hint="eastAsia" w:ascii="仿宋_GB2312" w:eastAsia="仿宋_GB2312" w:cs="DengXian-Regular"/>
          <w:sz w:val="32"/>
          <w:szCs w:val="32"/>
          <w:lang w:val="en-US" w:eastAsia="zh-CN"/>
        </w:rPr>
        <w:t>0.33</w:t>
      </w:r>
      <w:r>
        <w:rPr>
          <w:rFonts w:hint="eastAsia" w:ascii="仿宋_GB2312" w:eastAsia="仿宋_GB2312" w:cs="DengXian-Regular"/>
          <w:sz w:val="32"/>
          <w:szCs w:val="32"/>
        </w:rPr>
        <w:t>万元，节约率</w:t>
      </w:r>
      <w:r>
        <w:rPr>
          <w:rFonts w:hint="eastAsia" w:ascii="仿宋_GB2312" w:eastAsia="仿宋_GB2312" w:cs="DengXian-Regular"/>
          <w:sz w:val="32"/>
          <w:szCs w:val="32"/>
          <w:lang w:val="en-US" w:eastAsia="zh-CN"/>
        </w:rPr>
        <w:t>19.88</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年预算相比</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减少1.34万元</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w:t>
      </w:r>
      <w:r>
        <w:rPr>
          <w:rFonts w:hint="eastAsia" w:ascii="仿宋_GB2312" w:eastAsia="仿宋_GB2312" w:cs="DengXian-Regular"/>
          <w:sz w:val="32"/>
          <w:szCs w:val="32"/>
          <w:lang w:val="en-US" w:eastAsia="zh-CN"/>
        </w:rPr>
        <w:t>1</w:t>
      </w:r>
      <w:r>
        <w:rPr>
          <w:rFonts w:hint="eastAsia" w:ascii="仿宋_GB2312" w:eastAsia="仿宋_GB2312" w:cs="DengXian-Regular"/>
          <w:sz w:val="32"/>
          <w:szCs w:val="32"/>
        </w:rPr>
        <w:t>年实际支出相比，</w:t>
      </w:r>
      <w:r>
        <w:rPr>
          <w:rFonts w:hint="eastAsia" w:ascii="仿宋_GB2312" w:eastAsia="仿宋_GB2312" w:cs="DengXian-Regular"/>
          <w:sz w:val="32"/>
          <w:szCs w:val="32"/>
          <w:lang w:val="en-US" w:eastAsia="zh-CN"/>
        </w:rPr>
        <w:t>减少1.62</w:t>
      </w:r>
      <w:r>
        <w:rPr>
          <w:rFonts w:hint="eastAsia" w:ascii="仿宋_GB2312" w:eastAsia="仿宋_GB2312" w:cs="DengXian-Regular"/>
          <w:sz w:val="32"/>
          <w:szCs w:val="32"/>
        </w:rPr>
        <w:t>万元。</w:t>
      </w:r>
    </w:p>
    <w:p>
      <w:pPr>
        <w:pStyle w:val="3"/>
        <w:spacing w:before="0" w:after="0" w:line="360" w:lineRule="auto"/>
        <w:ind w:firstLine="643" w:firstLineChars="200"/>
        <w:rPr>
          <w:rFonts w:ascii="黑体" w:hAnsiTheme="minorEastAsia"/>
          <w:u w:color="000000"/>
        </w:rPr>
      </w:pPr>
      <w:bookmarkStart w:id="16" w:name="_Toc492652770"/>
      <w:bookmarkStart w:id="17" w:name="_Toc20454"/>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w:t>
      </w:r>
      <w:r>
        <w:rPr>
          <w:rFonts w:hint="eastAsia" w:ascii="仿宋_GB2312" w:eastAsia="仿宋_GB2312" w:cs="DengXian-Regular"/>
          <w:sz w:val="32"/>
          <w:szCs w:val="32"/>
          <w:lang w:val="en-US" w:eastAsia="zh-CN"/>
        </w:rPr>
        <w:t>我</w:t>
      </w:r>
      <w:r>
        <w:rPr>
          <w:rFonts w:hint="eastAsia" w:ascii="仿宋_GB2312" w:eastAsia="仿宋_GB2312" w:cs="DengXian-Regular"/>
          <w:sz w:val="32"/>
          <w:szCs w:val="32"/>
        </w:rPr>
        <w:t>单位沟通，绩效评价工作组以绩效预算架构为指导，以部门预算文本及相关资料为基础，制定了部门整体支出绩效评价指标体系。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492652771"/>
      <w:bookmarkStart w:id="20" w:name="_Toc9569"/>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bookmarkStart w:id="21" w:name="_Toc30221"/>
      <w:bookmarkStart w:id="22" w:name="_Toc492652772"/>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492652773"/>
      <w:bookmarkStart w:id="24" w:name="_Toc24932"/>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w:t>
      </w:r>
      <w:bookmarkStart w:id="79" w:name="_GoBack"/>
      <w:bookmarkEnd w:id="79"/>
      <w:r>
        <w:rPr>
          <w:rFonts w:hint="eastAsia" w:ascii="仿宋_GB2312" w:eastAsia="仿宋_GB2312" w:cs="DengXian-Regular"/>
          <w:sz w:val="32"/>
          <w:szCs w:val="32"/>
        </w:rPr>
        <w:t>项目资金使用率。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65149505"/>
      <w:bookmarkStart w:id="30" w:name="_Toc492652776"/>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92652777"/>
      <w:bookmarkStart w:id="33" w:name="_Toc465149506"/>
      <w:r>
        <w:rPr>
          <w:rFonts w:hint="eastAsia" w:ascii="仿宋_GB2312" w:eastAsia="仿宋_GB2312" w:cs="DengXian-Regular"/>
          <w:sz w:val="32"/>
          <w:szCs w:val="32"/>
        </w:rPr>
        <w:t>通过对区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《中华人民共和国预算法》；</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2314152"/>
      <w:bookmarkStart w:id="44" w:name="_Toc421623217"/>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1623220"/>
      <w:bookmarkStart w:id="50" w:name="_Toc422314155"/>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2314156"/>
      <w:bookmarkStart w:id="52" w:name="_Toc421623221"/>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w:t>
      </w:r>
      <w:r>
        <w:rPr>
          <w:rFonts w:hint="eastAsia" w:ascii="仿宋_GB2312" w:eastAsia="仿宋_GB2312" w:cs="DengXian-Regular"/>
          <w:sz w:val="32"/>
          <w:szCs w:val="32"/>
          <w:lang w:val="en-US" w:eastAsia="zh-CN"/>
        </w:rPr>
        <w:t>我单位</w:t>
      </w:r>
      <w:r>
        <w:rPr>
          <w:rFonts w:hint="eastAsia" w:ascii="仿宋_GB2312" w:eastAsia="仿宋_GB2312" w:cs="DengXian-Regular"/>
          <w:sz w:val="32"/>
          <w:szCs w:val="32"/>
        </w:rPr>
        <w:t>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w:t>
      </w:r>
      <w:r>
        <w:rPr>
          <w:rFonts w:hint="eastAsia" w:ascii="仿宋_GB2312" w:eastAsia="仿宋_GB2312" w:cs="DengXian-Regular"/>
          <w:sz w:val="32"/>
          <w:szCs w:val="32"/>
          <w:lang w:val="en-US" w:eastAsia="zh-CN"/>
        </w:rPr>
        <w:t>我</w:t>
      </w:r>
      <w:r>
        <w:rPr>
          <w:rFonts w:hint="eastAsia" w:ascii="仿宋_GB2312" w:eastAsia="仿宋_GB2312" w:cs="DengXian-Regular"/>
          <w:sz w:val="32"/>
          <w:szCs w:val="32"/>
        </w:rPr>
        <w:t>单位相关资料的收集，制定绩效评价实施方案和体系,确定最终方案。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w:t>
      </w:r>
      <w:r>
        <w:rPr>
          <w:rFonts w:hint="eastAsia" w:ascii="仿宋_GB2312" w:eastAsia="仿宋_GB2312" w:cs="DengXian-Regular"/>
          <w:sz w:val="32"/>
          <w:szCs w:val="32"/>
          <w:lang w:val="en-US" w:eastAsia="zh-CN"/>
        </w:rPr>
        <w:t>我</w:t>
      </w:r>
      <w:r>
        <w:rPr>
          <w:rFonts w:hint="eastAsia" w:ascii="仿宋_GB2312" w:eastAsia="仿宋_GB2312" w:cs="DengXian-Regular"/>
          <w:sz w:val="32"/>
          <w:szCs w:val="32"/>
        </w:rPr>
        <w:t>单位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DengXian-Regular"/>
          <w:sz w:val="32"/>
          <w:szCs w:val="32"/>
          <w:highlight w:val="none"/>
        </w:rPr>
        <w:t>区</w:t>
      </w:r>
      <w:r>
        <w:rPr>
          <w:rFonts w:hint="eastAsia" w:ascii="仿宋_GB2312" w:eastAsia="仿宋_GB2312" w:cs="DengXian-Regular"/>
          <w:sz w:val="32"/>
          <w:szCs w:val="32"/>
          <w:highlight w:val="none"/>
          <w:lang w:val="en-US" w:eastAsia="zh-CN"/>
        </w:rPr>
        <w:t>人社局</w:t>
      </w:r>
      <w:r>
        <w:rPr>
          <w:rFonts w:hint="eastAsia" w:ascii="仿宋_GB2312" w:eastAsia="仿宋_GB2312" w:cs="DengXian-Regular"/>
          <w:sz w:val="32"/>
          <w:szCs w:val="32"/>
          <w:highlight w:val="none"/>
        </w:rPr>
        <w:t>部门整体支出绩效评价总得分为</w:t>
      </w:r>
      <w:r>
        <w:rPr>
          <w:rFonts w:hint="eastAsia" w:ascii="仿宋_GB2312" w:eastAsia="仿宋_GB2312" w:cs="DengXian-Regular"/>
          <w:sz w:val="32"/>
          <w:szCs w:val="32"/>
          <w:highlight w:val="none"/>
          <w:lang w:val="en-US" w:eastAsia="zh-CN"/>
        </w:rPr>
        <w:t>95</w:t>
      </w:r>
      <w:r>
        <w:rPr>
          <w:rFonts w:hint="eastAsia" w:ascii="仿宋_GB2312" w:eastAsia="仿宋_GB2312" w:cs="DengXian-Regular"/>
          <w:sz w:val="32"/>
          <w:szCs w:val="32"/>
          <w:highlight w:val="none"/>
        </w:rPr>
        <w:t>分，综合绩效评价等级为“</w:t>
      </w:r>
      <w:r>
        <w:rPr>
          <w:rFonts w:hint="eastAsia" w:ascii="仿宋_GB2312" w:eastAsia="仿宋_GB2312" w:cs="DengXian-Regular"/>
          <w:sz w:val="32"/>
          <w:szCs w:val="32"/>
          <w:highlight w:val="none"/>
          <w:lang w:val="en-US" w:eastAsia="zh-CN"/>
        </w:rPr>
        <w:t>优</w:t>
      </w:r>
      <w:r>
        <w:rPr>
          <w:rFonts w:hint="eastAsia" w:ascii="仿宋_GB2312" w:eastAsia="仿宋_GB2312" w:cs="DengXian-Regular"/>
          <w:sz w:val="32"/>
          <w:szCs w:val="32"/>
          <w:highlight w:val="none"/>
        </w:rPr>
        <w:t>”。各项得分情况如下</w:t>
      </w:r>
      <w:r>
        <w:rPr>
          <w:rFonts w:hint="eastAsia" w:ascii="仿宋_GB2312" w:eastAsia="仿宋_GB2312" w:cs="Times New Roman" w:hAnsiTheme="minorEastAsia"/>
          <w:sz w:val="32"/>
          <w:szCs w:val="32"/>
          <w:highlight w:val="none"/>
          <w:u w:color="000000"/>
        </w:rPr>
        <w:t>：</w:t>
      </w:r>
      <w:r>
        <w:rPr>
          <w:rFonts w:ascii="仿宋_GB2312" w:eastAsia="仿宋_GB2312" w:cs="Times New Roman" w:hAnsiTheme="minorEastAsia"/>
          <w:sz w:val="32"/>
          <w:szCs w:val="32"/>
          <w:highlight w:val="none"/>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hint="eastAsia" w:asciiTheme="minorEastAsia" w:hAnsiTheme="minorEastAsia" w:eastAsiaTheme="minorEastAsia" w:cstheme="minorEastAsia"/>
          <w:b/>
          <w:bCs/>
          <w:sz w:val="32"/>
          <w:szCs w:val="32"/>
          <w:u w:color="000000"/>
        </w:rPr>
      </w:pPr>
    </w:p>
    <w:p>
      <w:pPr>
        <w:spacing w:after="0" w:line="360" w:lineRule="auto"/>
        <w:jc w:val="center"/>
        <w:textAlignment w:val="baseline"/>
        <w:rPr>
          <w:rFonts w:hint="eastAsia" w:asciiTheme="minorEastAsia" w:hAnsiTheme="minorEastAsia" w:eastAsiaTheme="minorEastAsia" w:cstheme="minorEastAsia"/>
          <w:b/>
          <w:bCs/>
          <w:sz w:val="32"/>
          <w:szCs w:val="32"/>
          <w:u w:color="000000"/>
        </w:rPr>
      </w:pP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12</w:t>
            </w:r>
          </w:p>
        </w:tc>
      </w:tr>
    </w:tbl>
    <w:p>
      <w:pPr>
        <w:spacing w:after="0" w:line="360" w:lineRule="auto"/>
        <w:ind w:firstLine="640" w:firstLineChars="200"/>
        <w:jc w:val="both"/>
        <w:textAlignment w:val="baseline"/>
        <w:rPr>
          <w:rFonts w:hint="eastAsia" w:ascii="仿宋_GB2312" w:eastAsia="仿宋_GB2312" w:cs="DengXian-Regular"/>
          <w:sz w:val="32"/>
          <w:szCs w:val="32"/>
        </w:rPr>
      </w:pPr>
      <w:bookmarkStart w:id="60" w:name="_Toc465149513"/>
      <w:bookmarkStart w:id="61" w:name="_Toc464638478"/>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val="en-US" w:eastAsia="zh-CN"/>
        </w:rPr>
        <w:t>人力资源和赎回保障局</w:t>
      </w:r>
      <w:r>
        <w:rPr>
          <w:rFonts w:hint="eastAsia" w:ascii="仿宋_GB2312" w:eastAsia="仿宋_GB2312" w:cs="DengXian-Regular"/>
          <w:sz w:val="32"/>
          <w:szCs w:val="32"/>
        </w:rPr>
        <w:t>职能配置内设机构和人员编制规定》和徐水区</w:t>
      </w:r>
      <w:r>
        <w:rPr>
          <w:rFonts w:hint="eastAsia" w:ascii="仿宋_GB2312" w:eastAsia="仿宋_GB2312" w:cs="DengXian-Regular"/>
          <w:sz w:val="32"/>
          <w:szCs w:val="32"/>
          <w:lang w:val="en-US" w:eastAsia="zh-CN"/>
        </w:rPr>
        <w:t>人力资源和社会保障局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年预算文本—部门职责工作活动绩效目标，评价工作组认为区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年预算文本—部门职责工作活动绩效目标,该指标实际得分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年预算文本及相关会计资料，区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根据区</w:t>
      </w:r>
      <w:r>
        <w:rPr>
          <w:rFonts w:hint="eastAsia" w:ascii="仿宋_GB2312" w:eastAsia="仿宋_GB2312" w:cs="DengXian-Regular"/>
          <w:sz w:val="32"/>
          <w:szCs w:val="32"/>
          <w:highlight w:val="none"/>
          <w:lang w:val="en-US" w:eastAsia="zh-CN"/>
        </w:rPr>
        <w:t>人社局</w:t>
      </w:r>
      <w:r>
        <w:rPr>
          <w:rFonts w:hint="eastAsia" w:ascii="仿宋_GB2312" w:eastAsia="仿宋_GB2312" w:cs="DengXian-Regular"/>
          <w:sz w:val="32"/>
          <w:szCs w:val="32"/>
          <w:highlight w:val="none"/>
        </w:rPr>
        <w:t>202</w:t>
      </w:r>
      <w:r>
        <w:rPr>
          <w:rFonts w:hint="eastAsia" w:ascii="仿宋_GB2312" w:eastAsia="仿宋_GB2312" w:cs="DengXian-Regular"/>
          <w:sz w:val="32"/>
          <w:szCs w:val="32"/>
          <w:highlight w:val="none"/>
          <w:lang w:val="en-US" w:eastAsia="zh-CN"/>
        </w:rPr>
        <w:t>2</w:t>
      </w:r>
      <w:r>
        <w:rPr>
          <w:rFonts w:hint="eastAsia" w:ascii="仿宋_GB2312" w:eastAsia="仿宋_GB2312" w:cs="DengXian-Regular"/>
          <w:sz w:val="32"/>
          <w:szCs w:val="32"/>
          <w:highlight w:val="none"/>
        </w:rPr>
        <w:t>年预算文本—部门项目支出预算表，</w:t>
      </w:r>
      <w:r>
        <w:rPr>
          <w:rFonts w:hint="eastAsia" w:ascii="仿宋_GB2312" w:eastAsia="仿宋_GB2312" w:cs="DengXian-Regular"/>
          <w:sz w:val="32"/>
          <w:szCs w:val="32"/>
          <w:highlight w:val="none"/>
          <w:lang w:val="en-US" w:eastAsia="zh-CN"/>
        </w:rPr>
        <w:t>人社局</w:t>
      </w:r>
      <w:r>
        <w:rPr>
          <w:rFonts w:hint="eastAsia" w:ascii="仿宋_GB2312" w:eastAsia="仿宋_GB2312" w:cs="DengXian-Regular"/>
          <w:sz w:val="32"/>
          <w:szCs w:val="32"/>
          <w:highlight w:val="none"/>
        </w:rPr>
        <w:t>202</w:t>
      </w:r>
      <w:r>
        <w:rPr>
          <w:rFonts w:hint="eastAsia" w:ascii="仿宋_GB2312" w:eastAsia="仿宋_GB2312" w:cs="DengXian-Regular"/>
          <w:sz w:val="32"/>
          <w:szCs w:val="32"/>
          <w:highlight w:val="none"/>
          <w:lang w:val="en-US" w:eastAsia="zh-CN"/>
        </w:rPr>
        <w:t>2</w:t>
      </w:r>
      <w:r>
        <w:rPr>
          <w:rFonts w:hint="eastAsia" w:ascii="仿宋_GB2312" w:eastAsia="仿宋_GB2312" w:cs="DengXian-Regular"/>
          <w:sz w:val="32"/>
          <w:szCs w:val="32"/>
          <w:highlight w:val="none"/>
        </w:rPr>
        <w:t>年预算项目共</w:t>
      </w:r>
      <w:r>
        <w:rPr>
          <w:rFonts w:hint="eastAsia" w:ascii="仿宋_GB2312" w:eastAsia="仿宋_GB2312" w:cs="DengXian-Regular"/>
          <w:sz w:val="32"/>
          <w:szCs w:val="32"/>
          <w:highlight w:val="none"/>
          <w:lang w:val="en-US" w:eastAsia="zh-CN"/>
        </w:rPr>
        <w:t>6</w:t>
      </w:r>
      <w:r>
        <w:rPr>
          <w:rFonts w:hint="eastAsia" w:ascii="仿宋_GB2312" w:eastAsia="仿宋_GB2312" w:cs="DengXian-Regular"/>
          <w:sz w:val="32"/>
          <w:szCs w:val="32"/>
          <w:highlight w:val="none"/>
        </w:rPr>
        <w:t>个（详见附件2-2-2），涉及资金</w:t>
      </w:r>
      <w:r>
        <w:rPr>
          <w:rFonts w:hint="eastAsia" w:ascii="仿宋_GB2312" w:eastAsia="仿宋_GB2312" w:cs="DengXian-Regular"/>
          <w:sz w:val="32"/>
          <w:szCs w:val="32"/>
          <w:highlight w:val="none"/>
          <w:lang w:val="en-US" w:eastAsia="zh-CN"/>
        </w:rPr>
        <w:t>46.63</w:t>
      </w:r>
      <w:r>
        <w:rPr>
          <w:rFonts w:hint="eastAsia" w:ascii="仿宋_GB2312" w:eastAsia="仿宋_GB2312" w:cs="DengXian-Regular"/>
          <w:sz w:val="32"/>
          <w:szCs w:val="32"/>
          <w:highlight w:val="none"/>
        </w:rPr>
        <w:t>万元，所有项目均细化到具体用款单位及项目资金额度。项目预算细化率=（</w:t>
      </w:r>
      <w:r>
        <w:rPr>
          <w:rFonts w:hint="eastAsia" w:ascii="仿宋_GB2312" w:eastAsia="仿宋_GB2312" w:cs="DengXian-Regular"/>
          <w:sz w:val="32"/>
          <w:szCs w:val="32"/>
          <w:highlight w:val="none"/>
          <w:lang w:val="en-US" w:eastAsia="zh-CN"/>
        </w:rPr>
        <w:t>46.63</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val="en-US" w:eastAsia="zh-CN"/>
        </w:rPr>
        <w:t>46.63</w:t>
      </w:r>
      <w:r>
        <w:rPr>
          <w:rFonts w:hint="eastAsia" w:ascii="仿宋_GB2312" w:eastAsia="仿宋_GB2312" w:cs="DengXian-Regular"/>
          <w:sz w:val="32"/>
          <w:szCs w:val="32"/>
          <w:highlight w:val="none"/>
        </w:rPr>
        <w:t>）*100%=100%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年底区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val="en-US" w:eastAsia="zh-CN"/>
        </w:rPr>
        <w:t>人力资源和社会保障局</w:t>
      </w:r>
      <w:r>
        <w:rPr>
          <w:rFonts w:hint="eastAsia" w:ascii="仿宋_GB2312" w:eastAsia="仿宋_GB2312" w:cs="DengXian-Regular"/>
          <w:sz w:val="32"/>
          <w:szCs w:val="32"/>
        </w:rPr>
        <w:t>职能配置内设机构和人员编制规定》的通知，</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人员编制为</w:t>
      </w:r>
      <w:r>
        <w:rPr>
          <w:rFonts w:hint="eastAsia" w:ascii="仿宋_GB2312" w:eastAsia="仿宋_GB2312" w:cs="DengXian-Regular"/>
          <w:sz w:val="32"/>
          <w:szCs w:val="32"/>
          <w:lang w:val="en-US" w:eastAsia="zh-CN"/>
        </w:rPr>
        <w:t>73</w:t>
      </w:r>
      <w:r>
        <w:rPr>
          <w:rFonts w:hint="eastAsia" w:ascii="仿宋_GB2312" w:eastAsia="仿宋_GB2312" w:cs="DengXian-Regular"/>
          <w:sz w:val="32"/>
          <w:szCs w:val="32"/>
        </w:rPr>
        <w:t>人，根据区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年决算文本-部门基本情况表，截至202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年底，在职人员</w:t>
      </w:r>
      <w:r>
        <w:rPr>
          <w:rFonts w:hint="eastAsia" w:ascii="仿宋_GB2312" w:eastAsia="仿宋_GB2312" w:cs="DengXian-Regular"/>
          <w:sz w:val="32"/>
          <w:szCs w:val="32"/>
          <w:lang w:val="en-US" w:eastAsia="zh-CN"/>
        </w:rPr>
        <w:t>70</w:t>
      </w:r>
      <w:r>
        <w:rPr>
          <w:rFonts w:hint="eastAsia" w:ascii="仿宋_GB2312" w:eastAsia="仿宋_GB2312" w:cs="DengXian-Regular"/>
          <w:sz w:val="32"/>
          <w:szCs w:val="32"/>
        </w:rPr>
        <w:t>人，在职人员控制率=（</w:t>
      </w:r>
      <w:r>
        <w:rPr>
          <w:rFonts w:hint="eastAsia" w:ascii="仿宋_GB2312" w:eastAsia="仿宋_GB2312" w:cs="DengXian-Regular"/>
          <w:sz w:val="32"/>
          <w:szCs w:val="32"/>
          <w:lang w:val="en-US" w:eastAsia="zh-CN"/>
        </w:rPr>
        <w:t>70</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73</w:t>
      </w:r>
      <w:r>
        <w:rPr>
          <w:rFonts w:hint="eastAsia" w:ascii="仿宋_GB2312" w:eastAsia="仿宋_GB2312" w:cs="DengXian-Regular"/>
          <w:sz w:val="32"/>
          <w:szCs w:val="32"/>
        </w:rPr>
        <w:t>）*100%=</w:t>
      </w:r>
      <w:r>
        <w:rPr>
          <w:rFonts w:hint="eastAsia" w:ascii="仿宋_GB2312" w:eastAsia="仿宋_GB2312" w:cs="DengXian-Regular"/>
          <w:sz w:val="32"/>
          <w:szCs w:val="32"/>
          <w:lang w:val="en-US" w:eastAsia="zh-CN"/>
        </w:rPr>
        <w:t>95.89</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分。</w:t>
      </w:r>
    </w:p>
    <w:bookmarkEnd w:id="60"/>
    <w:bookmarkEnd w:id="61"/>
    <w:p>
      <w:pPr>
        <w:pStyle w:val="4"/>
        <w:spacing w:before="0" w:after="0"/>
        <w:ind w:firstLine="643" w:firstLineChars="200"/>
        <w:jc w:val="both"/>
        <w:rPr>
          <w:rFonts w:ascii="楷体" w:hAnsi="楷体" w:eastAsia="楷体"/>
          <w:sz w:val="32"/>
          <w:highlight w:val="none"/>
        </w:rPr>
      </w:pPr>
      <w:bookmarkStart w:id="62" w:name="_Toc19940"/>
      <w:r>
        <w:rPr>
          <w:rFonts w:hint="eastAsia" w:ascii="楷体" w:hAnsi="楷体" w:eastAsia="楷体"/>
          <w:sz w:val="32"/>
          <w:highlight w:val="none"/>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33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2</w:t>
            </w:r>
          </w:p>
        </w:tc>
        <w:tc>
          <w:tcPr>
            <w:tcW w:w="1335" w:type="dxa"/>
            <w:vAlign w:val="center"/>
          </w:tcPr>
          <w:p>
            <w:pPr>
              <w:spacing w:line="420" w:lineRule="exact"/>
              <w:jc w:val="center"/>
              <w:rPr>
                <w:rFonts w:hint="eastAsia" w:cs="宋体" w:asciiTheme="minorEastAsia" w:hAnsiTheme="minorEastAsia" w:eastAsiaTheme="minorEastAsia"/>
                <w:sz w:val="21"/>
                <w:szCs w:val="21"/>
                <w:highlight w:val="none"/>
                <w:lang w:val="en-US" w:eastAsia="zh-CN" w:bidi="ar-SA"/>
              </w:rPr>
            </w:pPr>
            <w:r>
              <w:rPr>
                <w:rFonts w:hint="eastAsia" w:cs="宋体" w:asciiTheme="minorEastAsia" w:hAnsiTheme="minorEastAsia" w:eastAsiaTheme="minorEastAsia"/>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335" w:type="dxa"/>
            <w:vAlign w:val="center"/>
          </w:tcPr>
          <w:p>
            <w:pPr>
              <w:spacing w:line="420" w:lineRule="exact"/>
              <w:jc w:val="center"/>
              <w:rPr>
                <w:rFonts w:cs="宋体" w:asciiTheme="minorEastAsia" w:hAnsiTheme="minorEastAsia" w:eastAsiaTheme="minorEastAsia"/>
                <w:sz w:val="21"/>
                <w:szCs w:val="21"/>
                <w:highlight w:val="none"/>
                <w:lang w:val="en-US" w:eastAsia="zh-CN" w:bidi="ar-SA"/>
              </w:rPr>
            </w:pPr>
            <w:r>
              <w:rPr>
                <w:rFonts w:hint="eastAsia" w:cs="宋体" w:asciiTheme="minorEastAsia" w:hAnsiTheme="minorEastAsia" w:eastAsiaTheme="minorEastAsia"/>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335" w:type="dxa"/>
            <w:vAlign w:val="center"/>
          </w:tcPr>
          <w:p>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335" w:type="dxa"/>
            <w:vAlign w:val="center"/>
          </w:tcPr>
          <w:p>
            <w:pPr>
              <w:spacing w:line="420" w:lineRule="exact"/>
              <w:jc w:val="center"/>
              <w:rPr>
                <w:rFonts w:cs="宋体" w:asciiTheme="minorEastAsia" w:hAnsiTheme="minorEastAsia" w:eastAsiaTheme="minorEastAsia"/>
                <w:sz w:val="21"/>
                <w:szCs w:val="21"/>
                <w:highlight w:val="none"/>
                <w:lang w:val="en-US" w:eastAsia="zh-CN" w:bidi="ar-SA"/>
              </w:rPr>
            </w:pPr>
            <w:r>
              <w:rPr>
                <w:rFonts w:hint="eastAsia" w:cs="宋体" w:asciiTheme="minorEastAsia" w:hAnsiTheme="minorEastAsia" w:eastAsiaTheme="minorEastAsia"/>
                <w:sz w:val="21"/>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c>
          <w:tcPr>
            <w:tcW w:w="1335" w:type="dxa"/>
            <w:vAlign w:val="center"/>
          </w:tcPr>
          <w:p>
            <w:pPr>
              <w:spacing w:line="420" w:lineRule="exact"/>
              <w:jc w:val="center"/>
              <w:rPr>
                <w:rFonts w:cs="宋体" w:asciiTheme="minorEastAsia" w:hAnsiTheme="minorEastAsia" w:eastAsiaTheme="minorEastAsia"/>
                <w:sz w:val="21"/>
                <w:szCs w:val="21"/>
                <w:highlight w:val="none"/>
                <w:lang w:val="en-US" w:eastAsia="zh-CN" w:bidi="ar-SA"/>
              </w:rPr>
            </w:pPr>
            <w:r>
              <w:rPr>
                <w:rFonts w:hint="eastAsia" w:cs="宋体" w:asciiTheme="minorEastAsia" w:hAnsiTheme="minorEastAsia" w:eastAsiaTheme="minorEastAsia"/>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c>
          <w:tcPr>
            <w:tcW w:w="1335" w:type="dxa"/>
            <w:vAlign w:val="center"/>
          </w:tcPr>
          <w:p>
            <w:pPr>
              <w:spacing w:line="420" w:lineRule="exact"/>
              <w:jc w:val="center"/>
              <w:rPr>
                <w:rFonts w:hint="eastAsia" w:cs="宋体" w:asciiTheme="minorEastAsia" w:hAnsiTheme="minorEastAsia" w:eastAsiaTheme="minorEastAsia"/>
                <w:sz w:val="21"/>
                <w:szCs w:val="21"/>
                <w:highlight w:val="none"/>
                <w:lang w:val="en-US" w:eastAsia="zh-CN" w:bidi="ar-SA"/>
              </w:rPr>
            </w:pPr>
            <w:r>
              <w:rPr>
                <w:rFonts w:hint="eastAsia" w:cs="宋体" w:asciiTheme="minorEastAsia" w:hAnsiTheme="minorEastAsia" w:eastAsiaTheme="minorEastAsia"/>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c>
          <w:tcPr>
            <w:tcW w:w="1335" w:type="dxa"/>
            <w:vAlign w:val="center"/>
          </w:tcPr>
          <w:p>
            <w:pPr>
              <w:spacing w:line="420" w:lineRule="exact"/>
              <w:jc w:val="center"/>
              <w:rPr>
                <w:rFonts w:cs="宋体" w:asciiTheme="minorEastAsia" w:hAnsiTheme="minorEastAsia" w:eastAsiaTheme="minorEastAsia"/>
                <w:sz w:val="21"/>
                <w:szCs w:val="21"/>
                <w:highlight w:val="none"/>
                <w:lang w:val="en-US" w:eastAsia="zh-CN" w:bidi="ar-SA"/>
              </w:rPr>
            </w:pPr>
            <w:r>
              <w:rPr>
                <w:rFonts w:hint="eastAsia" w:cs="宋体" w:asciiTheme="minorEastAsia" w:hAnsiTheme="minorEastAsia" w:eastAsiaTheme="minorEastAsia"/>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决算真实性</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c>
          <w:tcPr>
            <w:tcW w:w="1335" w:type="dxa"/>
            <w:vAlign w:val="center"/>
          </w:tcPr>
          <w:p>
            <w:pPr>
              <w:spacing w:line="420" w:lineRule="exact"/>
              <w:jc w:val="center"/>
              <w:rPr>
                <w:rFonts w:cs="宋体" w:asciiTheme="minorEastAsia" w:hAnsiTheme="minorEastAsia" w:eastAsiaTheme="minorEastAsia"/>
                <w:sz w:val="21"/>
                <w:szCs w:val="21"/>
                <w:highlight w:val="none"/>
                <w:lang w:val="en-US" w:eastAsia="zh-CN" w:bidi="ar-SA"/>
              </w:rPr>
            </w:pPr>
            <w:r>
              <w:rPr>
                <w:rFonts w:hint="eastAsia" w:cs="宋体" w:asciiTheme="minorEastAsia" w:hAnsiTheme="minorEastAsia" w:eastAsiaTheme="minorEastAsia"/>
                <w:sz w:val="21"/>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预算管理</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（16分）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335" w:type="dxa"/>
            <w:vAlign w:val="center"/>
          </w:tcPr>
          <w:p>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335" w:type="dxa"/>
            <w:vAlign w:val="center"/>
          </w:tcPr>
          <w:p>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335" w:type="dxa"/>
            <w:vAlign w:val="center"/>
          </w:tcPr>
          <w:p>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335" w:type="dxa"/>
            <w:vAlign w:val="center"/>
          </w:tcPr>
          <w:p>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335" w:type="dxa"/>
            <w:vAlign w:val="center"/>
          </w:tcPr>
          <w:p>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335" w:type="dxa"/>
            <w:vAlign w:val="center"/>
          </w:tcPr>
          <w:p>
            <w:pPr>
              <w:spacing w:line="420" w:lineRule="exact"/>
              <w:jc w:val="center"/>
              <w:rPr>
                <w:rFonts w:cs="宋体" w:asciiTheme="minorEastAsia" w:hAnsiTheme="minorEastAsia" w:eastAsiaTheme="minorEastAsia"/>
                <w:sz w:val="21"/>
                <w:szCs w:val="21"/>
                <w:lang w:val="en-US" w:eastAsia="zh-CN" w:bidi="ar-SA"/>
              </w:rPr>
            </w:pPr>
            <w:r>
              <w:rPr>
                <w:rFonts w:hint="eastAsia" w:cs="宋体" w:asciiTheme="minorEastAsia" w:hAnsiTheme="minorEastAsia" w:eastAsiaTheme="minorEastAsia"/>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277" w:type="dxa"/>
            <w:vAlign w:val="center"/>
          </w:tcPr>
          <w:p>
            <w:pPr>
              <w:spacing w:line="420" w:lineRule="exact"/>
              <w:jc w:val="center"/>
              <w:rPr>
                <w:rFonts w:cs="宋体" w:asciiTheme="minorEastAsia" w:hAnsiTheme="minorEastAsia" w:eastAsiaTheme="minorEastAsia"/>
                <w:sz w:val="21"/>
                <w:szCs w:val="21"/>
              </w:rPr>
            </w:pP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48</w:t>
            </w:r>
          </w:p>
        </w:tc>
        <w:tc>
          <w:tcPr>
            <w:tcW w:w="1335" w:type="dxa"/>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46</w:t>
            </w:r>
          </w:p>
        </w:tc>
      </w:tr>
      <w:bookmarkEnd w:id="63"/>
    </w:tbl>
    <w:p>
      <w:pPr>
        <w:spacing w:after="0" w:line="360" w:lineRule="auto"/>
        <w:ind w:firstLine="640" w:firstLineChars="200"/>
        <w:jc w:val="both"/>
        <w:textAlignment w:val="baseline"/>
        <w:rPr>
          <w:rFonts w:hint="eastAsia" w:ascii="仿宋_GB2312" w:eastAsia="仿宋_GB2312" w:cs="DengXian-Regular"/>
          <w:sz w:val="32"/>
          <w:szCs w:val="32"/>
          <w:highlight w:val="yellow"/>
        </w:rPr>
      </w:pPr>
      <w:bookmarkStart w:id="64" w:name="_Toc464638487"/>
      <w:bookmarkStart w:id="65" w:name="_Toc465149514"/>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1.预算执行（24分）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（1）预算收入调整率（2分）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预算收入调整率=（调整预算数-年初预算数）/年初预算数*100%</w:t>
      </w:r>
    </w:p>
    <w:p>
      <w:pPr>
        <w:spacing w:after="0" w:line="360" w:lineRule="auto"/>
        <w:ind w:firstLine="640" w:firstLineChars="200"/>
        <w:jc w:val="both"/>
        <w:textAlignment w:val="baseline"/>
        <w:rPr>
          <w:rFonts w:ascii="仿宋_GB2312" w:eastAsia="仿宋_GB2312" w:cs="DengXian-Regular"/>
          <w:color w:val="000000" w:themeColor="text1"/>
          <w:sz w:val="32"/>
          <w:szCs w:val="32"/>
        </w:rPr>
      </w:pPr>
      <w:r>
        <w:rPr>
          <w:rFonts w:hint="eastAsia" w:ascii="仿宋_GB2312" w:eastAsia="仿宋_GB2312" w:cs="DengXian-Regular"/>
          <w:sz w:val="32"/>
          <w:szCs w:val="32"/>
          <w:highlight w:val="none"/>
        </w:rPr>
        <w:t>根据区</w:t>
      </w:r>
      <w:r>
        <w:rPr>
          <w:rFonts w:hint="eastAsia" w:ascii="仿宋_GB2312" w:eastAsia="仿宋_GB2312" w:cs="DengXian-Regular"/>
          <w:sz w:val="32"/>
          <w:szCs w:val="32"/>
          <w:highlight w:val="none"/>
          <w:lang w:val="en-US" w:eastAsia="zh-CN"/>
        </w:rPr>
        <w:t>人社局</w:t>
      </w:r>
      <w:r>
        <w:rPr>
          <w:rFonts w:hint="eastAsia" w:ascii="仿宋_GB2312" w:eastAsia="仿宋_GB2312" w:cs="DengXian-Regular"/>
          <w:sz w:val="32"/>
          <w:szCs w:val="32"/>
          <w:highlight w:val="none"/>
        </w:rPr>
        <w:t>的预算指标文件，其中：徐财预指[202</w:t>
      </w:r>
      <w:r>
        <w:rPr>
          <w:rFonts w:hint="eastAsia" w:ascii="仿宋_GB2312" w:eastAsia="仿宋_GB2312" w:cs="DengXian-Regular"/>
          <w:sz w:val="32"/>
          <w:szCs w:val="32"/>
          <w:highlight w:val="none"/>
          <w:lang w:val="en-US" w:eastAsia="zh-CN"/>
        </w:rPr>
        <w:t>2</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val="en-US" w:eastAsia="zh-CN"/>
        </w:rPr>
        <w:t>3-0014</w:t>
      </w:r>
      <w:r>
        <w:rPr>
          <w:rFonts w:hint="eastAsia" w:ascii="仿宋_GB2312" w:eastAsia="仿宋_GB2312" w:cs="DengXian-Regular"/>
          <w:sz w:val="32"/>
          <w:szCs w:val="32"/>
          <w:highlight w:val="none"/>
        </w:rPr>
        <w:t>号</w:t>
      </w:r>
      <w:r>
        <w:rPr>
          <w:rFonts w:hint="eastAsia" w:ascii="仿宋_GB2312" w:eastAsia="仿宋_GB2312" w:cs="DengXian-Regular"/>
          <w:sz w:val="32"/>
          <w:szCs w:val="32"/>
          <w:highlight w:val="none"/>
          <w:lang w:val="en-US" w:eastAsia="zh-CN"/>
        </w:rPr>
        <w:t>追加人员经费8.47万元；</w:t>
      </w:r>
      <w:r>
        <w:rPr>
          <w:rFonts w:hint="eastAsia" w:ascii="仿宋_GB2312" w:eastAsia="仿宋_GB2312" w:cs="DengXian-Regular"/>
          <w:sz w:val="32"/>
          <w:szCs w:val="32"/>
          <w:highlight w:val="none"/>
        </w:rPr>
        <w:t>徐财预指[202</w:t>
      </w:r>
      <w:r>
        <w:rPr>
          <w:rFonts w:hint="eastAsia" w:ascii="仿宋_GB2312" w:eastAsia="仿宋_GB2312" w:cs="DengXian-Regular"/>
          <w:sz w:val="32"/>
          <w:szCs w:val="32"/>
          <w:highlight w:val="none"/>
          <w:lang w:val="en-US" w:eastAsia="zh-CN"/>
        </w:rPr>
        <w:t>2</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val="en-US" w:eastAsia="zh-CN"/>
        </w:rPr>
        <w:t>3-0004</w:t>
      </w:r>
      <w:r>
        <w:rPr>
          <w:rFonts w:hint="eastAsia" w:ascii="仿宋_GB2312" w:eastAsia="仿宋_GB2312" w:cs="DengXian-Regular"/>
          <w:sz w:val="32"/>
          <w:szCs w:val="32"/>
          <w:highlight w:val="none"/>
        </w:rPr>
        <w:t>号</w:t>
      </w:r>
      <w:r>
        <w:rPr>
          <w:rFonts w:hint="eastAsia" w:ascii="仿宋_GB2312" w:eastAsia="仿宋_GB2312" w:cs="DengXian-Regular"/>
          <w:sz w:val="32"/>
          <w:szCs w:val="32"/>
          <w:highlight w:val="none"/>
          <w:lang w:val="en-US" w:eastAsia="zh-CN"/>
        </w:rPr>
        <w:t>追加人员经费2.58万元；</w:t>
      </w:r>
      <w:r>
        <w:rPr>
          <w:rFonts w:hint="eastAsia" w:ascii="仿宋_GB2312" w:eastAsia="仿宋_GB2312" w:cs="DengXian-Regular"/>
          <w:sz w:val="32"/>
          <w:szCs w:val="32"/>
          <w:highlight w:val="none"/>
        </w:rPr>
        <w:t>徐财预指[</w:t>
      </w:r>
      <w:r>
        <w:rPr>
          <w:rFonts w:ascii="仿宋_GB2312" w:eastAsia="仿宋_GB2312" w:cs="DengXian-Regular"/>
          <w:sz w:val="32"/>
          <w:szCs w:val="32"/>
          <w:highlight w:val="none"/>
        </w:rPr>
        <w:t>202</w:t>
      </w:r>
      <w:r>
        <w:rPr>
          <w:rFonts w:hint="eastAsia" w:ascii="仿宋_GB2312" w:eastAsia="仿宋_GB2312" w:cs="DengXian-Regular"/>
          <w:sz w:val="32"/>
          <w:szCs w:val="32"/>
          <w:highlight w:val="none"/>
          <w:lang w:val="en-US" w:eastAsia="zh-CN"/>
        </w:rPr>
        <w:t>2</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val="en-US" w:eastAsia="zh-CN"/>
        </w:rPr>
        <w:t>2-1038</w:t>
      </w:r>
      <w:r>
        <w:rPr>
          <w:rFonts w:hint="eastAsia" w:ascii="仿宋_GB2312" w:eastAsia="仿宋_GB2312" w:cs="DengXian-Regular"/>
          <w:sz w:val="32"/>
          <w:szCs w:val="32"/>
          <w:highlight w:val="none"/>
        </w:rPr>
        <w:t>号</w:t>
      </w:r>
      <w:r>
        <w:rPr>
          <w:rFonts w:hint="eastAsia" w:ascii="仿宋_GB2312" w:eastAsia="仿宋_GB2312" w:cs="DengXian-Regular"/>
          <w:sz w:val="32"/>
          <w:szCs w:val="32"/>
          <w:highlight w:val="none"/>
          <w:lang w:val="en-US" w:eastAsia="zh-CN"/>
        </w:rPr>
        <w:t>追加提前下达2022年省级就业补助资金265万元；徐财预指[2022]1-1116号购置基层公共服务平台自助机所需资金75万元；徐财预指[2022]1-1204号参保单位网报系统第三方数字认证收费资金12万元；徐财预指[2022]1-1217号劳动人事争议仲裁院标准化建设所需资金9.78万元；徐财预指[2022]1-1218号追加人社局建设社会保险综合柜员制服务大厅所需资金11.98万元，</w:t>
      </w:r>
      <w:r>
        <w:rPr>
          <w:rFonts w:hint="eastAsia" w:ascii="仿宋_GB2312" w:eastAsia="仿宋_GB2312" w:cs="DengXian-Regular"/>
          <w:color w:val="000000" w:themeColor="text1"/>
          <w:sz w:val="32"/>
          <w:szCs w:val="32"/>
        </w:rPr>
        <w:t>年初预算数为</w:t>
      </w:r>
      <w:r>
        <w:rPr>
          <w:rFonts w:hint="eastAsia" w:ascii="仿宋_GB2312" w:eastAsia="仿宋_GB2312" w:cs="DengXian-Regular"/>
          <w:color w:val="000000" w:themeColor="text1"/>
          <w:sz w:val="32"/>
          <w:szCs w:val="32"/>
          <w:lang w:val="en-US" w:eastAsia="zh-CN"/>
        </w:rPr>
        <w:t>1723.57</w:t>
      </w:r>
      <w:r>
        <w:rPr>
          <w:rFonts w:hint="eastAsia" w:ascii="仿宋_GB2312" w:eastAsia="仿宋_GB2312" w:cs="DengXian-Regular"/>
          <w:color w:val="000000" w:themeColor="text1"/>
          <w:sz w:val="32"/>
          <w:szCs w:val="32"/>
        </w:rPr>
        <w:t>万元，预算收入调整率为</w:t>
      </w:r>
      <w:r>
        <w:rPr>
          <w:rFonts w:hint="eastAsia" w:ascii="仿宋_GB2312" w:eastAsia="仿宋_GB2312" w:cs="DengXian-Regular"/>
          <w:color w:val="000000" w:themeColor="text1"/>
          <w:sz w:val="32"/>
          <w:szCs w:val="32"/>
          <w:lang w:val="en-US" w:eastAsia="zh-CN"/>
        </w:rPr>
        <w:t>100.89</w:t>
      </w:r>
      <w:r>
        <w:rPr>
          <w:rFonts w:hint="eastAsia" w:ascii="仿宋_GB2312" w:eastAsia="仿宋_GB2312" w:cs="DengXian-Regular"/>
          <w:color w:val="000000" w:themeColor="text1"/>
          <w:sz w:val="32"/>
          <w:szCs w:val="32"/>
        </w:rPr>
        <w:t>%。</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该项指标实际得分</w:t>
      </w:r>
      <w:r>
        <w:rPr>
          <w:rFonts w:hint="eastAsia" w:ascii="仿宋_GB2312" w:eastAsia="仿宋_GB2312" w:cs="DengXian-Regular"/>
          <w:sz w:val="32"/>
          <w:szCs w:val="32"/>
          <w:highlight w:val="none"/>
          <w:lang w:val="en-US" w:eastAsia="zh-CN"/>
        </w:rPr>
        <w:t>1</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年预算文本、决算文本，202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年收入预算数</w:t>
      </w:r>
      <w:r>
        <w:rPr>
          <w:rFonts w:hint="eastAsia" w:ascii="仿宋_GB2312" w:eastAsia="仿宋_GB2312" w:cs="DengXian-Regular"/>
          <w:sz w:val="32"/>
          <w:szCs w:val="32"/>
          <w:lang w:val="en-US" w:eastAsia="zh-CN"/>
        </w:rPr>
        <w:t>1730.70</w:t>
      </w:r>
      <w:r>
        <w:rPr>
          <w:rFonts w:hint="eastAsia" w:ascii="仿宋_GB2312" w:eastAsia="仿宋_GB2312" w:cs="DengXian-Regular"/>
          <w:sz w:val="32"/>
          <w:szCs w:val="32"/>
        </w:rPr>
        <w:t>万元，收入决算数</w:t>
      </w:r>
      <w:r>
        <w:rPr>
          <w:rFonts w:hint="eastAsia" w:ascii="仿宋_GB2312" w:eastAsia="仿宋_GB2312" w:cs="DengXian-Regular"/>
          <w:sz w:val="32"/>
          <w:szCs w:val="32"/>
          <w:lang w:val="en-US" w:eastAsia="zh-CN"/>
        </w:rPr>
        <w:t>3464.19</w:t>
      </w:r>
      <w:r>
        <w:rPr>
          <w:rFonts w:hint="eastAsia" w:ascii="仿宋_GB2312" w:eastAsia="仿宋_GB2312" w:cs="DengXian-Regular"/>
          <w:sz w:val="32"/>
          <w:szCs w:val="32"/>
        </w:rPr>
        <w:t>万元，收入完成率=（决算数/预算数）*100%=</w:t>
      </w:r>
      <w:r>
        <w:rPr>
          <w:rFonts w:hint="eastAsia" w:ascii="仿宋_GB2312" w:eastAsia="仿宋_GB2312" w:cs="DengXian-Regular"/>
          <w:sz w:val="32"/>
          <w:szCs w:val="32"/>
          <w:lang w:val="en-US" w:eastAsia="zh-CN"/>
        </w:rPr>
        <w:t>200.16</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（3）预算支出调整率（2分）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预算支出调整率=（调整预算数-年初预算数）/年初预算数*100%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根据区</w:t>
      </w:r>
      <w:r>
        <w:rPr>
          <w:rFonts w:hint="eastAsia" w:ascii="仿宋_GB2312" w:eastAsia="仿宋_GB2312" w:cs="DengXian-Regular"/>
          <w:sz w:val="32"/>
          <w:szCs w:val="32"/>
          <w:highlight w:val="none"/>
          <w:lang w:val="en-US" w:eastAsia="zh-CN"/>
        </w:rPr>
        <w:t>人社局</w:t>
      </w:r>
      <w:r>
        <w:rPr>
          <w:rFonts w:hint="eastAsia" w:ascii="仿宋_GB2312" w:eastAsia="仿宋_GB2312" w:cs="DengXian-Regular"/>
          <w:sz w:val="32"/>
          <w:szCs w:val="32"/>
          <w:highlight w:val="none"/>
        </w:rPr>
        <w:t>的预算指标文件，其中：徐财预指[202</w:t>
      </w:r>
      <w:r>
        <w:rPr>
          <w:rFonts w:hint="eastAsia" w:ascii="仿宋_GB2312" w:eastAsia="仿宋_GB2312" w:cs="DengXian-Regular"/>
          <w:sz w:val="32"/>
          <w:szCs w:val="32"/>
          <w:highlight w:val="none"/>
          <w:lang w:val="en-US" w:eastAsia="zh-CN"/>
        </w:rPr>
        <w:t>2</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val="en-US" w:eastAsia="zh-CN"/>
        </w:rPr>
        <w:t>3-0014</w:t>
      </w:r>
      <w:r>
        <w:rPr>
          <w:rFonts w:hint="eastAsia" w:ascii="仿宋_GB2312" w:eastAsia="仿宋_GB2312" w:cs="DengXian-Regular"/>
          <w:sz w:val="32"/>
          <w:szCs w:val="32"/>
          <w:highlight w:val="none"/>
        </w:rPr>
        <w:t>号</w:t>
      </w:r>
      <w:r>
        <w:rPr>
          <w:rFonts w:hint="eastAsia" w:ascii="仿宋_GB2312" w:eastAsia="仿宋_GB2312" w:cs="DengXian-Regular"/>
          <w:sz w:val="32"/>
          <w:szCs w:val="32"/>
          <w:highlight w:val="none"/>
          <w:lang w:val="en-US" w:eastAsia="zh-CN"/>
        </w:rPr>
        <w:t>追加人员经费8.47万元；</w:t>
      </w:r>
      <w:r>
        <w:rPr>
          <w:rFonts w:hint="eastAsia" w:ascii="仿宋_GB2312" w:eastAsia="仿宋_GB2312" w:cs="DengXian-Regular"/>
          <w:sz w:val="32"/>
          <w:szCs w:val="32"/>
          <w:highlight w:val="none"/>
        </w:rPr>
        <w:t>徐财预指[202</w:t>
      </w:r>
      <w:r>
        <w:rPr>
          <w:rFonts w:hint="eastAsia" w:ascii="仿宋_GB2312" w:eastAsia="仿宋_GB2312" w:cs="DengXian-Regular"/>
          <w:sz w:val="32"/>
          <w:szCs w:val="32"/>
          <w:highlight w:val="none"/>
          <w:lang w:val="en-US" w:eastAsia="zh-CN"/>
        </w:rPr>
        <w:t>2</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val="en-US" w:eastAsia="zh-CN"/>
        </w:rPr>
        <w:t>3-0004</w:t>
      </w:r>
      <w:r>
        <w:rPr>
          <w:rFonts w:hint="eastAsia" w:ascii="仿宋_GB2312" w:eastAsia="仿宋_GB2312" w:cs="DengXian-Regular"/>
          <w:sz w:val="32"/>
          <w:szCs w:val="32"/>
          <w:highlight w:val="none"/>
        </w:rPr>
        <w:t>号</w:t>
      </w:r>
      <w:r>
        <w:rPr>
          <w:rFonts w:hint="eastAsia" w:ascii="仿宋_GB2312" w:eastAsia="仿宋_GB2312" w:cs="DengXian-Regular"/>
          <w:sz w:val="32"/>
          <w:szCs w:val="32"/>
          <w:highlight w:val="none"/>
          <w:lang w:val="en-US" w:eastAsia="zh-CN"/>
        </w:rPr>
        <w:t>追加人员经费2.58万元；</w:t>
      </w:r>
      <w:r>
        <w:rPr>
          <w:rFonts w:hint="eastAsia" w:ascii="仿宋_GB2312" w:eastAsia="仿宋_GB2312" w:cs="DengXian-Regular"/>
          <w:sz w:val="32"/>
          <w:szCs w:val="32"/>
          <w:highlight w:val="none"/>
        </w:rPr>
        <w:t>徐财预指[</w:t>
      </w:r>
      <w:r>
        <w:rPr>
          <w:rFonts w:ascii="仿宋_GB2312" w:eastAsia="仿宋_GB2312" w:cs="DengXian-Regular"/>
          <w:sz w:val="32"/>
          <w:szCs w:val="32"/>
          <w:highlight w:val="none"/>
        </w:rPr>
        <w:t>202</w:t>
      </w:r>
      <w:r>
        <w:rPr>
          <w:rFonts w:hint="eastAsia" w:ascii="仿宋_GB2312" w:eastAsia="仿宋_GB2312" w:cs="DengXian-Regular"/>
          <w:sz w:val="32"/>
          <w:szCs w:val="32"/>
          <w:highlight w:val="none"/>
          <w:lang w:val="en-US" w:eastAsia="zh-CN"/>
        </w:rPr>
        <w:t>2</w:t>
      </w:r>
      <w:r>
        <w:rPr>
          <w:rFonts w:hint="eastAsia" w:ascii="仿宋_GB2312" w:eastAsia="仿宋_GB2312" w:cs="DengXian-Regular"/>
          <w:sz w:val="32"/>
          <w:szCs w:val="32"/>
          <w:highlight w:val="none"/>
        </w:rPr>
        <w:t>]</w:t>
      </w:r>
      <w:r>
        <w:rPr>
          <w:rFonts w:hint="eastAsia" w:ascii="仿宋_GB2312" w:eastAsia="仿宋_GB2312" w:cs="DengXian-Regular"/>
          <w:sz w:val="32"/>
          <w:szCs w:val="32"/>
          <w:highlight w:val="none"/>
          <w:lang w:val="en-US" w:eastAsia="zh-CN"/>
        </w:rPr>
        <w:t>2-1038</w:t>
      </w:r>
      <w:r>
        <w:rPr>
          <w:rFonts w:hint="eastAsia" w:ascii="仿宋_GB2312" w:eastAsia="仿宋_GB2312" w:cs="DengXian-Regular"/>
          <w:sz w:val="32"/>
          <w:szCs w:val="32"/>
          <w:highlight w:val="none"/>
        </w:rPr>
        <w:t>号</w:t>
      </w:r>
      <w:r>
        <w:rPr>
          <w:rFonts w:hint="eastAsia" w:ascii="仿宋_GB2312" w:eastAsia="仿宋_GB2312" w:cs="DengXian-Regular"/>
          <w:sz w:val="32"/>
          <w:szCs w:val="32"/>
          <w:highlight w:val="none"/>
          <w:lang w:val="en-US" w:eastAsia="zh-CN"/>
        </w:rPr>
        <w:t>追加提前下达2022年省级就业补助资金265万元；徐财预指[2022]1-1116号购置基层公共服务平台自助机所需资金75万元；徐财预指[2022]1-1204号参保单位网报系统第三方数字认证收费资金12万元；徐财预指[2022]1-1217号劳动人事争议仲裁院标准化建设所需资金9.78万元；徐财预指[2022]1-1218号追加人社局建设社会保险综合柜员制服务大厅所需资金11.98万元，</w:t>
      </w:r>
      <w:r>
        <w:rPr>
          <w:rFonts w:hint="eastAsia" w:ascii="仿宋_GB2312" w:eastAsia="仿宋_GB2312" w:cs="DengXian-Regular"/>
          <w:color w:val="000000" w:themeColor="text1"/>
          <w:sz w:val="32"/>
          <w:szCs w:val="32"/>
        </w:rPr>
        <w:t>年初预算数为</w:t>
      </w:r>
      <w:r>
        <w:rPr>
          <w:rFonts w:hint="eastAsia" w:ascii="仿宋_GB2312" w:eastAsia="仿宋_GB2312" w:cs="DengXian-Regular"/>
          <w:color w:val="000000" w:themeColor="text1"/>
          <w:sz w:val="32"/>
          <w:szCs w:val="32"/>
          <w:lang w:val="en-US" w:eastAsia="zh-CN"/>
        </w:rPr>
        <w:t>1723.57</w:t>
      </w:r>
      <w:r>
        <w:rPr>
          <w:rFonts w:hint="eastAsia" w:ascii="仿宋_GB2312" w:eastAsia="仿宋_GB2312" w:cs="DengXian-Regular"/>
          <w:color w:val="000000" w:themeColor="text1"/>
          <w:sz w:val="32"/>
          <w:szCs w:val="32"/>
        </w:rPr>
        <w:t>万元</w:t>
      </w:r>
      <w:r>
        <w:rPr>
          <w:rFonts w:hint="eastAsia" w:ascii="仿宋_GB2312" w:eastAsia="仿宋_GB2312" w:cs="DengXian-Regular"/>
          <w:color w:val="000000" w:themeColor="text1"/>
          <w:sz w:val="32"/>
          <w:szCs w:val="32"/>
          <w:highlight w:val="none"/>
        </w:rPr>
        <w:t>，</w:t>
      </w:r>
      <w:r>
        <w:rPr>
          <w:rFonts w:hint="eastAsia" w:ascii="仿宋_GB2312" w:eastAsia="仿宋_GB2312" w:cs="DengXian-Regular"/>
          <w:sz w:val="32"/>
          <w:szCs w:val="32"/>
          <w:highlight w:val="none"/>
        </w:rPr>
        <w:t>预算支出调整率</w:t>
      </w:r>
      <w:r>
        <w:rPr>
          <w:rFonts w:hint="eastAsia" w:ascii="仿宋_GB2312" w:eastAsia="仿宋_GB2312" w:cs="DengXian-Regular"/>
          <w:sz w:val="32"/>
          <w:szCs w:val="32"/>
          <w:highlight w:val="none"/>
          <w:lang w:val="en-US" w:eastAsia="zh-CN"/>
        </w:rPr>
        <w:t>为100.94%</w:t>
      </w:r>
      <w:r>
        <w:rPr>
          <w:rFonts w:hint="eastAsia" w:ascii="仿宋_GB2312" w:eastAsia="仿宋_GB2312" w:cs="DengXian-Regular"/>
          <w:color w:val="000000" w:themeColor="text1"/>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highlight w:val="none"/>
        </w:rPr>
        <w:t>该指标实际得分</w:t>
      </w:r>
      <w:r>
        <w:rPr>
          <w:rFonts w:hint="eastAsia" w:ascii="仿宋_GB2312" w:eastAsia="仿宋_GB2312" w:cs="DengXian-Regular"/>
          <w:sz w:val="32"/>
          <w:szCs w:val="32"/>
          <w:highlight w:val="none"/>
          <w:lang w:val="en-US" w:eastAsia="zh-CN"/>
        </w:rPr>
        <w:t>1</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提供的202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年决算文本，部门决算财政拨款支出数</w:t>
      </w:r>
      <w:r>
        <w:rPr>
          <w:rFonts w:hint="eastAsia" w:ascii="仿宋_GB2312" w:eastAsia="仿宋_GB2312" w:cs="DengXian-Regular"/>
          <w:sz w:val="32"/>
          <w:szCs w:val="32"/>
          <w:lang w:val="en-US" w:eastAsia="zh-CN"/>
        </w:rPr>
        <w:t>3460.74</w:t>
      </w:r>
      <w:r>
        <w:rPr>
          <w:rFonts w:hint="eastAsia" w:ascii="仿宋_GB2312" w:eastAsia="仿宋_GB2312" w:cs="DengXian-Regular"/>
          <w:sz w:val="32"/>
          <w:szCs w:val="32"/>
        </w:rPr>
        <w:t>万元，财政拨款收入数</w:t>
      </w:r>
      <w:r>
        <w:rPr>
          <w:rFonts w:hint="eastAsia" w:ascii="仿宋_GB2312" w:eastAsia="仿宋_GB2312" w:cs="DengXian-Regular"/>
          <w:sz w:val="32"/>
          <w:szCs w:val="32"/>
          <w:lang w:val="en-US" w:eastAsia="zh-CN"/>
        </w:rPr>
        <w:t>3459.84</w:t>
      </w:r>
      <w:r>
        <w:rPr>
          <w:rFonts w:hint="eastAsia" w:ascii="仿宋_GB2312" w:eastAsia="仿宋_GB2312" w:cs="DengXian-Regular"/>
          <w:sz w:val="32"/>
          <w:szCs w:val="32"/>
        </w:rPr>
        <w:t>万元，财政拨款支出率=（财政拨款支出数/财政拨款收入数）*100%=</w:t>
      </w:r>
      <w:r>
        <w:rPr>
          <w:rFonts w:hint="eastAsia" w:ascii="仿宋_GB2312" w:eastAsia="仿宋_GB2312" w:cs="DengXian-Regular"/>
          <w:sz w:val="32"/>
          <w:szCs w:val="32"/>
          <w:lang w:val="en-US" w:eastAsia="zh-CN"/>
        </w:rPr>
        <w:t>100.03</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年年初结转和结余</w:t>
      </w:r>
      <w:r>
        <w:rPr>
          <w:rFonts w:hint="eastAsia" w:ascii="仿宋_GB2312" w:eastAsia="仿宋_GB2312" w:cs="DengXian-Regular"/>
          <w:sz w:val="32"/>
          <w:szCs w:val="32"/>
          <w:lang w:val="en-US" w:eastAsia="zh-CN"/>
        </w:rPr>
        <w:t>0.9</w:t>
      </w:r>
      <w:r>
        <w:rPr>
          <w:rFonts w:hint="eastAsia" w:ascii="仿宋_GB2312" w:eastAsia="仿宋_GB2312" w:cs="DengXian-Regular"/>
          <w:sz w:val="32"/>
          <w:szCs w:val="32"/>
        </w:rPr>
        <w:t>万元，故支出数大于收入数。</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年预算文本及决算文本，“三公”经费年初预算数</w:t>
      </w:r>
      <w:r>
        <w:rPr>
          <w:rFonts w:hint="eastAsia" w:ascii="仿宋_GB2312" w:eastAsia="仿宋_GB2312" w:cs="DengXian-Regular"/>
          <w:sz w:val="32"/>
          <w:szCs w:val="32"/>
          <w:lang w:val="en-US" w:eastAsia="zh-CN"/>
        </w:rPr>
        <w:t>6.52</w:t>
      </w:r>
      <w:r>
        <w:rPr>
          <w:rFonts w:hint="eastAsia" w:ascii="仿宋_GB2312" w:eastAsia="仿宋_GB2312" w:cs="DengXian-Regular"/>
          <w:sz w:val="32"/>
          <w:szCs w:val="32"/>
        </w:rPr>
        <w:t>万元，年末决算数</w:t>
      </w:r>
      <w:r>
        <w:rPr>
          <w:rFonts w:hint="eastAsia" w:ascii="仿宋_GB2312" w:eastAsia="仿宋_GB2312" w:cs="DengXian-Regular"/>
          <w:sz w:val="32"/>
          <w:szCs w:val="32"/>
          <w:lang w:val="en-US" w:eastAsia="zh-CN"/>
        </w:rPr>
        <w:t>4.30</w:t>
      </w:r>
      <w:r>
        <w:rPr>
          <w:rFonts w:hint="eastAsia" w:ascii="仿宋_GB2312" w:eastAsia="仿宋_GB2312" w:cs="DengXian-Regular"/>
          <w:sz w:val="32"/>
          <w:szCs w:val="32"/>
        </w:rPr>
        <w:t>万元，“三公”经费控制率=（年末决算数/年初预算数）*100%=</w:t>
      </w:r>
      <w:r>
        <w:rPr>
          <w:rFonts w:hint="eastAsia" w:ascii="仿宋_GB2312" w:eastAsia="仿宋_GB2312" w:cs="DengXian-Regular"/>
          <w:sz w:val="32"/>
          <w:szCs w:val="32"/>
          <w:lang w:val="en-US" w:eastAsia="zh-CN"/>
        </w:rPr>
        <w:t>65.95</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（6）政府采购执行率（3分）</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根据区</w:t>
      </w:r>
      <w:r>
        <w:rPr>
          <w:rFonts w:hint="eastAsia" w:ascii="仿宋_GB2312" w:eastAsia="仿宋_GB2312" w:cs="DengXian-Regular"/>
          <w:sz w:val="32"/>
          <w:szCs w:val="32"/>
          <w:highlight w:val="none"/>
          <w:lang w:val="en-US" w:eastAsia="zh-CN"/>
        </w:rPr>
        <w:t>人社局</w:t>
      </w:r>
      <w:r>
        <w:rPr>
          <w:rFonts w:hint="eastAsia" w:ascii="仿宋_GB2312" w:eastAsia="仿宋_GB2312" w:cs="DengXian-Regular"/>
          <w:sz w:val="32"/>
          <w:szCs w:val="32"/>
          <w:highlight w:val="none"/>
        </w:rPr>
        <w:t>202</w:t>
      </w:r>
      <w:r>
        <w:rPr>
          <w:rFonts w:hint="eastAsia" w:ascii="仿宋_GB2312" w:eastAsia="仿宋_GB2312" w:cs="DengXian-Regular"/>
          <w:sz w:val="32"/>
          <w:szCs w:val="32"/>
          <w:highlight w:val="none"/>
          <w:lang w:val="en-US" w:eastAsia="zh-CN"/>
        </w:rPr>
        <w:t>2</w:t>
      </w:r>
      <w:r>
        <w:rPr>
          <w:rFonts w:hint="eastAsia" w:ascii="仿宋_GB2312" w:eastAsia="仿宋_GB2312" w:cs="DengXian-Regular"/>
          <w:sz w:val="32"/>
          <w:szCs w:val="32"/>
          <w:highlight w:val="none"/>
        </w:rPr>
        <w:t>年预算文本及决算文本，政府采购年初预算数</w:t>
      </w:r>
      <w:r>
        <w:rPr>
          <w:rFonts w:hint="eastAsia" w:ascii="仿宋_GB2312" w:eastAsia="仿宋_GB2312" w:cs="DengXian-Regular"/>
          <w:sz w:val="32"/>
          <w:szCs w:val="32"/>
          <w:highlight w:val="none"/>
          <w:lang w:val="en-US" w:eastAsia="zh-CN"/>
        </w:rPr>
        <w:t>122.2</w:t>
      </w:r>
      <w:r>
        <w:rPr>
          <w:rFonts w:hint="eastAsia" w:ascii="仿宋_GB2312" w:eastAsia="仿宋_GB2312" w:cs="DengXian-Regular"/>
          <w:sz w:val="32"/>
          <w:szCs w:val="32"/>
          <w:highlight w:val="none"/>
        </w:rPr>
        <w:t>万元，年末决算数</w:t>
      </w:r>
      <w:r>
        <w:rPr>
          <w:rFonts w:hint="eastAsia" w:ascii="仿宋_GB2312" w:eastAsia="仿宋_GB2312" w:cs="DengXian-Regular"/>
          <w:sz w:val="32"/>
          <w:szCs w:val="32"/>
          <w:highlight w:val="none"/>
          <w:lang w:val="en-US" w:eastAsia="zh-CN"/>
        </w:rPr>
        <w:t>119.91</w:t>
      </w:r>
      <w:r>
        <w:rPr>
          <w:rFonts w:hint="eastAsia" w:ascii="仿宋_GB2312" w:eastAsia="仿宋_GB2312" w:cs="DengXian-Regular"/>
          <w:sz w:val="32"/>
          <w:szCs w:val="32"/>
          <w:highlight w:val="none"/>
        </w:rPr>
        <w:t>万元，政府采购执行率为</w:t>
      </w:r>
      <w:r>
        <w:rPr>
          <w:rFonts w:hint="eastAsia" w:ascii="仿宋_GB2312" w:eastAsia="仿宋_GB2312" w:cs="DengXian-Regular"/>
          <w:sz w:val="32"/>
          <w:szCs w:val="32"/>
          <w:highlight w:val="none"/>
          <w:lang w:val="en-US" w:eastAsia="zh-CN"/>
        </w:rPr>
        <w:t>98.13%</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该指标实际得分为</w:t>
      </w:r>
      <w:r>
        <w:rPr>
          <w:rFonts w:hint="eastAsia" w:ascii="仿宋_GB2312" w:eastAsia="仿宋_GB2312" w:cs="DengXian-Regular"/>
          <w:sz w:val="32"/>
          <w:szCs w:val="32"/>
          <w:highlight w:val="none"/>
          <w:lang w:val="en-US" w:eastAsia="zh-CN"/>
        </w:rPr>
        <w:t>3</w:t>
      </w:r>
      <w:r>
        <w:rPr>
          <w:rFonts w:hint="eastAsia" w:ascii="仿宋_GB2312" w:eastAsia="仿宋_GB2312" w:cs="DengXian-Regular"/>
          <w:sz w:val="32"/>
          <w:szCs w:val="32"/>
          <w:highlight w:val="none"/>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年明细账、会计凭证等相关资料，区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w:t>
      </w:r>
      <w:r>
        <w:rPr>
          <w:rFonts w:hint="eastAsia" w:ascii="仿宋_GB2312" w:eastAsia="仿宋_GB2312" w:cs="DengXian-Regular"/>
          <w:sz w:val="32"/>
          <w:szCs w:val="32"/>
          <w:lang w:val="en-US" w:eastAsia="zh-CN"/>
        </w:rPr>
        <w:t>我单位</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年决算文本、明细账及总账，区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工作制度涵盖了财务制度、网络安全制度、公务用车制度等相关制度，经检查区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付款流程审批单、资产盘点表等资料，区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年按政府信息公开的有关要求在保定市徐水区人民政府网公开了202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年的预决算情况、部门责任清单、行政监督清单等相关信息。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提供的会计账簿、凭证及其他相关资料，区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会计信息资料真实完整，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建立了固定资产台账、无形资产台账，资产保存完整，202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年新增资产</w:t>
      </w:r>
      <w:r>
        <w:rPr>
          <w:rFonts w:hint="eastAsia" w:ascii="仿宋_GB2312" w:eastAsia="仿宋_GB2312" w:cs="DengXian-Regular"/>
          <w:sz w:val="32"/>
          <w:szCs w:val="32"/>
          <w:lang w:val="en-US" w:eastAsia="zh-CN"/>
        </w:rPr>
        <w:t>177.41</w:t>
      </w:r>
      <w:r>
        <w:rPr>
          <w:rFonts w:hint="eastAsia" w:ascii="仿宋_GB2312" w:eastAsia="仿宋_GB2312" w:cs="DengXian-Regular"/>
          <w:sz w:val="32"/>
          <w:szCs w:val="32"/>
        </w:rPr>
        <w:t>万元，包含：</w:t>
      </w:r>
      <w:r>
        <w:rPr>
          <w:rFonts w:hint="eastAsia" w:ascii="仿宋_GB2312" w:eastAsia="仿宋_GB2312" w:cs="DengXian-Regular"/>
          <w:sz w:val="32"/>
          <w:szCs w:val="32"/>
          <w:lang w:val="en-US" w:eastAsia="zh-CN"/>
        </w:rPr>
        <w:t>通用设备</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149.49</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办公家具及用具</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26.68</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图书</w:t>
      </w:r>
      <w:r>
        <w:rPr>
          <w:rFonts w:hint="eastAsia" w:ascii="仿宋_GB2312" w:eastAsia="仿宋_GB2312" w:cs="DengXian-Regular"/>
          <w:sz w:val="32"/>
          <w:szCs w:val="32"/>
        </w:rPr>
        <w:t>（</w:t>
      </w:r>
      <w:r>
        <w:rPr>
          <w:rFonts w:hint="eastAsia" w:ascii="仿宋_GB2312" w:eastAsia="仿宋_GB2312" w:cs="DengXian-Regular"/>
          <w:sz w:val="32"/>
          <w:szCs w:val="32"/>
          <w:lang w:val="en-US" w:eastAsia="zh-CN"/>
        </w:rPr>
        <w:t>1.24</w:t>
      </w:r>
      <w:r>
        <w:rPr>
          <w:rFonts w:hint="eastAsia" w:ascii="仿宋_GB2312" w:eastAsia="仿宋_GB2312" w:cs="DengXian-Regular"/>
          <w:sz w:val="32"/>
          <w:szCs w:val="32"/>
        </w:rPr>
        <w:t>万元），资产购置手续完备，配置符合要求，资产管理整体较规范。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根据徐水区财政局《关于开展202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年度财政专项资金部门绩效自评价工作的通知》及徐水区</w:t>
      </w:r>
      <w:r>
        <w:rPr>
          <w:rFonts w:hint="eastAsia" w:ascii="仿宋_GB2312" w:eastAsia="仿宋_GB2312" w:cs="DengXian-Regular"/>
          <w:sz w:val="32"/>
          <w:szCs w:val="32"/>
          <w:lang w:val="en-US" w:eastAsia="zh-CN"/>
        </w:rPr>
        <w:t>人力资源和社会保障局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年一般项目部门绩效自评表，区</w:t>
      </w:r>
      <w:r>
        <w:rPr>
          <w:rFonts w:hint="eastAsia" w:ascii="仿宋_GB2312" w:eastAsia="仿宋_GB2312" w:cs="DengXian-Regular"/>
          <w:sz w:val="32"/>
          <w:szCs w:val="32"/>
          <w:lang w:val="en-US" w:eastAsia="zh-CN"/>
        </w:rPr>
        <w:t>人力资源和社会保障局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年开展绩效自评的项目数为</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个，年初预算文本项目数</w:t>
      </w:r>
      <w:r>
        <w:rPr>
          <w:rFonts w:hint="eastAsia" w:ascii="仿宋_GB2312" w:eastAsia="仿宋_GB2312" w:cs="DengXian-Regular"/>
          <w:sz w:val="32"/>
          <w:szCs w:val="32"/>
          <w:lang w:val="en-US" w:eastAsia="zh-CN"/>
        </w:rPr>
        <w:t>6</w:t>
      </w:r>
      <w:r>
        <w:rPr>
          <w:rFonts w:hint="eastAsia" w:ascii="仿宋_GB2312" w:eastAsia="仿宋_GB2312" w:cs="DengXian-Regular"/>
          <w:sz w:val="32"/>
          <w:szCs w:val="32"/>
        </w:rPr>
        <w:t>个，要求自评项目个数</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 xml:space="preserve">个，自评覆盖率为 </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年参评数量</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个，绩效评价结果达到优等的数量</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个，绩效评价优等率为</w:t>
      </w:r>
      <w:r>
        <w:rPr>
          <w:rFonts w:hint="eastAsia" w:ascii="仿宋_GB2312" w:eastAsia="仿宋_GB2312" w:cs="DengXian-Regular"/>
          <w:sz w:val="32"/>
          <w:szCs w:val="32"/>
          <w:lang w:val="en-US" w:eastAsia="zh-CN"/>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4</w:t>
      </w:r>
      <w:r>
        <w:rPr>
          <w:rFonts w:hint="eastAsia" w:ascii="仿宋_GB2312" w:eastAsia="仿宋_GB2312" w:cs="DengXian-Regular"/>
          <w:sz w:val="32"/>
          <w:szCs w:val="32"/>
        </w:rPr>
        <w:t>分。</w:t>
      </w:r>
      <w:bookmarkEnd w:id="64"/>
      <w:bookmarkEnd w:id="65"/>
    </w:p>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bookmarkStart w:id="67" w:name="_Toc465149515"/>
      <w:bookmarkStart w:id="68" w:name="_Toc464638518"/>
      <w:r>
        <w:rPr>
          <w:rFonts w:hint="eastAsia" w:ascii="仿宋_GB2312" w:eastAsia="仿宋_GB2312" w:cs="DengXian-Regular"/>
          <w:sz w:val="32"/>
          <w:szCs w:val="32"/>
        </w:rPr>
        <w:t>该一级指标包含责任履行一个二级指标，主要反映结转结余率，项目资金使用率，就业失业发放人数。</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9</w:t>
            </w:r>
          </w:p>
        </w:tc>
      </w:tr>
      <w:tr>
        <w:tblPrEx>
          <w:tblCellMar>
            <w:top w:w="15" w:type="dxa"/>
            <w:left w:w="15" w:type="dxa"/>
            <w:bottom w:w="15" w:type="dxa"/>
            <w:right w:w="15" w:type="dxa"/>
          </w:tblCellMar>
        </w:tblPrEx>
        <w:trPr>
          <w:trHeight w:val="372"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cs="宋体" w:asciiTheme="minorEastAsia" w:hAnsiTheme="minorEastAsia" w:eastAsiaTheme="minorEastAsia"/>
                <w:sz w:val="21"/>
                <w:szCs w:val="21"/>
                <w:lang w:eastAsia="zh-CN"/>
              </w:rPr>
            </w:pPr>
            <w:r>
              <w:rPr>
                <w:rFonts w:hint="eastAsia" w:cs="宋体" w:asciiTheme="minorEastAsia" w:hAnsiTheme="minorEastAsia" w:eastAsiaTheme="minorEastAsia"/>
                <w:sz w:val="21"/>
                <w:szCs w:val="21"/>
                <w:lang w:val="en-US" w:eastAsia="zh-CN"/>
              </w:rPr>
              <w:t>7</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就业、失业工作发放人数</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24</w:t>
            </w:r>
          </w:p>
        </w:tc>
      </w:tr>
    </w:tbl>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1.结转结余率（</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年决算文本及相关资料，区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年结转结余资金</w:t>
      </w:r>
      <w:r>
        <w:rPr>
          <w:rFonts w:hint="eastAsia" w:ascii="仿宋_GB2312" w:eastAsia="仿宋_GB2312" w:cs="DengXian-Regular"/>
          <w:sz w:val="32"/>
          <w:szCs w:val="32"/>
          <w:lang w:val="en-US" w:eastAsia="zh-CN"/>
        </w:rPr>
        <w:t>1.7</w:t>
      </w:r>
      <w:r>
        <w:rPr>
          <w:rFonts w:hint="eastAsia" w:ascii="仿宋_GB2312" w:eastAsia="仿宋_GB2312" w:cs="DengXian-Regular"/>
          <w:sz w:val="32"/>
          <w:szCs w:val="32"/>
        </w:rPr>
        <w:t>万元，决算收入</w:t>
      </w:r>
      <w:r>
        <w:rPr>
          <w:rFonts w:hint="eastAsia" w:ascii="仿宋_GB2312" w:eastAsia="仿宋_GB2312" w:cs="DengXian-Regular"/>
          <w:sz w:val="32"/>
          <w:szCs w:val="32"/>
          <w:lang w:val="en-US" w:eastAsia="zh-CN"/>
        </w:rPr>
        <w:t>3464.19</w:t>
      </w:r>
      <w:r>
        <w:rPr>
          <w:rFonts w:hint="eastAsia" w:ascii="仿宋_GB2312" w:eastAsia="仿宋_GB2312" w:cs="DengXian-Regular"/>
          <w:sz w:val="32"/>
          <w:szCs w:val="32"/>
        </w:rPr>
        <w:t>万元，结转结余率</w:t>
      </w:r>
      <w:r>
        <w:rPr>
          <w:rFonts w:hint="eastAsia" w:ascii="仿宋_GB2312" w:eastAsia="仿宋_GB2312" w:cs="DengXian-Regular"/>
          <w:sz w:val="32"/>
          <w:szCs w:val="32"/>
          <w:lang w:val="en-US" w:eastAsia="zh-CN"/>
        </w:rPr>
        <w:t>0.05</w:t>
      </w:r>
      <w:r>
        <w:rPr>
          <w:rFonts w:hint="eastAsia" w:ascii="仿宋_GB2312" w:eastAsia="仿宋_GB2312" w:cs="DengXian-Regular"/>
          <w:sz w:val="32"/>
          <w:szCs w:val="32"/>
        </w:rPr>
        <w:t>%，小于5%。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人社局</w:t>
      </w:r>
      <w:r>
        <w:rPr>
          <w:rFonts w:hint="eastAsia" w:ascii="仿宋_GB2312" w:eastAsia="仿宋_GB2312" w:cs="DengXian-Regular"/>
          <w:sz w:val="32"/>
          <w:szCs w:val="32"/>
        </w:rPr>
        <w:t>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年实际支出项目资金总额</w:t>
      </w:r>
      <w:r>
        <w:rPr>
          <w:rFonts w:hint="eastAsia" w:ascii="仿宋_GB2312" w:eastAsia="仿宋_GB2312" w:cs="DengXian-Regular"/>
          <w:sz w:val="32"/>
          <w:szCs w:val="32"/>
          <w:lang w:val="en-US" w:eastAsia="zh-CN"/>
        </w:rPr>
        <w:t>1808.87</w:t>
      </w:r>
      <w:r>
        <w:rPr>
          <w:rFonts w:hint="eastAsia" w:ascii="仿宋_GB2312" w:eastAsia="仿宋_GB2312" w:cs="DengXian-Regular"/>
          <w:sz w:val="32"/>
          <w:szCs w:val="32"/>
        </w:rPr>
        <w:t>万元，年初预算共</w:t>
      </w:r>
      <w:r>
        <w:rPr>
          <w:rFonts w:hint="eastAsia" w:ascii="仿宋_GB2312" w:eastAsia="仿宋_GB2312" w:cs="DengXian-Regular"/>
          <w:sz w:val="32"/>
          <w:szCs w:val="32"/>
          <w:lang w:val="en-US" w:eastAsia="zh-CN"/>
        </w:rPr>
        <w:t>6</w:t>
      </w:r>
      <w:r>
        <w:rPr>
          <w:rFonts w:hint="eastAsia" w:ascii="仿宋_GB2312" w:eastAsia="仿宋_GB2312" w:cs="DengXian-Regular"/>
          <w:sz w:val="32"/>
          <w:szCs w:val="32"/>
        </w:rPr>
        <w:t>个项目，预算数</w:t>
      </w:r>
      <w:r>
        <w:rPr>
          <w:rFonts w:hint="eastAsia" w:ascii="仿宋_GB2312" w:eastAsia="仿宋_GB2312" w:cs="DengXian-Regular"/>
          <w:sz w:val="32"/>
          <w:szCs w:val="32"/>
          <w:lang w:val="en-US" w:eastAsia="zh-CN"/>
        </w:rPr>
        <w:t>46.63</w:t>
      </w:r>
      <w:r>
        <w:rPr>
          <w:rFonts w:hint="eastAsia" w:ascii="仿宋_GB2312" w:eastAsia="仿宋_GB2312" w:cs="DengXian-Regular"/>
          <w:sz w:val="32"/>
          <w:szCs w:val="32"/>
        </w:rPr>
        <w:t>万元，年中追加项目资金</w:t>
      </w:r>
      <w:r>
        <w:rPr>
          <w:rFonts w:hint="eastAsia" w:ascii="仿宋_GB2312" w:eastAsia="仿宋_GB2312" w:cs="DengXian-Regular"/>
          <w:sz w:val="32"/>
          <w:szCs w:val="32"/>
          <w:lang w:val="en-US" w:eastAsia="zh-CN"/>
        </w:rPr>
        <w:t>1903.54</w:t>
      </w:r>
      <w:r>
        <w:rPr>
          <w:rFonts w:hint="eastAsia" w:ascii="仿宋_GB2312" w:eastAsia="仿宋_GB2312" w:cs="DengXian-Regular"/>
          <w:sz w:val="32"/>
          <w:szCs w:val="32"/>
        </w:rPr>
        <w:t>万元，项目资金使用率为</w:t>
      </w:r>
      <w:r>
        <w:rPr>
          <w:rFonts w:hint="eastAsia" w:ascii="仿宋_GB2312" w:eastAsia="仿宋_GB2312" w:cs="DengXian-Regular"/>
          <w:sz w:val="32"/>
          <w:szCs w:val="32"/>
          <w:lang w:val="en-US" w:eastAsia="zh-CN"/>
        </w:rPr>
        <w:t>95.03</w:t>
      </w:r>
      <w:r>
        <w:rPr>
          <w:rFonts w:hint="eastAsia" w:ascii="仿宋_GB2312" w:eastAsia="仿宋_GB2312" w:cs="DengXian-Regular"/>
          <w:sz w:val="32"/>
          <w:szCs w:val="32"/>
        </w:rPr>
        <w:t>%。</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7</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3.就业、失业工作发放人数（8分）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区人社局2020年实际发放人数</w:t>
      </w:r>
      <w:r>
        <w:rPr>
          <w:rFonts w:hint="eastAsia" w:ascii="仿宋" w:hAnsi="仿宋" w:eastAsia="仿宋" w:cs="Times New Roman"/>
          <w:color w:val="000000"/>
          <w:sz w:val="32"/>
          <w:szCs w:val="32"/>
          <w:lang w:val="en-US" w:eastAsia="zh-CN"/>
        </w:rPr>
        <w:t>4247</w:t>
      </w:r>
      <w:r>
        <w:rPr>
          <w:rFonts w:hint="eastAsia" w:ascii="仿宋_GB2312" w:eastAsia="仿宋_GB2312" w:cs="DengXian-Regular"/>
          <w:sz w:val="32"/>
          <w:szCs w:val="32"/>
        </w:rPr>
        <w:t>人，应发放</w:t>
      </w:r>
      <w:r>
        <w:rPr>
          <w:rFonts w:hint="eastAsia" w:ascii="仿宋_GB2312" w:eastAsia="仿宋_GB2312" w:cs="DengXian-Regular"/>
          <w:sz w:val="32"/>
          <w:szCs w:val="32"/>
          <w:lang w:val="en-US" w:eastAsia="zh-CN"/>
        </w:rPr>
        <w:t>3900</w:t>
      </w:r>
      <w:r>
        <w:rPr>
          <w:rFonts w:hint="eastAsia" w:ascii="仿宋_GB2312" w:eastAsia="仿宋_GB2312" w:cs="DengXian-Regular"/>
          <w:sz w:val="32"/>
          <w:szCs w:val="32"/>
        </w:rPr>
        <w:t>人，发放率为1</w:t>
      </w:r>
      <w:r>
        <w:rPr>
          <w:rFonts w:hint="eastAsia" w:ascii="仿宋_GB2312" w:eastAsia="仿宋_GB2312" w:cs="DengXian-Regular"/>
          <w:sz w:val="32"/>
          <w:szCs w:val="32"/>
          <w:lang w:val="en-US" w:eastAsia="zh-CN"/>
        </w:rPr>
        <w:t>08.90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eastAsia" w:ascii="仿宋_GB2312" w:eastAsia="仿宋_GB2312" w:cs="DengXian-Regular"/>
          <w:sz w:val="32"/>
          <w:szCs w:val="32"/>
          <w:lang w:val="en-US" w:eastAsia="zh-CN"/>
        </w:rPr>
        <w:t>8</w:t>
      </w:r>
      <w:r>
        <w:rPr>
          <w:rFonts w:hint="eastAsia" w:ascii="仿宋_GB2312" w:eastAsia="仿宋_GB2312" w:cs="DengXian-Regular"/>
          <w:sz w:val="32"/>
          <w:szCs w:val="32"/>
        </w:rPr>
        <w:t>分。</w:t>
      </w: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9</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eastAsia"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4</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eastAsia="zh-CN"/>
              </w:rPr>
            </w:pPr>
            <w:r>
              <w:rPr>
                <w:rFonts w:hint="eastAsia" w:cs="宋体" w:asciiTheme="minorEastAsia" w:hAnsiTheme="minorEastAsia" w:eastAsiaTheme="minorEastAsia"/>
                <w:sz w:val="21"/>
                <w:szCs w:val="21"/>
                <w:lang w:val="en-US" w:eastAsia="zh-CN"/>
              </w:rPr>
              <w:t>13</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64638561"/>
      <w:bookmarkStart w:id="72" w:name="_Toc465149516"/>
      <w:bookmarkStart w:id="73" w:name="_Toc492652784"/>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经查看区人社局提供的相关资料，区人社局履行职责对社会发展所带来的社会效益较显著，有效的提高了社会公众社会保险知识、劳动仲裁等方面的意识，减少了社会不稳定因素。</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eastAsia" w:ascii="仿宋_GB2312" w:eastAsia="仿宋_GB2312" w:cs="DengXian-Regular"/>
          <w:sz w:val="32"/>
          <w:szCs w:val="32"/>
          <w:lang w:val="en-US" w:eastAsia="zh-CN"/>
        </w:rPr>
        <w:t>9</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48</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98</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某项具体工作是否满意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47</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3</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97</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您对某项具体工作了解程度如何</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49</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1</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0</w:t>
            </w: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99</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经计算，总体得分为98分，大于90分，评价等级为“优”。</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该指标实际得分4分。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人社局</w:t>
      </w:r>
      <w:r>
        <w:rPr>
          <w:rFonts w:hint="eastAsia" w:ascii="仿宋_GB2312" w:eastAsia="仿宋_GB2312" w:cs="Times New Roman" w:hAnsiTheme="minorEastAsia"/>
          <w:sz w:val="32"/>
          <w:szCs w:val="32"/>
          <w:u w:color="000000"/>
        </w:rPr>
        <w:t>202</w:t>
      </w:r>
      <w:r>
        <w:rPr>
          <w:rFonts w:hint="eastAsia" w:ascii="仿宋_GB2312" w:eastAsia="仿宋_GB2312" w:cs="DengXian-Regular"/>
          <w:sz w:val="32"/>
          <w:szCs w:val="32"/>
          <w:lang w:val="en-US" w:eastAsia="zh-CN"/>
        </w:rPr>
        <w:t>2</w:t>
      </w:r>
      <w:r>
        <w:rPr>
          <w:rFonts w:hint="eastAsia" w:ascii="仿宋_GB2312" w:eastAsia="仿宋_GB2312" w:cs="Times New Roman" w:hAnsiTheme="minorEastAsia"/>
          <w:sz w:val="32"/>
          <w:szCs w:val="32"/>
          <w:u w:color="000000"/>
        </w:rPr>
        <w:t>年部门整体支出基本按相关要求执行预算、决算，完成了绩效目标，资金使用效益良好。通过评价，也发现一些不足之处，具体情况如下：</w:t>
      </w:r>
      <w:bookmarkStart w:id="76" w:name="_Toc20723"/>
    </w:p>
    <w:p>
      <w:pPr>
        <w:numPr>
          <w:ilvl w:val="0"/>
          <w:numId w:val="1"/>
        </w:numPr>
        <w:spacing w:after="0" w:line="360" w:lineRule="auto"/>
        <w:ind w:left="660" w:leftChars="300"/>
        <w:jc w:val="both"/>
        <w:textAlignment w:val="baseline"/>
        <w:rPr>
          <w:rFonts w:hint="eastAsia" w:ascii="仿宋_GB2312" w:eastAsia="仿宋_GB2312" w:cs="DengXian-Regular"/>
          <w:sz w:val="32"/>
          <w:szCs w:val="32"/>
        </w:rPr>
      </w:pPr>
      <w:r>
        <w:rPr>
          <w:rFonts w:hint="eastAsia" w:ascii="仿宋_GB2312" w:eastAsia="仿宋_GB2312" w:cs="Times New Roman" w:hAnsiTheme="minorEastAsia"/>
          <w:sz w:val="32"/>
          <w:szCs w:val="32"/>
          <w:u w:color="000000"/>
        </w:rPr>
        <w:t>部分绩效指标方面：</w:t>
      </w:r>
      <w:r>
        <w:rPr>
          <w:rFonts w:hint="eastAsia" w:ascii="仿宋_GB2312" w:eastAsia="仿宋_GB2312" w:cs="DengXian-Regular"/>
          <w:sz w:val="32"/>
          <w:szCs w:val="32"/>
        </w:rPr>
        <w:t>细化不够明确，有的没有化</w:t>
      </w:r>
    </w:p>
    <w:p>
      <w:pPr>
        <w:numPr>
          <w:ilvl w:val="0"/>
          <w:numId w:val="0"/>
        </w:numPr>
        <w:spacing w:after="0" w:line="360" w:lineRule="auto"/>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分</w:t>
      </w:r>
      <w:r>
        <w:rPr>
          <w:rFonts w:hint="eastAsia" w:ascii="仿宋_GB2312" w:eastAsia="仿宋_GB2312" w:cs="DengXian-Regular"/>
          <w:sz w:val="32"/>
          <w:szCs w:val="32"/>
        </w:rPr>
        <w:t>进来</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涵盖不全面</w:t>
      </w:r>
      <w:r>
        <w:rPr>
          <w:rFonts w:hint="eastAsia" w:ascii="仿宋_GB2312" w:eastAsia="仿宋_GB2312" w:cs="DengXian-Regular"/>
          <w:sz w:val="32"/>
          <w:szCs w:val="32"/>
        </w:rPr>
        <w:t>。</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Times New Roman" w:hAnsiTheme="minorEastAsia"/>
          <w:sz w:val="32"/>
          <w:szCs w:val="32"/>
          <w:u w:color="000000"/>
        </w:rPr>
        <w:t>2.预算决算比较：</w:t>
      </w:r>
      <w:r>
        <w:rPr>
          <w:rFonts w:hint="eastAsia" w:ascii="仿宋_GB2312" w:eastAsia="仿宋_GB2312" w:cs="DengXian-Regular"/>
          <w:sz w:val="32"/>
          <w:szCs w:val="32"/>
          <w:lang w:val="en-US" w:eastAsia="zh-CN"/>
        </w:rPr>
        <w:t>我</w:t>
      </w:r>
      <w:r>
        <w:rPr>
          <w:rFonts w:hint="eastAsia" w:ascii="仿宋_GB2312" w:eastAsia="仿宋_GB2312" w:cs="DengXian-Regular"/>
          <w:sz w:val="32"/>
          <w:szCs w:val="32"/>
        </w:rPr>
        <w:t>单位一般公共预算财政拨款决算收入比年初预算增加</w:t>
      </w:r>
      <w:r>
        <w:rPr>
          <w:rFonts w:hint="eastAsia" w:ascii="仿宋_GB2312" w:eastAsia="仿宋_GB2312" w:cs="DengXian-Regular"/>
          <w:sz w:val="32"/>
          <w:szCs w:val="32"/>
          <w:lang w:val="en-US" w:eastAsia="zh-CN"/>
        </w:rPr>
        <w:t>1736.27</w:t>
      </w:r>
      <w:r>
        <w:rPr>
          <w:rFonts w:hint="eastAsia" w:ascii="仿宋_GB2312" w:eastAsia="仿宋_GB2312" w:cs="DengXian-Regular"/>
          <w:sz w:val="32"/>
          <w:szCs w:val="32"/>
        </w:rPr>
        <w:t>万元，完成年初预算的</w:t>
      </w:r>
      <w:r>
        <w:rPr>
          <w:rFonts w:hint="eastAsia" w:ascii="仿宋_GB2312" w:eastAsia="仿宋_GB2312" w:cs="DengXian-Regular"/>
          <w:sz w:val="32"/>
          <w:szCs w:val="32"/>
          <w:lang w:val="en-US" w:eastAsia="zh-CN"/>
        </w:rPr>
        <w:t>200.74</w:t>
      </w:r>
      <w:r>
        <w:rPr>
          <w:rFonts w:hint="eastAsia" w:ascii="仿宋_GB2312" w:eastAsia="仿宋_GB2312" w:cs="DengXian-Regular"/>
          <w:sz w:val="32"/>
          <w:szCs w:val="32"/>
        </w:rPr>
        <w:t>%。决算收入大于预算收入的主要原因为202</w:t>
      </w:r>
      <w:r>
        <w:rPr>
          <w:rFonts w:hint="eastAsia" w:ascii="仿宋_GB2312" w:eastAsia="仿宋_GB2312" w:cs="DengXian-Regular"/>
          <w:sz w:val="32"/>
          <w:szCs w:val="32"/>
          <w:lang w:val="en-US" w:eastAsia="zh-CN"/>
        </w:rPr>
        <w:t>2</w:t>
      </w:r>
      <w:r>
        <w:rPr>
          <w:rFonts w:hint="eastAsia" w:ascii="仿宋_GB2312" w:eastAsia="仿宋_GB2312" w:cs="DengXian-Regular"/>
          <w:sz w:val="32"/>
          <w:szCs w:val="32"/>
        </w:rPr>
        <w:t>年度我单位追加了中央就业补助资金</w:t>
      </w:r>
      <w:r>
        <w:rPr>
          <w:rFonts w:hint="eastAsia" w:ascii="仿宋_GB2312" w:eastAsia="仿宋_GB2312" w:cs="DengXian-Regular"/>
          <w:sz w:val="32"/>
          <w:szCs w:val="32"/>
          <w:lang w:val="en-US" w:eastAsia="zh-CN"/>
        </w:rPr>
        <w:t>及购置基层公共服务平台自助机所需资金</w:t>
      </w:r>
      <w:r>
        <w:rPr>
          <w:rFonts w:hint="eastAsia" w:ascii="仿宋_GB2312" w:eastAsia="仿宋_GB2312" w:cs="DengXian-Regular"/>
          <w:sz w:val="32"/>
          <w:szCs w:val="32"/>
        </w:rPr>
        <w:t>。</w:t>
      </w:r>
    </w:p>
    <w:p>
      <w:pPr>
        <w:spacing w:after="0" w:line="360" w:lineRule="auto"/>
        <w:ind w:left="660" w:leftChars="300"/>
        <w:jc w:val="both"/>
        <w:textAlignment w:val="baseline"/>
        <w:rPr>
          <w:rFonts w:ascii="仿宋_GB2312" w:eastAsia="仿宋_GB2312" w:cs="Times New Roman" w:hAnsiTheme="minorEastAsia"/>
          <w:sz w:val="32"/>
          <w:szCs w:val="32"/>
          <w:u w:color="000000"/>
        </w:rPr>
      </w:pPr>
    </w:p>
    <w:p>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lang w:val="en-US" w:eastAsia="zh-CN"/>
        </w:rPr>
        <w:t>3.</w:t>
      </w:r>
      <w:r>
        <w:rPr>
          <w:rFonts w:hint="eastAsia" w:ascii="仿宋_GB2312" w:eastAsia="仿宋_GB2312" w:cs="DengXian-Regular"/>
          <w:sz w:val="32"/>
          <w:szCs w:val="32"/>
        </w:rPr>
        <w:t>预算追加方面：追加项目共</w:t>
      </w:r>
      <w:r>
        <w:rPr>
          <w:rFonts w:hint="eastAsia" w:ascii="仿宋_GB2312" w:eastAsia="仿宋_GB2312" w:cs="DengXian-Regular"/>
          <w:sz w:val="32"/>
          <w:szCs w:val="32"/>
          <w:lang w:val="en-US" w:eastAsia="zh-CN"/>
        </w:rPr>
        <w:t>11</w:t>
      </w:r>
      <w:r>
        <w:rPr>
          <w:rFonts w:hint="eastAsia" w:ascii="仿宋_GB2312" w:eastAsia="仿宋_GB2312" w:cs="DengXian-Regular"/>
          <w:sz w:val="32"/>
          <w:szCs w:val="32"/>
        </w:rPr>
        <w:t>项，</w:t>
      </w:r>
      <w:r>
        <w:rPr>
          <w:rFonts w:hint="eastAsia" w:ascii="仿宋_GB2312" w:eastAsia="仿宋_GB2312" w:cs="DengXian-Regular"/>
          <w:sz w:val="32"/>
          <w:szCs w:val="32"/>
          <w:lang w:val="en-US" w:eastAsia="zh-CN"/>
        </w:rPr>
        <w:t>下达 2022年中央就业补助资金215万元；提前下达2022年中央就业补助资金1220万元；提前下达2022年度省级城乡居民基本养老保险就业公共服务村级代办员补助资金14万元；城乡居民基本养老保险村（居）代办员补助0.67万元；追加人社局建设社会保险综合柜员制服务大厅所需资金11.98万元；下达2020-2021年国有企业退休人员社会化管理中央和省级财政补助资金【清算】预算11.49万元；提前下达2022年省级就业补助资金265万元；劳动人事争议仲裁院标准化建设所需资金9.77万元；购置基层公共服务平台自助机所需资金75万元；服务大厅实行综合柜员制购置专用设备经费22万元；参保单位网报系统第三方数字认证收费资金12万元。</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Times New Roman" w:hAnsiTheme="minorEastAsia"/>
          <w:sz w:val="32"/>
          <w:szCs w:val="32"/>
          <w:u w:color="000000"/>
        </w:rPr>
        <w:t>4.政府采购方面：</w:t>
      </w:r>
      <w:r>
        <w:rPr>
          <w:rFonts w:hint="eastAsia" w:ascii="仿宋_GB2312" w:eastAsia="仿宋_GB2312" w:cs="DengXian-Regular"/>
          <w:sz w:val="32"/>
          <w:szCs w:val="32"/>
          <w:highlight w:val="none"/>
        </w:rPr>
        <w:t>根据区</w:t>
      </w:r>
      <w:r>
        <w:rPr>
          <w:rFonts w:hint="eastAsia" w:ascii="仿宋_GB2312" w:eastAsia="仿宋_GB2312" w:cs="DengXian-Regular"/>
          <w:sz w:val="32"/>
          <w:szCs w:val="32"/>
          <w:highlight w:val="none"/>
          <w:lang w:val="en-US" w:eastAsia="zh-CN"/>
        </w:rPr>
        <w:t>人社局</w:t>
      </w:r>
      <w:r>
        <w:rPr>
          <w:rFonts w:hint="eastAsia" w:ascii="仿宋_GB2312" w:eastAsia="仿宋_GB2312" w:cs="DengXian-Regular"/>
          <w:sz w:val="32"/>
          <w:szCs w:val="32"/>
          <w:highlight w:val="none"/>
        </w:rPr>
        <w:t>202</w:t>
      </w:r>
      <w:r>
        <w:rPr>
          <w:rFonts w:hint="eastAsia" w:ascii="仿宋_GB2312" w:eastAsia="仿宋_GB2312" w:cs="DengXian-Regular"/>
          <w:sz w:val="32"/>
          <w:szCs w:val="32"/>
          <w:highlight w:val="none"/>
          <w:lang w:val="en-US" w:eastAsia="zh-CN"/>
        </w:rPr>
        <w:t>2</w:t>
      </w:r>
      <w:r>
        <w:rPr>
          <w:rFonts w:hint="eastAsia" w:ascii="仿宋_GB2312" w:eastAsia="仿宋_GB2312" w:cs="DengXian-Regular"/>
          <w:sz w:val="32"/>
          <w:szCs w:val="32"/>
          <w:highlight w:val="none"/>
        </w:rPr>
        <w:t>年预算文本及决算文本，政府采购年初预算数</w:t>
      </w:r>
      <w:r>
        <w:rPr>
          <w:rFonts w:hint="eastAsia" w:ascii="仿宋_GB2312" w:eastAsia="仿宋_GB2312" w:cs="DengXian-Regular"/>
          <w:sz w:val="32"/>
          <w:szCs w:val="32"/>
          <w:highlight w:val="none"/>
          <w:lang w:val="en-US" w:eastAsia="zh-CN"/>
        </w:rPr>
        <w:t>122.2</w:t>
      </w:r>
      <w:r>
        <w:rPr>
          <w:rFonts w:hint="eastAsia" w:ascii="仿宋_GB2312" w:eastAsia="仿宋_GB2312" w:cs="DengXian-Regular"/>
          <w:sz w:val="32"/>
          <w:szCs w:val="32"/>
          <w:highlight w:val="none"/>
        </w:rPr>
        <w:t>万元，年末决算数</w:t>
      </w:r>
      <w:r>
        <w:rPr>
          <w:rFonts w:hint="eastAsia" w:ascii="仿宋_GB2312" w:eastAsia="仿宋_GB2312" w:cs="DengXian-Regular"/>
          <w:sz w:val="32"/>
          <w:szCs w:val="32"/>
          <w:highlight w:val="none"/>
          <w:lang w:val="en-US" w:eastAsia="zh-CN"/>
        </w:rPr>
        <w:t>119.91</w:t>
      </w:r>
      <w:r>
        <w:rPr>
          <w:rFonts w:hint="eastAsia" w:ascii="仿宋_GB2312" w:eastAsia="仿宋_GB2312" w:cs="DengXian-Regular"/>
          <w:sz w:val="32"/>
          <w:szCs w:val="32"/>
          <w:highlight w:val="none"/>
        </w:rPr>
        <w:t>万元，政府采购执行率为</w:t>
      </w:r>
      <w:r>
        <w:rPr>
          <w:rFonts w:hint="eastAsia" w:ascii="仿宋_GB2312" w:eastAsia="仿宋_GB2312" w:cs="DengXian-Regular"/>
          <w:sz w:val="32"/>
          <w:szCs w:val="32"/>
          <w:highlight w:val="none"/>
          <w:lang w:val="en-US" w:eastAsia="zh-CN"/>
        </w:rPr>
        <w:t>98.13%</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rPr>
      </w:pPr>
    </w:p>
    <w:p>
      <w:pPr>
        <w:numPr>
          <w:ilvl w:val="0"/>
          <w:numId w:val="0"/>
        </w:numPr>
        <w:spacing w:after="0" w:line="360" w:lineRule="auto"/>
        <w:ind w:right="396" w:rightChars="180" w:firstLine="640" w:firstLineChars="200"/>
        <w:jc w:val="both"/>
        <w:textAlignment w:val="baseline"/>
        <w:rPr>
          <w:rFonts w:ascii="仿宋_GB2312" w:eastAsia="仿宋_GB2312" w:cs="DengXian-Regular"/>
          <w:sz w:val="32"/>
          <w:szCs w:val="32"/>
        </w:rPr>
      </w:pPr>
      <w:r>
        <w:rPr>
          <w:rFonts w:hint="eastAsia" w:ascii="仿宋_GB2312" w:eastAsia="仿宋_GB2312" w:cs="Times New Roman" w:hAnsiTheme="minorEastAsia"/>
          <w:sz w:val="32"/>
          <w:szCs w:val="32"/>
          <w:u w:color="000000"/>
          <w:lang w:val="en-US" w:eastAsia="zh-CN"/>
        </w:rPr>
        <w:t>5.</w:t>
      </w:r>
      <w:r>
        <w:rPr>
          <w:rFonts w:hint="eastAsia" w:ascii="仿宋_GB2312" w:eastAsia="仿宋_GB2312" w:cs="Times New Roman" w:hAnsiTheme="minorEastAsia"/>
          <w:sz w:val="32"/>
          <w:szCs w:val="32"/>
          <w:u w:color="000000"/>
        </w:rPr>
        <w:t>项目资金使用率方面：</w:t>
      </w:r>
      <w:r>
        <w:rPr>
          <w:rFonts w:hint="eastAsia" w:ascii="仿宋_GB2312" w:eastAsia="仿宋_GB2312" w:cs="DengXian-Regular"/>
          <w:sz w:val="32"/>
          <w:szCs w:val="32"/>
        </w:rPr>
        <w:t>养老保险、城居保、仲</w:t>
      </w:r>
    </w:p>
    <w:p>
      <w:pPr>
        <w:numPr>
          <w:ilvl w:val="0"/>
          <w:numId w:val="0"/>
        </w:numPr>
        <w:spacing w:after="0" w:line="360" w:lineRule="auto"/>
        <w:ind w:right="396" w:rightChars="180"/>
        <w:jc w:val="both"/>
        <w:textAlignment w:val="baseline"/>
        <w:rPr>
          <w:rFonts w:ascii="仿宋_GB2312" w:eastAsia="仿宋_GB2312" w:cs="DengXian-Regular"/>
          <w:sz w:val="32"/>
          <w:szCs w:val="32"/>
        </w:rPr>
      </w:pPr>
      <w:r>
        <w:rPr>
          <w:rFonts w:hint="eastAsia" w:ascii="仿宋_GB2312" w:eastAsia="仿宋_GB2312" w:cs="DengXian-Regular"/>
          <w:sz w:val="32"/>
          <w:szCs w:val="32"/>
        </w:rPr>
        <w:t>裁工作经费支付率略低一些，做下一年度预算时，争取更精准些。</w:t>
      </w:r>
    </w:p>
    <w:p>
      <w:pPr>
        <w:spacing w:after="0" w:line="360" w:lineRule="auto"/>
        <w:ind w:firstLine="640" w:firstLineChars="200"/>
        <w:jc w:val="both"/>
        <w:textAlignment w:val="baseline"/>
        <w:rPr>
          <w:rFonts w:hint="eastAsia" w:ascii="仿宋_GB2312" w:eastAsia="仿宋_GB2312" w:cs="Times New Roman" w:hAnsiTheme="minorEastAsia"/>
          <w:sz w:val="32"/>
          <w:szCs w:val="32"/>
          <w:u w:color="000000"/>
        </w:rPr>
      </w:pPr>
    </w:p>
    <w:bookmarkEnd w:id="75"/>
    <w:bookmarkEnd w:id="76"/>
    <w:p>
      <w:pPr>
        <w:spacing w:after="0" w:line="360" w:lineRule="auto"/>
        <w:jc w:val="both"/>
        <w:textAlignment w:val="baseline"/>
        <w:rPr>
          <w:rFonts w:hint="eastAsia"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人力资源和社会保障局</w:t>
      </w:r>
      <w:r>
        <w:rPr>
          <w:rFonts w:hint="eastAsia" w:ascii="仿宋_GB2312" w:eastAsia="仿宋_GB2312" w:cs="Times New Roman" w:hAnsiTheme="minorEastAsia"/>
          <w:sz w:val="32"/>
          <w:szCs w:val="32"/>
          <w:u w:color="000000"/>
        </w:rPr>
        <w:t>部门基本情况及主要职责</w:t>
      </w:r>
    </w:p>
    <w:p>
      <w:pPr>
        <w:spacing w:after="0" w:line="360" w:lineRule="auto"/>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w:t>
      </w:r>
      <w:r>
        <w:rPr>
          <w:rFonts w:hint="eastAsia" w:ascii="仿宋_GB2312" w:eastAsia="仿宋_GB2312" w:cs="Times New Roman" w:hAnsiTheme="minorEastAsia"/>
          <w:sz w:val="32"/>
          <w:szCs w:val="32"/>
          <w:u w:color="000000"/>
          <w:lang w:val="en-US" w:eastAsia="zh-CN"/>
        </w:rPr>
        <w:t>2</w:t>
      </w:r>
      <w:r>
        <w:rPr>
          <w:rFonts w:hint="eastAsia" w:ascii="仿宋_GB2312" w:eastAsia="仿宋_GB2312" w:cs="Times New Roman" w:hAnsiTheme="minorEastAsia"/>
          <w:sz w:val="32"/>
          <w:szCs w:val="32"/>
          <w:u w:color="000000"/>
        </w:rPr>
        <w:t>年度保定市徐水人力资源和社会保障局收支预算及决算明细表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7" w:name="_Toc465149534"/>
      <w:r>
        <w:rPr>
          <w:rFonts w:hint="eastAsia" w:ascii="仿宋_GB2312" w:eastAsia="仿宋_GB2312" w:cs="Times New Roman" w:hAnsiTheme="minorEastAsia"/>
          <w:sz w:val="32"/>
          <w:szCs w:val="32"/>
          <w:u w:color="000000"/>
        </w:rPr>
        <w:t>3.</w:t>
      </w:r>
      <w:bookmarkEnd w:id="77"/>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44"/>
      <w:r>
        <w:rPr>
          <w:rFonts w:hint="eastAsia" w:ascii="仿宋_GB2312" w:eastAsia="仿宋_GB2312" w:cs="Times New Roman" w:hAnsiTheme="minorEastAsia"/>
          <w:sz w:val="32"/>
          <w:szCs w:val="32"/>
          <w:u w:color="000000"/>
        </w:rPr>
        <w:t>4.</w:t>
      </w:r>
      <w:bookmarkEnd w:id="78"/>
      <w:r>
        <w:rPr>
          <w:rFonts w:ascii="仿宋_GB2312" w:eastAsia="仿宋_GB2312" w:cs="Times New Roman" w:hAnsiTheme="minorEastAsia"/>
          <w:sz w:val="32"/>
          <w:szCs w:val="32"/>
          <w:u w:color="000000"/>
        </w:rPr>
        <w:t>202</w:t>
      </w:r>
      <w:r>
        <w:rPr>
          <w:rFonts w:hint="eastAsia" w:ascii="仿宋_GB2312" w:eastAsia="仿宋_GB2312" w:cs="Times New Roman" w:hAnsiTheme="minorEastAsia"/>
          <w:sz w:val="32"/>
          <w:szCs w:val="32"/>
          <w:u w:color="000000"/>
          <w:lang w:val="en-US" w:eastAsia="zh-CN"/>
        </w:rPr>
        <w:t>2</w:t>
      </w:r>
      <w:r>
        <w:rPr>
          <w:rFonts w:hint="eastAsia" w:ascii="仿宋_GB2312" w:eastAsia="仿宋_GB2312" w:cs="Times New Roman" w:hAnsiTheme="minorEastAsia"/>
          <w:sz w:val="32"/>
          <w:szCs w:val="32"/>
          <w:u w:color="000000"/>
        </w:rPr>
        <w:t>年徐水区</w:t>
      </w:r>
      <w:r>
        <w:rPr>
          <w:rFonts w:hint="eastAsia" w:ascii="仿宋_GB2312" w:eastAsia="仿宋_GB2312" w:cs="DengXian-Regular"/>
          <w:sz w:val="32"/>
          <w:szCs w:val="32"/>
        </w:rPr>
        <w:t>人力资源和社会保障局</w:t>
      </w:r>
      <w:r>
        <w:rPr>
          <w:rFonts w:hint="eastAsia" w:ascii="仿宋_GB2312" w:eastAsia="仿宋_GB2312" w:cs="Times New Roman" w:hAnsiTheme="minorEastAsia"/>
          <w:sz w:val="32"/>
          <w:szCs w:val="32"/>
          <w:u w:color="000000"/>
        </w:rPr>
        <w:t>工作活动绩效目标、绩效指标一览表</w:t>
      </w: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4"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4</w:t>
    </w:r>
    <w:r>
      <w:rPr>
        <w:lang w:val="zh-CN"/>
      </w:rPr>
      <w:fldChar w:fldCharType="end"/>
    </w:r>
  </w:p>
  <w:p>
    <w:pPr>
      <w:pStyle w:val="1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E540B"/>
    <w:multiLevelType w:val="singleLevel"/>
    <w:tmpl w:val="656E540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D5C03"/>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27C3D8D"/>
    <w:rsid w:val="03226A0E"/>
    <w:rsid w:val="03806508"/>
    <w:rsid w:val="04260169"/>
    <w:rsid w:val="04CC4830"/>
    <w:rsid w:val="050945F2"/>
    <w:rsid w:val="050E4034"/>
    <w:rsid w:val="05215F58"/>
    <w:rsid w:val="056F4DC0"/>
    <w:rsid w:val="05B8752C"/>
    <w:rsid w:val="05E768CC"/>
    <w:rsid w:val="05F86FA8"/>
    <w:rsid w:val="06174B4A"/>
    <w:rsid w:val="0632649F"/>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A2559"/>
    <w:rsid w:val="0A805158"/>
    <w:rsid w:val="0AF87126"/>
    <w:rsid w:val="0B4B1CD9"/>
    <w:rsid w:val="0B965233"/>
    <w:rsid w:val="0B9B2EBC"/>
    <w:rsid w:val="0BA309DB"/>
    <w:rsid w:val="0BC90D6D"/>
    <w:rsid w:val="0BCB508B"/>
    <w:rsid w:val="0C070B14"/>
    <w:rsid w:val="0C1A22A8"/>
    <w:rsid w:val="0C26236E"/>
    <w:rsid w:val="0C9306BE"/>
    <w:rsid w:val="0CB05CD1"/>
    <w:rsid w:val="0D1B39E9"/>
    <w:rsid w:val="0D4B1634"/>
    <w:rsid w:val="0DCB2021"/>
    <w:rsid w:val="0E3A01CC"/>
    <w:rsid w:val="0E9172D3"/>
    <w:rsid w:val="0EF1422C"/>
    <w:rsid w:val="0F3B23D4"/>
    <w:rsid w:val="0F3B3DD7"/>
    <w:rsid w:val="107B6AE8"/>
    <w:rsid w:val="11195DC6"/>
    <w:rsid w:val="112422BA"/>
    <w:rsid w:val="115A70AD"/>
    <w:rsid w:val="116421D6"/>
    <w:rsid w:val="11EA1B00"/>
    <w:rsid w:val="121F5AC5"/>
    <w:rsid w:val="125037BB"/>
    <w:rsid w:val="12521250"/>
    <w:rsid w:val="12524B60"/>
    <w:rsid w:val="125B2E30"/>
    <w:rsid w:val="12C05620"/>
    <w:rsid w:val="12E866AF"/>
    <w:rsid w:val="12EE4DAE"/>
    <w:rsid w:val="130C55D8"/>
    <w:rsid w:val="13244A23"/>
    <w:rsid w:val="13EE6B6B"/>
    <w:rsid w:val="1472386E"/>
    <w:rsid w:val="148F0FC6"/>
    <w:rsid w:val="151600A7"/>
    <w:rsid w:val="159F345A"/>
    <w:rsid w:val="15E43EF8"/>
    <w:rsid w:val="164438DC"/>
    <w:rsid w:val="16A81136"/>
    <w:rsid w:val="16AC4207"/>
    <w:rsid w:val="1732766A"/>
    <w:rsid w:val="178A56FB"/>
    <w:rsid w:val="17A8647B"/>
    <w:rsid w:val="17A975C2"/>
    <w:rsid w:val="18253B4C"/>
    <w:rsid w:val="190F1674"/>
    <w:rsid w:val="19132D2F"/>
    <w:rsid w:val="19210747"/>
    <w:rsid w:val="196135CB"/>
    <w:rsid w:val="196E7CB2"/>
    <w:rsid w:val="198759D2"/>
    <w:rsid w:val="19D72BB5"/>
    <w:rsid w:val="1AD212BF"/>
    <w:rsid w:val="1AF900F3"/>
    <w:rsid w:val="1AFC6A2C"/>
    <w:rsid w:val="1B5F1F09"/>
    <w:rsid w:val="1BDB3CFF"/>
    <w:rsid w:val="1BE0351A"/>
    <w:rsid w:val="1C0F616E"/>
    <w:rsid w:val="1C120302"/>
    <w:rsid w:val="1C442FCB"/>
    <w:rsid w:val="1C532B00"/>
    <w:rsid w:val="1CCC12C5"/>
    <w:rsid w:val="1D1B1BAD"/>
    <w:rsid w:val="1D401A6B"/>
    <w:rsid w:val="1DCC5DA5"/>
    <w:rsid w:val="1E8A015B"/>
    <w:rsid w:val="1EA00E4A"/>
    <w:rsid w:val="1F4F1109"/>
    <w:rsid w:val="1F6A0646"/>
    <w:rsid w:val="200716EC"/>
    <w:rsid w:val="206A0332"/>
    <w:rsid w:val="2091595B"/>
    <w:rsid w:val="20F51AC3"/>
    <w:rsid w:val="212A37E9"/>
    <w:rsid w:val="21586C51"/>
    <w:rsid w:val="215E2A93"/>
    <w:rsid w:val="21AE6D2F"/>
    <w:rsid w:val="21C21552"/>
    <w:rsid w:val="21C3713A"/>
    <w:rsid w:val="24DA6297"/>
    <w:rsid w:val="252F3CBE"/>
    <w:rsid w:val="26694CDB"/>
    <w:rsid w:val="282C171E"/>
    <w:rsid w:val="2849297F"/>
    <w:rsid w:val="28864D74"/>
    <w:rsid w:val="2936596A"/>
    <w:rsid w:val="29886139"/>
    <w:rsid w:val="2997006D"/>
    <w:rsid w:val="29AC5EF0"/>
    <w:rsid w:val="2A150C29"/>
    <w:rsid w:val="2B040631"/>
    <w:rsid w:val="2B0B5AF1"/>
    <w:rsid w:val="2B793244"/>
    <w:rsid w:val="2BCD6C62"/>
    <w:rsid w:val="2C094BA0"/>
    <w:rsid w:val="2C60205D"/>
    <w:rsid w:val="2C8F5C68"/>
    <w:rsid w:val="2CAD317E"/>
    <w:rsid w:val="2CC97424"/>
    <w:rsid w:val="2D2725F0"/>
    <w:rsid w:val="2D345768"/>
    <w:rsid w:val="2D73679B"/>
    <w:rsid w:val="2DD16CD9"/>
    <w:rsid w:val="2E994608"/>
    <w:rsid w:val="2E9C375A"/>
    <w:rsid w:val="2EA60EE0"/>
    <w:rsid w:val="2ED8262F"/>
    <w:rsid w:val="2F242CBD"/>
    <w:rsid w:val="2FB34058"/>
    <w:rsid w:val="2FE50349"/>
    <w:rsid w:val="300C74C4"/>
    <w:rsid w:val="304B3830"/>
    <w:rsid w:val="307D5A91"/>
    <w:rsid w:val="317B20C5"/>
    <w:rsid w:val="32A33E31"/>
    <w:rsid w:val="32D048D8"/>
    <w:rsid w:val="32D3622F"/>
    <w:rsid w:val="32D63CF2"/>
    <w:rsid w:val="32F26097"/>
    <w:rsid w:val="332E4B41"/>
    <w:rsid w:val="3341799D"/>
    <w:rsid w:val="337A399F"/>
    <w:rsid w:val="337F2EFA"/>
    <w:rsid w:val="339029A7"/>
    <w:rsid w:val="33CC5FD9"/>
    <w:rsid w:val="3432392D"/>
    <w:rsid w:val="34697607"/>
    <w:rsid w:val="34DC6FBF"/>
    <w:rsid w:val="352019FA"/>
    <w:rsid w:val="35731520"/>
    <w:rsid w:val="35F436C6"/>
    <w:rsid w:val="36037C49"/>
    <w:rsid w:val="367D28EF"/>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A3470FC"/>
    <w:rsid w:val="3B1B28D2"/>
    <w:rsid w:val="3B3315C9"/>
    <w:rsid w:val="3B3666AA"/>
    <w:rsid w:val="3B5D03F9"/>
    <w:rsid w:val="3B9C69ED"/>
    <w:rsid w:val="3C075E40"/>
    <w:rsid w:val="3C0F314C"/>
    <w:rsid w:val="3C49646E"/>
    <w:rsid w:val="3C8400FD"/>
    <w:rsid w:val="3C8D5215"/>
    <w:rsid w:val="3CB96E1E"/>
    <w:rsid w:val="3D8F4801"/>
    <w:rsid w:val="3DF033C7"/>
    <w:rsid w:val="3E2A5A13"/>
    <w:rsid w:val="3E6A5C1B"/>
    <w:rsid w:val="3E951BD3"/>
    <w:rsid w:val="3EB91E59"/>
    <w:rsid w:val="3EF569FA"/>
    <w:rsid w:val="3F030D7D"/>
    <w:rsid w:val="3F884FB1"/>
    <w:rsid w:val="3FA23A80"/>
    <w:rsid w:val="3FB75DF9"/>
    <w:rsid w:val="3FFB5643"/>
    <w:rsid w:val="41202715"/>
    <w:rsid w:val="418368ED"/>
    <w:rsid w:val="41844556"/>
    <w:rsid w:val="425C64FC"/>
    <w:rsid w:val="4278675D"/>
    <w:rsid w:val="431F105C"/>
    <w:rsid w:val="43F003B4"/>
    <w:rsid w:val="446458DA"/>
    <w:rsid w:val="446645C4"/>
    <w:rsid w:val="44E00C2F"/>
    <w:rsid w:val="44F12828"/>
    <w:rsid w:val="453F4EE8"/>
    <w:rsid w:val="457E0C0E"/>
    <w:rsid w:val="45A27895"/>
    <w:rsid w:val="4613562D"/>
    <w:rsid w:val="4654463C"/>
    <w:rsid w:val="469D1E1F"/>
    <w:rsid w:val="4703453A"/>
    <w:rsid w:val="47401AE3"/>
    <w:rsid w:val="47847F9B"/>
    <w:rsid w:val="47A7067B"/>
    <w:rsid w:val="47B6276E"/>
    <w:rsid w:val="47D7714D"/>
    <w:rsid w:val="48CA305E"/>
    <w:rsid w:val="491D1161"/>
    <w:rsid w:val="4945471C"/>
    <w:rsid w:val="4985204A"/>
    <w:rsid w:val="49C23604"/>
    <w:rsid w:val="4A6500D9"/>
    <w:rsid w:val="4A836B65"/>
    <w:rsid w:val="4B4D56DB"/>
    <w:rsid w:val="4BCB58DC"/>
    <w:rsid w:val="4BE87F26"/>
    <w:rsid w:val="4C081E20"/>
    <w:rsid w:val="4C3974A1"/>
    <w:rsid w:val="4C4D743A"/>
    <w:rsid w:val="4C561056"/>
    <w:rsid w:val="4CB3072C"/>
    <w:rsid w:val="4CDC25C4"/>
    <w:rsid w:val="4D2A1AAB"/>
    <w:rsid w:val="4D413714"/>
    <w:rsid w:val="4DBE15DE"/>
    <w:rsid w:val="4DFF45BC"/>
    <w:rsid w:val="4E61428A"/>
    <w:rsid w:val="4E7B705D"/>
    <w:rsid w:val="4EBF2070"/>
    <w:rsid w:val="4ECB455C"/>
    <w:rsid w:val="4EF16D21"/>
    <w:rsid w:val="4F4E6BEF"/>
    <w:rsid w:val="4F6745C5"/>
    <w:rsid w:val="4F751E54"/>
    <w:rsid w:val="4F8C0B36"/>
    <w:rsid w:val="4FA9510C"/>
    <w:rsid w:val="50891C17"/>
    <w:rsid w:val="51A30237"/>
    <w:rsid w:val="520E7D39"/>
    <w:rsid w:val="527310FD"/>
    <w:rsid w:val="52C145B3"/>
    <w:rsid w:val="532C19FA"/>
    <w:rsid w:val="536C046F"/>
    <w:rsid w:val="53777260"/>
    <w:rsid w:val="539707AA"/>
    <w:rsid w:val="53BD324D"/>
    <w:rsid w:val="53DA3FDB"/>
    <w:rsid w:val="54B52F23"/>
    <w:rsid w:val="54D66BF1"/>
    <w:rsid w:val="559025B5"/>
    <w:rsid w:val="55BE6F35"/>
    <w:rsid w:val="55FF2D28"/>
    <w:rsid w:val="562F4A45"/>
    <w:rsid w:val="56AB5747"/>
    <w:rsid w:val="57466A30"/>
    <w:rsid w:val="577D44F4"/>
    <w:rsid w:val="57AE38C2"/>
    <w:rsid w:val="57E7750E"/>
    <w:rsid w:val="58294368"/>
    <w:rsid w:val="582C3304"/>
    <w:rsid w:val="583E683E"/>
    <w:rsid w:val="584263FC"/>
    <w:rsid w:val="5896403B"/>
    <w:rsid w:val="58AA248A"/>
    <w:rsid w:val="592757C1"/>
    <w:rsid w:val="59AF50E3"/>
    <w:rsid w:val="59EF378A"/>
    <w:rsid w:val="5A097D45"/>
    <w:rsid w:val="5A232744"/>
    <w:rsid w:val="5A8E433F"/>
    <w:rsid w:val="5ACC5639"/>
    <w:rsid w:val="5AFE0937"/>
    <w:rsid w:val="5B022AFF"/>
    <w:rsid w:val="5B1C238B"/>
    <w:rsid w:val="5BB72396"/>
    <w:rsid w:val="5BDA2541"/>
    <w:rsid w:val="5C8E70AE"/>
    <w:rsid w:val="5C9700DF"/>
    <w:rsid w:val="5CFF5AEE"/>
    <w:rsid w:val="5D5260D6"/>
    <w:rsid w:val="5E4106DA"/>
    <w:rsid w:val="5E4B362D"/>
    <w:rsid w:val="5E4B3828"/>
    <w:rsid w:val="5E835E0B"/>
    <w:rsid w:val="5EC32979"/>
    <w:rsid w:val="5EEB776C"/>
    <w:rsid w:val="5EF045CC"/>
    <w:rsid w:val="5EFC5263"/>
    <w:rsid w:val="5F2B51D9"/>
    <w:rsid w:val="5F337F9A"/>
    <w:rsid w:val="5F37440C"/>
    <w:rsid w:val="609E7926"/>
    <w:rsid w:val="60CC769A"/>
    <w:rsid w:val="60F3280A"/>
    <w:rsid w:val="61491095"/>
    <w:rsid w:val="615A0826"/>
    <w:rsid w:val="616E5025"/>
    <w:rsid w:val="62117B48"/>
    <w:rsid w:val="6233066F"/>
    <w:rsid w:val="625714F8"/>
    <w:rsid w:val="62AF2B34"/>
    <w:rsid w:val="62D7081D"/>
    <w:rsid w:val="63687194"/>
    <w:rsid w:val="638E50BC"/>
    <w:rsid w:val="64D27A6F"/>
    <w:rsid w:val="65765688"/>
    <w:rsid w:val="65A40D91"/>
    <w:rsid w:val="66C03C69"/>
    <w:rsid w:val="66F55A6B"/>
    <w:rsid w:val="67327F2E"/>
    <w:rsid w:val="674609A7"/>
    <w:rsid w:val="67465B30"/>
    <w:rsid w:val="67710321"/>
    <w:rsid w:val="68082611"/>
    <w:rsid w:val="688C533B"/>
    <w:rsid w:val="692F0DD2"/>
    <w:rsid w:val="692F6DB1"/>
    <w:rsid w:val="696B16A5"/>
    <w:rsid w:val="69772905"/>
    <w:rsid w:val="698A1BC5"/>
    <w:rsid w:val="6A360EF4"/>
    <w:rsid w:val="6A736A2C"/>
    <w:rsid w:val="6AC4173D"/>
    <w:rsid w:val="6B3F6E7C"/>
    <w:rsid w:val="6B4F76A1"/>
    <w:rsid w:val="6BB6746F"/>
    <w:rsid w:val="6BFD03AE"/>
    <w:rsid w:val="6BFF6077"/>
    <w:rsid w:val="6C2308EC"/>
    <w:rsid w:val="6C814171"/>
    <w:rsid w:val="6C867767"/>
    <w:rsid w:val="6CA34648"/>
    <w:rsid w:val="6D031FFE"/>
    <w:rsid w:val="6D865CB4"/>
    <w:rsid w:val="6D870368"/>
    <w:rsid w:val="6DEF74D5"/>
    <w:rsid w:val="6E9856D0"/>
    <w:rsid w:val="6EB840FC"/>
    <w:rsid w:val="6EE920DC"/>
    <w:rsid w:val="6EF66C39"/>
    <w:rsid w:val="6F377C99"/>
    <w:rsid w:val="6F48455E"/>
    <w:rsid w:val="6F7E7DE2"/>
    <w:rsid w:val="6FAA433E"/>
    <w:rsid w:val="703E3F77"/>
    <w:rsid w:val="704F1D50"/>
    <w:rsid w:val="7062369D"/>
    <w:rsid w:val="70D8666D"/>
    <w:rsid w:val="70F82977"/>
    <w:rsid w:val="711203ED"/>
    <w:rsid w:val="712A76BE"/>
    <w:rsid w:val="716D6D00"/>
    <w:rsid w:val="719901C6"/>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D780E"/>
    <w:rsid w:val="76DE39EB"/>
    <w:rsid w:val="774B42DA"/>
    <w:rsid w:val="77CC2AC5"/>
    <w:rsid w:val="78AC0F28"/>
    <w:rsid w:val="78AD7E4B"/>
    <w:rsid w:val="7922758B"/>
    <w:rsid w:val="79314CB5"/>
    <w:rsid w:val="79713DFA"/>
    <w:rsid w:val="79766799"/>
    <w:rsid w:val="79B255D2"/>
    <w:rsid w:val="79B45BBB"/>
    <w:rsid w:val="79D0307E"/>
    <w:rsid w:val="79DE121D"/>
    <w:rsid w:val="79E249A2"/>
    <w:rsid w:val="7A5C7B4D"/>
    <w:rsid w:val="7B1F1C18"/>
    <w:rsid w:val="7B335823"/>
    <w:rsid w:val="7B387938"/>
    <w:rsid w:val="7BEF5630"/>
    <w:rsid w:val="7C341C52"/>
    <w:rsid w:val="7CCA0439"/>
    <w:rsid w:val="7D033238"/>
    <w:rsid w:val="7D2F6ABF"/>
    <w:rsid w:val="7D300DEB"/>
    <w:rsid w:val="7D50024E"/>
    <w:rsid w:val="7D637EF4"/>
    <w:rsid w:val="7D9518B9"/>
    <w:rsid w:val="7E341B98"/>
    <w:rsid w:val="7E51328E"/>
    <w:rsid w:val="7EDC79C7"/>
    <w:rsid w:val="7F14576E"/>
    <w:rsid w:val="7FB62B3B"/>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Administrator\Desktop\2022&#24180;&#25972;&#20307;&#25903;&#20986;&#32489;&#25928;&#33258;&#35780;\&#22270;&#34920;(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Administrator\Desktop\2022&#24180;&#25972;&#20307;&#25903;&#20986;&#32489;&#25928;&#33258;&#35780;\&#22270;&#34920;(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Administrator\Desktop\2022&#24180;&#25972;&#20307;&#25903;&#20986;&#32489;&#25928;&#33258;&#35780;\&#22270;&#34920;(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Administrator\Desktop\2022&#24180;&#25972;&#20307;&#25903;&#20986;&#32489;&#25928;&#33258;&#35780;\&#22270;&#349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sz="1400" b="0">
                <a:latin typeface="仿宋" panose="02010609060101010101" charset="-122"/>
                <a:ea typeface="仿宋" panose="02010609060101010101" charset="-122"/>
              </a:rPr>
              <a:t>2022</a:t>
            </a:r>
            <a:r>
              <a:rPr lang="zh-CN" altLang="en-US" sz="1400" b="0">
                <a:latin typeface="仿宋" panose="02010609060101010101" charset="-122"/>
                <a:ea typeface="仿宋" panose="02010609060101010101" charset="-122"/>
              </a:rPr>
              <a:t>年决算收入结构图 </a:t>
            </a:r>
            <a:endParaRPr lang="zh-CN" altLang="en-US" sz="1400" b="0">
              <a:latin typeface="仿宋" panose="02010609060101010101" charset="-122"/>
              <a:ea typeface="仿宋" panose="02010609060101010101" charset="-122"/>
            </a:endParaRPr>
          </a:p>
        </c:rich>
      </c:tx>
      <c:layout/>
      <c:overlay val="0"/>
    </c:title>
    <c:autoTitleDeleted val="0"/>
    <c:plotArea>
      <c:layout/>
      <c:pieChart>
        <c:varyColors val="1"/>
        <c:ser>
          <c:idx val="0"/>
          <c:order val="0"/>
          <c:tx>
            <c:strRef>
              <c:f>'[图表(1).xlsx]单位决算收入结构图'!$B$1:$B$2</c:f>
              <c:strCache>
                <c:ptCount val="1"/>
                <c:pt idx="0">
                  <c:v>2020年决算收入结构图 金额</c:v>
                </c:pt>
              </c:strCache>
            </c:strRef>
          </c:tx>
          <c:explosion val="0"/>
          <c:dPt>
            <c:idx val="0"/>
            <c:bubble3D val="0"/>
          </c:dPt>
          <c:dPt>
            <c:idx val="1"/>
            <c:bubble3D val="0"/>
          </c:dPt>
          <c:dPt>
            <c:idx val="2"/>
            <c:bubble3D val="0"/>
          </c:dPt>
          <c:dPt>
            <c:idx val="3"/>
            <c:bubble3D val="0"/>
          </c:dPt>
          <c:dLbls>
            <c:dLbl>
              <c:idx val="0"/>
              <c:layout>
                <c:manualLayout>
                  <c:x val="0.067311885488807"/>
                  <c:y val="0.0106522623238648"/>
                </c:manualLayout>
              </c:layout>
              <c:tx>
                <c:rich>
                  <a:bodyPr rot="0" spcFirstLastPara="0" vertOverflow="ellipsis" vert="horz" wrap="square" lIns="38100" tIns="19050" rIns="38100" bIns="19050" anchor="ctr" anchorCtr="1"/>
                  <a:lstStyle/>
                  <a:p>
                    <a:pPr>
                      <a:defRPr lang="zh-CN" altLang="en-US" sz="1000" b="0" i="0" u="none" strike="noStrike" kern="1200" baseline="0">
                        <a:solidFill>
                          <a:sysClr val="windowText" lastClr="000000"/>
                        </a:solidFill>
                        <a:latin typeface="+mn-lt"/>
                        <a:ea typeface="+mn-ea"/>
                        <a:cs typeface="+mn-cs"/>
                      </a:defRPr>
                    </a:pPr>
                    <a:r>
                      <a:rPr lang="en-US" altLang="zh-CN" sz="1000" b="0" i="0" u="none" strike="noStrike" kern="1200" baseline="0">
                        <a:solidFill>
                          <a:sysClr val="windowText" lastClr="000000"/>
                        </a:solidFill>
                        <a:latin typeface="+mn-lt"/>
                        <a:ea typeface="+mn-ea"/>
                        <a:cs typeface="+mn-cs"/>
                      </a:rPr>
                      <a:t>65.26</a:t>
                    </a:r>
                    <a:r>
                      <a:rPr lang="zh-CN" altLang="en-US"/>
                      <a:t>，</a:t>
                    </a:r>
                    <a:r>
                      <a:rPr lang="en-US" altLang="zh-CN"/>
                      <a:t>1.89%</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22470229196034"/>
                  <c:y val="-0.00533333333333343"/>
                </c:manualLayout>
              </c:layout>
              <c:tx>
                <c:rich>
                  <a:bodyPr rot="0" spcFirstLastPara="0" vertOverflow="ellipsis" vert="horz" wrap="square" lIns="38100" tIns="19050" rIns="38100" bIns="19050" anchor="ctr" anchorCtr="1"/>
                  <a:lstStyle/>
                  <a:p>
                    <a:pPr>
                      <a:defRPr lang="zh-CN" altLang="en-US" sz="1000" b="0" i="0" u="none" strike="noStrike" kern="1200" baseline="0">
                        <a:solidFill>
                          <a:sysClr val="windowText" lastClr="000000"/>
                        </a:solidFill>
                        <a:latin typeface="+mn-lt"/>
                        <a:ea typeface="+mn-ea"/>
                        <a:cs typeface="+mn-cs"/>
                      </a:defRPr>
                    </a:pPr>
                    <a:r>
                      <a:rPr lang="en-US" altLang="zh-CN" sz="1000" b="0" i="0" u="none" strike="noStrike" kern="1200" baseline="0">
                        <a:solidFill>
                          <a:sysClr val="windowText" lastClr="000000"/>
                        </a:solidFill>
                        <a:latin typeface="+mn-lt"/>
                        <a:ea typeface="+mn-ea"/>
                        <a:cs typeface="+mn-cs"/>
                      </a:rPr>
                      <a:t>3350.27</a:t>
                    </a:r>
                    <a:r>
                      <a:rPr lang="en-US" altLang="zh-CN"/>
                      <a:t>,97.05%</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manualLayout>
                      <c:w val="0.204401184934405"/>
                      <c:h val="0.120444444444444"/>
                    </c:manualLayout>
                  </c15:layout>
                </c:ext>
              </c:extLst>
            </c:dLbl>
            <c:dLbl>
              <c:idx val="2"/>
              <c:layout>
                <c:manualLayout>
                  <c:x val="-0.0701827600701334"/>
                  <c:y val="-0.00206290254673797"/>
                </c:manualLayout>
              </c:layout>
              <c:tx>
                <c:rich>
                  <a:bodyPr rot="0" spcFirstLastPara="0" vertOverflow="ellipsis" vert="horz" wrap="square" lIns="38100" tIns="19050" rIns="38100" bIns="19050" anchor="ctr" anchorCtr="1"/>
                  <a:lstStyle/>
                  <a:p>
                    <a:pPr>
                      <a:defRPr lang="zh-CN" altLang="en-US" sz="1000" b="0" i="0" u="none" strike="noStrike" kern="1200" baseline="0">
                        <a:solidFill>
                          <a:sysClr val="windowText" lastClr="000000"/>
                        </a:solidFill>
                        <a:latin typeface="+mn-lt"/>
                        <a:ea typeface="+mn-ea"/>
                        <a:cs typeface="+mn-cs"/>
                      </a:defRPr>
                    </a:pPr>
                    <a:r>
                      <a:rPr lang="en-US" altLang="zh-CN" sz="1000" b="0" i="0" u="none" strike="noStrike" kern="1200" baseline="0">
                        <a:solidFill>
                          <a:sysClr val="windowText" lastClr="000000"/>
                        </a:solidFill>
                        <a:latin typeface="+mn-lt"/>
                        <a:ea typeface="+mn-ea"/>
                        <a:cs typeface="+mn-cs"/>
                      </a:rPr>
                      <a:t>36.43</a:t>
                    </a:r>
                    <a:r>
                      <a:rPr lang="zh-CN" altLang="en-US"/>
                      <a:t>，</a:t>
                    </a:r>
                    <a:r>
                      <a:rPr lang="en-US" altLang="zh-CN"/>
                      <a:t>1.06%</a:t>
                    </a:r>
                    <a:endParaRPr lang="en-US" altLang="zh-CN"/>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delete val="1"/>
            </c:dLbl>
            <c:spPr>
              <a:noFill/>
              <a:ln>
                <a:noFill/>
              </a:ln>
              <a:effectLst/>
            </c:spPr>
            <c:txPr>
              <a:bodyPr rot="0" spcFirstLastPara="0" vertOverflow="ellipsis" vert="horz" wrap="square" lIns="38100" tIns="19050" rIns="38100" bIns="19050" anchor="ctr" anchorCtr="1"/>
              <a:lstStyle/>
              <a:p>
                <a:pPr algn="ctr">
                  <a:defRPr lang="zh-CN" altLang="en-US" sz="1000" b="0" i="0" u="none" strike="noStrike" kern="1200" baseline="0">
                    <a:solidFill>
                      <a:sysClr val="windowText" lastClr="000000"/>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ext>
            </c:extLst>
          </c:dLbls>
          <c:cat>
            <c:strRef>
              <c:f>'[图表(1).xlsx]单位决算收入结构图'!$A$3:$A$6</c:f>
              <c:strCache>
                <c:ptCount val="4"/>
                <c:pt idx="0">
                  <c:v>公共安全支出</c:v>
                </c:pt>
                <c:pt idx="1">
                  <c:v>社会保障和就业支出</c:v>
                </c:pt>
                <c:pt idx="2">
                  <c:v>医疗卫生与计划生育支出</c:v>
                </c:pt>
                <c:pt idx="3">
                  <c:v>住房保障支出</c:v>
                </c:pt>
              </c:strCache>
            </c:strRef>
          </c:cat>
          <c:val>
            <c:numRef>
              <c:f>'[图表(1).xlsx]单位决算收入结构图'!$B$3:$B$6</c:f>
              <c:numCache>
                <c:formatCode>General</c:formatCode>
                <c:ptCount val="4"/>
                <c:pt idx="0">
                  <c:v>0</c:v>
                </c:pt>
                <c:pt idx="1">
                  <c:v>3350.27</c:v>
                </c:pt>
                <c:pt idx="2">
                  <c:v>36.43</c:v>
                </c:pt>
                <c:pt idx="3">
                  <c:v>65.26</c:v>
                </c:pt>
              </c:numCache>
            </c:numRef>
          </c:val>
        </c:ser>
        <c:ser>
          <c:idx val="1"/>
          <c:order val="1"/>
          <c:tx>
            <c:strRef>
              <c:f>'[图表(1).xlsx]单位决算收入结构图'!$C$1:$C$2</c:f>
              <c:strCache>
                <c:ptCount val="1"/>
                <c:pt idx="0">
                  <c:v>2020年决算收入结构图 占比</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'[图表(1).xlsx]单位决算收入结构图'!$A$3:$A$6</c:f>
              <c:strCache>
                <c:ptCount val="4"/>
                <c:pt idx="0">
                  <c:v>公共安全支出</c:v>
                </c:pt>
                <c:pt idx="1">
                  <c:v>社会保障和就业支出</c:v>
                </c:pt>
                <c:pt idx="2">
                  <c:v>医疗卫生与计划生育支出</c:v>
                </c:pt>
                <c:pt idx="3">
                  <c:v>住房保障支出</c:v>
                </c:pt>
              </c:strCache>
            </c:strRef>
          </c:cat>
          <c:val>
            <c:numRef>
              <c:f>'[图表(1).xlsx]单位决算收入结构图'!$C$3:$C$6</c:f>
              <c:numCache>
                <c:formatCode>General</c:formatCode>
                <c:ptCount val="4"/>
                <c:pt idx="1" c:formatCode="0.00%">
                  <c:v>0.97054137359645</c:v>
                </c:pt>
                <c:pt idx="2" c:formatCode="0.00%">
                  <c:v>0.0105534247210281</c:v>
                </c:pt>
                <c:pt idx="3" c:formatCode="0.00%">
                  <c:v>0.0189052016825224</c:v>
                </c:pt>
              </c:numCache>
            </c:numRef>
          </c:val>
        </c:ser>
        <c:dLbls>
          <c:showLegendKey val="0"/>
          <c:showVal val="0"/>
          <c:showCatName val="0"/>
          <c:showSerName val="0"/>
          <c:showPercent val="1"/>
          <c:showBubbleSize val="0"/>
          <c:showLeaderLines val="1"/>
        </c:dLbls>
        <c:firstSliceAng val="0"/>
      </c:pieChart>
    </c:plotArea>
    <c:legend>
      <c:legendPos val="r"/>
      <c:layout>
        <c:manualLayout>
          <c:xMode val="edge"/>
          <c:yMode val="edge"/>
          <c:x val="0.632811397940472"/>
          <c:y val="0.438888888888889"/>
          <c:w val="0.321342925659472"/>
          <c:h val="0.5"/>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071741032371"/>
          <c:y val="0.240666731473381"/>
          <c:w val="0.686193569553806"/>
          <c:h val="0.430705421081624"/>
        </c:manualLayout>
      </c:layout>
      <c:barChart>
        <c:barDir val="col"/>
        <c:grouping val="clustered"/>
        <c:varyColors val="0"/>
        <c:ser>
          <c:idx val="0"/>
          <c:order val="0"/>
          <c:tx>
            <c:strRef>
              <c:f>"预算"</c:f>
              <c:strCache>
                <c:ptCount val="1"/>
                <c:pt idx="0">
                  <c:v>预算</c:v>
                </c:pt>
              </c:strCache>
            </c:strRef>
          </c:tx>
          <c:invertIfNegative val="0"/>
          <c:dLbls>
            <c:dLbl>
              <c:idx val="1"/>
              <c:layout>
                <c:manualLayout>
                  <c:x val="-0.03690036900369"/>
                  <c:y val="-0.0024891101431238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8450184501845"/>
                  <c:y val="-0.0024891101431238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3210332103321"/>
                  <c:y val="-0.0024891101431238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'[图表(1).xlsx]预算收入与决算收入对比图'!$B$5:$B$8</c:f>
              <c:strCache>
                <c:ptCount val="4"/>
                <c:pt idx="0">
                  <c:v>公共安全支出</c:v>
                </c:pt>
                <c:pt idx="1">
                  <c:v>社会保障和就业支出</c:v>
                </c:pt>
                <c:pt idx="2">
                  <c:v>医疗卫生与计划生育支出</c:v>
                </c:pt>
                <c:pt idx="3">
                  <c:v>住房保障支出</c:v>
                </c:pt>
              </c:strCache>
            </c:strRef>
          </c:cat>
          <c:val>
            <c:numRef>
              <c:f>'[图表(1).xlsx]预算收入与决算收入对比图'!$C$5:$C$8</c:f>
              <c:numCache>
                <c:formatCode>General</c:formatCode>
                <c:ptCount val="4"/>
                <c:pt idx="0">
                  <c:v>0</c:v>
                </c:pt>
                <c:pt idx="1">
                  <c:v>1619.14</c:v>
                </c:pt>
                <c:pt idx="2">
                  <c:v>46.1</c:v>
                </c:pt>
                <c:pt idx="3">
                  <c:v>65.46</c:v>
                </c:pt>
              </c:numCache>
            </c:numRef>
          </c:val>
        </c:ser>
        <c:ser>
          <c:idx val="1"/>
          <c:order val="1"/>
          <c:tx>
            <c:strRef>
              <c:f>"决算"</c:f>
              <c:strCache>
                <c:ptCount val="1"/>
                <c:pt idx="0">
                  <c:v>决算</c:v>
                </c:pt>
              </c:strCache>
            </c:strRef>
          </c:tx>
          <c:invertIfNegative val="0"/>
          <c:dLbls>
            <c:dLbl>
              <c:idx val="2"/>
              <c:layout>
                <c:manualLayout>
                  <c:x val="0.00922509225092251"/>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'[图表(1).xlsx]预算收入与决算收入对比图'!$B$5:$B$8</c:f>
              <c:strCache>
                <c:ptCount val="4"/>
                <c:pt idx="0">
                  <c:v>公共安全支出</c:v>
                </c:pt>
                <c:pt idx="1">
                  <c:v>社会保障和就业支出</c:v>
                </c:pt>
                <c:pt idx="2">
                  <c:v>医疗卫生与计划生育支出</c:v>
                </c:pt>
                <c:pt idx="3">
                  <c:v>住房保障支出</c:v>
                </c:pt>
              </c:strCache>
            </c:strRef>
          </c:cat>
          <c:val>
            <c:numRef>
              <c:f>'[图表(1).xlsx]预算收入与决算收入对比图'!$D$5:$D$8</c:f>
              <c:numCache>
                <c:formatCode>General</c:formatCode>
                <c:ptCount val="4"/>
                <c:pt idx="0">
                  <c:v>0</c:v>
                </c:pt>
                <c:pt idx="1">
                  <c:v>3350.27</c:v>
                </c:pt>
                <c:pt idx="2">
                  <c:v>36.43</c:v>
                </c:pt>
                <c:pt idx="3">
                  <c:v>65.26</c:v>
                </c:pt>
              </c:numCache>
            </c:numRef>
          </c:val>
        </c:ser>
        <c:dLbls>
          <c:showLegendKey val="0"/>
          <c:showVal val="0"/>
          <c:showCatName val="0"/>
          <c:showSerName val="0"/>
          <c:showPercent val="0"/>
          <c:showBubbleSize val="0"/>
        </c:dLbls>
        <c:gapWidth val="150"/>
        <c:axId val="102240256"/>
        <c:axId val="102241792"/>
      </c:barChart>
      <c:catAx>
        <c:axId val="102240256"/>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2241792"/>
        <c:crosses val="autoZero"/>
        <c:auto val="1"/>
        <c:lblAlgn val="ctr"/>
        <c:lblOffset val="100"/>
        <c:noMultiLvlLbl val="0"/>
      </c:catAx>
      <c:valAx>
        <c:axId val="10224179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2240256"/>
        <c:crosses val="autoZero"/>
        <c:crossBetween val="between"/>
      </c:valAx>
    </c:plotArea>
    <c:legend>
      <c:legendPos val="r"/>
      <c:layout>
        <c:manualLayout>
          <c:xMode val="edge"/>
          <c:yMode val="edge"/>
          <c:x val="0.814916254976037"/>
          <c:y val="0.467532043505649"/>
          <c:w val="0.102308404395509"/>
          <c:h val="0.16020299788107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tx1"/>
                </a:solidFill>
                <a:latin typeface="+mn-lt"/>
                <a:ea typeface="+mn-ea"/>
                <a:cs typeface="+mn-cs"/>
              </a:defRPr>
            </a:pPr>
            <a:r>
              <a:t>202</a:t>
            </a:r>
            <a:r>
              <a:rPr lang="en-US" altLang="zh-CN"/>
              <a:t>2</a:t>
            </a:r>
            <a:r>
              <a:t>年决算支出结构图 金额</a:t>
            </a:r>
          </a:p>
        </c:rich>
      </c:tx>
      <c:layout/>
      <c:overlay val="0"/>
    </c:title>
    <c:autoTitleDeleted val="0"/>
    <c:plotArea>
      <c:layout/>
      <c:pieChart>
        <c:varyColors val="1"/>
        <c:ser>
          <c:idx val="0"/>
          <c:order val="0"/>
          <c:tx>
            <c:strRef>
              <c:f>'[图表(1).xlsx]单位决算支出结构图 '!$B$1:$B$2</c:f>
              <c:strCache>
                <c:ptCount val="1"/>
                <c:pt idx="0">
                  <c:v>2020年决算支出结构图 金额</c:v>
                </c:pt>
              </c:strCache>
            </c:strRef>
          </c:tx>
          <c:explosion val="0"/>
          <c:dPt>
            <c:idx val="0"/>
            <c:bubble3D val="0"/>
          </c:dPt>
          <c:dPt>
            <c:idx val="1"/>
            <c:bubble3D val="0"/>
          </c:dPt>
          <c:dPt>
            <c:idx val="2"/>
            <c:bubble3D val="0"/>
          </c:dPt>
          <c:dPt>
            <c:idx val="3"/>
            <c:bubble3D val="0"/>
          </c:dPt>
          <c:dLbls>
            <c:dLbl>
              <c:idx val="0"/>
              <c:layout>
                <c:manualLayout>
                  <c:x val="0.162123102638219"/>
                  <c:y val="0.0158256913064757"/>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11.43 </a:t>
                    </a:r>
                    <a:r>
                      <a:rPr lang="en-US" altLang="zh-CN"/>
                      <a:t>0.34%</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65067306763024"/>
                  <c:y val="-0.0186666666666668"/>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3,350.27 </a:t>
                    </a:r>
                    <a:r>
                      <a:rPr lang="en-US" altLang="zh-CN"/>
                      <a:t>96.73%</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manualLayout>
                      <c:w val="0.22288051911412"/>
                      <c:h val="0.074"/>
                    </c:manualLayout>
                  </c15:layout>
                </c:ext>
              </c:extLst>
            </c:dLbl>
            <c:dLbl>
              <c:idx val="2"/>
              <c:layout>
                <c:manualLayout>
                  <c:x val="-0.1826866110137"/>
                  <c:y val="-0.0215377428691213"/>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36.43 </a:t>
                    </a:r>
                    <a:r>
                      <a:rPr lang="en-US" altLang="zh-CN"/>
                      <a:t>1.05%</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86835939608218"/>
                  <c:y val="-0.0284104498293792"/>
                </c:manualLayout>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65.26 </a:t>
                    </a:r>
                    <a:r>
                      <a:rPr lang="en-US" altLang="zh-CN"/>
                      <a:t>1.88%</a:t>
                    </a:r>
                    <a:endParaRPr lang="en-US" altLang="zh-CN"/>
                  </a:p>
                </c:rich>
              </c:tx>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'[图表(1).xlsx]单位决算支出结构图 '!$A$3:$A$6</c:f>
              <c:strCache>
                <c:ptCount val="4"/>
                <c:pt idx="0">
                  <c:v>国有资本经营支出</c:v>
                </c:pt>
                <c:pt idx="1">
                  <c:v>社会保障和就业支出</c:v>
                </c:pt>
                <c:pt idx="2">
                  <c:v>医疗卫生与计划生育支出</c:v>
                </c:pt>
                <c:pt idx="3">
                  <c:v>住房保障支出</c:v>
                </c:pt>
              </c:strCache>
            </c:strRef>
          </c:cat>
          <c:val>
            <c:numRef>
              <c:f>'[图表(1).xlsx]单位决算支出结构图 '!$B$3:$B$6</c:f>
              <c:numCache>
                <c:formatCode>General</c:formatCode>
                <c:ptCount val="4"/>
                <c:pt idx="0">
                  <c:v>11.43</c:v>
                </c:pt>
                <c:pt idx="1" c:formatCode="#,##0.00">
                  <c:v>3350.27</c:v>
                </c:pt>
                <c:pt idx="2" c:formatCode="#,##0.00">
                  <c:v>36.43</c:v>
                </c:pt>
                <c:pt idx="3">
                  <c:v>65.26</c:v>
                </c:pt>
              </c:numCache>
            </c:numRef>
          </c:val>
        </c:ser>
        <c:ser>
          <c:idx val="1"/>
          <c:order val="1"/>
          <c:tx>
            <c:strRef>
              <c:f>'[图表(1).xlsx]单位决算支出结构图 '!$C$1:$C$2</c:f>
              <c:strCache>
                <c:ptCount val="1"/>
                <c:pt idx="0">
                  <c:v>2020年决算支出结构图 占比</c:v>
                </c:pt>
              </c:strCache>
            </c:strRef>
          </c:tx>
          <c:explosion val="0"/>
          <c:dPt>
            <c:idx val="0"/>
            <c:bubble3D val="0"/>
          </c:dPt>
          <c:dPt>
            <c:idx val="1"/>
            <c:bubble3D val="0"/>
          </c:dPt>
          <c:dPt>
            <c:idx val="2"/>
            <c:bubble3D val="0"/>
          </c:dPt>
          <c:dPt>
            <c:idx val="3"/>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'[图表(1).xlsx]单位决算支出结构图 '!$A$3:$A$6</c:f>
              <c:strCache>
                <c:ptCount val="4"/>
                <c:pt idx="0">
                  <c:v>国有资本经营支出</c:v>
                </c:pt>
                <c:pt idx="1">
                  <c:v>社会保障和就业支出</c:v>
                </c:pt>
                <c:pt idx="2">
                  <c:v>医疗卫生与计划生育支出</c:v>
                </c:pt>
                <c:pt idx="3">
                  <c:v>住房保障支出</c:v>
                </c:pt>
              </c:strCache>
            </c:strRef>
          </c:cat>
          <c:val>
            <c:numRef>
              <c:f>'[图表(1).xlsx]单位决算支出结构图 '!$C$3:$C$6</c:f>
              <c:numCache>
                <c:formatCode>0.00%</c:formatCode>
                <c:ptCount val="4"/>
                <c:pt idx="0">
                  <c:v>0.0034</c:v>
                </c:pt>
                <c:pt idx="1">
                  <c:v>0.967338359237626</c:v>
                </c:pt>
                <c:pt idx="2">
                  <c:v>0.0105185959421261</c:v>
                </c:pt>
                <c:pt idx="3">
                  <c:v>0.0188428100791421</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860717410323709"/>
          <c:y val="0.240666731473381"/>
          <c:w val="0.686193569553806"/>
          <c:h val="0.430705421081624"/>
        </c:manualLayout>
      </c:layout>
      <c:barChart>
        <c:barDir val="col"/>
        <c:grouping val="clustered"/>
        <c:varyColors val="0"/>
        <c:ser>
          <c:idx val="0"/>
          <c:order val="0"/>
          <c:tx>
            <c:strRef>
              <c:f>"预算"</c:f>
              <c:strCache>
                <c:ptCount val="1"/>
                <c:pt idx="0">
                  <c:v>预算</c:v>
                </c:pt>
              </c:strCache>
            </c:strRef>
          </c:tx>
          <c:invertIfNegative val="0"/>
          <c:dLbls>
            <c:dLbl>
              <c:idx val="2"/>
              <c:layout>
                <c:manualLayout>
                  <c:x val="-0.0202952029520295"/>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166051660516605"/>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'[图表(1).xlsx]预算支出预决算支出对比图'!$B$5:$B$8</c:f>
              <c:strCache>
                <c:ptCount val="4"/>
                <c:pt idx="0">
                  <c:v>国有资本经营支出</c:v>
                </c:pt>
                <c:pt idx="1">
                  <c:v>社会保障和就业支出</c:v>
                </c:pt>
                <c:pt idx="2">
                  <c:v>医疗卫生与计划生育支出</c:v>
                </c:pt>
                <c:pt idx="3">
                  <c:v>住房保障支出</c:v>
                </c:pt>
              </c:strCache>
            </c:strRef>
          </c:cat>
          <c:val>
            <c:numRef>
              <c:f>'[图表(1).xlsx]预算支出预决算支出对比图'!$C$5:$C$8</c:f>
              <c:numCache>
                <c:formatCode>General</c:formatCode>
                <c:ptCount val="4"/>
                <c:pt idx="0">
                  <c:v>0</c:v>
                </c:pt>
                <c:pt idx="1" c:formatCode="#,##0.00">
                  <c:v>1619.14</c:v>
                </c:pt>
                <c:pt idx="2" c:formatCode="#,##0.00">
                  <c:v>46.1</c:v>
                </c:pt>
                <c:pt idx="3" c:formatCode="#,##0.00">
                  <c:v>65.46</c:v>
                </c:pt>
              </c:numCache>
            </c:numRef>
          </c:val>
        </c:ser>
        <c:ser>
          <c:idx val="1"/>
          <c:order val="1"/>
          <c:tx>
            <c:strRef>
              <c:f>"决算"</c:f>
              <c:strCache>
                <c:ptCount val="1"/>
                <c:pt idx="0">
                  <c:v>决算</c:v>
                </c:pt>
              </c:strCache>
            </c:strRef>
          </c:tx>
          <c:invertIfNegative val="0"/>
          <c:dLbls>
            <c:dLbl>
              <c:idx val="0"/>
              <c:layout>
                <c:manualLayout>
                  <c:x val="0.014760147601476"/>
                  <c:y val="-0.0049782202862476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22140221402214"/>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25830258302583"/>
                  <c:y val="0"/>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'[图表(1).xlsx]预算支出预决算支出对比图'!$B$5:$B$8</c:f>
              <c:strCache>
                <c:ptCount val="4"/>
                <c:pt idx="0">
                  <c:v>国有资本经营支出</c:v>
                </c:pt>
                <c:pt idx="1">
                  <c:v>社会保障和就业支出</c:v>
                </c:pt>
                <c:pt idx="2">
                  <c:v>医疗卫生与计划生育支出</c:v>
                </c:pt>
                <c:pt idx="3">
                  <c:v>住房保障支出</c:v>
                </c:pt>
              </c:strCache>
            </c:strRef>
          </c:cat>
          <c:val>
            <c:numRef>
              <c:f>'[图表(1).xlsx]预算支出预决算支出对比图'!$D$5:$D$8</c:f>
              <c:numCache>
                <c:formatCode>General</c:formatCode>
                <c:ptCount val="4"/>
                <c:pt idx="0">
                  <c:v>11.43</c:v>
                </c:pt>
                <c:pt idx="1" c:formatCode="#,##0.00">
                  <c:v>3350.27</c:v>
                </c:pt>
                <c:pt idx="2" c:formatCode="#,##0.00">
                  <c:v>36.43</c:v>
                </c:pt>
                <c:pt idx="3">
                  <c:v>65.26</c:v>
                </c:pt>
              </c:numCache>
            </c:numRef>
          </c:val>
        </c:ser>
        <c:dLbls>
          <c:showLegendKey val="0"/>
          <c:showVal val="0"/>
          <c:showCatName val="0"/>
          <c:showSerName val="0"/>
          <c:showPercent val="0"/>
          <c:showBubbleSize val="0"/>
        </c:dLbls>
        <c:gapWidth val="150"/>
        <c:axId val="102377344"/>
        <c:axId val="102378880"/>
      </c:barChart>
      <c:catAx>
        <c:axId val="102377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2378880"/>
        <c:crosses val="autoZero"/>
        <c:auto val="1"/>
        <c:lblAlgn val="ctr"/>
        <c:lblOffset val="100"/>
        <c:noMultiLvlLbl val="0"/>
      </c:catAx>
      <c:valAx>
        <c:axId val="102378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02377344"/>
        <c:crosses val="autoZero"/>
        <c:crossBetween val="between"/>
      </c:valAx>
    </c:plotArea>
    <c:legend>
      <c:legendPos val="r"/>
      <c:layout>
        <c:manualLayout>
          <c:xMode val="edge"/>
          <c:yMode val="edge"/>
          <c:x val="0.814916254976037"/>
          <c:y val="0.467532043505649"/>
          <c:w val="0.102308404395509"/>
          <c:h val="0.16020299788107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0.15833</cdr:x>
      <cdr:y>0.03448</cdr:y>
    </cdr:from>
    <cdr:to>
      <cdr:x>0.825</cdr:x>
      <cdr:y>0.13333</cdr:y>
    </cdr:to>
    <cdr:sp>
      <cdr:nvSpPr>
        <cdr:cNvPr id="2" name="矩形 1"/>
        <cdr:cNvSpPr/>
      </cdr:nvSpPr>
      <cdr:spPr xmlns:a="http://schemas.openxmlformats.org/drawingml/2006/main">
        <a:xfrm xmlns:a="http://schemas.openxmlformats.org/drawingml/2006/main">
          <a:off x="784224" y="104776"/>
          <a:ext cx="3302001" cy="300356"/>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en-US" altLang="zh-CN" sz="1400">
              <a:latin typeface="仿宋" panose="02010609060101010101" charset="-122"/>
              <a:ea typeface="仿宋" panose="02010609060101010101" charset="-122"/>
            </a:rPr>
            <a:t>2022</a:t>
          </a:r>
          <a:r>
            <a:rPr lang="zh-CN" altLang="en-US" sz="1400">
              <a:latin typeface="仿宋" panose="02010609060101010101" charset="-122"/>
              <a:ea typeface="仿宋" panose="02010609060101010101" charset="-122"/>
            </a:rPr>
            <a:t>年度预算收入与决算收入对比图</a:t>
          </a:r>
          <a:endParaRPr lang="zh-CN" altLang="en-US" sz="1400">
            <a:latin typeface="仿宋" panose="02010609060101010101" charset="-122"/>
            <a:ea typeface="仿宋" panose="02010609060101010101" charset="-122"/>
          </a:endParaRPr>
        </a:p>
      </cdr:txBody>
    </cdr:sp>
  </cdr:relSizeAnchor>
  <cdr:relSizeAnchor xmlns:cdr="http://schemas.openxmlformats.org/drawingml/2006/chartDrawing">
    <cdr:from>
      <cdr:x>0.80833</cdr:x>
      <cdr:y>0.1679</cdr:y>
    </cdr:from>
    <cdr:to>
      <cdr:x>0.96875</cdr:x>
      <cdr:y>0.22963</cdr:y>
    </cdr:to>
    <cdr:sp>
      <cdr:nvSpPr>
        <cdr:cNvPr id="3" name="矩形 2"/>
        <cdr:cNvSpPr/>
      </cdr:nvSpPr>
      <cdr:spPr xmlns:a="http://schemas.openxmlformats.org/drawingml/2006/main">
        <a:xfrm xmlns:a="http://schemas.openxmlformats.org/drawingml/2006/main">
          <a:off x="3695700" y="647701"/>
          <a:ext cx="733425" cy="23812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800"/>
            <a:t>单位：万元</a:t>
          </a:r>
          <a:endParaRPr lang="zh-CN" altLang="en-US" sz="800"/>
        </a:p>
      </cdr:txBody>
    </cdr:sp>
  </cdr:relSizeAnchor>
</c:userShapes>
</file>

<file path=word/drawings/drawing2.xml><?xml version="1.0" encoding="utf-8"?>
<c:userShapes xmlns:c="http://schemas.openxmlformats.org/drawingml/2006/chart">
  <cdr:relSizeAnchor xmlns:cdr="http://schemas.openxmlformats.org/drawingml/2006/chartDrawing">
    <cdr:from>
      <cdr:x>0.73599</cdr:x>
      <cdr:y>0.18831</cdr:y>
    </cdr:from>
    <cdr:to>
      <cdr:x>0.94394</cdr:x>
      <cdr:y>0.26623</cdr:y>
    </cdr:to>
    <cdr:sp>
      <cdr:nvSpPr>
        <cdr:cNvPr id="2" name="矩形 1"/>
        <cdr:cNvSpPr/>
      </cdr:nvSpPr>
      <cdr:spPr xmlns:a="http://schemas.openxmlformats.org/drawingml/2006/main">
        <a:xfrm xmlns:a="http://schemas.openxmlformats.org/drawingml/2006/main">
          <a:off x="3876676" y="552450"/>
          <a:ext cx="1095375" cy="2286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000"/>
            <a:t>单位：万元</a:t>
          </a:r>
          <a:endParaRPr lang="zh-CN" altLang="en-US" sz="1000"/>
        </a:p>
      </cdr:txBody>
    </cdr:sp>
  </cdr:relSizeAnchor>
  <cdr:relSizeAnchor xmlns:cdr="http://schemas.openxmlformats.org/drawingml/2006/chartDrawing">
    <cdr:from>
      <cdr:x>0.73599</cdr:x>
      <cdr:y>0.18831</cdr:y>
    </cdr:from>
    <cdr:to>
      <cdr:x>0.94394</cdr:x>
      <cdr:y>0.26623</cdr:y>
    </cdr:to>
    <cdr:sp>
      <cdr:nvSpPr>
        <cdr:cNvPr id="3" name="矩形 2"/>
        <cdr:cNvSpPr/>
      </cdr:nvSpPr>
      <cdr:spPr xmlns:a="http://schemas.openxmlformats.org/drawingml/2006/main">
        <a:xfrm xmlns:a="http://schemas.openxmlformats.org/drawingml/2006/main">
          <a:off x="3876676" y="552450"/>
          <a:ext cx="1095375" cy="2286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3.xml><?xml version="1.0" encoding="utf-8"?>
<c:userShapes xmlns:c="http://schemas.openxmlformats.org/drawingml/2006/chart">
  <cdr:relSizeAnchor xmlns:cdr="http://schemas.openxmlformats.org/drawingml/2006/chartDrawing">
    <cdr:from>
      <cdr:x>0.73599</cdr:x>
      <cdr:y>0.18831</cdr:y>
    </cdr:from>
    <cdr:to>
      <cdr:x>0.94394</cdr:x>
      <cdr:y>0.26623</cdr:y>
    </cdr:to>
    <cdr:sp>
      <cdr:nvSpPr>
        <cdr:cNvPr id="2" name="矩形 1"/>
        <cdr:cNvSpPr/>
      </cdr:nvSpPr>
      <cdr:spPr xmlns:a="http://schemas.openxmlformats.org/drawingml/2006/main">
        <a:xfrm xmlns:a="http://schemas.openxmlformats.org/drawingml/2006/main">
          <a:off x="3876676" y="552450"/>
          <a:ext cx="1095375" cy="228600"/>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1000"/>
            <a:t>单位：万元</a:t>
          </a:r>
          <a:endParaRPr lang="zh-CN" altLang="en-US" sz="1000"/>
        </a:p>
      </cdr:txBody>
    </cdr:sp>
  </cdr:relSizeAnchor>
</c:userShapes>
</file>

<file path=word/drawings/drawing4.xml><?xml version="1.0" encoding="utf-8"?>
<c:userShapes xmlns:c="http://schemas.openxmlformats.org/drawingml/2006/chart">
  <cdr:relSizeAnchor xmlns:cdr="http://schemas.openxmlformats.org/drawingml/2006/chartDrawing">
    <cdr:from>
      <cdr:x>0.15833</cdr:x>
      <cdr:y>0.03448</cdr:y>
    </cdr:from>
    <cdr:to>
      <cdr:x>0.825</cdr:x>
      <cdr:y>0.13333</cdr:y>
    </cdr:to>
    <cdr:sp>
      <cdr:nvSpPr>
        <cdr:cNvPr id="2" name="矩形 1"/>
        <cdr:cNvSpPr/>
      </cdr:nvSpPr>
      <cdr:spPr xmlns:a="http://schemas.openxmlformats.org/drawingml/2006/main">
        <a:xfrm xmlns:a="http://schemas.openxmlformats.org/drawingml/2006/main">
          <a:off x="784224" y="104776"/>
          <a:ext cx="3302001" cy="300356"/>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en-US" altLang="zh-CN" sz="1400">
              <a:latin typeface="仿宋" panose="02010609060101010101" charset="-122"/>
              <a:ea typeface="仿宋" panose="02010609060101010101" charset="-122"/>
            </a:rPr>
            <a:t>2022</a:t>
          </a:r>
          <a:r>
            <a:rPr lang="zh-CN" altLang="en-US" sz="1400">
              <a:latin typeface="仿宋" panose="02010609060101010101" charset="-122"/>
              <a:ea typeface="仿宋" panose="02010609060101010101" charset="-122"/>
            </a:rPr>
            <a:t>年预算支出与决算支出对比图</a:t>
          </a:r>
          <a:endParaRPr lang="zh-CN" altLang="en-US" sz="1400">
            <a:latin typeface="仿宋" panose="02010609060101010101" charset="-122"/>
            <a:ea typeface="仿宋" panose="02010609060101010101" charset="-122"/>
          </a:endParaRPr>
        </a:p>
      </cdr:txBody>
    </cdr:sp>
  </cdr:relSizeAnchor>
  <cdr:relSizeAnchor xmlns:cdr="http://schemas.openxmlformats.org/drawingml/2006/chartDrawing">
    <cdr:from>
      <cdr:x>0.80833</cdr:x>
      <cdr:y>0.1679</cdr:y>
    </cdr:from>
    <cdr:to>
      <cdr:x>0.96875</cdr:x>
      <cdr:y>0.22963</cdr:y>
    </cdr:to>
    <cdr:sp>
      <cdr:nvSpPr>
        <cdr:cNvPr id="3" name="矩形 2"/>
        <cdr:cNvSpPr/>
      </cdr:nvSpPr>
      <cdr:spPr xmlns:a="http://schemas.openxmlformats.org/drawingml/2006/main">
        <a:xfrm xmlns:a="http://schemas.openxmlformats.org/drawingml/2006/main">
          <a:off x="3695700" y="647701"/>
          <a:ext cx="733425" cy="238125"/>
        </a:xfrm>
        <a:prstGeom xmlns:a="http://schemas.openxmlformats.org/drawingml/2006/main" prst="rect">
          <a:avLst/>
        </a:prstGeom>
      </cdr:spPr>
      <cdr:txBody xmlns:a="http://schemas.openxmlformats.org/drawingml/2006/main">
        <a:bodyPr vertOverflow="clip" vert="horz" wrap="square" lIns="45720" tIns="45720" rIns="45720" bIns="45720" rtlCol="0" anchor="t" anchorCtr="0">
          <a:normAutofit/>
        </a:bodyPr>
        <a:lstStyle/>
        <a:p>
          <a:r>
            <a:rPr lang="zh-CN" altLang="en-US" sz="800"/>
            <a:t>单位：万元</a:t>
          </a:r>
          <a:endParaRPr lang="zh-CN" altLang="en-US" sz="800"/>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2156</Words>
  <Characters>12293</Characters>
  <Lines>102</Lines>
  <Paragraphs>28</Paragraphs>
  <TotalTime>17</TotalTime>
  <ScaleCrop>false</ScaleCrop>
  <LinksUpToDate>false</LinksUpToDate>
  <CharactersWithSpaces>14421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user</cp:lastModifiedBy>
  <cp:lastPrinted>2023-08-15T09:09:00Z</cp:lastPrinted>
  <dcterms:modified xsi:type="dcterms:W3CDTF">2025-05-12T06:36:49Z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y fmtid="{D5CDD505-2E9C-101B-9397-08002B2CF9AE}" pid="3" name="ICV">
    <vt:lpwstr>7E7588654FC244E380CF99C244D2BB12</vt:lpwstr>
  </property>
</Properties>
</file>