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黑体"/>
          <w:b/>
          <w:bCs/>
          <w:spacing w:val="1"/>
          <w:sz w:val="48"/>
          <w:szCs w:val="48"/>
        </w:rPr>
      </w:pPr>
    </w:p>
    <w:p>
      <w:pPr>
        <w:spacing w:line="580" w:lineRule="exact"/>
        <w:jc w:val="center"/>
        <w:rPr>
          <w:rFonts w:ascii="黑体" w:hAnsi="黑体" w:eastAsia="黑体" w:cs="黑体"/>
          <w:b/>
          <w:bCs/>
          <w:spacing w:val="1"/>
          <w:sz w:val="48"/>
          <w:szCs w:val="48"/>
        </w:rPr>
      </w:pPr>
    </w:p>
    <w:p>
      <w:pPr>
        <w:spacing w:line="580" w:lineRule="exact"/>
        <w:jc w:val="center"/>
        <w:rPr>
          <w:rFonts w:ascii="黑体" w:hAnsi="黑体" w:eastAsia="黑体" w:cs="黑体"/>
          <w:b/>
          <w:bCs/>
          <w:spacing w:val="1"/>
          <w:sz w:val="48"/>
          <w:szCs w:val="48"/>
        </w:rPr>
      </w:pPr>
    </w:p>
    <w:p>
      <w:pPr>
        <w:spacing w:line="580" w:lineRule="exact"/>
        <w:jc w:val="center"/>
        <w:rPr>
          <w:rFonts w:ascii="黑体" w:hAnsi="黑体" w:eastAsia="黑体" w:cs="黑体"/>
          <w:sz w:val="48"/>
          <w:szCs w:val="48"/>
        </w:rPr>
      </w:pPr>
      <w:r>
        <w:rPr>
          <w:rFonts w:hint="eastAsia" w:ascii="黑体" w:hAnsi="黑体" w:eastAsia="黑体" w:cs="黑体"/>
          <w:b/>
          <w:bCs/>
          <w:spacing w:val="1"/>
          <w:sz w:val="48"/>
          <w:szCs w:val="48"/>
          <w:lang w:val="en-US" w:eastAsia="zh-CN"/>
        </w:rPr>
        <w:t>项目</w:t>
      </w:r>
      <w:r>
        <w:rPr>
          <w:rFonts w:hint="eastAsia" w:ascii="黑体" w:hAnsi="黑体" w:eastAsia="黑体" w:cs="黑体"/>
          <w:b/>
          <w:bCs/>
          <w:spacing w:val="1"/>
          <w:sz w:val="48"/>
          <w:szCs w:val="48"/>
        </w:rPr>
        <w:t>支出</w:t>
      </w:r>
      <w:r>
        <w:rPr>
          <w:rFonts w:ascii="黑体" w:hAnsi="黑体" w:eastAsia="黑体" w:cs="黑体"/>
          <w:b/>
          <w:bCs/>
          <w:spacing w:val="1"/>
          <w:sz w:val="48"/>
          <w:szCs w:val="48"/>
        </w:rPr>
        <w:t>绩效评价报告</w:t>
      </w: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line="480" w:lineRule="exact"/>
        <w:rPr>
          <w:sz w:val="48"/>
          <w:szCs w:val="48"/>
        </w:rPr>
      </w:pPr>
    </w:p>
    <w:p>
      <w:pPr>
        <w:spacing w:before="8" w:line="620" w:lineRule="exact"/>
        <w:rPr>
          <w:sz w:val="62"/>
          <w:szCs w:val="62"/>
        </w:rPr>
      </w:pP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评价机构：河北德永会计师事务所有限公司</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委托单位：保定市徐水区财政局</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被评价单位：保定市徐水区人力资源和社会保障局</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评价项目：徐水区2019年度就业补助资金项目</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工作组组长：封彦武</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工作组成员：张凤桃、王肖霞、刘亚</w:t>
      </w:r>
    </w:p>
    <w:p>
      <w:pPr>
        <w:spacing w:line="580" w:lineRule="exact"/>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工作组联系电话：0311－69053103</w:t>
      </w:r>
    </w:p>
    <w:p>
      <w:pPr>
        <w:spacing w:line="580" w:lineRule="exact"/>
        <w:ind w:firstLine="720" w:firstLineChars="300"/>
        <w:rPr>
          <w:rFonts w:hint="default" w:ascii="Times New Roman" w:hAnsi="Times New Roman" w:eastAsia="宋体" w:cs="Times New Roman"/>
          <w:sz w:val="24"/>
        </w:rPr>
        <w:sectPr>
          <w:headerReference r:id="rId3" w:type="default"/>
          <w:pgSz w:w="11906" w:h="16838"/>
          <w:pgMar w:top="2098" w:right="1304" w:bottom="1531" w:left="1531" w:header="851" w:footer="992" w:gutter="0"/>
          <w:pgNumType w:start="1"/>
          <w:cols w:space="720" w:num="1"/>
          <w:docGrid w:type="lines" w:linePitch="415" w:charSpace="0"/>
        </w:sectPr>
      </w:pPr>
      <w:r>
        <w:rPr>
          <w:rFonts w:hint="default" w:ascii="Times New Roman" w:hAnsi="Times New Roman" w:eastAsia="宋体" w:cs="Times New Roman"/>
          <w:sz w:val="24"/>
          <w:highlight w:val="yellow"/>
        </w:rPr>
        <w:t>报告日期：2020年5月6日</w:t>
      </w:r>
    </w:p>
    <w:p>
      <w:pPr>
        <w:pStyle w:val="13"/>
        <w:spacing w:after="0" w:line="440" w:lineRule="exact"/>
        <w:jc w:val="center"/>
        <w:rPr>
          <w:rFonts w:eastAsia="黑体"/>
          <w:sz w:val="44"/>
          <w:szCs w:val="44"/>
        </w:rPr>
      </w:pPr>
      <w:r>
        <w:rPr>
          <w:rFonts w:hint="eastAsia" w:eastAsia="黑体"/>
          <w:sz w:val="44"/>
          <w:szCs w:val="44"/>
        </w:rPr>
        <w:t>目   录</w:t>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TOC \o "1-3" \u </w:instrText>
      </w:r>
      <w:r>
        <w:rPr>
          <w:rFonts w:hint="eastAsia" w:ascii="宋体" w:hAnsi="宋体" w:eastAsia="宋体" w:cs="宋体"/>
          <w:b w:val="0"/>
          <w:bCs w:val="0"/>
          <w:sz w:val="24"/>
          <w:szCs w:val="24"/>
        </w:rPr>
        <w:fldChar w:fldCharType="separate"/>
      </w:r>
      <w:r>
        <w:rPr>
          <w:rFonts w:hint="default" w:ascii="Times New Roman" w:hAnsi="Times New Roman" w:eastAsia="宋体" w:cs="Times New Roman"/>
          <w:b w:val="0"/>
          <w:bCs w:val="0"/>
          <w:sz w:val="24"/>
          <w:szCs w:val="24"/>
        </w:rPr>
        <w:t>第一部分   摘要</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_Toc14344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第二部分   绩效评价报告</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_Toc22871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一、基本概况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_Toc32754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（一）项目概况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_Toc4540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5</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（二）绩效目标</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_Toc7170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二、绩效评价工作开展情况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_Toc3315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（一）绩效评价目的、对象和范围</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_Toc24259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（二）绩效评价原则、指标体系、依据、方法及标准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_Toc16283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（三）绩效评价工作过程</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_Toc3504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12</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三、综合评价情况及评价结论</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_Toc14152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13</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四、绩效评价指标分析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_Toc3561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（一）决策（13分）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_Toc8951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16</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（二）过程（27分）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_Toc8048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19</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（三）产出（28分）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_Toc9161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22</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（四）效益（32分）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_Toc25439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24</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五、 存在问题</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_Toc20719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27</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（一）预算管理方面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_Toc3251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27</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（二）资金管理方面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_Toc28600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27</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（三）过程管理方面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_Toc22697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28</w:t>
      </w:r>
      <w:r>
        <w:rPr>
          <w:rFonts w:hint="default" w:ascii="Times New Roman" w:hAnsi="Times New Roman" w:eastAsia="宋体" w:cs="Times New Roman"/>
          <w:b w:val="0"/>
          <w:bCs w:val="0"/>
          <w:sz w:val="24"/>
          <w:szCs w:val="24"/>
        </w:rPr>
        <w:fldChar w:fldCharType="end"/>
      </w:r>
    </w:p>
    <w:p>
      <w:pPr>
        <w:pStyle w:val="16"/>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（四）产出方面</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_Toc10506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28</w:t>
      </w:r>
      <w:r>
        <w:rPr>
          <w:rFonts w:hint="default" w:ascii="Times New Roman" w:hAnsi="Times New Roman" w:eastAsia="宋体" w:cs="Times New Roman"/>
          <w:b w:val="0"/>
          <w:bCs w:val="0"/>
          <w:sz w:val="24"/>
          <w:szCs w:val="24"/>
        </w:rPr>
        <w:fldChar w:fldCharType="end"/>
      </w:r>
    </w:p>
    <w:p>
      <w:pPr>
        <w:pStyle w:val="13"/>
        <w:keepNext w:val="0"/>
        <w:keepLines w:val="0"/>
        <w:pageBreakBefore w:val="0"/>
        <w:widowControl w:val="0"/>
        <w:tabs>
          <w:tab w:val="right" w:leader="dot" w:pos="9071"/>
        </w:tabs>
        <w:kinsoku/>
        <w:wordWrap/>
        <w:overflowPunct/>
        <w:topLinePunct w:val="0"/>
        <w:autoSpaceDE/>
        <w:autoSpaceDN/>
        <w:bidi w:val="0"/>
        <w:adjustRightInd/>
        <w:snapToGrid/>
        <w:spacing w:line="240" w:lineRule="auto"/>
        <w:textAlignment w:val="auto"/>
        <w:rPr>
          <w:b w:val="0"/>
          <w:bCs w:val="0"/>
          <w:sz w:val="24"/>
          <w:szCs w:val="24"/>
        </w:rPr>
      </w:pPr>
      <w:r>
        <w:rPr>
          <w:rFonts w:hint="default" w:ascii="Times New Roman" w:hAnsi="Times New Roman" w:eastAsia="宋体" w:cs="Times New Roman"/>
          <w:b w:val="0"/>
          <w:bCs w:val="0"/>
          <w:sz w:val="24"/>
          <w:szCs w:val="24"/>
        </w:rPr>
        <w:t>六、有关建议</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_Toc4794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28</w:t>
      </w:r>
      <w:r>
        <w:rPr>
          <w:rFonts w:hint="default" w:ascii="Times New Roman" w:hAnsi="Times New Roman" w:eastAsia="宋体" w:cs="Times New Roman"/>
          <w:b w:val="0"/>
          <w:bCs w:val="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outlineLvl w:val="1"/>
        <w:rPr>
          <w:rFonts w:ascii="仿宋_GB2312" w:hAnsi="新宋体"/>
          <w:sz w:val="28"/>
          <w:szCs w:val="28"/>
        </w:rPr>
        <w:sectPr>
          <w:footerReference r:id="rId4" w:type="default"/>
          <w:pgSz w:w="11906" w:h="16838"/>
          <w:pgMar w:top="2098" w:right="1304" w:bottom="1531" w:left="1531" w:header="851" w:footer="992" w:gutter="0"/>
          <w:pgNumType w:start="1"/>
          <w:cols w:space="720" w:num="1"/>
          <w:docGrid w:type="lines" w:linePitch="415" w:charSpace="0"/>
        </w:sectPr>
      </w:pPr>
      <w:r>
        <w:rPr>
          <w:rFonts w:hint="eastAsia" w:ascii="宋体" w:hAnsi="宋体" w:eastAsia="宋体" w:cs="宋体"/>
          <w:b w:val="0"/>
          <w:bCs w:val="0"/>
          <w:sz w:val="24"/>
          <w:szCs w:val="24"/>
        </w:rPr>
        <w:fldChar w:fldCharType="end"/>
      </w:r>
    </w:p>
    <w:p>
      <w:pPr>
        <w:spacing w:line="320" w:lineRule="exact"/>
        <w:rPr>
          <w:rFonts w:ascii="新宋体" w:hAnsi="新宋体" w:eastAsia="新宋体"/>
          <w:b/>
          <w:sz w:val="32"/>
        </w:rPr>
      </w:pPr>
      <w:r>
        <w:rPr>
          <w:rFonts w:hint="eastAsia" w:ascii="新宋体" w:hAnsi="新宋体" w:eastAsia="新宋体"/>
        </w:rPr>
        <w:drawing>
          <wp:anchor distT="0" distB="0" distL="114300" distR="114300" simplePos="0" relativeHeight="251658240" behindDoc="0" locked="0" layoutInCell="1" allowOverlap="1">
            <wp:simplePos x="0" y="0"/>
            <wp:positionH relativeFrom="column">
              <wp:posOffset>118110</wp:posOffset>
            </wp:positionH>
            <wp:positionV relativeFrom="paragraph">
              <wp:posOffset>72390</wp:posOffset>
            </wp:positionV>
            <wp:extent cx="1270635" cy="778510"/>
            <wp:effectExtent l="19050" t="0" r="5715" b="0"/>
            <wp:wrapSquare wrapText="bothSides"/>
            <wp:docPr id="30" name="图片 30" descr="标2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标2 拷贝"/>
                    <pic:cNvPicPr>
                      <a:picLocks noChangeAspect="1" noChangeArrowheads="1"/>
                    </pic:cNvPicPr>
                  </pic:nvPicPr>
                  <pic:blipFill>
                    <a:blip r:embed="rId8" cstate="print"/>
                    <a:srcRect/>
                    <a:stretch>
                      <a:fillRect/>
                    </a:stretch>
                  </pic:blipFill>
                  <pic:spPr>
                    <a:xfrm>
                      <a:off x="0" y="0"/>
                      <a:ext cx="1270635" cy="778510"/>
                    </a:xfrm>
                    <a:prstGeom prst="rect">
                      <a:avLst/>
                    </a:prstGeom>
                    <a:noFill/>
                    <a:ln w="9525">
                      <a:noFill/>
                      <a:miter lim="800000"/>
                      <a:headEnd/>
                      <a:tailEnd/>
                    </a:ln>
                    <a:effectLst/>
                  </pic:spPr>
                </pic:pic>
              </a:graphicData>
            </a:graphic>
          </wp:anchor>
        </w:drawing>
      </w:r>
      <w:r>
        <w:rPr>
          <w:rFonts w:hint="eastAsia" w:ascii="新宋体" w:hAnsi="新宋体" w:eastAsia="新宋体"/>
          <w:b/>
          <w:sz w:val="32"/>
        </w:rPr>
        <w:t xml:space="preserve">河 北 德 永 会 计 师 事 务 所 有 限 公 司    </w:t>
      </w:r>
    </w:p>
    <w:p>
      <w:pPr>
        <w:spacing w:line="320" w:lineRule="exact"/>
        <w:rPr>
          <w:rFonts w:ascii="幼圆" w:hAnsi="幼圆" w:eastAsia="幼圆" w:cs="幼圆"/>
          <w:b w:val="0"/>
          <w:bCs/>
          <w:sz w:val="18"/>
          <w:szCs w:val="18"/>
        </w:rPr>
      </w:pPr>
      <w:r>
        <w:rPr>
          <w:rFonts w:hint="eastAsia" w:ascii="幼圆" w:hAnsi="幼圆" w:eastAsia="幼圆" w:cs="幼圆"/>
          <w:b w:val="0"/>
          <w:bCs/>
          <w:sz w:val="18"/>
          <w:szCs w:val="18"/>
        </w:rPr>
        <w:t xml:space="preserve">石家庄市建设南大街269号   No．269jianshesouthstreet Shijiazhuang China </w:t>
      </w:r>
    </w:p>
    <w:p>
      <w:pPr>
        <w:spacing w:line="320" w:lineRule="exact"/>
        <w:rPr>
          <w:rFonts w:ascii="幼圆" w:hAnsi="华文仿宋" w:eastAsia="幼圆"/>
          <w:b w:val="0"/>
          <w:bCs/>
          <w:sz w:val="18"/>
          <w:szCs w:val="18"/>
        </w:rPr>
      </w:pPr>
      <w:r>
        <w:rPr>
          <w:rFonts w:hint="eastAsia" w:ascii="幼圆" w:hAnsi="华文仿宋" w:eastAsia="幼圆"/>
          <w:b w:val="0"/>
          <w:bCs/>
          <w:sz w:val="18"/>
          <w:szCs w:val="18"/>
        </w:rPr>
        <w:t>Tel： （031</w:t>
      </w:r>
      <w:r>
        <w:rPr>
          <w:rFonts w:ascii="幼圆" w:hAnsi="华文仿宋" w:eastAsia="幼圆"/>
          <w:b w:val="0"/>
          <w:bCs/>
          <w:sz w:val="18"/>
          <w:szCs w:val="18"/>
        </w:rPr>
        <w:t>1</w:t>
      </w:r>
      <w:r>
        <w:rPr>
          <w:rFonts w:hint="eastAsia" w:ascii="幼圆" w:hAnsi="华文仿宋" w:eastAsia="幼圆"/>
          <w:b w:val="0"/>
          <w:bCs/>
          <w:sz w:val="18"/>
          <w:szCs w:val="18"/>
        </w:rPr>
        <w:t>）69053105   69053103               Fax： （0311）69053103</w:t>
      </w:r>
    </w:p>
    <w:p>
      <w:pPr>
        <w:spacing w:line="320" w:lineRule="exact"/>
        <w:rPr>
          <w:rFonts w:ascii="新宋体" w:hAnsi="新宋体" w:eastAsia="新宋体"/>
          <w:b w:val="0"/>
          <w:bCs/>
          <w:sz w:val="18"/>
          <w:szCs w:val="18"/>
        </w:rPr>
      </w:pPr>
      <w:r>
        <w:rPr>
          <w:rFonts w:hint="eastAsia" w:ascii="幼圆" w:eastAsia="幼圆"/>
          <w:b w:val="0"/>
          <w:bCs/>
          <w:sz w:val="18"/>
          <w:szCs w:val="18"/>
        </w:rPr>
        <w:t>E-Mail: hebeidey@126.com</w:t>
      </w:r>
    </w:p>
    <w:p>
      <w:pPr>
        <w:wordWrap w:val="0"/>
        <w:jc w:val="right"/>
        <w:rPr>
          <w:rFonts w:ascii="宋体" w:hAnsi="宋体" w:eastAsia="宋体" w:cs="宋体"/>
          <w:b/>
          <w:sz w:val="21"/>
          <w:szCs w:val="21"/>
        </w:rPr>
      </w:pPr>
      <w:r>
        <w:rPr>
          <w:rFonts w:ascii="幼圆" w:eastAsia="幼圆"/>
          <w:b/>
          <w:szCs w:val="21"/>
        </w:rPr>
        <w:pict>
          <v:line id="_x0000_s1055" o:spid="_x0000_s1055" o:spt="20" style="position:absolute;left:0pt;flip:y;margin-left:-120.35pt;margin-top:3pt;height:0.8pt;width:459pt;z-index:251657216;mso-width-relative:page;mso-height-relative:page;" coordsize="21600,21600">
            <v:path arrowok="t"/>
            <v:fill focussize="0,0"/>
            <v:stroke weight="1pt"/>
            <v:imagedata o:title=""/>
            <o:lock v:ext="edit"/>
          </v:line>
        </w:pict>
      </w:r>
      <w:r>
        <w:rPr>
          <w:rFonts w:hint="eastAsia" w:ascii="宋体" w:hAnsi="宋体" w:eastAsia="宋体" w:cs="宋体"/>
          <w:b/>
          <w:sz w:val="21"/>
          <w:szCs w:val="21"/>
        </w:rPr>
        <w:t>冀德永评价字（2020）第</w:t>
      </w:r>
      <w:r>
        <w:rPr>
          <w:rFonts w:hint="eastAsia" w:ascii="宋体" w:hAnsi="宋体" w:eastAsia="宋体" w:cs="宋体"/>
          <w:b/>
          <w:sz w:val="21"/>
          <w:szCs w:val="21"/>
          <w:highlight w:val="yellow"/>
        </w:rPr>
        <w:t>6046号</w:t>
      </w:r>
    </w:p>
    <w:p>
      <w:pPr>
        <w:spacing w:line="580" w:lineRule="exact"/>
        <w:jc w:val="center"/>
        <w:rPr>
          <w:rFonts w:ascii="宋体" w:hAnsi="宋体" w:eastAsia="宋体" w:cs="宋体"/>
          <w:b/>
          <w:sz w:val="44"/>
          <w:szCs w:val="44"/>
        </w:rPr>
      </w:pPr>
      <w:r>
        <w:rPr>
          <w:rFonts w:hint="eastAsia" w:ascii="宋体" w:hAnsi="宋体" w:eastAsia="宋体" w:cs="宋体"/>
          <w:b/>
          <w:sz w:val="44"/>
          <w:szCs w:val="44"/>
        </w:rPr>
        <w:t>徐水区2019年度就业补助资金项目</w:t>
      </w:r>
    </w:p>
    <w:p>
      <w:pPr>
        <w:spacing w:line="580" w:lineRule="exact"/>
        <w:jc w:val="center"/>
        <w:rPr>
          <w:rFonts w:ascii="宋体" w:hAnsi="宋体" w:eastAsia="宋体" w:cs="宋体"/>
          <w:b/>
          <w:sz w:val="44"/>
          <w:szCs w:val="44"/>
        </w:rPr>
      </w:pPr>
      <w:r>
        <w:rPr>
          <w:rFonts w:hint="eastAsia" w:ascii="宋体" w:hAnsi="宋体" w:eastAsia="宋体" w:cs="宋体"/>
          <w:b/>
          <w:sz w:val="44"/>
          <w:szCs w:val="44"/>
        </w:rPr>
        <w:t>绩效评价报告</w:t>
      </w:r>
    </w:p>
    <w:p>
      <w:pPr>
        <w:spacing w:line="580" w:lineRule="exact"/>
        <w:rPr>
          <w:rFonts w:ascii="仿宋_GB2312" w:hAnsi="仿宋_GB2312"/>
          <w:sz w:val="32"/>
          <w:szCs w:val="32"/>
        </w:rPr>
      </w:pPr>
      <w:r>
        <w:rPr>
          <w:rFonts w:hint="eastAsia" w:ascii="仿宋_GB2312" w:hAnsi="仿宋_GB2312"/>
          <w:sz w:val="32"/>
          <w:szCs w:val="32"/>
        </w:rPr>
        <w:t>保定市徐水区财政局：</w:t>
      </w:r>
    </w:p>
    <w:p>
      <w:pPr>
        <w:spacing w:line="580" w:lineRule="exact"/>
        <w:ind w:firstLine="640" w:firstLineChars="200"/>
        <w:rPr>
          <w:rFonts w:ascii="仿宋_GB2312" w:hAnsi="仿宋_GB2312"/>
          <w:sz w:val="32"/>
          <w:szCs w:val="32"/>
        </w:rPr>
      </w:pPr>
      <w:r>
        <w:rPr>
          <w:rFonts w:hint="eastAsia" w:ascii="仿宋_GB2312" w:hAnsi="仿宋_GB2312"/>
          <w:sz w:val="32"/>
          <w:szCs w:val="32"/>
        </w:rPr>
        <w:t>我们接受贵单位的委托，于2020年4月25日至2020年5月30日对保定市徐水区人力资源和社会保障局（以下简称“区人社局”）承担的徐水区2019年度就业补助资金项目（以下简称“该项目”）进行了绩效评价。与绩效评价有关</w:t>
      </w:r>
      <w:r>
        <w:rPr>
          <w:rFonts w:hint="eastAsia" w:ascii="仿宋_GB2312" w:hAnsi="仿宋_GB2312"/>
          <w:sz w:val="32"/>
          <w:szCs w:val="32"/>
          <w:lang w:val="en-US" w:eastAsia="zh-CN"/>
        </w:rPr>
        <w:t>的</w:t>
      </w:r>
      <w:r>
        <w:rPr>
          <w:rFonts w:hint="eastAsia" w:ascii="仿宋_GB2312" w:hAnsi="仿宋_GB2312"/>
          <w:sz w:val="32"/>
          <w:szCs w:val="32"/>
        </w:rPr>
        <w:t>项目资料由项目相关单位提供，并对项目相关资料的真实性、完整性、合法性负责。我们的责任是根据项目相关资料，对项目从决策、过程、产出、效益</w:t>
      </w:r>
      <w:r>
        <w:rPr>
          <w:rFonts w:hint="eastAsia"/>
          <w:sz w:val="32"/>
          <w:szCs w:val="32"/>
        </w:rPr>
        <w:t>四个方面</w:t>
      </w:r>
      <w:r>
        <w:rPr>
          <w:rFonts w:hint="eastAsia" w:ascii="仿宋_GB2312" w:hAnsi="仿宋_GB2312"/>
          <w:sz w:val="32"/>
          <w:szCs w:val="32"/>
        </w:rPr>
        <w:t>和执行国家法律、法规的情况提出评价意见。</w:t>
      </w:r>
    </w:p>
    <w:p>
      <w:pPr>
        <w:spacing w:line="580" w:lineRule="exact"/>
        <w:ind w:firstLine="640" w:firstLineChars="200"/>
        <w:rPr>
          <w:rFonts w:ascii="仿宋_GB2312" w:hAnsi="仿宋_GB2312"/>
          <w:sz w:val="32"/>
          <w:szCs w:val="32"/>
        </w:rPr>
      </w:pPr>
      <w:r>
        <w:rPr>
          <w:rFonts w:hint="eastAsia" w:ascii="仿宋_GB2312" w:hAnsi="仿宋_GB2312"/>
          <w:sz w:val="32"/>
          <w:szCs w:val="32"/>
        </w:rPr>
        <w:t>我们的绩效评价工作是依据《中国注册会计师执业准则》和财政部门的相关规定进行的。在评价工作中，我们结合被评价项目的实际情况实施了包括询问、资料查看、电话回访等评价手段。绩效评价工作现已完成，评价情况如下：</w:t>
      </w:r>
    </w:p>
    <w:p>
      <w:pPr>
        <w:spacing w:line="580" w:lineRule="exact"/>
        <w:ind w:firstLine="600" w:firstLineChars="200"/>
        <w:rPr>
          <w:rFonts w:ascii="仿宋_GB2312" w:hAnsi="仿宋_GB2312"/>
          <w:szCs w:val="30"/>
        </w:rPr>
      </w:pPr>
    </w:p>
    <w:p>
      <w:pPr>
        <w:spacing w:line="580" w:lineRule="exact"/>
        <w:rPr>
          <w:rFonts w:ascii="仿宋_GB2312" w:hAnsi="仿宋_GB2312"/>
          <w:szCs w:val="30"/>
        </w:rPr>
      </w:pPr>
    </w:p>
    <w:p>
      <w:pPr>
        <w:spacing w:line="580" w:lineRule="exact"/>
        <w:rPr>
          <w:rFonts w:ascii="仿宋_GB2312" w:hAnsi="仿宋_GB2312"/>
          <w:szCs w:val="30"/>
        </w:rPr>
      </w:pPr>
    </w:p>
    <w:p>
      <w:pPr>
        <w:spacing w:line="580" w:lineRule="exact"/>
        <w:rPr>
          <w:rFonts w:ascii="仿宋_GB2312" w:hAnsi="仿宋_GB2312"/>
          <w:szCs w:val="30"/>
        </w:rPr>
      </w:pPr>
    </w:p>
    <w:p>
      <w:pPr>
        <w:pStyle w:val="19"/>
        <w:spacing w:before="0" w:after="360" w:line="580" w:lineRule="exact"/>
        <w:jc w:val="both"/>
        <w:rPr>
          <w:rFonts w:ascii="黑体" w:hAnsi="黑体" w:eastAsia="黑体"/>
        </w:rPr>
      </w:pPr>
      <w:bookmarkStart w:id="0" w:name="_Toc38821358"/>
      <w:bookmarkStart w:id="1" w:name="_Toc8224135"/>
    </w:p>
    <w:p>
      <w:pPr>
        <w:pStyle w:val="19"/>
        <w:spacing w:before="0" w:after="360" w:line="580" w:lineRule="exact"/>
        <w:rPr>
          <w:rFonts w:ascii="黑体" w:hAnsi="黑体" w:eastAsia="黑体"/>
        </w:rPr>
      </w:pPr>
      <w:bookmarkStart w:id="2" w:name="_Toc41137179"/>
      <w:bookmarkStart w:id="3" w:name="_Toc14344"/>
      <w:r>
        <w:rPr>
          <w:rFonts w:ascii="黑体" w:hAnsi="黑体" w:eastAsia="黑体"/>
        </w:rPr>
        <w:t>第一部分   摘要</w:t>
      </w:r>
      <w:bookmarkEnd w:id="0"/>
      <w:bookmarkEnd w:id="1"/>
      <w:bookmarkEnd w:id="2"/>
      <w:bookmarkEnd w:id="3"/>
    </w:p>
    <w:p>
      <w:pPr>
        <w:spacing w:line="580" w:lineRule="exact"/>
        <w:ind w:firstLine="640" w:firstLineChars="200"/>
        <w:rPr>
          <w:rFonts w:hint="default" w:ascii="仿宋_GB2312" w:hAnsi="仿宋_GB2312" w:eastAsia="仿宋_GB2312"/>
          <w:sz w:val="32"/>
          <w:szCs w:val="32"/>
          <w:lang w:val="en-US" w:eastAsia="zh-CN"/>
        </w:rPr>
      </w:pPr>
      <w:bookmarkStart w:id="4" w:name="_Toc39666629"/>
      <w:r>
        <w:rPr>
          <w:rFonts w:hint="eastAsia" w:ascii="仿宋_GB2312" w:hAnsi="仿宋_GB2312"/>
          <w:sz w:val="32"/>
          <w:szCs w:val="32"/>
        </w:rPr>
        <w:t>为进一步促进就业鼓励创业</w:t>
      </w:r>
      <w:r>
        <w:rPr>
          <w:rFonts w:hint="eastAsia" w:ascii="仿宋_GB2312" w:hAnsi="仿宋_GB2312"/>
          <w:sz w:val="32"/>
          <w:szCs w:val="32"/>
          <w:lang w:eastAsia="zh-CN"/>
        </w:rPr>
        <w:t>、</w:t>
      </w:r>
      <w:r>
        <w:rPr>
          <w:rFonts w:hint="eastAsia" w:ascii="仿宋_GB2312" w:hAnsi="仿宋_GB2312"/>
          <w:sz w:val="32"/>
          <w:szCs w:val="32"/>
        </w:rPr>
        <w:t>贯彻落实各项就业政策及河北省人民政府《关于进一步做好新形势下就业创业工作的实施意见》</w:t>
      </w:r>
      <w:r>
        <w:rPr>
          <w:rFonts w:hint="eastAsia" w:ascii="仿宋_GB2312" w:hAnsi="仿宋_GB2312"/>
          <w:sz w:val="32"/>
          <w:szCs w:val="32"/>
          <w:lang w:eastAsia="zh-CN"/>
        </w:rPr>
        <w:t>的</w:t>
      </w:r>
      <w:r>
        <w:rPr>
          <w:rFonts w:hint="eastAsia" w:ascii="仿宋_GB2312" w:hAnsi="仿宋_GB2312"/>
          <w:sz w:val="32"/>
          <w:szCs w:val="32"/>
        </w:rPr>
        <w:t>文件精神，保定市徐水区人力资源和社会保障局</w:t>
      </w:r>
      <w:r>
        <w:rPr>
          <w:rFonts w:hint="eastAsia" w:ascii="仿宋_GB2312" w:hAnsi="仿宋_GB2312"/>
          <w:sz w:val="32"/>
          <w:szCs w:val="32"/>
          <w:lang w:val="en-US" w:eastAsia="zh-CN"/>
        </w:rPr>
        <w:t>积极宣传就业创业政策，并对</w:t>
      </w:r>
      <w:r>
        <w:rPr>
          <w:rFonts w:hint="eastAsia" w:ascii="仿宋_GB2312" w:hAnsi="仿宋_GB2312"/>
          <w:sz w:val="32"/>
          <w:szCs w:val="32"/>
        </w:rPr>
        <w:t>就业补助资金</w:t>
      </w:r>
      <w:r>
        <w:rPr>
          <w:rFonts w:hint="eastAsia" w:ascii="仿宋_GB2312" w:hAnsi="仿宋_GB2312"/>
          <w:sz w:val="32"/>
          <w:szCs w:val="32"/>
          <w:lang w:val="en-US" w:eastAsia="zh-CN"/>
        </w:rPr>
        <w:t>的使用情况</w:t>
      </w:r>
      <w:r>
        <w:rPr>
          <w:rFonts w:hint="eastAsia" w:ascii="仿宋_GB2312" w:hAnsi="仿宋_GB2312"/>
          <w:sz w:val="32"/>
          <w:szCs w:val="32"/>
        </w:rPr>
        <w:t>进行管理</w:t>
      </w:r>
      <w:r>
        <w:rPr>
          <w:rFonts w:hint="eastAsia" w:ascii="仿宋_GB2312" w:hAnsi="仿宋_GB2312"/>
          <w:sz w:val="32"/>
          <w:szCs w:val="32"/>
          <w:lang w:val="en-US" w:eastAsia="zh-CN"/>
        </w:rPr>
        <w:t>和</w:t>
      </w:r>
      <w:r>
        <w:rPr>
          <w:rFonts w:hint="eastAsia" w:ascii="仿宋_GB2312" w:hAnsi="仿宋_GB2312"/>
          <w:sz w:val="32"/>
          <w:szCs w:val="32"/>
        </w:rPr>
        <w:t>监督。</w:t>
      </w:r>
      <w:r>
        <w:rPr>
          <w:rFonts w:hint="eastAsia" w:ascii="仿宋_GB2312" w:hAnsi="仿宋_GB2312"/>
          <w:sz w:val="32"/>
          <w:szCs w:val="32"/>
          <w:lang w:val="en-US" w:eastAsia="zh-CN"/>
        </w:rPr>
        <w:t>我们接受保定市徐水区财政局的委托对区人社局实施的2019年度就业补助资金项目进行了绩效评价。</w:t>
      </w:r>
    </w:p>
    <w:p>
      <w:pPr>
        <w:spacing w:line="580" w:lineRule="exact"/>
        <w:ind w:firstLine="640" w:firstLineChars="200"/>
        <w:rPr>
          <w:rFonts w:hint="eastAsia" w:ascii="仿宋_GB2312" w:hAnsi="仿宋_GB2312"/>
          <w:bCs/>
          <w:sz w:val="32"/>
          <w:szCs w:val="32"/>
          <w:highlight w:val="none"/>
        </w:rPr>
      </w:pPr>
      <w:r>
        <w:rPr>
          <w:rFonts w:hint="eastAsia" w:ascii="仿宋_GB2312" w:hAnsi="仿宋_GB2312"/>
          <w:bCs/>
          <w:sz w:val="32"/>
          <w:szCs w:val="32"/>
        </w:rPr>
        <w:t>该项目预算资金800万元（中央资金600万元，省级资金200万元），实际支出566.06万元，2019年当年结余资金233.94万元，累计结余257.28万元</w:t>
      </w:r>
      <w:r>
        <w:rPr>
          <w:rFonts w:hint="eastAsia" w:ascii="仿宋_GB2312" w:hAnsi="仿宋_GB2312"/>
          <w:bCs/>
          <w:sz w:val="32"/>
          <w:szCs w:val="32"/>
          <w:highlight w:val="none"/>
        </w:rPr>
        <w:t>。</w:t>
      </w:r>
    </w:p>
    <w:p>
      <w:pPr>
        <w:spacing w:line="580" w:lineRule="exact"/>
        <w:ind w:firstLine="640" w:firstLineChars="200"/>
        <w:rPr>
          <w:rFonts w:hint="eastAsia" w:ascii="仿宋_GB2312" w:hAnsi="仿宋_GB2312"/>
          <w:sz w:val="32"/>
          <w:szCs w:val="32"/>
          <w:highlight w:val="yellow"/>
        </w:rPr>
      </w:pPr>
      <w:r>
        <w:rPr>
          <w:rFonts w:hint="eastAsia" w:ascii="仿宋_GB2312" w:hAnsi="仿宋_GB2312"/>
          <w:sz w:val="32"/>
          <w:szCs w:val="32"/>
          <w:highlight w:val="none"/>
        </w:rPr>
        <w:t>2019年徐水区享受就业补助资金补贴人数共计2154人</w:t>
      </w:r>
      <w:r>
        <w:rPr>
          <w:rFonts w:hint="eastAsia" w:ascii="仿宋_GB2312" w:hAnsi="仿宋_GB2312"/>
          <w:sz w:val="32"/>
          <w:szCs w:val="32"/>
          <w:highlight w:val="none"/>
          <w:lang w:eastAsia="zh-CN"/>
        </w:rPr>
        <w:t>，</w:t>
      </w:r>
      <w:r>
        <w:rPr>
          <w:rFonts w:hint="eastAsia" w:ascii="仿宋_GB2312" w:hAnsi="仿宋_GB2312"/>
          <w:sz w:val="32"/>
          <w:szCs w:val="32"/>
          <w:highlight w:val="none"/>
        </w:rPr>
        <w:t>年末城镇登记失业率3.16%</w:t>
      </w:r>
      <w:r>
        <w:rPr>
          <w:rFonts w:hint="eastAsia" w:ascii="仿宋_GB2312" w:hAnsi="仿宋_GB2312"/>
          <w:sz w:val="32"/>
          <w:szCs w:val="32"/>
          <w:highlight w:val="none"/>
          <w:lang w:eastAsia="zh-CN"/>
        </w:rPr>
        <w:t>，</w:t>
      </w:r>
      <w:r>
        <w:rPr>
          <w:rFonts w:hint="eastAsia" w:ascii="仿宋_GB2312" w:hAnsi="仿宋_GB2312"/>
          <w:sz w:val="32"/>
          <w:szCs w:val="32"/>
          <w:highlight w:val="none"/>
          <w:lang w:val="en-US" w:eastAsia="zh-CN"/>
        </w:rPr>
        <w:t>当年全区新增就业人数4016人，就业困难人员再就业人数504人</w:t>
      </w:r>
      <w:r>
        <w:rPr>
          <w:rFonts w:hint="eastAsia" w:ascii="仿宋_GB2312" w:hAnsi="仿宋_GB2312"/>
          <w:sz w:val="32"/>
          <w:szCs w:val="32"/>
          <w:highlight w:val="none"/>
          <w:lang w:eastAsia="zh-CN"/>
        </w:rPr>
        <w:t>。</w:t>
      </w:r>
      <w:bookmarkEnd w:id="4"/>
    </w:p>
    <w:p>
      <w:pPr>
        <w:spacing w:line="580" w:lineRule="exact"/>
        <w:ind w:firstLine="640" w:firstLineChars="200"/>
        <w:rPr>
          <w:rFonts w:ascii="仿宋" w:hAnsi="仿宋" w:eastAsia="仿宋"/>
          <w:sz w:val="32"/>
          <w:szCs w:val="32"/>
        </w:rPr>
      </w:pPr>
      <w:r>
        <w:rPr>
          <w:rFonts w:hint="eastAsia" w:ascii="仿宋" w:hAnsi="仿宋" w:eastAsia="仿宋"/>
          <w:sz w:val="32"/>
          <w:szCs w:val="32"/>
        </w:rPr>
        <w:t>综合评价，徐水区2019年度就业补助资金项目绩效评价得分90.07分，评价等级为“优”。</w:t>
      </w:r>
    </w:p>
    <w:p>
      <w:pPr>
        <w:spacing w:line="580" w:lineRule="exact"/>
        <w:ind w:firstLine="640" w:firstLineChars="200"/>
        <w:rPr>
          <w:rFonts w:ascii="仿宋_GB2312" w:cs="DengXian-Regular"/>
          <w:sz w:val="32"/>
          <w:szCs w:val="32"/>
          <w:highlight w:val="none"/>
        </w:rPr>
      </w:pPr>
      <w:r>
        <w:rPr>
          <w:rFonts w:hint="eastAsia" w:ascii="仿宋_GB2312" w:cs="DengXian-Regular"/>
          <w:sz w:val="32"/>
          <w:szCs w:val="32"/>
        </w:rPr>
        <w:t>从</w:t>
      </w:r>
      <w:r>
        <w:rPr>
          <w:rFonts w:hint="eastAsia" w:ascii="仿宋_GB2312" w:cs="DengXian-Regular"/>
          <w:sz w:val="32"/>
          <w:szCs w:val="32"/>
          <w:lang w:val="en-US" w:eastAsia="zh-CN"/>
        </w:rPr>
        <w:t>项目实施的</w:t>
      </w:r>
      <w:r>
        <w:rPr>
          <w:rFonts w:hint="eastAsia" w:ascii="仿宋_GB2312" w:cs="DengXian-Regular"/>
          <w:sz w:val="32"/>
          <w:szCs w:val="32"/>
        </w:rPr>
        <w:t>总体情况看，该项目取得了一定的成绩，具体表现为：（1）补贴政策惠及群体</w:t>
      </w:r>
      <w:r>
        <w:rPr>
          <w:rFonts w:hint="eastAsia" w:ascii="仿宋_GB2312" w:cs="DengXian-Regular"/>
          <w:sz w:val="32"/>
          <w:szCs w:val="32"/>
          <w:lang w:val="en-US" w:eastAsia="zh-CN"/>
        </w:rPr>
        <w:t>覆盖面越来越广、人数越来越</w:t>
      </w:r>
      <w:r>
        <w:rPr>
          <w:rFonts w:hint="eastAsia" w:ascii="仿宋_GB2312" w:cs="DengXian-Regular"/>
          <w:sz w:val="32"/>
          <w:szCs w:val="32"/>
          <w:highlight w:val="none"/>
          <w:lang w:val="en-US" w:eastAsia="zh-CN"/>
        </w:rPr>
        <w:t>多</w:t>
      </w:r>
      <w:r>
        <w:rPr>
          <w:rFonts w:hint="eastAsia" w:ascii="仿宋_GB2312" w:cs="DengXian-Regular"/>
          <w:sz w:val="32"/>
          <w:szCs w:val="32"/>
          <w:highlight w:val="none"/>
        </w:rPr>
        <w:t>；（2）</w:t>
      </w:r>
      <w:r>
        <w:rPr>
          <w:rFonts w:hint="eastAsia" w:ascii="仿宋_GB2312" w:cs="DengXian-Regular"/>
          <w:sz w:val="32"/>
          <w:szCs w:val="32"/>
          <w:highlight w:val="none"/>
          <w:lang w:val="en-US" w:eastAsia="zh-CN"/>
        </w:rPr>
        <w:t>任务目标完成情况良好</w:t>
      </w:r>
      <w:r>
        <w:rPr>
          <w:rFonts w:hint="eastAsia" w:ascii="仿宋_GB2312" w:cs="DengXian-Regular"/>
          <w:sz w:val="32"/>
          <w:szCs w:val="32"/>
          <w:highlight w:val="none"/>
        </w:rPr>
        <w:t>；（3）</w:t>
      </w:r>
      <w:r>
        <w:rPr>
          <w:rFonts w:hint="eastAsia" w:ascii="仿宋_GB2312" w:cs="DengXian-Regular"/>
          <w:sz w:val="32"/>
          <w:szCs w:val="32"/>
          <w:highlight w:val="none"/>
          <w:lang w:val="en-US" w:eastAsia="zh-CN"/>
        </w:rPr>
        <w:t>相关管理制度健全、执行有效</w:t>
      </w:r>
      <w:r>
        <w:rPr>
          <w:rFonts w:hint="eastAsia" w:ascii="仿宋_GB2312" w:cs="DengXian-Regular"/>
          <w:sz w:val="32"/>
          <w:szCs w:val="32"/>
          <w:highlight w:val="none"/>
        </w:rPr>
        <w:t>；（4）产出数量、</w:t>
      </w:r>
      <w:r>
        <w:rPr>
          <w:rFonts w:hint="eastAsia" w:ascii="仿宋_GB2312" w:cs="DengXian-Regular"/>
          <w:sz w:val="32"/>
          <w:szCs w:val="32"/>
          <w:highlight w:val="none"/>
          <w:lang w:val="en-US" w:eastAsia="zh-CN"/>
        </w:rPr>
        <w:t>产出</w:t>
      </w:r>
      <w:r>
        <w:rPr>
          <w:rFonts w:hint="eastAsia" w:ascii="仿宋_GB2312" w:cs="DengXian-Regular"/>
          <w:sz w:val="32"/>
          <w:szCs w:val="32"/>
          <w:highlight w:val="none"/>
        </w:rPr>
        <w:t>时效及</w:t>
      </w:r>
      <w:r>
        <w:rPr>
          <w:rFonts w:hint="eastAsia" w:ascii="仿宋_GB2312" w:cs="DengXian-Regular"/>
          <w:sz w:val="32"/>
          <w:szCs w:val="32"/>
          <w:highlight w:val="none"/>
          <w:lang w:val="en-US" w:eastAsia="zh-CN"/>
        </w:rPr>
        <w:t>产出成本指标</w:t>
      </w:r>
      <w:r>
        <w:rPr>
          <w:rFonts w:hint="eastAsia" w:ascii="仿宋_GB2312" w:cs="DengXian-Regular"/>
          <w:sz w:val="32"/>
          <w:szCs w:val="32"/>
          <w:highlight w:val="none"/>
        </w:rPr>
        <w:t>完成情况良好。</w:t>
      </w:r>
    </w:p>
    <w:p>
      <w:pPr>
        <w:spacing w:line="580" w:lineRule="exact"/>
        <w:ind w:firstLine="640" w:firstLineChars="200"/>
        <w:rPr>
          <w:rFonts w:ascii="仿宋_GB2312" w:cs="DengXian-Regular"/>
          <w:sz w:val="32"/>
          <w:szCs w:val="32"/>
        </w:rPr>
      </w:pPr>
      <w:r>
        <w:rPr>
          <w:rFonts w:hint="eastAsia" w:ascii="仿宋_GB2312" w:cs="DengXian-Regular"/>
          <w:sz w:val="32"/>
          <w:szCs w:val="32"/>
        </w:rPr>
        <w:t>该项目取得的成绩是肯定的，但通过本次绩效评价工作，我们也发现该项目在预算管理、过程管理、产出</w:t>
      </w:r>
      <w:r>
        <w:rPr>
          <w:rFonts w:hint="eastAsia" w:ascii="仿宋_GB2312" w:cs="DengXian-Regular"/>
          <w:sz w:val="32"/>
          <w:szCs w:val="32"/>
          <w:lang w:val="en-US" w:eastAsia="zh-CN"/>
        </w:rPr>
        <w:t>等</w:t>
      </w:r>
      <w:r>
        <w:rPr>
          <w:rFonts w:hint="eastAsia" w:ascii="仿宋_GB2312" w:cs="DengXian-Regular"/>
          <w:sz w:val="32"/>
          <w:szCs w:val="32"/>
        </w:rPr>
        <w:t>方面仍存在一些不足之处，具体如下：</w:t>
      </w:r>
    </w:p>
    <w:p>
      <w:pPr>
        <w:spacing w:line="580" w:lineRule="exact"/>
        <w:ind w:firstLine="640" w:firstLineChars="200"/>
        <w:rPr>
          <w:rFonts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预算管理方面：（1）预算编制不完整；（2）绩效目标未具体量化，无法与预算确定的资金量相匹配。</w:t>
      </w:r>
    </w:p>
    <w:p>
      <w:pPr>
        <w:spacing w:line="580" w:lineRule="exact"/>
        <w:ind w:firstLine="640" w:firstLineChars="200"/>
        <w:rPr>
          <w:rFonts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资金管理方面：预算执行率较低，资金结余量较大。</w:t>
      </w:r>
    </w:p>
    <w:p>
      <w:pPr>
        <w:spacing w:line="580" w:lineRule="exact"/>
        <w:ind w:firstLine="640" w:firstLineChars="200"/>
        <w:rPr>
          <w:rFonts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项目管理方面：个别补贴类别的公示公开信息不完整。</w:t>
      </w:r>
    </w:p>
    <w:p>
      <w:pPr>
        <w:spacing w:line="580" w:lineRule="exact"/>
        <w:ind w:firstLine="640" w:firstLineChars="200"/>
        <w:rPr>
          <w:rFonts w:ascii="仿宋_GB2312" w:cs="DengXian-Regular"/>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产出方面：职业技能培训合格率较低，产出质量较差。</w:t>
      </w:r>
    </w:p>
    <w:p>
      <w:pPr>
        <w:spacing w:line="580" w:lineRule="exact"/>
        <w:ind w:firstLine="640" w:firstLineChars="200"/>
        <w:rPr>
          <w:rFonts w:ascii="仿宋_GB2312" w:cs="DengXian-Regular"/>
          <w:sz w:val="32"/>
          <w:szCs w:val="32"/>
        </w:rPr>
      </w:pPr>
      <w:r>
        <w:rPr>
          <w:rFonts w:hint="eastAsia" w:ascii="仿宋_GB2312" w:cs="DengXian-Regular"/>
          <w:sz w:val="32"/>
          <w:szCs w:val="32"/>
        </w:rPr>
        <w:t>针对上述发现的问题，为进一步提升项目</w:t>
      </w:r>
      <w:r>
        <w:rPr>
          <w:rFonts w:hint="eastAsia" w:ascii="仿宋_GB2312" w:cs="DengXian-Regular"/>
          <w:sz w:val="32"/>
          <w:szCs w:val="32"/>
          <w:lang w:eastAsia="zh-CN"/>
        </w:rPr>
        <w:t>相关</w:t>
      </w:r>
      <w:r>
        <w:rPr>
          <w:rFonts w:hint="eastAsia" w:ascii="仿宋_GB2312" w:cs="DengXian-Regular"/>
          <w:sz w:val="32"/>
          <w:szCs w:val="32"/>
        </w:rPr>
        <w:t>单位今后的项目管理水平，提出以下建议：</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预算管理方面</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1）针对预算编制不完整的问题，建议项目相关单位强化预算的基础编制工作，结合项目上年度执行情况及预算年度预计变动情况，科学、合理、全面、准确地确定项目支出预算金额，提高预算编制质量，同时预算编制过程中要加强财务</w:t>
      </w:r>
      <w:r>
        <w:rPr>
          <w:rFonts w:hint="eastAsia" w:ascii="仿宋_GB2312" w:cs="DengXian-Regular"/>
          <w:sz w:val="32"/>
          <w:szCs w:val="32"/>
          <w:lang w:val="en-US" w:eastAsia="zh-CN"/>
        </w:rPr>
        <w:t>与</w:t>
      </w:r>
      <w:r>
        <w:rPr>
          <w:rFonts w:hint="eastAsia" w:ascii="仿宋_GB2312" w:cs="DengXian-Regular"/>
          <w:sz w:val="32"/>
          <w:szCs w:val="32"/>
        </w:rPr>
        <w:t>相关业务部门的沟通，使预算编制更切合实际，充分发挥预算约束作用。</w:t>
      </w:r>
    </w:p>
    <w:p>
      <w:pPr>
        <w:spacing w:line="580" w:lineRule="exact"/>
        <w:ind w:firstLine="640" w:firstLineChars="200"/>
        <w:rPr>
          <w:rFonts w:ascii="仿宋_GB2312" w:cs="DengXian-Regular"/>
          <w:sz w:val="32"/>
          <w:szCs w:val="32"/>
        </w:rPr>
      </w:pPr>
      <w:r>
        <w:rPr>
          <w:rFonts w:hint="eastAsia" w:ascii="仿宋_GB2312" w:cs="DengXian-Regular"/>
          <w:sz w:val="32"/>
          <w:szCs w:val="32"/>
        </w:rPr>
        <w:t>（2）针对绩效目标未具体量化，无法与预算确定的资金量相匹配的问题，建议项目相关单位在制定绩效目标时</w:t>
      </w:r>
      <w:r>
        <w:rPr>
          <w:rFonts w:hint="eastAsia" w:ascii="仿宋_GB2312" w:cs="DengXian-Regular"/>
          <w:sz w:val="32"/>
          <w:szCs w:val="32"/>
          <w:lang w:eastAsia="zh-CN"/>
        </w:rPr>
        <w:t>充分考虑绩效目标</w:t>
      </w:r>
      <w:r>
        <w:rPr>
          <w:rFonts w:hint="eastAsia" w:ascii="仿宋_GB2312" w:cs="DengXian-Regular"/>
          <w:sz w:val="32"/>
          <w:szCs w:val="32"/>
        </w:rPr>
        <w:t>与预算确定的资金量</w:t>
      </w:r>
      <w:r>
        <w:rPr>
          <w:rFonts w:hint="eastAsia" w:ascii="仿宋_GB2312" w:cs="DengXian-Regular"/>
          <w:sz w:val="32"/>
          <w:szCs w:val="32"/>
          <w:lang w:eastAsia="zh-CN"/>
        </w:rPr>
        <w:t>的</w:t>
      </w:r>
      <w:r>
        <w:rPr>
          <w:rFonts w:hint="eastAsia" w:ascii="仿宋_GB2312" w:cs="DengXian-Regular"/>
          <w:sz w:val="32"/>
          <w:szCs w:val="32"/>
        </w:rPr>
        <w:t>匹配</w:t>
      </w:r>
      <w:r>
        <w:rPr>
          <w:rFonts w:hint="eastAsia" w:ascii="仿宋_GB2312" w:cs="DengXian-Regular"/>
          <w:sz w:val="32"/>
          <w:szCs w:val="32"/>
          <w:lang w:eastAsia="zh-CN"/>
        </w:rPr>
        <w:t>性</w:t>
      </w:r>
      <w:r>
        <w:rPr>
          <w:rFonts w:hint="eastAsia" w:ascii="仿宋_GB2312" w:cs="DengXian-Regular"/>
          <w:sz w:val="32"/>
          <w:szCs w:val="32"/>
        </w:rPr>
        <w:t>，并将绩效目标量化，便于对目标</w:t>
      </w:r>
      <w:r>
        <w:rPr>
          <w:rFonts w:hint="eastAsia" w:ascii="仿宋_GB2312" w:cs="DengXian-Regular"/>
          <w:sz w:val="32"/>
          <w:szCs w:val="32"/>
          <w:lang w:eastAsia="zh-CN"/>
        </w:rPr>
        <w:t>的</w:t>
      </w:r>
      <w:r>
        <w:rPr>
          <w:rFonts w:hint="eastAsia" w:ascii="仿宋_GB2312" w:cs="DengXian-Regular"/>
          <w:sz w:val="32"/>
          <w:szCs w:val="32"/>
        </w:rPr>
        <w:t>实现情况进行考核，充分发挥绩效目标的考核衡量作用。</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资金管理方面</w:t>
      </w:r>
    </w:p>
    <w:p>
      <w:pPr>
        <w:spacing w:line="580" w:lineRule="exact"/>
        <w:ind w:firstLine="640" w:firstLineChars="200"/>
        <w:rPr>
          <w:rFonts w:ascii="仿宋_GB2312" w:cs="DengXian-Regular"/>
          <w:sz w:val="32"/>
          <w:szCs w:val="32"/>
          <w:highlight w:val="none"/>
        </w:rPr>
      </w:pPr>
      <w:r>
        <w:rPr>
          <w:rFonts w:hint="eastAsia" w:ascii="仿宋_GB2312" w:cs="DengXian-Regular"/>
          <w:sz w:val="32"/>
          <w:szCs w:val="32"/>
        </w:rPr>
        <w:t>针对</w:t>
      </w:r>
      <w:r>
        <w:rPr>
          <w:rFonts w:hint="eastAsia" w:ascii="仿宋_GB2312" w:cs="DengXian-Regular"/>
          <w:sz w:val="32"/>
          <w:szCs w:val="32"/>
          <w:lang w:val="en-US" w:eastAsia="zh-CN"/>
        </w:rPr>
        <w:t>项目</w:t>
      </w:r>
      <w:r>
        <w:rPr>
          <w:rFonts w:hint="eastAsia" w:ascii="仿宋_GB2312" w:cs="DengXian-Regular"/>
          <w:sz w:val="32"/>
          <w:szCs w:val="32"/>
        </w:rPr>
        <w:t>预算执行率较低，资金结余量较大的问题，建议项目相关单位一是</w:t>
      </w:r>
      <w:r>
        <w:rPr>
          <w:rFonts w:hint="eastAsia" w:ascii="仿宋_GB2312" w:cs="DengXian-Regular"/>
          <w:sz w:val="32"/>
          <w:szCs w:val="32"/>
          <w:lang w:val="en-US" w:eastAsia="zh-CN"/>
        </w:rPr>
        <w:t>及时查找原因，针对原因提出整改措施并贯彻实施，二是进一步完善预算编制，优化预算执行体系，加大预算执行</w:t>
      </w:r>
      <w:r>
        <w:rPr>
          <w:rFonts w:hint="eastAsia" w:ascii="仿宋_GB2312" w:cs="DengXian-Regular"/>
          <w:sz w:val="32"/>
          <w:szCs w:val="32"/>
          <w:highlight w:val="none"/>
          <w:lang w:val="en-US" w:eastAsia="zh-CN"/>
        </w:rPr>
        <w:t>力度</w:t>
      </w:r>
      <w:r>
        <w:rPr>
          <w:rFonts w:hint="eastAsia" w:ascii="仿宋_GB2312" w:cs="DengXian-Regular"/>
          <w:sz w:val="32"/>
          <w:szCs w:val="32"/>
          <w:highlight w:val="none"/>
        </w:rPr>
        <w:t>，</w:t>
      </w:r>
      <w:r>
        <w:rPr>
          <w:rFonts w:hint="eastAsia" w:ascii="仿宋_GB2312" w:cs="DengXian-Regular"/>
          <w:sz w:val="32"/>
          <w:szCs w:val="32"/>
          <w:highlight w:val="none"/>
          <w:lang w:val="en-US" w:eastAsia="zh-CN"/>
        </w:rPr>
        <w:t>提高财政资金配置效率，</w:t>
      </w:r>
      <w:r>
        <w:rPr>
          <w:rFonts w:hint="eastAsia" w:ascii="仿宋_GB2312" w:cs="DengXian-Regular"/>
          <w:sz w:val="32"/>
          <w:szCs w:val="32"/>
          <w:highlight w:val="none"/>
        </w:rPr>
        <w:t>充分发挥财政资金的使用</w:t>
      </w:r>
      <w:r>
        <w:rPr>
          <w:rFonts w:hint="eastAsia" w:ascii="仿宋_GB2312" w:cs="DengXian-Regular"/>
          <w:sz w:val="32"/>
          <w:szCs w:val="32"/>
          <w:highlight w:val="none"/>
          <w:lang w:val="en-US" w:eastAsia="zh-CN"/>
        </w:rPr>
        <w:t>效益</w:t>
      </w:r>
      <w:r>
        <w:rPr>
          <w:rFonts w:hint="eastAsia" w:ascii="仿宋_GB2312" w:cs="DengXian-Regular"/>
          <w:sz w:val="32"/>
          <w:szCs w:val="32"/>
          <w:highlight w:val="none"/>
        </w:rPr>
        <w:t>。</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项目管理方面</w:t>
      </w:r>
    </w:p>
    <w:p>
      <w:pPr>
        <w:spacing w:line="580" w:lineRule="exact"/>
        <w:ind w:firstLine="640" w:firstLineChars="200"/>
        <w:rPr>
          <w:rFonts w:ascii="仿宋_GB2312" w:cs="DengXian-Regular"/>
          <w:sz w:val="32"/>
          <w:szCs w:val="32"/>
        </w:rPr>
      </w:pPr>
      <w:r>
        <w:rPr>
          <w:rFonts w:hint="eastAsia" w:ascii="仿宋_GB2312" w:cs="DengXian-Regular"/>
          <w:sz w:val="32"/>
          <w:szCs w:val="32"/>
        </w:rPr>
        <w:t>针对个别补贴类别的公示公开信息不完整的问题，建议</w:t>
      </w:r>
      <w:r>
        <w:rPr>
          <w:rFonts w:hint="eastAsia" w:ascii="仿宋_GB2312" w:cs="DengXian-Regular"/>
          <w:sz w:val="32"/>
          <w:szCs w:val="32"/>
          <w:lang w:eastAsia="zh-CN"/>
        </w:rPr>
        <w:t>项目相关单位</w:t>
      </w:r>
      <w:r>
        <w:rPr>
          <w:rFonts w:hint="eastAsia" w:ascii="仿宋_GB2312" w:cs="DengXian-Regular"/>
          <w:sz w:val="32"/>
          <w:szCs w:val="32"/>
        </w:rPr>
        <w:t>严格按相关文件要求，及时、完整地对补贴信息进行公示公开，提高工作的透明</w:t>
      </w:r>
      <w:r>
        <w:rPr>
          <w:rFonts w:hint="eastAsia" w:ascii="仿宋_GB2312" w:cs="DengXian-Regular"/>
          <w:sz w:val="32"/>
          <w:szCs w:val="32"/>
          <w:lang w:eastAsia="zh-CN"/>
        </w:rPr>
        <w:t>度</w:t>
      </w:r>
      <w:r>
        <w:rPr>
          <w:rFonts w:hint="eastAsia" w:ascii="仿宋_GB2312" w:cs="DengXian-Regular"/>
          <w:sz w:val="32"/>
          <w:szCs w:val="32"/>
        </w:rPr>
        <w:t>，更好地接受广大人民群众的监督。</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产出方面</w:t>
      </w:r>
    </w:p>
    <w:p>
      <w:pPr>
        <w:spacing w:line="580" w:lineRule="exact"/>
        <w:ind w:firstLine="640" w:firstLineChars="200"/>
        <w:rPr>
          <w:rFonts w:ascii="仿宋_GB2312" w:cs="DengXian-Regular"/>
          <w:sz w:val="32"/>
          <w:szCs w:val="32"/>
        </w:rPr>
      </w:pPr>
      <w:r>
        <w:rPr>
          <w:rFonts w:hint="eastAsia" w:ascii="仿宋_GB2312" w:cs="DengXian-Regular"/>
          <w:sz w:val="32"/>
          <w:szCs w:val="32"/>
        </w:rPr>
        <w:t>针对职业技能培训合格率较低，产出质量较差的问题，建议相关单位创新思路，站在学员的角度，充分了解学员的实际需求，调查学员未坚持到课程结束及未参加考试的根本原因，对症下药，提高职业技能培训合格率，充分发挥职业培训的作用，提高就业困难人群的就业率，从而真正发挥就业补助资金的作用。</w:t>
      </w:r>
    </w:p>
    <w:p>
      <w:pPr>
        <w:spacing w:line="580" w:lineRule="exact"/>
        <w:ind w:firstLine="640" w:firstLineChars="200"/>
        <w:rPr>
          <w:rFonts w:ascii="仿宋_GB2312" w:cs="DengXian-Regular"/>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3" w:firstLineChars="200"/>
        <w:rPr>
          <w:rFonts w:ascii="仿宋_GB2312" w:cs="DengXian-Regular"/>
          <w:b/>
          <w:sz w:val="32"/>
          <w:szCs w:val="32"/>
        </w:rPr>
      </w:pPr>
    </w:p>
    <w:p>
      <w:pPr>
        <w:spacing w:line="580" w:lineRule="exact"/>
        <w:ind w:firstLine="640" w:firstLineChars="200"/>
        <w:rPr>
          <w:rFonts w:ascii="仿宋" w:hAnsi="仿宋" w:eastAsia="仿宋"/>
          <w:sz w:val="32"/>
          <w:szCs w:val="32"/>
        </w:rPr>
      </w:pPr>
    </w:p>
    <w:p>
      <w:pPr>
        <w:pStyle w:val="19"/>
        <w:spacing w:before="0" w:after="0" w:line="580" w:lineRule="exact"/>
        <w:ind w:firstLine="643" w:firstLineChars="200"/>
        <w:jc w:val="both"/>
        <w:rPr>
          <w:rFonts w:hAnsi="仿宋"/>
        </w:rPr>
      </w:pPr>
      <w:bookmarkStart w:id="5" w:name="_Toc38447884"/>
      <w:bookmarkStart w:id="6" w:name="_Toc38452628"/>
      <w:bookmarkStart w:id="7" w:name="_Toc8741_WPSOffice_Type3"/>
    </w:p>
    <w:p>
      <w:pPr>
        <w:pStyle w:val="2"/>
        <w:keepNext w:val="0"/>
        <w:keepLines w:val="0"/>
        <w:spacing w:before="0" w:after="0" w:line="580" w:lineRule="exact"/>
        <w:ind w:firstLine="643" w:firstLineChars="200"/>
        <w:jc w:val="left"/>
        <w:rPr>
          <w:rFonts w:ascii="黑体" w:hAnsi="黑体" w:eastAsia="黑体" w:cs="黑体"/>
          <w:bCs w:val="0"/>
          <w:sz w:val="32"/>
          <w:szCs w:val="32"/>
        </w:rPr>
      </w:pPr>
    </w:p>
    <w:p>
      <w:pPr>
        <w:pStyle w:val="19"/>
        <w:spacing w:before="0" w:after="360" w:line="580" w:lineRule="exact"/>
        <w:rPr>
          <w:rFonts w:ascii="黑体" w:hAnsi="黑体" w:eastAsia="黑体"/>
        </w:rPr>
      </w:pPr>
      <w:bookmarkStart w:id="8" w:name="_Toc38821359"/>
      <w:bookmarkStart w:id="9" w:name="_Toc485233444"/>
      <w:bookmarkStart w:id="10" w:name="_Toc7956020"/>
      <w:bookmarkStart w:id="11" w:name="_Toc22871"/>
      <w:bookmarkStart w:id="12" w:name="_Toc41137180"/>
    </w:p>
    <w:p>
      <w:pPr>
        <w:pStyle w:val="19"/>
        <w:spacing w:before="0" w:after="360" w:line="580" w:lineRule="exact"/>
        <w:rPr>
          <w:rFonts w:ascii="黑体" w:hAnsi="黑体" w:eastAsia="黑体"/>
        </w:rPr>
      </w:pPr>
      <w:r>
        <w:rPr>
          <w:rFonts w:ascii="黑体" w:hAnsi="黑体" w:eastAsia="黑体"/>
        </w:rPr>
        <w:t>第二部分   绩效评价报告</w:t>
      </w:r>
      <w:bookmarkEnd w:id="8"/>
      <w:bookmarkEnd w:id="9"/>
      <w:bookmarkEnd w:id="10"/>
      <w:bookmarkEnd w:id="11"/>
      <w:bookmarkEnd w:id="12"/>
    </w:p>
    <w:p>
      <w:pPr>
        <w:pStyle w:val="2"/>
        <w:keepNext w:val="0"/>
        <w:keepLines w:val="0"/>
        <w:spacing w:before="0" w:after="0" w:line="580" w:lineRule="exact"/>
        <w:ind w:firstLine="643" w:firstLineChars="200"/>
        <w:jc w:val="left"/>
        <w:rPr>
          <w:rFonts w:ascii="黑体" w:hAnsi="黑体" w:eastAsia="黑体" w:cs="黑体"/>
          <w:bCs w:val="0"/>
          <w:sz w:val="32"/>
          <w:szCs w:val="32"/>
        </w:rPr>
      </w:pPr>
      <w:bookmarkStart w:id="13" w:name="_Toc41137181"/>
      <w:bookmarkStart w:id="14" w:name="_Toc32754"/>
      <w:r>
        <w:rPr>
          <w:rFonts w:hint="eastAsia" w:ascii="黑体" w:hAnsi="黑体" w:eastAsia="黑体" w:cs="黑体"/>
          <w:bCs w:val="0"/>
          <w:sz w:val="32"/>
          <w:szCs w:val="32"/>
        </w:rPr>
        <w:t>一、基本概况</w:t>
      </w:r>
      <w:bookmarkEnd w:id="5"/>
      <w:bookmarkEnd w:id="6"/>
      <w:bookmarkEnd w:id="13"/>
      <w:bookmarkEnd w:id="14"/>
    </w:p>
    <w:p>
      <w:pPr>
        <w:pStyle w:val="3"/>
        <w:spacing w:before="0" w:after="0" w:line="580" w:lineRule="exact"/>
        <w:ind w:firstLine="643" w:firstLineChars="200"/>
        <w:rPr>
          <w:rFonts w:ascii="Times New Roman" w:hAnsi="Times New Roman" w:eastAsia="楷体_GB2312"/>
        </w:rPr>
      </w:pPr>
      <w:bookmarkStart w:id="15" w:name="_Toc38447885"/>
      <w:bookmarkStart w:id="16" w:name="_Toc38452629"/>
      <w:bookmarkStart w:id="17" w:name="_Toc41137182"/>
      <w:bookmarkStart w:id="18" w:name="_Toc4540"/>
      <w:r>
        <w:rPr>
          <w:rFonts w:hint="eastAsia" w:ascii="Times New Roman" w:hAnsi="Times New Roman" w:eastAsia="楷体_GB2312"/>
        </w:rPr>
        <w:t>（一）项目概况</w:t>
      </w:r>
      <w:bookmarkEnd w:id="15"/>
      <w:bookmarkEnd w:id="16"/>
      <w:bookmarkEnd w:id="17"/>
      <w:bookmarkEnd w:id="18"/>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1</w:t>
      </w:r>
      <w:r>
        <w:rPr>
          <w:rFonts w:hint="eastAsia" w:ascii="仿宋_GB2312" w:hAnsi="仿宋_GB2312"/>
          <w:b/>
          <w:bCs/>
          <w:sz w:val="32"/>
          <w:szCs w:val="32"/>
          <w:lang w:eastAsia="zh-CN"/>
        </w:rPr>
        <w:t>．</w:t>
      </w:r>
      <w:r>
        <w:rPr>
          <w:rFonts w:hint="eastAsia" w:ascii="仿宋_GB2312" w:hAnsi="仿宋_GB2312"/>
          <w:b/>
          <w:bCs/>
          <w:sz w:val="32"/>
          <w:szCs w:val="32"/>
        </w:rPr>
        <w:t>项目背景</w:t>
      </w:r>
    </w:p>
    <w:p>
      <w:pPr>
        <w:spacing w:line="580" w:lineRule="exact"/>
        <w:ind w:firstLine="640" w:firstLineChars="200"/>
        <w:rPr>
          <w:rFonts w:ascii="仿宋_GB2312" w:hAnsi="仿宋_GB2312"/>
          <w:sz w:val="32"/>
          <w:szCs w:val="32"/>
        </w:rPr>
      </w:pPr>
      <w:r>
        <w:rPr>
          <w:rFonts w:hint="eastAsia" w:ascii="仿宋_GB2312" w:hAnsi="仿宋_GB2312"/>
          <w:sz w:val="32"/>
          <w:szCs w:val="32"/>
        </w:rPr>
        <w:t>为进一步促进就业鼓励创业、贯彻落实各项就业政策及河北省人民政府《关于进一步做好新形势下就业创业工作的实施意见》</w:t>
      </w:r>
      <w:r>
        <w:rPr>
          <w:rFonts w:hint="eastAsia" w:ascii="仿宋_GB2312" w:hAnsi="仿宋_GB2312"/>
          <w:sz w:val="32"/>
          <w:szCs w:val="32"/>
          <w:lang w:eastAsia="zh-CN"/>
        </w:rPr>
        <w:t>的</w:t>
      </w:r>
      <w:r>
        <w:rPr>
          <w:rFonts w:hint="eastAsia" w:ascii="仿宋_GB2312" w:hAnsi="仿宋_GB2312"/>
          <w:sz w:val="32"/>
          <w:szCs w:val="32"/>
        </w:rPr>
        <w:t>文件精神，保定市徐水区人力资源和社会保障局积极宣传就业创业政策，并对就业补助资金的使用情况进行管理和监督。</w:t>
      </w:r>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2</w:t>
      </w:r>
      <w:r>
        <w:rPr>
          <w:rFonts w:hint="eastAsia" w:ascii="仿宋_GB2312" w:hAnsi="仿宋_GB2312"/>
          <w:b/>
          <w:bCs/>
          <w:sz w:val="32"/>
          <w:szCs w:val="32"/>
          <w:lang w:eastAsia="zh-CN"/>
        </w:rPr>
        <w:t>．</w:t>
      </w:r>
      <w:r>
        <w:rPr>
          <w:rFonts w:hint="eastAsia" w:ascii="仿宋_GB2312" w:hAnsi="仿宋_GB2312"/>
          <w:b/>
          <w:bCs/>
          <w:sz w:val="32"/>
          <w:szCs w:val="32"/>
        </w:rPr>
        <w:t>项目主要内容</w:t>
      </w:r>
    </w:p>
    <w:p>
      <w:pPr>
        <w:spacing w:line="580" w:lineRule="exact"/>
        <w:ind w:firstLine="640" w:firstLineChars="200"/>
        <w:rPr>
          <w:rFonts w:ascii="仿宋_GB2312" w:hAnsi="仿宋_GB2312"/>
          <w:sz w:val="32"/>
          <w:szCs w:val="32"/>
        </w:rPr>
      </w:pPr>
      <w:r>
        <w:rPr>
          <w:rFonts w:hint="eastAsia" w:ascii="仿宋_GB2312" w:hAnsi="仿宋_GB2312"/>
          <w:sz w:val="32"/>
          <w:szCs w:val="32"/>
        </w:rPr>
        <w:t>该项目补助范围包括社会保险补贴、职业培训补贴、职业技能鉴定补贴、公益性岗位补贴、见习补贴、创业补贴及小微企业场地租金补贴七类补贴。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（1）社会保险补贴：对招用就业困难人员与之签订1年以上劳动合同并缴纳社会保险的单位</w:t>
      </w:r>
      <w:r>
        <w:rPr>
          <w:rFonts w:hint="eastAsia" w:ascii="仿宋_GB2312" w:hAnsi="仿宋_GB2312"/>
          <w:sz w:val="32"/>
          <w:szCs w:val="32"/>
          <w:lang w:eastAsia="zh-CN"/>
        </w:rPr>
        <w:t>以及通过公益性岗位安置就业困难人员并缴纳社会保险费的单位，</w:t>
      </w:r>
      <w:r>
        <w:rPr>
          <w:rFonts w:hint="eastAsia" w:ascii="仿宋_GB2312" w:hAnsi="仿宋_GB2312"/>
          <w:sz w:val="32"/>
          <w:szCs w:val="32"/>
        </w:rPr>
        <w:t>按</w:t>
      </w:r>
      <w:r>
        <w:rPr>
          <w:rFonts w:hint="eastAsia" w:ascii="仿宋_GB2312" w:hAnsi="仿宋_GB2312"/>
          <w:sz w:val="32"/>
          <w:szCs w:val="32"/>
          <w:lang w:eastAsia="zh-CN"/>
        </w:rPr>
        <w:t>其为就业困难人员</w:t>
      </w:r>
      <w:r>
        <w:rPr>
          <w:rFonts w:hint="eastAsia" w:ascii="仿宋_GB2312" w:hAnsi="仿宋_GB2312"/>
          <w:sz w:val="32"/>
          <w:szCs w:val="32"/>
        </w:rPr>
        <w:t>实际缴纳</w:t>
      </w:r>
      <w:r>
        <w:rPr>
          <w:rFonts w:hint="eastAsia" w:ascii="仿宋_GB2312" w:hAnsi="仿宋_GB2312"/>
          <w:sz w:val="32"/>
          <w:szCs w:val="32"/>
          <w:lang w:eastAsia="zh-CN"/>
        </w:rPr>
        <w:t>的</w:t>
      </w:r>
      <w:r>
        <w:rPr>
          <w:rFonts w:hint="eastAsia" w:ascii="仿宋_GB2312" w:hAnsi="仿宋_GB2312"/>
          <w:sz w:val="32"/>
          <w:szCs w:val="32"/>
        </w:rPr>
        <w:t>保险金额（不包含个人部分）给予补贴；就业困难人员灵活就业后申报就业、办理就业登记并以个人身份缴纳社会保险的给予一定数额的社会保险补贴。</w:t>
      </w:r>
      <w:r>
        <w:rPr>
          <w:rFonts w:hint="eastAsia" w:ascii="仿宋_GB2312" w:hAnsi="仿宋_GB2312"/>
          <w:sz w:val="32"/>
          <w:szCs w:val="32"/>
          <w:lang w:eastAsia="zh-CN"/>
        </w:rPr>
        <w:t>具体细</w:t>
      </w:r>
      <w:r>
        <w:rPr>
          <w:rFonts w:hint="eastAsia" w:ascii="仿宋_GB2312" w:hAnsi="仿宋_GB2312"/>
          <w:sz w:val="32"/>
          <w:szCs w:val="32"/>
        </w:rPr>
        <w:t>分为公益性岗位社会保险补贴和灵活就业社会保险补贴。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（2）职业培训补贴：对参加就业技能培训或创业培训的六类人员（贫困家庭子女、毕业学年高校毕业</w:t>
      </w:r>
      <w:r>
        <w:rPr>
          <w:rFonts w:hint="eastAsia" w:ascii="仿宋_GB2312" w:hAnsi="仿宋_GB2312"/>
          <w:sz w:val="32"/>
          <w:szCs w:val="32"/>
          <w:lang w:eastAsia="zh-CN"/>
        </w:rPr>
        <w:t>生</w:t>
      </w:r>
      <w:r>
        <w:rPr>
          <w:rFonts w:hint="eastAsia" w:ascii="仿宋_GB2312" w:hAnsi="仿宋_GB2312"/>
          <w:sz w:val="32"/>
          <w:szCs w:val="32"/>
        </w:rPr>
        <w:t>、城乡未继续升学的应届初高中毕业生、农村转移就业劳动者、下岗失业退役军人、城镇登记失业人员（以下简称“六类人员”）</w:t>
      </w:r>
      <w:r>
        <w:rPr>
          <w:rFonts w:hint="eastAsia" w:ascii="仿宋_GB2312" w:hAnsi="仿宋_GB2312"/>
          <w:sz w:val="32"/>
          <w:szCs w:val="32"/>
          <w:lang w:eastAsia="zh-CN"/>
        </w:rPr>
        <w:t>，</w:t>
      </w:r>
      <w:r>
        <w:rPr>
          <w:rFonts w:hint="eastAsia" w:ascii="仿宋_GB2312" w:hAnsi="仿宋_GB2312"/>
          <w:sz w:val="32"/>
          <w:szCs w:val="32"/>
        </w:rPr>
        <w:t>培训后取得职业资格证书或培训合格证书，给予职业培训补贴，</w:t>
      </w:r>
      <w:r>
        <w:rPr>
          <w:rFonts w:hint="eastAsia" w:ascii="仿宋_GB2312" w:hAnsi="仿宋_GB2312"/>
          <w:sz w:val="32"/>
          <w:szCs w:val="32"/>
          <w:lang w:eastAsia="zh-CN"/>
        </w:rPr>
        <w:t>具体细</w:t>
      </w:r>
      <w:r>
        <w:rPr>
          <w:rFonts w:hint="eastAsia" w:ascii="仿宋_GB2312" w:hAnsi="仿宋_GB2312"/>
          <w:sz w:val="32"/>
          <w:szCs w:val="32"/>
        </w:rPr>
        <w:t>分为就业技能培训补贴和创业培训补贴。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（3）职业技能鉴定补贴：对通过初次职业技能鉴定并取得职业资格证书的六类人员，给予职业技能鉴定补贴。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（4）公益性岗位补贴：对公益性岗位安置的就业困难人员给予公益性岗位补贴。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（5）见习补贴：对吸纳毕业2年内的高校毕业生和贫困县及民族县中职学校毕业生参加就业见习并按月发放基本生活费的单位给予就业见习补贴。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（6）创业补贴：毕业学年高</w:t>
      </w:r>
      <w:r>
        <w:rPr>
          <w:rFonts w:hint="eastAsia" w:ascii="仿宋_GB2312" w:hAnsi="仿宋_GB2312"/>
          <w:sz w:val="32"/>
          <w:szCs w:val="32"/>
          <w:lang w:eastAsia="zh-CN"/>
        </w:rPr>
        <w:t>校</w:t>
      </w:r>
      <w:r>
        <w:rPr>
          <w:rFonts w:hint="eastAsia" w:ascii="仿宋_GB2312" w:hAnsi="仿宋_GB2312"/>
          <w:sz w:val="32"/>
          <w:szCs w:val="32"/>
        </w:rPr>
        <w:t>生及毕业5年内高校毕业生、就业困难人员初次创业、取得营业执照、登记就业</w:t>
      </w:r>
      <w:r>
        <w:rPr>
          <w:rFonts w:hint="eastAsia" w:ascii="仿宋_GB2312" w:hAnsi="仿宋_GB2312"/>
          <w:sz w:val="32"/>
          <w:szCs w:val="32"/>
          <w:lang w:eastAsia="zh-CN"/>
        </w:rPr>
        <w:t>（</w:t>
      </w:r>
      <w:r>
        <w:rPr>
          <w:rFonts w:hint="eastAsia" w:ascii="仿宋_GB2312" w:hAnsi="仿宋_GB2312"/>
          <w:sz w:val="32"/>
          <w:szCs w:val="32"/>
        </w:rPr>
        <w:t>毕业学年高</w:t>
      </w:r>
      <w:r>
        <w:rPr>
          <w:rFonts w:hint="eastAsia" w:ascii="仿宋_GB2312" w:hAnsi="仿宋_GB2312"/>
          <w:sz w:val="32"/>
          <w:szCs w:val="32"/>
          <w:lang w:eastAsia="zh-CN"/>
        </w:rPr>
        <w:t>校</w:t>
      </w:r>
      <w:r>
        <w:rPr>
          <w:rFonts w:hint="eastAsia" w:ascii="仿宋_GB2312" w:hAnsi="仿宋_GB2312"/>
          <w:sz w:val="32"/>
          <w:szCs w:val="32"/>
        </w:rPr>
        <w:t>生</w:t>
      </w:r>
      <w:r>
        <w:rPr>
          <w:rFonts w:hint="eastAsia" w:ascii="仿宋_GB2312" w:hAnsi="仿宋_GB2312"/>
          <w:sz w:val="32"/>
          <w:szCs w:val="32"/>
          <w:lang w:eastAsia="zh-CN"/>
        </w:rPr>
        <w:t>除外）</w:t>
      </w:r>
      <w:r>
        <w:rPr>
          <w:rFonts w:hint="eastAsia" w:ascii="仿宋_GB2312" w:hAnsi="仿宋_GB2312"/>
          <w:sz w:val="32"/>
          <w:szCs w:val="32"/>
        </w:rPr>
        <w:t>、正常运营6个月以上的，给予一次性创业补贴。</w:t>
      </w:r>
    </w:p>
    <w:p>
      <w:pPr>
        <w:spacing w:line="580" w:lineRule="exact"/>
        <w:ind w:firstLine="640" w:firstLineChars="200"/>
        <w:rPr>
          <w:rFonts w:ascii="仿宋_GB2312" w:hAnsi="仿宋_GB2312"/>
          <w:sz w:val="32"/>
          <w:szCs w:val="32"/>
        </w:rPr>
      </w:pPr>
      <w:r>
        <w:rPr>
          <w:rFonts w:hint="eastAsia" w:ascii="仿宋_GB2312" w:hAnsi="仿宋_GB2312"/>
          <w:sz w:val="32"/>
          <w:szCs w:val="32"/>
        </w:rPr>
        <w:t>（7）小微企业场地租金</w:t>
      </w:r>
      <w:r>
        <w:rPr>
          <w:rFonts w:hint="eastAsia" w:ascii="仿宋_GB2312" w:hAnsi="仿宋_GB2312"/>
          <w:sz w:val="32"/>
          <w:szCs w:val="32"/>
          <w:lang w:eastAsia="zh-CN"/>
        </w:rPr>
        <w:t>补贴</w:t>
      </w:r>
      <w:r>
        <w:rPr>
          <w:rFonts w:hint="eastAsia" w:ascii="仿宋_GB2312" w:hAnsi="仿宋_GB2312"/>
          <w:sz w:val="32"/>
          <w:szCs w:val="32"/>
        </w:rPr>
        <w:t>：城镇登记失业人员、毕业年度高校毕业生、下岗失业退役军人、农村转移就业劳动者初次创办小微企业</w:t>
      </w:r>
      <w:r>
        <w:rPr>
          <w:rFonts w:hint="eastAsia" w:ascii="仿宋_GB2312" w:hAnsi="仿宋_GB2312"/>
          <w:sz w:val="32"/>
          <w:szCs w:val="32"/>
          <w:lang w:eastAsia="zh-CN"/>
        </w:rPr>
        <w:t>（不包括入驻创业园区和创业孵化基地的）</w:t>
      </w:r>
      <w:r>
        <w:rPr>
          <w:rFonts w:hint="eastAsia" w:ascii="仿宋_GB2312" w:hAnsi="仿宋_GB2312"/>
          <w:sz w:val="32"/>
          <w:szCs w:val="32"/>
        </w:rPr>
        <w:t>并登记就业，且租用经营场地或店铺的，自创业之日起3年内给予最长不超过3年的租金补贴。</w:t>
      </w:r>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3</w:t>
      </w:r>
      <w:r>
        <w:rPr>
          <w:rFonts w:hint="eastAsia" w:ascii="仿宋_GB2312" w:hAnsi="仿宋_GB2312"/>
          <w:b/>
          <w:bCs/>
          <w:sz w:val="32"/>
          <w:szCs w:val="32"/>
          <w:lang w:eastAsia="zh-CN"/>
        </w:rPr>
        <w:t>．</w:t>
      </w:r>
      <w:r>
        <w:rPr>
          <w:rFonts w:hint="eastAsia" w:ascii="仿宋_GB2312" w:hAnsi="仿宋_GB2312"/>
          <w:b/>
          <w:bCs/>
          <w:sz w:val="32"/>
          <w:szCs w:val="32"/>
        </w:rPr>
        <w:t>项目实施情况</w:t>
      </w:r>
    </w:p>
    <w:p>
      <w:pPr>
        <w:spacing w:line="580" w:lineRule="exact"/>
        <w:ind w:firstLine="640" w:firstLineChars="200"/>
        <w:rPr>
          <w:rFonts w:ascii="仿宋_GB2312" w:hAnsi="仿宋_GB2312"/>
          <w:sz w:val="32"/>
          <w:szCs w:val="32"/>
        </w:rPr>
      </w:pPr>
      <w:r>
        <w:rPr>
          <w:rFonts w:hint="eastAsia" w:ascii="仿宋_GB2312" w:hAnsi="仿宋_GB2312"/>
          <w:sz w:val="32"/>
          <w:szCs w:val="32"/>
        </w:rPr>
        <w:t>徐水区2019年城镇新增就业人数4016人，就业困难人员再就业人数504人，年末城镇登记失业率3.16%。2019年享受就业补助资金补贴人数共计2154人，具体明细如下表：</w:t>
      </w:r>
    </w:p>
    <w:p>
      <w:pPr>
        <w:spacing w:line="580" w:lineRule="exact"/>
        <w:ind w:firstLine="643" w:firstLineChars="200"/>
        <w:jc w:val="center"/>
        <w:rPr>
          <w:rFonts w:ascii="宋体" w:hAnsi="宋体" w:eastAsia="宋体"/>
          <w:b/>
          <w:sz w:val="32"/>
          <w:szCs w:val="32"/>
        </w:rPr>
      </w:pPr>
      <w:r>
        <w:rPr>
          <w:rFonts w:hint="eastAsia" w:ascii="宋体" w:hAnsi="宋体" w:eastAsia="宋体"/>
          <w:b/>
          <w:sz w:val="32"/>
          <w:szCs w:val="32"/>
        </w:rPr>
        <w:t>2019年度补贴类别及人数明细表</w:t>
      </w:r>
      <w:r>
        <w:rPr>
          <w:rFonts w:hint="eastAsia" w:ascii="宋体" w:hAnsi="宋体" w:eastAsia="宋体"/>
          <w:b/>
          <w:sz w:val="32"/>
          <w:szCs w:val="32"/>
          <w:lang w:val="en-US" w:eastAsia="zh-CN"/>
        </w:rPr>
        <w:t xml:space="preserve">  </w:t>
      </w:r>
      <w:r>
        <w:rPr>
          <w:rFonts w:hint="eastAsia" w:ascii="宋体" w:hAnsi="宋体" w:eastAsia="宋体"/>
          <w:sz w:val="21"/>
          <w:szCs w:val="21"/>
        </w:rPr>
        <w:t>（单位：人）</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3247"/>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tcPr>
          <w:p>
            <w:pPr>
              <w:jc w:val="center"/>
              <w:rPr>
                <w:rFonts w:ascii="宋体" w:hAnsi="宋体" w:eastAsia="宋体"/>
                <w:b/>
                <w:sz w:val="21"/>
                <w:szCs w:val="21"/>
              </w:rPr>
            </w:pPr>
            <w:r>
              <w:rPr>
                <w:rFonts w:hint="eastAsia" w:ascii="宋体" w:hAnsi="宋体" w:eastAsia="宋体"/>
                <w:b/>
                <w:sz w:val="21"/>
                <w:szCs w:val="21"/>
              </w:rPr>
              <w:t>补贴类别</w:t>
            </w:r>
          </w:p>
        </w:tc>
        <w:tc>
          <w:tcPr>
            <w:tcW w:w="2539" w:type="dxa"/>
          </w:tcPr>
          <w:p>
            <w:pPr>
              <w:jc w:val="center"/>
              <w:rPr>
                <w:rFonts w:ascii="宋体" w:hAnsi="宋体" w:eastAsia="宋体"/>
                <w:b/>
                <w:sz w:val="21"/>
                <w:szCs w:val="21"/>
              </w:rPr>
            </w:pPr>
            <w:r>
              <w:rPr>
                <w:rFonts w:hint="eastAsia" w:ascii="宋体" w:hAnsi="宋体" w:eastAsia="宋体"/>
                <w:b/>
                <w:sz w:val="21"/>
                <w:szCs w:val="21"/>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restart"/>
            <w:vAlign w:val="center"/>
          </w:tcPr>
          <w:p>
            <w:pPr>
              <w:jc w:val="center"/>
              <w:rPr>
                <w:rFonts w:ascii="宋体" w:hAnsi="宋体" w:eastAsia="宋体"/>
                <w:sz w:val="21"/>
                <w:szCs w:val="21"/>
              </w:rPr>
            </w:pPr>
            <w:r>
              <w:rPr>
                <w:rFonts w:hint="eastAsia" w:ascii="宋体" w:hAnsi="宋体" w:eastAsia="宋体"/>
                <w:sz w:val="21"/>
                <w:szCs w:val="21"/>
              </w:rPr>
              <w:t>社会保险补贴</w:t>
            </w: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公益性岗位社会保险补贴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continue"/>
            <w:vAlign w:val="center"/>
          </w:tcPr>
          <w:p>
            <w:pPr>
              <w:jc w:val="center"/>
              <w:rPr>
                <w:rFonts w:ascii="宋体" w:hAnsi="宋体" w:eastAsia="宋体"/>
                <w:sz w:val="21"/>
                <w:szCs w:val="21"/>
              </w:rPr>
            </w:pP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灵活就业社会保险补贴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restart"/>
            <w:vAlign w:val="center"/>
          </w:tcPr>
          <w:p>
            <w:pPr>
              <w:jc w:val="center"/>
              <w:rPr>
                <w:rFonts w:ascii="宋体" w:hAnsi="宋体" w:eastAsia="宋体"/>
                <w:sz w:val="21"/>
                <w:szCs w:val="21"/>
              </w:rPr>
            </w:pPr>
            <w:r>
              <w:rPr>
                <w:rFonts w:hint="eastAsia" w:ascii="宋体" w:hAnsi="宋体" w:eastAsia="宋体"/>
                <w:sz w:val="21"/>
                <w:szCs w:val="21"/>
              </w:rPr>
              <w:t>职业培训补贴</w:t>
            </w: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就业技能培训补贴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65" w:type="dxa"/>
            <w:vMerge w:val="continue"/>
            <w:vAlign w:val="center"/>
          </w:tcPr>
          <w:p>
            <w:pPr>
              <w:jc w:val="center"/>
              <w:rPr>
                <w:rFonts w:ascii="宋体" w:hAnsi="宋体" w:eastAsia="宋体"/>
                <w:sz w:val="21"/>
                <w:szCs w:val="21"/>
              </w:rPr>
            </w:pPr>
          </w:p>
        </w:tc>
        <w:tc>
          <w:tcPr>
            <w:tcW w:w="3247" w:type="dxa"/>
            <w:vAlign w:val="center"/>
          </w:tcPr>
          <w:p>
            <w:pPr>
              <w:jc w:val="center"/>
              <w:rPr>
                <w:rFonts w:ascii="宋体" w:hAnsi="宋体" w:eastAsia="宋体"/>
                <w:sz w:val="21"/>
                <w:szCs w:val="21"/>
              </w:rPr>
            </w:pPr>
            <w:r>
              <w:rPr>
                <w:rFonts w:hint="eastAsia" w:ascii="宋体" w:hAnsi="宋体" w:eastAsia="宋体"/>
                <w:sz w:val="21"/>
                <w:szCs w:val="21"/>
              </w:rPr>
              <w:t>创业培训补贴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职业技能鉴定补贴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公益性岗位补贴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见习补贴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创业补贴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小微企业场地租金补贴</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812" w:type="dxa"/>
            <w:gridSpan w:val="2"/>
            <w:vAlign w:val="center"/>
          </w:tcPr>
          <w:p>
            <w:pPr>
              <w:jc w:val="center"/>
              <w:rPr>
                <w:rFonts w:ascii="宋体" w:hAnsi="宋体" w:eastAsia="宋体"/>
                <w:sz w:val="21"/>
                <w:szCs w:val="21"/>
              </w:rPr>
            </w:pPr>
            <w:r>
              <w:rPr>
                <w:rFonts w:hint="eastAsia" w:ascii="宋体" w:hAnsi="宋体" w:eastAsia="宋体"/>
                <w:sz w:val="21"/>
                <w:szCs w:val="21"/>
              </w:rPr>
              <w:t>合计</w:t>
            </w:r>
          </w:p>
        </w:tc>
        <w:tc>
          <w:tcPr>
            <w:tcW w:w="2539"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2154</w:t>
            </w:r>
          </w:p>
        </w:tc>
      </w:tr>
    </w:tbl>
    <w:p>
      <w:pPr>
        <w:spacing w:line="580" w:lineRule="exact"/>
        <w:ind w:firstLine="640" w:firstLineChars="200"/>
        <w:rPr>
          <w:rFonts w:ascii="仿宋_GB2312" w:hAnsi="仿宋_GB2312"/>
          <w:sz w:val="32"/>
          <w:szCs w:val="32"/>
        </w:rPr>
      </w:pPr>
      <w:r>
        <w:rPr>
          <w:rFonts w:hint="eastAsia" w:ascii="仿宋_GB2312" w:hAnsi="仿宋_GB2312"/>
          <w:sz w:val="32"/>
          <w:szCs w:val="32"/>
        </w:rPr>
        <w:t>各类补贴人数占比如下图：</w:t>
      </w:r>
    </w:p>
    <w:p>
      <w:pPr>
        <w:spacing w:line="240" w:lineRule="atLeast"/>
        <w:ind w:firstLine="320" w:firstLineChars="100"/>
        <w:rPr>
          <w:rFonts w:ascii="仿宋_GB2312" w:hAnsi="仿宋_GB2312"/>
          <w:sz w:val="32"/>
          <w:szCs w:val="32"/>
        </w:rPr>
      </w:pPr>
      <w:r>
        <w:rPr>
          <w:rFonts w:ascii="仿宋_GB2312" w:hAnsi="仿宋_GB2312"/>
          <w:sz w:val="32"/>
          <w:szCs w:val="32"/>
        </w:rPr>
        <w:drawing>
          <wp:inline distT="0" distB="0" distL="0" distR="0">
            <wp:extent cx="5302885" cy="2974340"/>
            <wp:effectExtent l="14140" t="6602" r="7070" b="0"/>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80" w:lineRule="exact"/>
        <w:ind w:firstLine="643" w:firstLineChars="200"/>
        <w:rPr>
          <w:rFonts w:ascii="仿宋_GB2312" w:hAnsi="仿宋_GB2312"/>
          <w:b/>
          <w:bCs/>
          <w:sz w:val="32"/>
          <w:szCs w:val="32"/>
        </w:rPr>
      </w:pPr>
      <w:r>
        <w:rPr>
          <w:rFonts w:hint="eastAsia" w:ascii="仿宋_GB2312" w:hAnsi="仿宋_GB2312"/>
          <w:b/>
          <w:bCs/>
          <w:sz w:val="32"/>
          <w:szCs w:val="32"/>
        </w:rPr>
        <w:t>4</w:t>
      </w:r>
      <w:r>
        <w:rPr>
          <w:rFonts w:hint="eastAsia" w:ascii="仿宋_GB2312" w:hAnsi="仿宋_GB2312"/>
          <w:b/>
          <w:bCs/>
          <w:sz w:val="32"/>
          <w:szCs w:val="32"/>
          <w:lang w:eastAsia="zh-CN"/>
        </w:rPr>
        <w:t>．</w:t>
      </w:r>
      <w:r>
        <w:rPr>
          <w:rFonts w:hint="eastAsia" w:ascii="仿宋_GB2312" w:hAnsi="仿宋_GB2312"/>
          <w:b/>
          <w:bCs/>
          <w:sz w:val="32"/>
          <w:szCs w:val="32"/>
        </w:rPr>
        <w:t>资金投入和使用情况</w:t>
      </w:r>
    </w:p>
    <w:p>
      <w:pPr>
        <w:spacing w:line="580" w:lineRule="exact"/>
        <w:ind w:firstLine="640" w:firstLineChars="200"/>
        <w:rPr>
          <w:rFonts w:ascii="仿宋_GB2312" w:hAnsi="仿宋_GB2312"/>
          <w:bCs/>
          <w:sz w:val="32"/>
          <w:szCs w:val="32"/>
        </w:rPr>
      </w:pPr>
      <w:r>
        <w:rPr>
          <w:rFonts w:hint="eastAsia" w:ascii="仿宋_GB2312" w:hAnsi="仿宋_GB2312"/>
          <w:bCs/>
          <w:sz w:val="32"/>
          <w:szCs w:val="32"/>
        </w:rPr>
        <w:t>2019年项目预算资金800万元（中央资金600万元，省级资金200万元），实际支出566.06万元，2019年当年结余资金233.94万元，累计结余257.28万元，具体支出明细如下表：</w:t>
      </w:r>
    </w:p>
    <w:p>
      <w:pPr>
        <w:spacing w:line="580" w:lineRule="exact"/>
        <w:ind w:firstLine="643" w:firstLineChars="200"/>
        <w:jc w:val="center"/>
        <w:rPr>
          <w:rFonts w:ascii="仿宋_GB2312" w:hAnsi="仿宋_GB2312"/>
          <w:bCs/>
          <w:sz w:val="32"/>
          <w:szCs w:val="32"/>
        </w:rPr>
      </w:pPr>
      <w:r>
        <w:rPr>
          <w:rFonts w:hint="eastAsia" w:ascii="宋体" w:hAnsi="宋体" w:eastAsia="宋体"/>
          <w:b/>
          <w:sz w:val="32"/>
          <w:szCs w:val="32"/>
        </w:rPr>
        <w:t>2019年度补贴类别及支出金额明细表</w:t>
      </w:r>
      <w:r>
        <w:rPr>
          <w:rFonts w:hint="eastAsia" w:ascii="宋体" w:hAnsi="宋体" w:eastAsia="宋体"/>
          <w:b/>
          <w:sz w:val="32"/>
          <w:szCs w:val="32"/>
          <w:lang w:val="en-US" w:eastAsia="zh-CN"/>
        </w:rPr>
        <w:t xml:space="preserve">  </w:t>
      </w:r>
      <w:r>
        <w:rPr>
          <w:rFonts w:hint="eastAsia" w:ascii="宋体" w:hAnsi="宋体" w:eastAsia="宋体"/>
          <w:sz w:val="21"/>
          <w:szCs w:val="21"/>
        </w:rPr>
        <w:t>（单位：万元）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1"/>
        <w:gridCol w:w="2984"/>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tcPr>
          <w:p>
            <w:pPr>
              <w:jc w:val="center"/>
              <w:rPr>
                <w:rFonts w:ascii="宋体" w:hAnsi="宋体" w:eastAsia="宋体"/>
                <w:b/>
                <w:sz w:val="21"/>
                <w:szCs w:val="21"/>
              </w:rPr>
            </w:pPr>
            <w:r>
              <w:rPr>
                <w:rFonts w:hint="eastAsia" w:ascii="宋体" w:hAnsi="宋体" w:eastAsia="宋体"/>
                <w:b/>
                <w:sz w:val="21"/>
                <w:szCs w:val="21"/>
              </w:rPr>
              <w:t>补贴类别</w:t>
            </w:r>
          </w:p>
        </w:tc>
        <w:tc>
          <w:tcPr>
            <w:tcW w:w="1972" w:type="dxa"/>
          </w:tcPr>
          <w:p>
            <w:pPr>
              <w:jc w:val="center"/>
              <w:rPr>
                <w:rFonts w:ascii="宋体" w:hAnsi="宋体" w:eastAsia="宋体"/>
                <w:b/>
                <w:sz w:val="21"/>
                <w:szCs w:val="21"/>
              </w:rPr>
            </w:pPr>
            <w:r>
              <w:rPr>
                <w:rFonts w:hint="eastAsia" w:ascii="宋体" w:hAnsi="宋体" w:eastAsia="宋体"/>
                <w:b/>
                <w:sz w:val="21"/>
                <w:szCs w:val="21"/>
              </w:rPr>
              <w:t>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restart"/>
            <w:vAlign w:val="center"/>
          </w:tcPr>
          <w:p>
            <w:pPr>
              <w:jc w:val="center"/>
              <w:rPr>
                <w:rFonts w:ascii="宋体" w:hAnsi="宋体" w:eastAsia="宋体"/>
                <w:sz w:val="21"/>
                <w:szCs w:val="21"/>
              </w:rPr>
            </w:pPr>
            <w:r>
              <w:rPr>
                <w:rFonts w:hint="eastAsia" w:ascii="宋体" w:hAnsi="宋体" w:eastAsia="宋体"/>
                <w:sz w:val="21"/>
                <w:szCs w:val="21"/>
              </w:rPr>
              <w:t>社会保险补贴</w:t>
            </w: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公益性岗位社会保险补贴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continue"/>
            <w:vAlign w:val="center"/>
          </w:tcPr>
          <w:p>
            <w:pPr>
              <w:jc w:val="center"/>
              <w:rPr>
                <w:rFonts w:ascii="宋体" w:hAnsi="宋体" w:eastAsia="宋体"/>
                <w:sz w:val="21"/>
                <w:szCs w:val="21"/>
              </w:rPr>
            </w:pP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灵活就业社会保险补贴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restart"/>
            <w:vAlign w:val="center"/>
          </w:tcPr>
          <w:p>
            <w:pPr>
              <w:jc w:val="center"/>
              <w:rPr>
                <w:rFonts w:ascii="宋体" w:hAnsi="宋体" w:eastAsia="宋体"/>
                <w:sz w:val="21"/>
                <w:szCs w:val="21"/>
              </w:rPr>
            </w:pPr>
            <w:r>
              <w:rPr>
                <w:rFonts w:hint="eastAsia" w:ascii="宋体" w:hAnsi="宋体" w:eastAsia="宋体"/>
                <w:sz w:val="21"/>
                <w:szCs w:val="21"/>
              </w:rPr>
              <w:t>职业培训补贴</w:t>
            </w: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就业技能培训补贴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1" w:type="dxa"/>
            <w:vMerge w:val="continue"/>
            <w:vAlign w:val="center"/>
          </w:tcPr>
          <w:p>
            <w:pPr>
              <w:jc w:val="center"/>
              <w:rPr>
                <w:rFonts w:ascii="宋体" w:hAnsi="宋体" w:eastAsia="宋体"/>
                <w:sz w:val="21"/>
                <w:szCs w:val="21"/>
              </w:rPr>
            </w:pPr>
          </w:p>
        </w:tc>
        <w:tc>
          <w:tcPr>
            <w:tcW w:w="2984" w:type="dxa"/>
            <w:vAlign w:val="center"/>
          </w:tcPr>
          <w:p>
            <w:pPr>
              <w:jc w:val="center"/>
              <w:rPr>
                <w:rFonts w:ascii="宋体" w:hAnsi="宋体" w:eastAsia="宋体"/>
                <w:sz w:val="21"/>
                <w:szCs w:val="21"/>
              </w:rPr>
            </w:pPr>
            <w:r>
              <w:rPr>
                <w:rFonts w:hint="eastAsia" w:ascii="宋体" w:hAnsi="宋体" w:eastAsia="宋体"/>
                <w:sz w:val="21"/>
                <w:szCs w:val="21"/>
              </w:rPr>
              <w:t>创业培训补贴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职业技能鉴定补贴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公益性岗位补贴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见习补贴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创业补贴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小微企业场地租金补贴</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25" w:type="dxa"/>
            <w:gridSpan w:val="2"/>
            <w:vAlign w:val="center"/>
          </w:tcPr>
          <w:p>
            <w:pPr>
              <w:jc w:val="center"/>
              <w:rPr>
                <w:rFonts w:ascii="宋体" w:hAnsi="宋体" w:eastAsia="宋体"/>
                <w:sz w:val="21"/>
                <w:szCs w:val="21"/>
              </w:rPr>
            </w:pPr>
            <w:r>
              <w:rPr>
                <w:rFonts w:hint="eastAsia" w:ascii="宋体" w:hAnsi="宋体" w:eastAsia="宋体"/>
                <w:sz w:val="21"/>
                <w:szCs w:val="21"/>
              </w:rPr>
              <w:t>合计</w:t>
            </w:r>
          </w:p>
        </w:tc>
        <w:tc>
          <w:tcPr>
            <w:tcW w:w="1972" w:type="dxa"/>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566.06</w:t>
            </w:r>
          </w:p>
        </w:tc>
      </w:tr>
    </w:tbl>
    <w:p>
      <w:pPr>
        <w:ind w:firstLine="640" w:firstLineChars="200"/>
        <w:rPr>
          <w:rFonts w:ascii="仿宋_GB2312" w:hAnsi="仿宋_GB2312"/>
          <w:bCs/>
          <w:sz w:val="32"/>
          <w:szCs w:val="32"/>
        </w:rPr>
      </w:pPr>
      <w:r>
        <w:rPr>
          <w:rFonts w:hint="eastAsia" w:ascii="仿宋_GB2312" w:hAnsi="仿宋_GB2312"/>
          <w:bCs/>
          <w:sz w:val="32"/>
          <w:szCs w:val="32"/>
        </w:rPr>
        <w:t>各补贴类别具体支出占比如下图：</w:t>
      </w:r>
    </w:p>
    <w:p>
      <w:pPr>
        <w:jc w:val="center"/>
        <w:rPr>
          <w:rFonts w:hint="eastAsia" w:eastAsia="仿宋_GB2312"/>
          <w:lang w:eastAsia="zh-CN"/>
        </w:rPr>
      </w:pPr>
      <w:r>
        <w:drawing>
          <wp:inline distT="0" distB="0" distL="0" distR="0">
            <wp:extent cx="5398135" cy="2660015"/>
            <wp:effectExtent l="4445" t="4445" r="7620" b="2159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
        <w:spacing w:before="0" w:after="0" w:line="580" w:lineRule="exact"/>
        <w:ind w:firstLine="643" w:firstLineChars="200"/>
        <w:rPr>
          <w:rFonts w:ascii="Times New Roman" w:hAnsi="Times New Roman" w:eastAsia="楷体_GB2312"/>
        </w:rPr>
      </w:pPr>
      <w:bookmarkStart w:id="19" w:name="_Toc41137183"/>
      <w:bookmarkStart w:id="20" w:name="_Toc7170"/>
      <w:r>
        <w:rPr>
          <w:rFonts w:hint="eastAsia" w:ascii="Times New Roman" w:hAnsi="Times New Roman" w:eastAsia="楷体_GB2312"/>
        </w:rPr>
        <w:t>（二）绩效目标</w:t>
      </w:r>
      <w:bookmarkEnd w:id="19"/>
      <w:bookmarkEnd w:id="20"/>
    </w:p>
    <w:p>
      <w:pPr>
        <w:spacing w:line="580" w:lineRule="exact"/>
        <w:ind w:firstLine="640" w:firstLineChars="200"/>
        <w:rPr>
          <w:rFonts w:eastAsia="楷体_GB2312"/>
          <w:b/>
          <w:bCs/>
          <w:sz w:val="32"/>
          <w:szCs w:val="32"/>
        </w:rPr>
      </w:pPr>
      <w:r>
        <w:rPr>
          <w:rFonts w:hint="eastAsia" w:ascii="仿宋_GB2312" w:hAnsi="仿宋_GB2312"/>
          <w:sz w:val="32"/>
          <w:szCs w:val="32"/>
        </w:rPr>
        <w:t>该项目绩效目标为就业创业服务，具体体现为资金按规定用于职业培训补贴、职业技能鉴定补贴、社会保险补贴、岗位补贴、创业补贴、就业见习补贴、求职补贴、租金补贴、房租物业水电补贴、吸纳就业补贴、特定政策补贴、就业创业服务补助、高技能人才培养。</w:t>
      </w:r>
    </w:p>
    <w:p>
      <w:pPr>
        <w:pStyle w:val="2"/>
        <w:keepNext w:val="0"/>
        <w:keepLines w:val="0"/>
        <w:spacing w:before="0" w:after="0" w:line="580" w:lineRule="exact"/>
        <w:ind w:firstLine="643" w:firstLineChars="200"/>
        <w:jc w:val="left"/>
        <w:rPr>
          <w:rFonts w:ascii="黑体" w:hAnsi="黑体" w:eastAsia="黑体" w:cs="黑体"/>
          <w:sz w:val="32"/>
          <w:szCs w:val="32"/>
        </w:rPr>
      </w:pPr>
      <w:bookmarkStart w:id="21" w:name="_Toc38452630"/>
      <w:bookmarkStart w:id="22" w:name="_Toc3315"/>
      <w:bookmarkStart w:id="23" w:name="_Toc38447886"/>
      <w:bookmarkStart w:id="24" w:name="_Toc41137184"/>
      <w:r>
        <w:rPr>
          <w:rFonts w:hint="eastAsia" w:ascii="黑体" w:hAnsi="黑体" w:eastAsia="黑体" w:cs="黑体"/>
          <w:sz w:val="32"/>
          <w:szCs w:val="32"/>
        </w:rPr>
        <w:t>二、绩效评价工作开展情况</w:t>
      </w:r>
      <w:bookmarkEnd w:id="21"/>
      <w:bookmarkEnd w:id="22"/>
      <w:bookmarkEnd w:id="23"/>
      <w:bookmarkEnd w:id="24"/>
    </w:p>
    <w:p>
      <w:pPr>
        <w:pStyle w:val="3"/>
        <w:spacing w:before="0" w:after="0" w:line="580" w:lineRule="exact"/>
        <w:ind w:firstLine="643" w:firstLineChars="200"/>
        <w:rPr>
          <w:rFonts w:ascii="Times New Roman" w:hAnsi="Times New Roman" w:eastAsia="楷体_GB2312"/>
        </w:rPr>
      </w:pPr>
      <w:bookmarkStart w:id="25" w:name="_Toc41137185"/>
      <w:bookmarkStart w:id="26" w:name="_Toc24259"/>
      <w:bookmarkStart w:id="27" w:name="_Toc38447887"/>
      <w:bookmarkStart w:id="28" w:name="_Toc38452631"/>
      <w:r>
        <w:rPr>
          <w:rFonts w:hint="eastAsia" w:ascii="Times New Roman" w:hAnsi="Times New Roman" w:eastAsia="楷体_GB2312"/>
        </w:rPr>
        <w:t>（一）绩效评价目的、对象和范围</w:t>
      </w:r>
      <w:bookmarkEnd w:id="25"/>
      <w:bookmarkEnd w:id="26"/>
      <w:bookmarkEnd w:id="27"/>
      <w:bookmarkEnd w:id="28"/>
    </w:p>
    <w:p>
      <w:pPr>
        <w:spacing w:line="580" w:lineRule="exact"/>
        <w:ind w:firstLine="643" w:firstLineChars="200"/>
        <w:rPr>
          <w:rFonts w:hint="eastAsia" w:ascii="仿宋_GB2312" w:hAnsi="仿宋_GB2312"/>
          <w:sz w:val="32"/>
          <w:szCs w:val="32"/>
        </w:rPr>
      </w:pPr>
      <w:r>
        <w:rPr>
          <w:rFonts w:hint="eastAsia" w:ascii="仿宋_GB2312" w:hAnsi="仿宋_GB2312"/>
          <w:b/>
          <w:bCs/>
          <w:sz w:val="32"/>
          <w:szCs w:val="32"/>
        </w:rPr>
        <w:t>1</w:t>
      </w:r>
      <w:r>
        <w:rPr>
          <w:rFonts w:hint="eastAsia" w:ascii="仿宋_GB2312" w:hAnsi="仿宋_GB2312"/>
          <w:b/>
          <w:bCs/>
          <w:sz w:val="32"/>
          <w:szCs w:val="32"/>
          <w:lang w:eastAsia="zh-CN"/>
        </w:rPr>
        <w:t>．</w:t>
      </w:r>
      <w:r>
        <w:rPr>
          <w:rFonts w:hint="eastAsia" w:ascii="仿宋_GB2312" w:hAnsi="仿宋_GB2312"/>
          <w:b/>
          <w:bCs/>
          <w:sz w:val="32"/>
          <w:szCs w:val="32"/>
        </w:rPr>
        <w:t>绩效评价目的</w:t>
      </w:r>
    </w:p>
    <w:p>
      <w:pPr>
        <w:spacing w:line="580" w:lineRule="exact"/>
        <w:ind w:firstLine="640" w:firstLineChars="200"/>
        <w:rPr>
          <w:sz w:val="32"/>
          <w:szCs w:val="32"/>
        </w:rPr>
      </w:pPr>
      <w:r>
        <w:rPr>
          <w:rFonts w:hint="eastAsia"/>
          <w:sz w:val="32"/>
          <w:szCs w:val="32"/>
        </w:rPr>
        <w:t>本次</w:t>
      </w:r>
      <w:r>
        <w:rPr>
          <w:sz w:val="32"/>
          <w:szCs w:val="32"/>
        </w:rPr>
        <w:t>绩效评价旨在通过</w:t>
      </w:r>
      <w:r>
        <w:rPr>
          <w:rFonts w:hint="eastAsia"/>
          <w:sz w:val="32"/>
          <w:szCs w:val="32"/>
        </w:rPr>
        <w:t>考核该项目的决策、过程、产出和效益情况，对项目支出的经济性、效率性、效益性和公平性进行客观、公正的测量、分析和评判。</w:t>
      </w:r>
      <w:r>
        <w:rPr>
          <w:sz w:val="32"/>
          <w:szCs w:val="32"/>
        </w:rPr>
        <w:t>推动建立以绩效评价结果为导向的财政资金分配与管理制度，</w:t>
      </w:r>
      <w:r>
        <w:rPr>
          <w:rFonts w:hint="eastAsia"/>
          <w:sz w:val="32"/>
          <w:szCs w:val="32"/>
        </w:rPr>
        <w:t>提升财政资金使用效益，为下一步</w:t>
      </w:r>
      <w:r>
        <w:rPr>
          <w:sz w:val="32"/>
          <w:szCs w:val="32"/>
        </w:rPr>
        <w:t>资金</w:t>
      </w:r>
      <w:r>
        <w:rPr>
          <w:rFonts w:hint="eastAsia"/>
          <w:sz w:val="32"/>
          <w:szCs w:val="32"/>
        </w:rPr>
        <w:t>预算安排、完善政策提供参考。</w:t>
      </w:r>
    </w:p>
    <w:p>
      <w:pPr>
        <w:spacing w:line="580" w:lineRule="exact"/>
        <w:ind w:firstLine="643" w:firstLineChars="200"/>
        <w:rPr>
          <w:rFonts w:hint="eastAsia"/>
          <w:b/>
          <w:bCs/>
          <w:sz w:val="32"/>
          <w:szCs w:val="32"/>
        </w:rPr>
      </w:pPr>
      <w:r>
        <w:rPr>
          <w:rFonts w:hint="eastAsia" w:ascii="仿宋_GB2312" w:hAnsi="仿宋_GB2312"/>
          <w:b/>
          <w:bCs/>
          <w:sz w:val="32"/>
          <w:szCs w:val="32"/>
        </w:rPr>
        <w:t>2</w:t>
      </w:r>
      <w:r>
        <w:rPr>
          <w:rFonts w:hint="eastAsia" w:ascii="仿宋_GB2312" w:hAnsi="仿宋_GB2312"/>
          <w:b/>
          <w:bCs/>
          <w:sz w:val="32"/>
          <w:szCs w:val="32"/>
          <w:lang w:eastAsia="zh-CN"/>
        </w:rPr>
        <w:t>．</w:t>
      </w:r>
      <w:r>
        <w:rPr>
          <w:rFonts w:hint="eastAsia" w:ascii="仿宋_GB2312" w:hAnsi="仿宋_GB2312"/>
          <w:b/>
          <w:bCs/>
          <w:sz w:val="32"/>
          <w:szCs w:val="32"/>
        </w:rPr>
        <w:t>绩效评价对象</w:t>
      </w:r>
    </w:p>
    <w:p>
      <w:pPr>
        <w:spacing w:line="580" w:lineRule="exact"/>
        <w:ind w:firstLine="640" w:firstLineChars="200"/>
        <w:rPr>
          <w:rFonts w:ascii="仿宋_GB2312" w:hAnsi="仿宋_GB2312"/>
          <w:sz w:val="32"/>
          <w:szCs w:val="32"/>
        </w:rPr>
      </w:pPr>
      <w:r>
        <w:rPr>
          <w:rFonts w:hint="eastAsia"/>
          <w:sz w:val="32"/>
          <w:szCs w:val="32"/>
        </w:rPr>
        <w:t>评价对象为</w:t>
      </w:r>
      <w:r>
        <w:rPr>
          <w:rFonts w:hint="eastAsia" w:ascii="仿宋_GB2312" w:hAnsi="仿宋_GB2312"/>
          <w:sz w:val="32"/>
          <w:szCs w:val="32"/>
        </w:rPr>
        <w:t>徐水区2019年度就业补助资金项目。</w:t>
      </w:r>
    </w:p>
    <w:p>
      <w:pPr>
        <w:spacing w:line="580" w:lineRule="exact"/>
        <w:ind w:firstLine="643" w:firstLineChars="200"/>
        <w:rPr>
          <w:rFonts w:hint="eastAsia" w:ascii="仿宋_GB2312" w:hAnsi="仿宋_GB2312"/>
          <w:b/>
          <w:bCs/>
          <w:sz w:val="32"/>
          <w:szCs w:val="32"/>
        </w:rPr>
      </w:pPr>
      <w:r>
        <w:rPr>
          <w:rFonts w:hint="eastAsia" w:ascii="仿宋_GB2312" w:hAnsi="仿宋_GB2312"/>
          <w:b/>
          <w:bCs/>
          <w:sz w:val="32"/>
          <w:szCs w:val="32"/>
        </w:rPr>
        <w:t>3</w:t>
      </w:r>
      <w:r>
        <w:rPr>
          <w:rFonts w:hint="eastAsia" w:ascii="仿宋_GB2312" w:hAnsi="仿宋_GB2312"/>
          <w:b/>
          <w:bCs/>
          <w:sz w:val="32"/>
          <w:szCs w:val="32"/>
          <w:lang w:eastAsia="zh-CN"/>
        </w:rPr>
        <w:t>．</w:t>
      </w:r>
      <w:r>
        <w:rPr>
          <w:rFonts w:hint="eastAsia" w:ascii="仿宋_GB2312" w:hAnsi="仿宋_GB2312"/>
          <w:b/>
          <w:bCs/>
          <w:sz w:val="32"/>
          <w:szCs w:val="32"/>
        </w:rPr>
        <w:t>绩效评价范围</w:t>
      </w:r>
    </w:p>
    <w:p>
      <w:pPr>
        <w:spacing w:line="580" w:lineRule="exact"/>
        <w:ind w:firstLine="640" w:firstLineChars="200"/>
        <w:rPr>
          <w:rFonts w:ascii="仿宋" w:hAnsi="仿宋" w:eastAsia="仿宋" w:cs="仿宋"/>
          <w:sz w:val="32"/>
          <w:szCs w:val="32"/>
        </w:rPr>
      </w:pPr>
      <w:r>
        <w:rPr>
          <w:rFonts w:hint="eastAsia"/>
          <w:sz w:val="32"/>
          <w:szCs w:val="32"/>
        </w:rPr>
        <w:t>本次绩效评价范围为</w:t>
      </w:r>
      <w:r>
        <w:rPr>
          <w:rFonts w:hint="eastAsia" w:ascii="仿宋_GB2312" w:hAnsi="仿宋_GB2312"/>
          <w:sz w:val="32"/>
          <w:szCs w:val="32"/>
        </w:rPr>
        <w:t>2019年度就业补助资金项目的收入、支出情况，绩效目标及指标设定及完成情况，资金使用合规性，管理制度的建设及执行情况，项目产出数量、质量、</w:t>
      </w:r>
      <w:r>
        <w:rPr>
          <w:rFonts w:hint="eastAsia" w:ascii="仿宋_GB2312" w:hAnsi="仿宋_GB2312"/>
          <w:sz w:val="32"/>
          <w:szCs w:val="32"/>
          <w:highlight w:val="none"/>
        </w:rPr>
        <w:t>时效及成本情况</w:t>
      </w:r>
      <w:r>
        <w:rPr>
          <w:rFonts w:hint="eastAsia" w:ascii="仿宋_GB2312" w:hAnsi="仿宋_GB2312"/>
          <w:sz w:val="32"/>
          <w:szCs w:val="32"/>
        </w:rPr>
        <w:t>，项目产生的效益及</w:t>
      </w:r>
      <w:r>
        <w:rPr>
          <w:rFonts w:hint="eastAsia" w:ascii="仿宋_GB2312" w:hAnsi="仿宋_GB2312"/>
          <w:sz w:val="32"/>
          <w:szCs w:val="32"/>
          <w:lang w:eastAsia="zh-CN"/>
        </w:rPr>
        <w:t>群众对</w:t>
      </w:r>
      <w:r>
        <w:rPr>
          <w:rFonts w:hint="eastAsia" w:ascii="仿宋_GB2312" w:hAnsi="仿宋_GB2312"/>
          <w:sz w:val="32"/>
          <w:szCs w:val="32"/>
        </w:rPr>
        <w:t>项目实施效果的满意程度。</w:t>
      </w:r>
    </w:p>
    <w:bookmarkEnd w:id="7"/>
    <w:p>
      <w:pPr>
        <w:pStyle w:val="3"/>
        <w:spacing w:before="0" w:after="0" w:line="580" w:lineRule="exact"/>
        <w:ind w:firstLine="643" w:firstLineChars="200"/>
        <w:rPr>
          <w:rFonts w:ascii="Times New Roman" w:hAnsi="Times New Roman" w:eastAsia="楷体_GB2312"/>
        </w:rPr>
      </w:pPr>
      <w:bookmarkStart w:id="29" w:name="_Toc38447888"/>
      <w:bookmarkStart w:id="30" w:name="_Toc38452632"/>
      <w:bookmarkStart w:id="31" w:name="_Toc41137186"/>
      <w:bookmarkStart w:id="32" w:name="_Toc16283"/>
      <w:bookmarkStart w:id="33" w:name="_Toc10977_WPSOffice_Type3"/>
      <w:r>
        <w:rPr>
          <w:rFonts w:hint="eastAsia" w:ascii="Times New Roman" w:hAnsi="Times New Roman" w:eastAsia="楷体_GB2312"/>
        </w:rPr>
        <w:t>（二）绩效评价原则、指标体系、依据、方法及标准</w:t>
      </w:r>
      <w:bookmarkEnd w:id="29"/>
      <w:bookmarkEnd w:id="30"/>
      <w:bookmarkEnd w:id="31"/>
      <w:bookmarkEnd w:id="32"/>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绩效评价原则</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（1）科学公正。绩效评价应当运用科学合理的方法，按照规范的程序，对项目绩效进行客观、公正的反映。</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（2）统筹兼顾。单位自评、部门评价和财政评价应职责明确，各有侧重，相互衔接。</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（3）激励约束。绩效评价结果应与预算安排、政策调整、改进管理实质性挂钩，体现奖优罚劣和激励相容导向，有效要安排、低效要压减、无效要问责。</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（4）公开透明。绩效评价结果应依法依规公开，并自觉接受社会监督。</w:t>
      </w:r>
    </w:p>
    <w:p>
      <w:pPr>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绩效评价指标体系</w:t>
      </w:r>
    </w:p>
    <w:bookmarkEnd w:id="33"/>
    <w:p>
      <w:pPr>
        <w:spacing w:line="580" w:lineRule="exact"/>
        <w:ind w:firstLine="640" w:firstLineChars="200"/>
        <w:rPr>
          <w:sz w:val="32"/>
          <w:szCs w:val="32"/>
        </w:rPr>
      </w:pPr>
      <w:bookmarkStart w:id="34" w:name="_Toc4001_WPSOffice_Level1"/>
      <w:bookmarkStart w:id="35" w:name="_Toc16829_WPSOffice_Level1"/>
      <w:bookmarkStart w:id="36" w:name="_Toc24787_WPSOffice_Level1"/>
      <w:bookmarkStart w:id="37" w:name="_Toc8028_WPSOffice_Level1"/>
      <w:r>
        <w:rPr>
          <w:rFonts w:hint="eastAsia"/>
          <w:sz w:val="32"/>
          <w:szCs w:val="32"/>
        </w:rPr>
        <w:t>（1）绩效指标设计。</w:t>
      </w:r>
      <w:r>
        <w:rPr>
          <w:sz w:val="32"/>
          <w:szCs w:val="32"/>
        </w:rPr>
        <w:t>本次绩效评</w:t>
      </w:r>
      <w:r>
        <w:rPr>
          <w:rFonts w:hint="eastAsia"/>
          <w:sz w:val="32"/>
          <w:szCs w:val="32"/>
        </w:rPr>
        <w:t>价</w:t>
      </w:r>
      <w:r>
        <w:rPr>
          <w:sz w:val="32"/>
          <w:szCs w:val="32"/>
        </w:rPr>
        <w:t>指标体系</w:t>
      </w:r>
      <w:r>
        <w:rPr>
          <w:rFonts w:hint="eastAsia"/>
          <w:sz w:val="32"/>
          <w:szCs w:val="32"/>
        </w:rPr>
        <w:t>按照财政部《关于印发&lt;项目支出绩效评价管理办法&gt;的通知》（财预〔2020〕10号）、河北省财政厅印发的《河北省省直部门工作活动绩效评价指标框架体系》和《河北省省级财政支出政策绩效评价工作规范》的有关要求设计，</w:t>
      </w:r>
      <w:r>
        <w:rPr>
          <w:sz w:val="32"/>
          <w:szCs w:val="32"/>
        </w:rPr>
        <w:t>共4个一级指标、</w:t>
      </w:r>
      <w:r>
        <w:rPr>
          <w:rFonts w:hint="eastAsia"/>
          <w:sz w:val="32"/>
          <w:szCs w:val="32"/>
        </w:rPr>
        <w:t>11</w:t>
      </w:r>
      <w:r>
        <w:rPr>
          <w:sz w:val="32"/>
          <w:szCs w:val="32"/>
        </w:rPr>
        <w:t>个二级指标、</w:t>
      </w:r>
      <w:r>
        <w:rPr>
          <w:rFonts w:hint="eastAsia"/>
          <w:sz w:val="32"/>
          <w:szCs w:val="32"/>
        </w:rPr>
        <w:t>21</w:t>
      </w:r>
      <w:r>
        <w:rPr>
          <w:sz w:val="32"/>
          <w:szCs w:val="32"/>
        </w:rPr>
        <w:t>个三级指标</w:t>
      </w:r>
      <w:r>
        <w:rPr>
          <w:rFonts w:hint="eastAsia"/>
          <w:sz w:val="32"/>
          <w:szCs w:val="32"/>
        </w:rPr>
        <w:t>。指标体系</w:t>
      </w:r>
      <w:r>
        <w:rPr>
          <w:sz w:val="32"/>
          <w:szCs w:val="32"/>
        </w:rPr>
        <w:t>分别从</w:t>
      </w:r>
      <w:r>
        <w:rPr>
          <w:rFonts w:hint="eastAsia"/>
          <w:sz w:val="32"/>
          <w:szCs w:val="32"/>
        </w:rPr>
        <w:t>决策</w:t>
      </w:r>
      <w:r>
        <w:rPr>
          <w:sz w:val="32"/>
          <w:szCs w:val="32"/>
        </w:rPr>
        <w:t>、</w:t>
      </w:r>
      <w:r>
        <w:rPr>
          <w:rFonts w:hint="eastAsia"/>
          <w:sz w:val="32"/>
          <w:szCs w:val="32"/>
        </w:rPr>
        <w:t>过程</w:t>
      </w:r>
      <w:r>
        <w:rPr>
          <w:sz w:val="32"/>
          <w:szCs w:val="32"/>
        </w:rPr>
        <w:t>、</w:t>
      </w:r>
      <w:r>
        <w:rPr>
          <w:rFonts w:hint="eastAsia"/>
          <w:sz w:val="32"/>
          <w:szCs w:val="32"/>
        </w:rPr>
        <w:t>产出</w:t>
      </w:r>
      <w:r>
        <w:rPr>
          <w:sz w:val="32"/>
          <w:szCs w:val="32"/>
        </w:rPr>
        <w:t>、</w:t>
      </w:r>
      <w:r>
        <w:rPr>
          <w:rFonts w:hint="eastAsia"/>
          <w:sz w:val="32"/>
          <w:szCs w:val="32"/>
        </w:rPr>
        <w:t>效益</w:t>
      </w:r>
      <w:r>
        <w:rPr>
          <w:sz w:val="32"/>
          <w:szCs w:val="32"/>
        </w:rPr>
        <w:t>出四个方面进行绩效评价</w:t>
      </w:r>
      <w:r>
        <w:rPr>
          <w:rFonts w:hint="eastAsia"/>
          <w:sz w:val="32"/>
          <w:szCs w:val="32"/>
        </w:rPr>
        <w:t>。</w:t>
      </w:r>
    </w:p>
    <w:p>
      <w:pPr>
        <w:spacing w:line="580" w:lineRule="exact"/>
        <w:ind w:firstLine="640" w:firstLineChars="200"/>
        <w:rPr>
          <w:sz w:val="32"/>
          <w:szCs w:val="32"/>
        </w:rPr>
      </w:pPr>
      <w:r>
        <w:rPr>
          <w:rFonts w:hint="eastAsia"/>
          <w:sz w:val="32"/>
          <w:szCs w:val="32"/>
        </w:rPr>
        <w:t>（2）绩效评价等级。</w:t>
      </w:r>
      <w:r>
        <w:rPr>
          <w:sz w:val="32"/>
          <w:szCs w:val="32"/>
        </w:rPr>
        <w:t>通过对指标体系量化评分，绩效评价分为四个等级，其中：分值</w:t>
      </w:r>
      <w:r>
        <w:rPr>
          <w:rFonts w:hint="eastAsia"/>
          <w:sz w:val="32"/>
          <w:szCs w:val="32"/>
        </w:rPr>
        <w:t>≥</w:t>
      </w:r>
      <w:r>
        <w:rPr>
          <w:sz w:val="32"/>
          <w:szCs w:val="32"/>
        </w:rPr>
        <w:t>90为</w:t>
      </w:r>
      <w:r>
        <w:rPr>
          <w:rFonts w:hint="eastAsia"/>
          <w:sz w:val="32"/>
          <w:szCs w:val="32"/>
        </w:rPr>
        <w:t>“</w:t>
      </w:r>
      <w:r>
        <w:rPr>
          <w:sz w:val="32"/>
          <w:szCs w:val="32"/>
        </w:rPr>
        <w:t>优</w:t>
      </w:r>
      <w:r>
        <w:rPr>
          <w:rFonts w:hint="eastAsia"/>
          <w:sz w:val="32"/>
          <w:szCs w:val="32"/>
        </w:rPr>
        <w:t>”</w:t>
      </w:r>
      <w:r>
        <w:rPr>
          <w:sz w:val="32"/>
          <w:szCs w:val="32"/>
        </w:rPr>
        <w:t>，80</w:t>
      </w:r>
      <w:r>
        <w:rPr>
          <w:rFonts w:hint="eastAsia"/>
          <w:sz w:val="32"/>
          <w:szCs w:val="32"/>
        </w:rPr>
        <w:t>≤</w:t>
      </w:r>
      <w:r>
        <w:rPr>
          <w:sz w:val="32"/>
          <w:szCs w:val="32"/>
        </w:rPr>
        <w:t>分值&lt;90为</w:t>
      </w:r>
      <w:r>
        <w:rPr>
          <w:rFonts w:hint="eastAsia"/>
          <w:sz w:val="32"/>
          <w:szCs w:val="32"/>
        </w:rPr>
        <w:t>“</w:t>
      </w:r>
      <w:r>
        <w:rPr>
          <w:sz w:val="32"/>
          <w:szCs w:val="32"/>
        </w:rPr>
        <w:t>良</w:t>
      </w:r>
      <w:r>
        <w:rPr>
          <w:rFonts w:hint="eastAsia"/>
          <w:sz w:val="32"/>
          <w:szCs w:val="32"/>
        </w:rPr>
        <w:t>”</w:t>
      </w:r>
      <w:r>
        <w:rPr>
          <w:sz w:val="32"/>
          <w:szCs w:val="32"/>
        </w:rPr>
        <w:t>，60</w:t>
      </w:r>
      <w:r>
        <w:rPr>
          <w:rFonts w:hint="eastAsia"/>
          <w:sz w:val="32"/>
          <w:szCs w:val="32"/>
        </w:rPr>
        <w:t>≤</w:t>
      </w:r>
      <w:r>
        <w:rPr>
          <w:sz w:val="32"/>
          <w:szCs w:val="32"/>
        </w:rPr>
        <w:t>分值&lt;80为</w:t>
      </w:r>
      <w:r>
        <w:rPr>
          <w:rFonts w:hint="eastAsia"/>
          <w:sz w:val="32"/>
          <w:szCs w:val="32"/>
        </w:rPr>
        <w:t>“中”</w:t>
      </w:r>
      <w:r>
        <w:rPr>
          <w:sz w:val="32"/>
          <w:szCs w:val="32"/>
        </w:rPr>
        <w:t>，分值&lt;60为</w:t>
      </w:r>
      <w:r>
        <w:rPr>
          <w:rFonts w:hint="eastAsia"/>
          <w:sz w:val="32"/>
          <w:szCs w:val="32"/>
        </w:rPr>
        <w:t>“差”</w:t>
      </w:r>
      <w:r>
        <w:rPr>
          <w:sz w:val="32"/>
          <w:szCs w:val="32"/>
        </w:rPr>
        <w:t>。</w:t>
      </w:r>
    </w:p>
    <w:p>
      <w:pPr>
        <w:spacing w:line="580" w:lineRule="exact"/>
        <w:ind w:firstLine="643" w:firstLineChars="200"/>
        <w:rPr>
          <w:b/>
          <w:bCs/>
          <w:sz w:val="32"/>
          <w:szCs w:val="32"/>
        </w:rPr>
      </w:pPr>
      <w:r>
        <w:rPr>
          <w:rFonts w:hint="eastAsia" w:ascii="仿宋_GB2312" w:hAnsi="仿宋_GB2312" w:eastAsia="仿宋_GB2312" w:cs="仿宋_GB2312"/>
          <w:b/>
          <w:bCs/>
          <w:sz w:val="32"/>
          <w:szCs w:val="32"/>
        </w:rPr>
        <w:t>3</w:t>
      </w:r>
      <w:r>
        <w:rPr>
          <w:rFonts w:hint="eastAsia" w:ascii="仿宋_GB2312" w:hAnsi="仿宋_GB2312" w:cs="仿宋_GB2312"/>
          <w:b/>
          <w:bCs/>
          <w:sz w:val="32"/>
          <w:szCs w:val="32"/>
          <w:lang w:eastAsia="zh-CN"/>
        </w:rPr>
        <w:t>．</w:t>
      </w:r>
      <w:r>
        <w:rPr>
          <w:rFonts w:hint="eastAsia" w:ascii="仿宋_GB2312" w:hAnsi="仿宋_GB2312" w:eastAsia="仿宋_GB2312" w:cs="仿宋_GB2312"/>
          <w:b/>
          <w:bCs/>
          <w:sz w:val="32"/>
          <w:szCs w:val="32"/>
        </w:rPr>
        <w:t>绩效评</w:t>
      </w:r>
      <w:r>
        <w:rPr>
          <w:rFonts w:hint="eastAsia"/>
          <w:b/>
          <w:bCs/>
          <w:sz w:val="32"/>
          <w:szCs w:val="32"/>
        </w:rPr>
        <w:t>价依据</w:t>
      </w:r>
    </w:p>
    <w:p>
      <w:pPr>
        <w:spacing w:line="360" w:lineRule="auto"/>
        <w:ind w:firstLine="640" w:firstLineChars="200"/>
        <w:textAlignment w:val="baseline"/>
        <w:rPr>
          <w:rFonts w:ascii="仿宋_GB2312" w:cs="DengXian-Regular"/>
          <w:sz w:val="32"/>
          <w:szCs w:val="32"/>
        </w:rPr>
      </w:pPr>
      <w:r>
        <w:rPr>
          <w:rFonts w:hint="eastAsia" w:ascii="仿宋_GB2312" w:cs="DengXian-Regular"/>
          <w:sz w:val="32"/>
          <w:szCs w:val="32"/>
        </w:rPr>
        <w:t>（1）</w:t>
      </w:r>
      <w:r>
        <w:rPr>
          <w:rFonts w:ascii="仿宋_GB2312" w:cs="DengXian-Regular"/>
          <w:sz w:val="32"/>
          <w:szCs w:val="32"/>
        </w:rPr>
        <w:t>《中华人民共和国预算法》；</w:t>
      </w:r>
    </w:p>
    <w:p>
      <w:pPr>
        <w:spacing w:line="360" w:lineRule="auto"/>
        <w:ind w:firstLine="640" w:firstLineChars="200"/>
        <w:textAlignment w:val="baseline"/>
        <w:rPr>
          <w:rFonts w:ascii="仿宋_GB2312" w:cs="DengXian-Regular"/>
          <w:sz w:val="32"/>
          <w:szCs w:val="32"/>
        </w:rPr>
      </w:pPr>
      <w:r>
        <w:rPr>
          <w:rFonts w:hint="eastAsia" w:ascii="仿宋_GB2312" w:cs="DengXian-Regular"/>
          <w:sz w:val="32"/>
          <w:szCs w:val="32"/>
        </w:rPr>
        <w:t>（2）中共中央国务院《关于全面实施预算绩效管理的意见》（中发〔2018〕34号）；</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（3）中共河北省委河北省人民政府</w:t>
      </w:r>
      <w:r>
        <w:rPr>
          <w:rFonts w:ascii="仿宋_GB2312" w:cs="DengXian-Regular"/>
          <w:sz w:val="32"/>
          <w:szCs w:val="32"/>
        </w:rPr>
        <w:t>《</w:t>
      </w:r>
      <w:r>
        <w:rPr>
          <w:rFonts w:hint="eastAsia" w:ascii="仿宋_GB2312" w:cs="DengXian-Regular"/>
          <w:sz w:val="32"/>
          <w:szCs w:val="32"/>
        </w:rPr>
        <w:t>关于全面实施预算绩效管理的实施意见</w:t>
      </w:r>
      <w:r>
        <w:rPr>
          <w:rFonts w:ascii="仿宋_GB2312" w:cs="DengXian-Regular"/>
          <w:sz w:val="32"/>
          <w:szCs w:val="32"/>
        </w:rPr>
        <w:t>》（冀</w:t>
      </w:r>
      <w:r>
        <w:rPr>
          <w:rFonts w:hint="eastAsia" w:ascii="仿宋_GB2312" w:cs="DengXian-Regular"/>
          <w:sz w:val="32"/>
          <w:szCs w:val="32"/>
        </w:rPr>
        <w:t>发〔2018〕54</w:t>
      </w:r>
      <w:r>
        <w:rPr>
          <w:rFonts w:ascii="仿宋_GB2312" w:cs="DengXian-Regular"/>
          <w:sz w:val="32"/>
          <w:szCs w:val="32"/>
        </w:rPr>
        <w:t>号）</w:t>
      </w:r>
      <w:r>
        <w:rPr>
          <w:rFonts w:hint="eastAsia" w:ascii="仿宋_GB2312" w:cs="DengXian-Regular"/>
          <w:sz w:val="32"/>
          <w:szCs w:val="32"/>
        </w:rPr>
        <w:t>；</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（4）财政部《项目支出绩效评价管理办法》（财预〔2020〕10</w:t>
      </w:r>
      <w:r>
        <w:rPr>
          <w:rFonts w:ascii="仿宋_GB2312" w:cs="DengXian-Regular"/>
          <w:sz w:val="32"/>
          <w:szCs w:val="32"/>
        </w:rPr>
        <w:t>号</w:t>
      </w:r>
      <w:r>
        <w:rPr>
          <w:rFonts w:hint="eastAsia" w:ascii="仿宋_GB2312" w:cs="DengXian-Regular"/>
          <w:sz w:val="32"/>
          <w:szCs w:val="32"/>
        </w:rPr>
        <w:t>）；</w:t>
      </w:r>
    </w:p>
    <w:p>
      <w:pPr>
        <w:spacing w:line="580" w:lineRule="exact"/>
        <w:ind w:firstLine="640" w:firstLineChars="200"/>
        <w:rPr>
          <w:b/>
          <w:bCs/>
          <w:sz w:val="32"/>
          <w:szCs w:val="32"/>
        </w:rPr>
      </w:pPr>
      <w:r>
        <w:rPr>
          <w:rFonts w:hint="eastAsia" w:ascii="仿宋_GB2312" w:cs="DengXian-Regular"/>
          <w:sz w:val="32"/>
          <w:szCs w:val="32"/>
        </w:rPr>
        <w:t>（5）其他与</w:t>
      </w:r>
      <w:r>
        <w:rPr>
          <w:rFonts w:hint="eastAsia" w:ascii="仿宋_GB2312" w:cs="DengXian-Regular"/>
          <w:sz w:val="32"/>
          <w:szCs w:val="32"/>
          <w:lang w:eastAsia="zh-CN"/>
        </w:rPr>
        <w:t>项目</w:t>
      </w:r>
      <w:r>
        <w:rPr>
          <w:rFonts w:hint="eastAsia" w:ascii="仿宋_GB2312" w:cs="DengXian-Regular"/>
          <w:sz w:val="32"/>
          <w:szCs w:val="32"/>
        </w:rPr>
        <w:t>绩效评价工作相关的文件。</w:t>
      </w:r>
    </w:p>
    <w:p>
      <w:pPr>
        <w:spacing w:line="580" w:lineRule="exact"/>
        <w:ind w:firstLine="643" w:firstLineChars="200"/>
        <w:rPr>
          <w:b/>
          <w:bCs/>
          <w:sz w:val="32"/>
          <w:szCs w:val="32"/>
        </w:rPr>
      </w:pPr>
      <w:r>
        <w:rPr>
          <w:rFonts w:hint="eastAsia"/>
          <w:b/>
          <w:bCs/>
          <w:sz w:val="32"/>
          <w:szCs w:val="32"/>
        </w:rPr>
        <w:t>4</w:t>
      </w:r>
      <w:r>
        <w:rPr>
          <w:rFonts w:hint="eastAsia"/>
          <w:b/>
          <w:bCs/>
          <w:sz w:val="32"/>
          <w:szCs w:val="32"/>
          <w:lang w:eastAsia="zh-CN"/>
        </w:rPr>
        <w:t>．</w:t>
      </w:r>
      <w:r>
        <w:rPr>
          <w:rFonts w:hint="eastAsia"/>
          <w:b/>
          <w:bCs/>
          <w:sz w:val="32"/>
          <w:szCs w:val="32"/>
        </w:rPr>
        <w:t>绩效评价方法</w:t>
      </w:r>
    </w:p>
    <w:p>
      <w:pPr>
        <w:spacing w:line="580" w:lineRule="exact"/>
        <w:ind w:firstLine="640" w:firstLineChars="200"/>
        <w:rPr>
          <w:sz w:val="32"/>
          <w:szCs w:val="32"/>
        </w:rPr>
      </w:pPr>
      <w:r>
        <w:rPr>
          <w:rFonts w:hint="eastAsia"/>
          <w:sz w:val="32"/>
          <w:szCs w:val="32"/>
        </w:rPr>
        <w:t>本次绩效评价方法主要包括成本效益法、比较法、因素分析法、公众评判法。具体如下：</w:t>
      </w:r>
      <w:r>
        <w:rPr>
          <w:rFonts w:hint="eastAsia"/>
          <w:sz w:val="32"/>
          <w:szCs w:val="32"/>
        </w:rPr>
        <w:br w:type="textWrapping"/>
      </w:r>
      <w:r>
        <w:rPr>
          <w:rFonts w:hint="eastAsia"/>
          <w:b/>
          <w:bCs/>
          <w:sz w:val="32"/>
          <w:szCs w:val="32"/>
        </w:rPr>
        <w:t xml:space="preserve">   </w:t>
      </w:r>
      <w:r>
        <w:rPr>
          <w:rFonts w:hint="eastAsia"/>
          <w:sz w:val="32"/>
          <w:szCs w:val="32"/>
        </w:rPr>
        <w:t xml:space="preserve"> 成本效益法：是指将投入与产出、效益进行关联性分析的方法。</w:t>
      </w:r>
    </w:p>
    <w:p>
      <w:pPr>
        <w:spacing w:line="580" w:lineRule="exact"/>
        <w:ind w:firstLine="640" w:firstLineChars="200"/>
        <w:rPr>
          <w:sz w:val="32"/>
          <w:szCs w:val="32"/>
        </w:rPr>
      </w:pPr>
      <w:r>
        <w:rPr>
          <w:rFonts w:hint="eastAsia"/>
          <w:sz w:val="32"/>
          <w:szCs w:val="32"/>
        </w:rPr>
        <w:t>比较法：是指将实施情况与绩效目标、历史情况、不同部门和地区同类支出情况进行比较的方法。</w:t>
      </w:r>
    </w:p>
    <w:p>
      <w:pPr>
        <w:spacing w:line="580" w:lineRule="exact"/>
        <w:ind w:firstLine="640" w:firstLineChars="200"/>
        <w:rPr>
          <w:sz w:val="32"/>
          <w:szCs w:val="32"/>
        </w:rPr>
      </w:pPr>
      <w:r>
        <w:rPr>
          <w:rFonts w:hint="eastAsia"/>
          <w:sz w:val="32"/>
          <w:szCs w:val="32"/>
        </w:rPr>
        <w:t>因素分析法：是指综合分析影响绩效目标实现、实施效果的内外部因素的方法。</w:t>
      </w:r>
    </w:p>
    <w:p>
      <w:pPr>
        <w:spacing w:line="580" w:lineRule="exact"/>
        <w:ind w:firstLine="640" w:firstLineChars="200"/>
        <w:rPr>
          <w:sz w:val="32"/>
          <w:szCs w:val="32"/>
        </w:rPr>
      </w:pPr>
      <w:r>
        <w:rPr>
          <w:rFonts w:hint="eastAsia"/>
          <w:sz w:val="32"/>
          <w:szCs w:val="32"/>
        </w:rPr>
        <w:t>公众评判法：是指通过专家评估、公众问卷及抽样调查等方式进行评判的方法。</w:t>
      </w:r>
    </w:p>
    <w:p>
      <w:pPr>
        <w:spacing w:line="580" w:lineRule="exact"/>
        <w:ind w:firstLine="643" w:firstLineChars="200"/>
        <w:rPr>
          <w:rFonts w:ascii="仿宋_GB2312" w:cs="DengXian-Regular"/>
          <w:sz w:val="32"/>
          <w:szCs w:val="32"/>
        </w:rPr>
      </w:pPr>
      <w:r>
        <w:rPr>
          <w:rFonts w:hint="eastAsia"/>
          <w:b/>
          <w:bCs/>
          <w:sz w:val="32"/>
          <w:szCs w:val="32"/>
        </w:rPr>
        <w:t>5</w:t>
      </w:r>
      <w:r>
        <w:rPr>
          <w:rFonts w:hint="eastAsia"/>
          <w:b/>
          <w:bCs/>
          <w:sz w:val="32"/>
          <w:szCs w:val="32"/>
          <w:lang w:eastAsia="zh-CN"/>
        </w:rPr>
        <w:t>．</w:t>
      </w:r>
      <w:r>
        <w:rPr>
          <w:rFonts w:hint="eastAsia"/>
          <w:b/>
          <w:bCs/>
          <w:sz w:val="32"/>
          <w:szCs w:val="32"/>
        </w:rPr>
        <w:t>绩效评价标准</w:t>
      </w:r>
    </w:p>
    <w:p>
      <w:pPr>
        <w:spacing w:line="580" w:lineRule="exact"/>
        <w:ind w:firstLine="640" w:firstLineChars="200"/>
        <w:rPr>
          <w:sz w:val="32"/>
          <w:szCs w:val="32"/>
        </w:rPr>
      </w:pPr>
      <w:r>
        <w:rPr>
          <w:rFonts w:hint="eastAsia"/>
          <w:sz w:val="32"/>
          <w:szCs w:val="32"/>
        </w:rPr>
        <w:t>计划标准：以预先制定的目标、计划、预算等作为评价标准。</w:t>
      </w:r>
    </w:p>
    <w:p>
      <w:pPr>
        <w:spacing w:line="580" w:lineRule="exact"/>
        <w:ind w:firstLine="640" w:firstLineChars="200"/>
        <w:rPr>
          <w:sz w:val="32"/>
          <w:szCs w:val="32"/>
        </w:rPr>
      </w:pPr>
      <w:r>
        <w:rPr>
          <w:rFonts w:hint="eastAsia"/>
          <w:sz w:val="32"/>
          <w:szCs w:val="32"/>
        </w:rPr>
        <w:t>历史标准：参照同类指标的历史数据制定评价标准。</w:t>
      </w:r>
    </w:p>
    <w:p>
      <w:pPr>
        <w:spacing w:line="580" w:lineRule="exact"/>
        <w:ind w:firstLine="640" w:firstLineChars="200"/>
        <w:rPr>
          <w:sz w:val="32"/>
          <w:szCs w:val="32"/>
        </w:rPr>
      </w:pPr>
      <w:r>
        <w:rPr>
          <w:rFonts w:hint="eastAsia"/>
          <w:sz w:val="32"/>
          <w:szCs w:val="32"/>
        </w:rPr>
        <w:t>行业标准：参照国家、省公布的行业指标数据作为评价标准。</w:t>
      </w:r>
    </w:p>
    <w:p>
      <w:pPr>
        <w:pStyle w:val="3"/>
        <w:spacing w:before="0" w:after="0" w:line="580" w:lineRule="exact"/>
        <w:ind w:firstLine="643" w:firstLineChars="200"/>
        <w:rPr>
          <w:rFonts w:ascii="Times New Roman" w:hAnsi="Times New Roman" w:eastAsia="楷体_GB2312"/>
        </w:rPr>
      </w:pPr>
      <w:bookmarkStart w:id="38" w:name="_Toc38452633"/>
      <w:bookmarkStart w:id="39" w:name="_Toc38447889"/>
      <w:bookmarkStart w:id="40" w:name="_Toc41137187"/>
      <w:bookmarkStart w:id="41" w:name="_Toc3504"/>
      <w:r>
        <w:rPr>
          <w:rFonts w:hint="eastAsia" w:ascii="Times New Roman" w:hAnsi="Times New Roman" w:eastAsia="楷体_GB2312"/>
        </w:rPr>
        <w:t>（三）绩效评价工作过程</w:t>
      </w:r>
      <w:bookmarkEnd w:id="38"/>
      <w:bookmarkEnd w:id="39"/>
      <w:bookmarkEnd w:id="40"/>
      <w:bookmarkEnd w:id="41"/>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本次绩效评价工作经过了前期准备、绩效评价实施方案和指标体系制定、组织实施、绩效评价报告撰写四个阶段。</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前期准备阶段</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经与区人社局充分沟通，并充分收集相关资料，主要包括年初预算绩效目标指标表、相关政策文件、相关管理制度、资金</w:t>
      </w:r>
      <w:r>
        <w:rPr>
          <w:rFonts w:hint="eastAsia" w:ascii="仿宋_GB2312" w:cs="DengXian-Regular"/>
          <w:sz w:val="32"/>
          <w:szCs w:val="32"/>
          <w:lang w:eastAsia="zh-CN"/>
        </w:rPr>
        <w:t>收支</w:t>
      </w:r>
      <w:r>
        <w:rPr>
          <w:rFonts w:hint="eastAsia" w:ascii="仿宋_GB2312" w:cs="DengXian-Regular"/>
          <w:sz w:val="32"/>
          <w:szCs w:val="32"/>
        </w:rPr>
        <w:t>等相关资料，为制定绩效评价实施方案和指标体系奠定了基础。</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制定绩效评价实施方案和指标体系</w:t>
      </w:r>
    </w:p>
    <w:p>
      <w:pPr>
        <w:spacing w:line="360" w:lineRule="auto"/>
        <w:ind w:firstLine="640" w:firstLineChars="200"/>
        <w:textAlignment w:val="baseline"/>
        <w:rPr>
          <w:rFonts w:ascii="仿宋_GB2312" w:cs="DengXian-Regular"/>
          <w:sz w:val="32"/>
          <w:szCs w:val="32"/>
        </w:rPr>
      </w:pPr>
      <w:r>
        <w:rPr>
          <w:rFonts w:hint="eastAsia" w:ascii="仿宋_GB2312" w:cs="DengXian-Regular"/>
          <w:sz w:val="32"/>
          <w:szCs w:val="32"/>
        </w:rPr>
        <w:t>基于对</w:t>
      </w:r>
      <w:r>
        <w:rPr>
          <w:rFonts w:hint="eastAsia" w:ascii="仿宋_GB2312" w:cs="DengXian-Regular"/>
          <w:sz w:val="32"/>
          <w:szCs w:val="32"/>
          <w:lang w:val="en-US" w:eastAsia="zh-CN"/>
        </w:rPr>
        <w:t>2019年度就业补助资金项目</w:t>
      </w:r>
      <w:r>
        <w:rPr>
          <w:rFonts w:hint="eastAsia" w:ascii="仿宋_GB2312" w:cs="DengXian-Regular"/>
          <w:sz w:val="32"/>
          <w:szCs w:val="32"/>
        </w:rPr>
        <w:t>的相关资料的收集</w:t>
      </w:r>
      <w:r>
        <w:rPr>
          <w:rFonts w:hint="eastAsia" w:ascii="仿宋_GB2312" w:cs="DengXian-Regular"/>
          <w:sz w:val="32"/>
          <w:szCs w:val="32"/>
          <w:lang w:val="en-US" w:eastAsia="zh-CN"/>
        </w:rPr>
        <w:t>和</w:t>
      </w:r>
      <w:r>
        <w:rPr>
          <w:rFonts w:hint="eastAsia" w:ascii="仿宋_GB2312" w:cs="DengXian-Regular"/>
          <w:sz w:val="32"/>
          <w:szCs w:val="32"/>
        </w:rPr>
        <w:t>了解，</w:t>
      </w:r>
      <w:r>
        <w:rPr>
          <w:rFonts w:hint="eastAsia" w:ascii="仿宋_GB2312" w:cs="DengXian-Regular"/>
          <w:sz w:val="32"/>
          <w:szCs w:val="32"/>
          <w:lang w:val="en-US" w:eastAsia="zh-CN"/>
        </w:rPr>
        <w:t>我们</w:t>
      </w:r>
      <w:r>
        <w:rPr>
          <w:rFonts w:hint="eastAsia" w:ascii="仿宋_GB2312" w:cs="DengXian-Regular"/>
          <w:sz w:val="32"/>
          <w:szCs w:val="32"/>
        </w:rPr>
        <w:t>制定</w:t>
      </w:r>
      <w:r>
        <w:rPr>
          <w:rFonts w:hint="eastAsia" w:ascii="仿宋_GB2312" w:cs="DengXian-Regular"/>
          <w:sz w:val="32"/>
          <w:szCs w:val="32"/>
          <w:lang w:val="en-US" w:eastAsia="zh-CN"/>
        </w:rPr>
        <w:t>了</w:t>
      </w:r>
      <w:r>
        <w:rPr>
          <w:rFonts w:hint="eastAsia" w:ascii="仿宋_GB2312" w:cs="DengXian-Regular"/>
          <w:sz w:val="32"/>
          <w:szCs w:val="32"/>
        </w:rPr>
        <w:t>绩效评价实施方案和指标体系，由保定市徐水区财政局相关人员对</w:t>
      </w:r>
      <w:r>
        <w:rPr>
          <w:rFonts w:hint="eastAsia" w:ascii="仿宋_GB2312" w:cs="DengXian-Regular"/>
          <w:sz w:val="32"/>
          <w:szCs w:val="32"/>
          <w:lang w:eastAsia="zh-CN"/>
        </w:rPr>
        <w:t>绩效</w:t>
      </w:r>
      <w:r>
        <w:rPr>
          <w:rFonts w:hint="eastAsia" w:ascii="仿宋_GB2312" w:cs="DengXian-Regular"/>
          <w:sz w:val="32"/>
          <w:szCs w:val="32"/>
        </w:rPr>
        <w:t>评价</w:t>
      </w:r>
      <w:r>
        <w:rPr>
          <w:rFonts w:hint="eastAsia" w:ascii="仿宋_GB2312" w:cs="DengXian-Regular"/>
          <w:sz w:val="32"/>
          <w:szCs w:val="32"/>
          <w:lang w:eastAsia="zh-CN"/>
        </w:rPr>
        <w:t>实施</w:t>
      </w:r>
      <w:r>
        <w:rPr>
          <w:rFonts w:hint="eastAsia" w:ascii="仿宋_GB2312" w:cs="DengXian-Regular"/>
          <w:sz w:val="32"/>
          <w:szCs w:val="32"/>
        </w:rPr>
        <w:t>方案及</w:t>
      </w:r>
      <w:r>
        <w:rPr>
          <w:rFonts w:hint="eastAsia" w:ascii="仿宋_GB2312" w:cs="DengXian-Regular"/>
          <w:sz w:val="32"/>
          <w:szCs w:val="32"/>
          <w:lang w:eastAsia="zh-CN"/>
        </w:rPr>
        <w:t>指标</w:t>
      </w:r>
      <w:r>
        <w:rPr>
          <w:rFonts w:hint="eastAsia" w:ascii="仿宋_GB2312" w:cs="DengXian-Regular"/>
          <w:sz w:val="32"/>
          <w:szCs w:val="32"/>
        </w:rPr>
        <w:t>体系进行修正，确定最终方案。</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组织实施阶段</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根据绩效评价实施方案和指标体系，对区人社局开展现场评价工作，包括查看项目绩效目标和指标</w:t>
      </w:r>
      <w:r>
        <w:rPr>
          <w:rFonts w:hint="eastAsia" w:ascii="仿宋_GB2312" w:cs="DengXian-Regular"/>
          <w:sz w:val="32"/>
          <w:szCs w:val="32"/>
          <w:lang w:eastAsia="zh-CN"/>
        </w:rPr>
        <w:t>，</w:t>
      </w:r>
      <w:r>
        <w:rPr>
          <w:rFonts w:hint="eastAsia" w:ascii="仿宋_GB2312" w:cs="DengXian-Regular"/>
          <w:sz w:val="32"/>
          <w:szCs w:val="32"/>
        </w:rPr>
        <w:t>核对收入支出情况</w:t>
      </w:r>
      <w:r>
        <w:rPr>
          <w:rFonts w:hint="eastAsia" w:ascii="仿宋_GB2312" w:cs="DengXian-Regular"/>
          <w:sz w:val="32"/>
          <w:szCs w:val="32"/>
          <w:lang w:eastAsia="zh-CN"/>
        </w:rPr>
        <w:t>，</w:t>
      </w:r>
      <w:r>
        <w:rPr>
          <w:rFonts w:hint="eastAsia" w:ascii="仿宋_GB2312" w:cs="DengXian-Regular"/>
          <w:sz w:val="32"/>
          <w:szCs w:val="32"/>
        </w:rPr>
        <w:t>查看单位制度及执行情况</w:t>
      </w:r>
      <w:r>
        <w:rPr>
          <w:rFonts w:hint="eastAsia" w:ascii="仿宋_GB2312" w:cs="DengXian-Regular"/>
          <w:sz w:val="32"/>
          <w:szCs w:val="32"/>
          <w:lang w:eastAsia="zh-CN"/>
        </w:rPr>
        <w:t>，</w:t>
      </w:r>
      <w:r>
        <w:rPr>
          <w:rFonts w:hint="eastAsia" w:ascii="仿宋_GB2312" w:cs="DengXian-Regular"/>
          <w:sz w:val="32"/>
          <w:szCs w:val="32"/>
        </w:rPr>
        <w:t>查看相关公开公示信息及相关申请资料</w:t>
      </w:r>
      <w:r>
        <w:rPr>
          <w:rFonts w:hint="eastAsia" w:ascii="仿宋_GB2312" w:cs="DengXian-Regular"/>
          <w:sz w:val="32"/>
          <w:szCs w:val="32"/>
          <w:lang w:eastAsia="zh-CN"/>
        </w:rPr>
        <w:t>，</w:t>
      </w:r>
      <w:r>
        <w:rPr>
          <w:rFonts w:hint="eastAsia" w:ascii="仿宋_GB2312" w:cs="DengXian-Regular"/>
          <w:sz w:val="32"/>
          <w:szCs w:val="32"/>
        </w:rPr>
        <w:t>随机选取服务对象进行满意度调查</w:t>
      </w:r>
      <w:r>
        <w:rPr>
          <w:rFonts w:hint="eastAsia" w:ascii="仿宋_GB2312" w:cs="DengXian-Regular"/>
          <w:sz w:val="32"/>
          <w:szCs w:val="32"/>
          <w:lang w:eastAsia="zh-CN"/>
        </w:rPr>
        <w:t>，</w:t>
      </w:r>
      <w:r>
        <w:rPr>
          <w:rFonts w:hint="eastAsia" w:ascii="仿宋_GB2312" w:cs="DengXian-Regular"/>
          <w:sz w:val="32"/>
          <w:szCs w:val="32"/>
        </w:rPr>
        <w:t>对一些专业的问题咨询相关专家等。根据收集的数据、资料进行核对、比较、计算，对该项目进行评分。</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撰写绩效评价报告</w:t>
      </w:r>
    </w:p>
    <w:p>
      <w:pPr>
        <w:spacing w:line="580" w:lineRule="exact"/>
        <w:ind w:firstLine="640" w:firstLineChars="200"/>
        <w:textAlignment w:val="baseline"/>
        <w:rPr>
          <w:rFonts w:ascii="仿宋_GB2312" w:cs="DengXian-Regular"/>
          <w:sz w:val="32"/>
          <w:szCs w:val="32"/>
        </w:rPr>
      </w:pPr>
      <w:r>
        <w:rPr>
          <w:rFonts w:hint="eastAsia" w:ascii="仿宋_GB2312" w:cs="DengXian-Regular"/>
          <w:sz w:val="32"/>
          <w:szCs w:val="32"/>
        </w:rPr>
        <w:t>在完成对各评价指标评分定级的基础上，开始进行报告撰写工作。在该阶段，我们对所有的指标分值进行了重新复核，确保其一致性。报告撰写完成后经过内部讨论、与委托方交换沟通、审核修改，最终形成正式报告。</w:t>
      </w:r>
    </w:p>
    <w:p>
      <w:pPr>
        <w:pStyle w:val="2"/>
        <w:keepNext w:val="0"/>
        <w:keepLines w:val="0"/>
        <w:spacing w:before="0" w:after="0" w:line="580" w:lineRule="exact"/>
        <w:ind w:firstLine="643" w:firstLineChars="200"/>
        <w:jc w:val="left"/>
        <w:rPr>
          <w:rFonts w:ascii="黑体" w:hAnsi="黑体" w:eastAsia="黑体" w:cs="黑体"/>
          <w:sz w:val="32"/>
          <w:szCs w:val="32"/>
        </w:rPr>
      </w:pPr>
      <w:bookmarkStart w:id="42" w:name="_Toc38452634"/>
      <w:bookmarkStart w:id="43" w:name="_Toc38447890"/>
      <w:bookmarkStart w:id="44" w:name="_Toc14152"/>
      <w:bookmarkStart w:id="45" w:name="_Toc41137188"/>
      <w:r>
        <w:rPr>
          <w:rFonts w:hint="eastAsia" w:ascii="黑体" w:hAnsi="黑体" w:eastAsia="黑体" w:cs="黑体"/>
          <w:sz w:val="32"/>
          <w:szCs w:val="32"/>
        </w:rPr>
        <w:t>三、综合评价情况及评价结论</w:t>
      </w:r>
      <w:bookmarkEnd w:id="42"/>
      <w:bookmarkEnd w:id="43"/>
      <w:bookmarkEnd w:id="44"/>
      <w:bookmarkEnd w:id="45"/>
    </w:p>
    <w:p>
      <w:pPr>
        <w:spacing w:line="580" w:lineRule="exact"/>
        <w:ind w:firstLine="640" w:firstLineChars="200"/>
        <w:rPr>
          <w:rFonts w:ascii="仿宋" w:hAnsi="仿宋" w:eastAsia="仿宋"/>
          <w:sz w:val="32"/>
          <w:szCs w:val="32"/>
        </w:rPr>
      </w:pPr>
      <w:r>
        <w:rPr>
          <w:rFonts w:hint="eastAsia" w:ascii="仿宋" w:hAnsi="仿宋" w:eastAsia="仿宋"/>
          <w:sz w:val="32"/>
          <w:szCs w:val="32"/>
        </w:rPr>
        <w:t>经综合评价，徐水区2019年度就业补助资金项目绩效评价得分90.07分，评价等级为“优”。各项得分具体情况如下：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843"/>
        <w:gridCol w:w="2835"/>
        <w:gridCol w:w="127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一级指标</w:t>
            </w:r>
          </w:p>
        </w:tc>
        <w:tc>
          <w:tcPr>
            <w:tcW w:w="1843"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二级指标</w:t>
            </w:r>
          </w:p>
        </w:tc>
        <w:tc>
          <w:tcPr>
            <w:tcW w:w="2835"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三级指标</w:t>
            </w:r>
          </w:p>
        </w:tc>
        <w:tc>
          <w:tcPr>
            <w:tcW w:w="1276"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分值权重</w:t>
            </w:r>
          </w:p>
        </w:tc>
        <w:tc>
          <w:tcPr>
            <w:tcW w:w="1144" w:type="dxa"/>
            <w:vAlign w:val="center"/>
          </w:tcPr>
          <w:p>
            <w:pPr>
              <w:spacing w:line="240" w:lineRule="atLeast"/>
              <w:jc w:val="center"/>
              <w:textAlignment w:val="baseline"/>
              <w:rPr>
                <w:rFonts w:hint="default" w:ascii="Times New Roman" w:hAnsi="Times New Roman" w:eastAsia="宋体" w:cs="Times New Roman"/>
                <w:b/>
                <w:sz w:val="21"/>
                <w:szCs w:val="21"/>
                <w:u w:color="000000"/>
              </w:rPr>
            </w:pPr>
            <w:r>
              <w:rPr>
                <w:rFonts w:hint="default" w:ascii="Times New Roman" w:hAnsi="Times New Roman" w:eastAsia="宋体" w:cs="Times New Roman"/>
                <w:b/>
                <w:sz w:val="21"/>
                <w:szCs w:val="21"/>
                <w:u w:color="00000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决策（13分）</w:t>
            </w: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项目立项（4分）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立项依据充分性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立项程序规范性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绩效目标（7分）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绩效目标合理性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绩效指标明确性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3</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资金投入（2分）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预算编制科学性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过程（27分）</w:t>
            </w:r>
          </w:p>
        </w:tc>
        <w:tc>
          <w:tcPr>
            <w:tcW w:w="1843" w:type="dxa"/>
            <w:vMerge w:val="restart"/>
            <w:vAlign w:val="center"/>
          </w:tcPr>
          <w:p>
            <w:pPr>
              <w:spacing w:line="240" w:lineRule="atLeast"/>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资金管理（12分）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资金到位率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预算执行率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资金使用合规性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组织实施（15分）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管理制度健全性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制度执行有效性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公开公示</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政策宣传</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过程监督</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产出（28分）</w:t>
            </w: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产出数量（7分）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实际补贴完成率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产出质量（7分）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职业技能培训合格率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产出时效（7分）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补贴发放及时性</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highlight w:val="none"/>
                <w:u w:color="000000"/>
              </w:rPr>
            </w:pPr>
            <w:r>
              <w:rPr>
                <w:rFonts w:hint="default" w:ascii="Times New Roman" w:hAnsi="Times New Roman" w:eastAsia="宋体" w:cs="Times New Roman"/>
                <w:sz w:val="21"/>
                <w:szCs w:val="21"/>
                <w:highlight w:val="none"/>
                <w:u w:color="000000"/>
              </w:rPr>
              <w:t>产出成本（7分）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highlight w:val="none"/>
                <w:u w:color="000000"/>
              </w:rPr>
            </w:pPr>
            <w:r>
              <w:rPr>
                <w:rFonts w:hint="default" w:ascii="Times New Roman" w:hAnsi="Times New Roman" w:eastAsia="宋体" w:cs="Times New Roman"/>
                <w:sz w:val="21"/>
                <w:szCs w:val="21"/>
                <w:highlight w:val="none"/>
                <w:u w:color="000000"/>
              </w:rPr>
              <w:t>补贴发放准确率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效果（32分）</w:t>
            </w:r>
          </w:p>
        </w:tc>
        <w:tc>
          <w:tcPr>
            <w:tcW w:w="1843" w:type="dxa"/>
            <w:vMerge w:val="restart"/>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项目效益（24分）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新增就业人数增长率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就业困难人员再就业增长率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年末失业率下降率</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0" w:type="dxa"/>
            <w:vMerge w:val="continue"/>
            <w:vAlign w:val="center"/>
          </w:tcPr>
          <w:p>
            <w:pPr>
              <w:spacing w:line="240" w:lineRule="atLeast"/>
              <w:jc w:val="center"/>
              <w:textAlignment w:val="baseline"/>
              <w:rPr>
                <w:rFonts w:hint="default" w:ascii="Times New Roman" w:hAnsi="Times New Roman" w:eastAsia="宋体" w:cs="Times New Roman"/>
                <w:sz w:val="21"/>
                <w:szCs w:val="21"/>
                <w:u w:color="000000"/>
              </w:rPr>
            </w:pPr>
          </w:p>
        </w:tc>
        <w:tc>
          <w:tcPr>
            <w:tcW w:w="1843"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满意度（8分）</w:t>
            </w:r>
          </w:p>
        </w:tc>
        <w:tc>
          <w:tcPr>
            <w:tcW w:w="2835"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满意度</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8</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08" w:type="dxa"/>
            <w:gridSpan w:val="3"/>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合计</w:t>
            </w:r>
          </w:p>
        </w:tc>
        <w:tc>
          <w:tcPr>
            <w:tcW w:w="1276" w:type="dxa"/>
            <w:vAlign w:val="center"/>
          </w:tcPr>
          <w:p>
            <w:pPr>
              <w:spacing w:line="240" w:lineRule="atLeast"/>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100</w:t>
            </w:r>
          </w:p>
        </w:tc>
        <w:tc>
          <w:tcPr>
            <w:tcW w:w="1144" w:type="dxa"/>
            <w:vAlign w:val="center"/>
          </w:tcPr>
          <w:p>
            <w:pPr>
              <w:spacing w:line="240" w:lineRule="atLeast"/>
              <w:jc w:val="center"/>
              <w:textAlignment w:val="baseline"/>
              <w:rPr>
                <w:rFonts w:hint="default" w:ascii="Times New Roman" w:hAnsi="Times New Roman" w:eastAsia="宋体" w:cs="Times New Roman"/>
                <w:sz w:val="21"/>
                <w:szCs w:val="21"/>
                <w:highlight w:val="yellow"/>
                <w:u w:color="000000"/>
              </w:rPr>
            </w:pPr>
            <w:r>
              <w:rPr>
                <w:rFonts w:hint="default" w:ascii="Times New Roman" w:hAnsi="Times New Roman" w:eastAsia="宋体" w:cs="Times New Roman"/>
                <w:sz w:val="21"/>
                <w:szCs w:val="21"/>
                <w:u w:color="000000"/>
              </w:rPr>
              <w:t>90.07</w:t>
            </w:r>
          </w:p>
        </w:tc>
      </w:tr>
    </w:tbl>
    <w:p>
      <w:pPr>
        <w:spacing w:line="580" w:lineRule="exact"/>
        <w:ind w:firstLine="640" w:firstLineChars="200"/>
        <w:rPr>
          <w:rFonts w:ascii="仿宋_GB2312" w:cs="DengXian-Regular"/>
          <w:sz w:val="32"/>
          <w:szCs w:val="32"/>
        </w:rPr>
      </w:pPr>
      <w:r>
        <w:rPr>
          <w:rFonts w:hint="eastAsia" w:ascii="仿宋_GB2312" w:cs="DengXian-Regular"/>
          <w:sz w:val="32"/>
          <w:szCs w:val="32"/>
        </w:rPr>
        <w:t>结合项目决策、过程管理、项目产出、项目效益及绩效评价指标体系等内容，对徐水区2019年</w:t>
      </w:r>
      <w:r>
        <w:rPr>
          <w:rFonts w:hint="eastAsia" w:ascii="仿宋_GB2312" w:cs="DengXian-Regular"/>
          <w:sz w:val="32"/>
          <w:szCs w:val="32"/>
          <w:lang w:eastAsia="zh-CN"/>
        </w:rPr>
        <w:t>度</w:t>
      </w:r>
      <w:r>
        <w:rPr>
          <w:rFonts w:hint="eastAsia" w:ascii="仿宋_GB2312" w:cs="DengXian-Regular"/>
          <w:sz w:val="32"/>
          <w:szCs w:val="32"/>
        </w:rPr>
        <w:t>就业补助资金项目作出如下评价：</w:t>
      </w:r>
    </w:p>
    <w:p>
      <w:pPr>
        <w:spacing w:line="580" w:lineRule="exact"/>
        <w:ind w:firstLine="643" w:firstLineChars="200"/>
        <w:rPr>
          <w:rFonts w:hint="eastAsia" w:ascii="仿宋_GB2312" w:cs="DengXian-Regular"/>
          <w:sz w:val="32"/>
          <w:szCs w:val="32"/>
        </w:rPr>
      </w:pPr>
      <w:r>
        <w:rPr>
          <w:rFonts w:hint="eastAsia" w:ascii="仿宋_GB2312" w:cs="DengXian-Regular"/>
          <w:b/>
          <w:sz w:val="32"/>
          <w:szCs w:val="32"/>
        </w:rPr>
        <w:t>一是补贴政策惠及群体</w:t>
      </w:r>
      <w:r>
        <w:rPr>
          <w:rFonts w:hint="eastAsia" w:ascii="仿宋_GB2312" w:cs="DengXian-Regular"/>
          <w:b/>
          <w:sz w:val="32"/>
          <w:szCs w:val="32"/>
          <w:lang w:val="en-US" w:eastAsia="zh-CN"/>
        </w:rPr>
        <w:t>覆盖面越来越广、人数越来越多</w:t>
      </w:r>
      <w:r>
        <w:rPr>
          <w:rFonts w:hint="eastAsia" w:ascii="仿宋_GB2312" w:cs="DengXian-Regular"/>
          <w:b/>
          <w:sz w:val="32"/>
          <w:szCs w:val="32"/>
        </w:rPr>
        <w:t>。</w:t>
      </w:r>
      <w:r>
        <w:rPr>
          <w:rFonts w:hint="eastAsia" w:ascii="仿宋_GB2312" w:cs="DengXian-Regular"/>
          <w:sz w:val="32"/>
          <w:szCs w:val="32"/>
        </w:rPr>
        <w:t>2018年享受各项就业补贴政策的人数为608人，涉及社会保险补贴513人、公益性岗位补贴93人、一次性创业补贴1人、小微企业场地租金补贴1人；2019年享受各项就业补贴政策的人数为2154人，涉及社会保险补贴457人、职业培训补贴798人、职业技能鉴定补贴708人、公益性岗位补贴98人、创业补贴4人、小微企业场地租金补贴2人。</w:t>
      </w:r>
    </w:p>
    <w:p>
      <w:pPr>
        <w:spacing w:line="580" w:lineRule="exact"/>
        <w:ind w:firstLine="640" w:firstLineChars="200"/>
        <w:rPr>
          <w:rFonts w:hint="eastAsia" w:ascii="仿宋_GB2312" w:cs="DengXian-Regular"/>
          <w:sz w:val="32"/>
          <w:szCs w:val="32"/>
        </w:rPr>
      </w:pPr>
      <w:r>
        <w:rPr>
          <w:rFonts w:ascii="仿宋_GB2312" w:cs="DengXian-Regular"/>
          <w:sz w:val="32"/>
          <w:szCs w:val="32"/>
        </w:rPr>
        <w:drawing>
          <wp:anchor distT="0" distB="0" distL="0" distR="0" simplePos="0" relativeHeight="251659264" behindDoc="0" locked="0" layoutInCell="1" allowOverlap="1">
            <wp:simplePos x="0" y="0"/>
            <wp:positionH relativeFrom="column">
              <wp:posOffset>258445</wp:posOffset>
            </wp:positionH>
            <wp:positionV relativeFrom="paragraph">
              <wp:posOffset>104775</wp:posOffset>
            </wp:positionV>
            <wp:extent cx="5220970" cy="2747010"/>
            <wp:effectExtent l="4445" t="4445" r="13335" b="107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_GB2312" w:cs="DengXian-Regular"/>
          <w:sz w:val="32"/>
          <w:szCs w:val="32"/>
        </w:rPr>
      </w:pPr>
    </w:p>
    <w:p>
      <w:pPr>
        <w:spacing w:line="580" w:lineRule="exact"/>
        <w:ind w:firstLine="643" w:firstLineChars="200"/>
        <w:rPr>
          <w:rFonts w:hint="eastAsia" w:ascii="仿宋_GB2312" w:cs="DengXian-Regular"/>
          <w:b w:val="0"/>
          <w:bCs/>
          <w:sz w:val="32"/>
          <w:szCs w:val="32"/>
        </w:rPr>
      </w:pPr>
      <w:r>
        <w:rPr>
          <w:rFonts w:hint="eastAsia" w:ascii="仿宋_GB2312" w:cs="DengXian-Regular"/>
          <w:b/>
          <w:sz w:val="32"/>
          <w:szCs w:val="32"/>
          <w:lang w:val="en-US" w:eastAsia="zh-CN"/>
        </w:rPr>
        <w:t>二</w:t>
      </w:r>
      <w:r>
        <w:rPr>
          <w:rFonts w:hint="eastAsia" w:ascii="仿宋_GB2312" w:cs="DengXian-Regular"/>
          <w:b/>
          <w:sz w:val="32"/>
          <w:szCs w:val="32"/>
        </w:rPr>
        <w:t>是任务目标完成情况良好。</w:t>
      </w:r>
      <w:r>
        <w:rPr>
          <w:rFonts w:hint="eastAsia" w:ascii="仿宋_GB2312" w:cs="DengXian-Regular"/>
          <w:b w:val="0"/>
          <w:bCs/>
          <w:sz w:val="32"/>
          <w:szCs w:val="32"/>
        </w:rPr>
        <w:t>2019年城镇新增就业人数任务目标3930人，实际城镇新增就业人数4016人，任务目标完成率102.19%；2019年就业困难人员再就业人数任务目标480人，实际就业困难人员再就业人数504人，任务目标完成率105%；年末城镇登记失业率3.16%，远低于要求的4.5%。</w:t>
      </w:r>
    </w:p>
    <w:p>
      <w:pPr>
        <w:spacing w:line="580" w:lineRule="exact"/>
        <w:ind w:firstLine="643" w:firstLineChars="200"/>
        <w:rPr>
          <w:rFonts w:hint="eastAsia" w:ascii="仿宋_GB2312" w:cs="DengXian-Regular"/>
          <w:b w:val="0"/>
          <w:bCs/>
          <w:sz w:val="32"/>
          <w:szCs w:val="32"/>
        </w:rPr>
      </w:pPr>
      <w:r>
        <w:rPr>
          <w:rFonts w:hint="eastAsia" w:ascii="仿宋_GB2312" w:cs="DengXian-Regular"/>
          <w:b/>
          <w:sz w:val="32"/>
          <w:szCs w:val="32"/>
          <w:lang w:val="en-US" w:eastAsia="zh-CN"/>
        </w:rPr>
        <w:t>三</w:t>
      </w:r>
      <w:r>
        <w:rPr>
          <w:rFonts w:hint="eastAsia" w:ascii="仿宋_GB2312" w:cs="DengXian-Regular"/>
          <w:b/>
          <w:sz w:val="32"/>
          <w:szCs w:val="32"/>
        </w:rPr>
        <w:t>是</w:t>
      </w:r>
      <w:r>
        <w:rPr>
          <w:rFonts w:hint="eastAsia" w:ascii="仿宋_GB2312" w:cs="DengXian-Regular"/>
          <w:b/>
          <w:sz w:val="32"/>
          <w:szCs w:val="32"/>
          <w:lang w:val="en-US" w:eastAsia="zh-CN"/>
        </w:rPr>
        <w:t>相关管理制度健全，执行有效</w:t>
      </w:r>
      <w:r>
        <w:rPr>
          <w:rFonts w:hint="eastAsia" w:ascii="仿宋_GB2312" w:cs="DengXian-Regular"/>
          <w:b/>
          <w:sz w:val="32"/>
          <w:szCs w:val="32"/>
        </w:rPr>
        <w:t>。</w:t>
      </w:r>
      <w:r>
        <w:rPr>
          <w:rFonts w:hint="eastAsia" w:ascii="仿宋_GB2312" w:cs="DengXian-Regular"/>
          <w:b w:val="0"/>
          <w:bCs/>
          <w:sz w:val="32"/>
          <w:szCs w:val="32"/>
        </w:rPr>
        <w:t>区人社局结合保定市人力资源和社会保障局印发的《保定市就业困难认定办法》、《河北省就业创业资金管理办法》等相关办法制定了单位财务管理制度、业务制度，并严格按相关制度执行。</w:t>
      </w:r>
    </w:p>
    <w:p>
      <w:pPr>
        <w:spacing w:line="580" w:lineRule="exact"/>
        <w:ind w:firstLine="643" w:firstLineChars="200"/>
        <w:rPr>
          <w:rFonts w:ascii="仿宋_GB2312" w:cs="DengXian-Regular"/>
          <w:sz w:val="32"/>
          <w:szCs w:val="32"/>
        </w:rPr>
      </w:pPr>
      <w:r>
        <w:rPr>
          <w:rFonts w:hint="eastAsia" w:ascii="仿宋_GB2312" w:cs="DengXian-Regular"/>
          <w:b/>
          <w:sz w:val="32"/>
          <w:szCs w:val="32"/>
        </w:rPr>
        <w:t>四是</w:t>
      </w:r>
      <w:r>
        <w:rPr>
          <w:rFonts w:hint="eastAsia" w:ascii="仿宋_GB2312" w:cs="DengXian-Regular"/>
          <w:b/>
          <w:sz w:val="32"/>
          <w:szCs w:val="32"/>
          <w:lang w:val="en-US" w:eastAsia="zh-CN"/>
        </w:rPr>
        <w:t>项目</w:t>
      </w:r>
      <w:r>
        <w:rPr>
          <w:rFonts w:hint="eastAsia" w:ascii="仿宋_GB2312" w:cs="DengXian-Regular"/>
          <w:b/>
          <w:sz w:val="32"/>
          <w:szCs w:val="32"/>
        </w:rPr>
        <w:t>产出数量、</w:t>
      </w:r>
      <w:r>
        <w:rPr>
          <w:rFonts w:hint="eastAsia" w:ascii="仿宋_GB2312" w:cs="DengXian-Regular"/>
          <w:b/>
          <w:sz w:val="32"/>
          <w:szCs w:val="32"/>
          <w:lang w:val="en-US" w:eastAsia="zh-CN"/>
        </w:rPr>
        <w:t>产出时效、产出成本指标</w:t>
      </w:r>
      <w:r>
        <w:rPr>
          <w:rFonts w:hint="eastAsia" w:ascii="仿宋_GB2312" w:cs="DengXian-Regular"/>
          <w:b/>
          <w:sz w:val="32"/>
          <w:szCs w:val="32"/>
        </w:rPr>
        <w:t>完成情况良好。</w:t>
      </w:r>
      <w:r>
        <w:rPr>
          <w:rFonts w:hint="eastAsia" w:ascii="仿宋_GB2312" w:cs="DengXian-Regular"/>
          <w:sz w:val="32"/>
          <w:szCs w:val="32"/>
        </w:rPr>
        <w:t>2019年申请就业补贴人数2154人，实际发放补贴人数2154人，且严格按照《河北省就业创业资金管理办法》规定的标准发放，严格按规定审核申请资料、公开公示并及时发放补贴，问卷调查显示大部分群众对补贴发放的流程及及时性表示满意。</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通过本次绩效评价工作，我们也发现该项目在预算管理、过程管理、产出等方面仍存在一些不足之处。具体如下：</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1</w:t>
      </w:r>
      <w:r>
        <w:rPr>
          <w:rFonts w:hint="eastAsia" w:ascii="仿宋_GB2312" w:cs="DengXian-Regular"/>
          <w:sz w:val="32"/>
          <w:szCs w:val="32"/>
          <w:lang w:eastAsia="zh-CN"/>
        </w:rPr>
        <w:t>．</w:t>
      </w:r>
      <w:r>
        <w:rPr>
          <w:rFonts w:hint="eastAsia" w:ascii="仿宋_GB2312" w:cs="DengXian-Regular"/>
          <w:sz w:val="32"/>
          <w:szCs w:val="32"/>
        </w:rPr>
        <w:t>预算管理方面：（1）预算编制不完整；（2）绩效目标未具体量化，无法与预算确定的资金量相匹配。</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2</w:t>
      </w:r>
      <w:r>
        <w:rPr>
          <w:rFonts w:hint="eastAsia" w:ascii="仿宋_GB2312" w:cs="DengXian-Regular"/>
          <w:sz w:val="32"/>
          <w:szCs w:val="32"/>
          <w:lang w:eastAsia="zh-CN"/>
        </w:rPr>
        <w:t>．</w:t>
      </w:r>
      <w:r>
        <w:rPr>
          <w:rFonts w:hint="eastAsia" w:ascii="仿宋_GB2312" w:cs="DengXian-Regular"/>
          <w:sz w:val="32"/>
          <w:szCs w:val="32"/>
        </w:rPr>
        <w:t>资金管理方面：预算执行率较低，资金结余量较大。</w:t>
      </w:r>
    </w:p>
    <w:p>
      <w:pPr>
        <w:spacing w:line="580" w:lineRule="exact"/>
        <w:ind w:firstLine="640" w:firstLineChars="200"/>
        <w:rPr>
          <w:rFonts w:hint="eastAsia" w:ascii="仿宋_GB2312" w:cs="DengXian-Regular"/>
          <w:sz w:val="32"/>
          <w:szCs w:val="32"/>
        </w:rPr>
      </w:pPr>
      <w:r>
        <w:rPr>
          <w:rFonts w:hint="eastAsia" w:ascii="仿宋_GB2312" w:cs="DengXian-Regular"/>
          <w:sz w:val="32"/>
          <w:szCs w:val="32"/>
        </w:rPr>
        <w:t>3</w:t>
      </w:r>
      <w:r>
        <w:rPr>
          <w:rFonts w:hint="eastAsia" w:ascii="仿宋_GB2312" w:cs="DengXian-Regular"/>
          <w:sz w:val="32"/>
          <w:szCs w:val="32"/>
          <w:lang w:eastAsia="zh-CN"/>
        </w:rPr>
        <w:t>．</w:t>
      </w:r>
      <w:r>
        <w:rPr>
          <w:rFonts w:hint="eastAsia" w:ascii="仿宋_GB2312" w:cs="DengXian-Regular"/>
          <w:sz w:val="32"/>
          <w:szCs w:val="32"/>
        </w:rPr>
        <w:t>项目管理方面：个别补贴类别的公示公开信息不完整。</w:t>
      </w:r>
    </w:p>
    <w:p>
      <w:pPr>
        <w:spacing w:line="580" w:lineRule="exact"/>
        <w:ind w:firstLine="640" w:firstLineChars="200"/>
        <w:rPr>
          <w:rFonts w:ascii="仿宋_GB2312" w:cs="DengXian-Regular"/>
          <w:b/>
          <w:sz w:val="32"/>
          <w:szCs w:val="32"/>
        </w:rPr>
      </w:pPr>
      <w:r>
        <w:rPr>
          <w:rFonts w:hint="eastAsia" w:ascii="仿宋_GB2312" w:cs="DengXian-Regular"/>
          <w:sz w:val="32"/>
          <w:szCs w:val="32"/>
        </w:rPr>
        <w:t>4</w:t>
      </w:r>
      <w:r>
        <w:rPr>
          <w:rFonts w:hint="eastAsia" w:ascii="仿宋_GB2312" w:cs="DengXian-Regular"/>
          <w:sz w:val="32"/>
          <w:szCs w:val="32"/>
          <w:lang w:eastAsia="zh-CN"/>
        </w:rPr>
        <w:t>．</w:t>
      </w:r>
      <w:r>
        <w:rPr>
          <w:rFonts w:hint="eastAsia" w:ascii="仿宋_GB2312" w:cs="DengXian-Regular"/>
          <w:sz w:val="32"/>
          <w:szCs w:val="32"/>
        </w:rPr>
        <w:t>产出方面：职业技能培训合格率较低，产出质量较差。</w:t>
      </w:r>
    </w:p>
    <w:p>
      <w:pPr>
        <w:pStyle w:val="2"/>
        <w:keepNext w:val="0"/>
        <w:keepLines w:val="0"/>
        <w:spacing w:before="0" w:after="0" w:line="580" w:lineRule="exact"/>
        <w:ind w:firstLine="643" w:firstLineChars="200"/>
        <w:jc w:val="left"/>
        <w:rPr>
          <w:rFonts w:ascii="黑体" w:hAnsi="黑体" w:eastAsia="黑体" w:cs="黑体"/>
          <w:sz w:val="32"/>
          <w:szCs w:val="32"/>
        </w:rPr>
      </w:pPr>
      <w:bookmarkStart w:id="46" w:name="_Toc38447891"/>
      <w:bookmarkStart w:id="47" w:name="_Toc3561"/>
      <w:bookmarkStart w:id="48" w:name="_Toc38452635"/>
      <w:bookmarkStart w:id="49" w:name="_Toc41137189"/>
      <w:r>
        <w:rPr>
          <w:rFonts w:hint="eastAsia" w:ascii="黑体" w:hAnsi="黑体" w:eastAsia="黑体" w:cs="黑体"/>
          <w:sz w:val="32"/>
          <w:szCs w:val="32"/>
        </w:rPr>
        <w:t>四、绩效评价指标分析</w:t>
      </w:r>
      <w:bookmarkEnd w:id="46"/>
      <w:bookmarkEnd w:id="47"/>
      <w:bookmarkEnd w:id="48"/>
      <w:bookmarkEnd w:id="49"/>
    </w:p>
    <w:p>
      <w:pPr>
        <w:spacing w:line="580" w:lineRule="exact"/>
        <w:ind w:firstLine="640" w:firstLineChars="200"/>
        <w:rPr>
          <w:rFonts w:ascii="仿宋_GB2312" w:hAnsi="仿宋"/>
          <w:sz w:val="32"/>
          <w:szCs w:val="32"/>
        </w:rPr>
      </w:pPr>
      <w:r>
        <w:rPr>
          <w:rFonts w:hint="eastAsia" w:ascii="仿宋_GB2312" w:hAnsi="仿宋"/>
          <w:sz w:val="32"/>
          <w:szCs w:val="32"/>
        </w:rPr>
        <w:t>通过对区人社局提供的项目资料检查和现场实地查看，该项目综合得分90.07分，评价等级为“优”。各项得分情况明细如下：</w:t>
      </w:r>
    </w:p>
    <w:p>
      <w:pPr>
        <w:pStyle w:val="3"/>
        <w:spacing w:before="0" w:after="0" w:line="580" w:lineRule="exact"/>
        <w:ind w:firstLine="643" w:firstLineChars="200"/>
        <w:rPr>
          <w:rFonts w:ascii="Times New Roman" w:hAnsi="Times New Roman" w:eastAsia="楷体_GB2312"/>
        </w:rPr>
      </w:pPr>
      <w:bookmarkStart w:id="50" w:name="_Toc41137190"/>
      <w:bookmarkStart w:id="51" w:name="_Toc38447892"/>
      <w:bookmarkStart w:id="52" w:name="_Toc8951"/>
      <w:bookmarkStart w:id="53" w:name="_Toc38452636"/>
      <w:r>
        <w:rPr>
          <w:rFonts w:hint="eastAsia" w:ascii="仿宋_GB2312" w:hAnsi="Times New Roman"/>
        </w:rPr>
        <w:t>（一）决策（</w:t>
      </w:r>
      <w:r>
        <w:rPr>
          <w:rFonts w:hint="eastAsia" w:ascii="Times New Roman" w:hAnsi="Times New Roman" w:eastAsia="楷体_GB2312"/>
        </w:rPr>
        <w:t>13分）</w:t>
      </w:r>
      <w:bookmarkEnd w:id="50"/>
      <w:bookmarkEnd w:id="51"/>
      <w:bookmarkEnd w:id="52"/>
      <w:bookmarkEnd w:id="53"/>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该一级指标主要反映项目立项依据是否充分、立项程序是否规范、绩效目标是否合理、绩效指标是否明确、预算编制是否科学。该一级指标分值13分，实际得分11分。</w:t>
      </w:r>
    </w:p>
    <w:tbl>
      <w:tblPr>
        <w:tblStyle w:val="20"/>
        <w:tblW w:w="4508" w:type="pct"/>
        <w:jc w:val="center"/>
        <w:tblLayout w:type="autofit"/>
        <w:tblCellMar>
          <w:top w:w="0" w:type="dxa"/>
          <w:left w:w="0" w:type="dxa"/>
          <w:bottom w:w="0" w:type="dxa"/>
          <w:right w:w="0" w:type="dxa"/>
        </w:tblCellMar>
      </w:tblPr>
      <w:tblGrid>
        <w:gridCol w:w="1268"/>
        <w:gridCol w:w="1981"/>
        <w:gridCol w:w="2425"/>
        <w:gridCol w:w="1442"/>
        <w:gridCol w:w="1089"/>
      </w:tblGrid>
      <w:tr>
        <w:tblPrEx>
          <w:tblCellMar>
            <w:top w:w="0" w:type="dxa"/>
            <w:left w:w="0" w:type="dxa"/>
            <w:bottom w:w="0" w:type="dxa"/>
            <w:right w:w="0" w:type="dxa"/>
          </w:tblCellMar>
        </w:tblPrEx>
        <w:trPr>
          <w:trHeight w:val="520" w:hRule="atLeast"/>
          <w:jc w:val="center"/>
        </w:trPr>
        <w:tc>
          <w:tcPr>
            <w:tcW w:w="7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CellMar>
            <w:top w:w="0" w:type="dxa"/>
            <w:left w:w="0" w:type="dxa"/>
            <w:bottom w:w="0" w:type="dxa"/>
            <w:right w:w="0" w:type="dxa"/>
          </w:tblCellMar>
        </w:tblPrEx>
        <w:trPr>
          <w:trHeight w:val="495" w:hRule="atLeast"/>
          <w:jc w:val="center"/>
        </w:trPr>
        <w:tc>
          <w:tcPr>
            <w:tcW w:w="77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决策（13分）</w:t>
            </w:r>
          </w:p>
        </w:tc>
        <w:tc>
          <w:tcPr>
            <w:tcW w:w="12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项目立项（4分）</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立项依据充分性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r>
      <w:tr>
        <w:tblPrEx>
          <w:tblCellMar>
            <w:top w:w="0" w:type="dxa"/>
            <w:left w:w="0" w:type="dxa"/>
            <w:bottom w:w="0" w:type="dxa"/>
            <w:right w:w="0" w:type="dxa"/>
          </w:tblCellMar>
        </w:tblPrEx>
        <w:trPr>
          <w:trHeight w:val="48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立项程序规范性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w:t>
            </w:r>
          </w:p>
        </w:tc>
      </w:tr>
      <w:tr>
        <w:tblPrEx>
          <w:tblCellMar>
            <w:top w:w="0" w:type="dxa"/>
            <w:left w:w="0" w:type="dxa"/>
            <w:bottom w:w="0" w:type="dxa"/>
            <w:right w:w="0" w:type="dxa"/>
          </w:tblCellMar>
        </w:tblPrEx>
        <w:trPr>
          <w:trHeight w:val="48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105" w:firstLineChars="50"/>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绩效目标（7分）</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绩效目标合理性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r>
      <w:tr>
        <w:tblPrEx>
          <w:tblCellMar>
            <w:top w:w="0" w:type="dxa"/>
            <w:left w:w="0" w:type="dxa"/>
            <w:bottom w:w="0" w:type="dxa"/>
            <w:right w:w="0" w:type="dxa"/>
          </w:tblCellMar>
        </w:tblPrEx>
        <w:trPr>
          <w:trHeight w:val="48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绩效指标明确性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3</w:t>
            </w:r>
          </w:p>
        </w:tc>
      </w:tr>
      <w:tr>
        <w:tblPrEx>
          <w:tblCellMar>
            <w:top w:w="0" w:type="dxa"/>
            <w:left w:w="0" w:type="dxa"/>
            <w:bottom w:w="0" w:type="dxa"/>
            <w:right w:w="0" w:type="dxa"/>
          </w:tblCellMar>
        </w:tblPrEx>
        <w:trPr>
          <w:trHeight w:val="470" w:hRule="atLeast"/>
          <w:jc w:val="center"/>
        </w:trPr>
        <w:tc>
          <w:tcPr>
            <w:tcW w:w="77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资金投入（2分）</w:t>
            </w:r>
          </w:p>
        </w:tc>
        <w:tc>
          <w:tcPr>
            <w:tcW w:w="14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预算编制科学性</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w:t>
            </w:r>
          </w:p>
        </w:tc>
        <w:tc>
          <w:tcPr>
            <w:tcW w:w="6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w:t>
            </w:r>
          </w:p>
        </w:tc>
      </w:tr>
      <w:tr>
        <w:tblPrEx>
          <w:tblCellMar>
            <w:top w:w="0" w:type="dxa"/>
            <w:left w:w="0" w:type="dxa"/>
            <w:bottom w:w="0" w:type="dxa"/>
            <w:right w:w="0" w:type="dxa"/>
          </w:tblCellMar>
        </w:tblPrEx>
        <w:trPr>
          <w:trHeight w:val="480" w:hRule="atLeast"/>
          <w:jc w:val="center"/>
        </w:trPr>
        <w:tc>
          <w:tcPr>
            <w:tcW w:w="3458" w:type="pct"/>
            <w:gridSpan w:val="3"/>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合计</w:t>
            </w:r>
          </w:p>
        </w:tc>
        <w:tc>
          <w:tcPr>
            <w:tcW w:w="8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13</w:t>
            </w:r>
          </w:p>
        </w:tc>
        <w:tc>
          <w:tcPr>
            <w:tcW w:w="6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11</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项目立项（4分）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该二级指标共包含两个三级指标，主要评价项目立项依据是否充分，立项程序是否规范。</w:t>
      </w:r>
    </w:p>
    <w:p>
      <w:pPr>
        <w:spacing w:line="580" w:lineRule="exact"/>
        <w:ind w:firstLine="640" w:firstLineChars="200"/>
        <w:jc w:val="left"/>
        <w:rPr>
          <w:rFonts w:ascii="仿宋_GB2312" w:hAnsi="仿宋"/>
          <w:sz w:val="32"/>
          <w:szCs w:val="32"/>
        </w:rPr>
      </w:pPr>
      <w:r>
        <w:rPr>
          <w:rFonts w:hint="eastAsia" w:ascii="仿宋_GB2312" w:hAnsi="仿宋"/>
          <w:sz w:val="32"/>
          <w:szCs w:val="32"/>
        </w:rPr>
        <w:t>（1）立项依据充分性（2分）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该指标主要评价项目立项是否符合法律法规、相关政策、发展规划以及部门职责，用以反映和考核项目立项依据情况。</w:t>
      </w:r>
    </w:p>
    <w:p>
      <w:pPr>
        <w:spacing w:line="580" w:lineRule="exact"/>
        <w:ind w:firstLine="640" w:firstLineChars="200"/>
        <w:jc w:val="left"/>
        <w:rPr>
          <w:rFonts w:ascii="仿宋_GB2312" w:hAnsi="仿宋"/>
          <w:sz w:val="32"/>
          <w:szCs w:val="32"/>
        </w:rPr>
      </w:pPr>
      <w:r>
        <w:rPr>
          <w:rFonts w:hint="eastAsia" w:ascii="仿宋_GB2312" w:hAnsi="仿宋"/>
          <w:sz w:val="32"/>
          <w:szCs w:val="32"/>
        </w:rPr>
        <w:t>经检查，该项目承担单位为区人社局，与部门职责相符；项目资金来源为一般公共预算，属于公共财政支持范围；该项目符合《河北省就业创业资金管理办法》、河北省财政厅 河北省人社厅《关于加强公益性岗位开发管理工作的通知》及《保定</w:t>
      </w:r>
      <w:r>
        <w:rPr>
          <w:rFonts w:hint="eastAsia" w:ascii="仿宋_GB2312" w:hAnsi="仿宋"/>
          <w:sz w:val="32"/>
          <w:szCs w:val="32"/>
          <w:lang w:eastAsia="zh-CN"/>
        </w:rPr>
        <w:t>市</w:t>
      </w:r>
      <w:r>
        <w:rPr>
          <w:rFonts w:hint="eastAsia" w:ascii="仿宋_GB2312" w:hAnsi="仿宋"/>
          <w:sz w:val="32"/>
          <w:szCs w:val="32"/>
        </w:rPr>
        <w:t>青年就业见习三年计划实施方案》等相关法律法规及相关政策要求。项目立项依据较充分。</w:t>
      </w:r>
    </w:p>
    <w:p>
      <w:pPr>
        <w:spacing w:line="580" w:lineRule="exact"/>
        <w:ind w:firstLine="640" w:firstLineChars="200"/>
        <w:jc w:val="left"/>
        <w:rPr>
          <w:rFonts w:ascii="仿宋_GB2312" w:hAnsi="仿宋"/>
          <w:sz w:val="32"/>
          <w:szCs w:val="32"/>
          <w:highlight w:val="yellow"/>
        </w:rPr>
      </w:pPr>
      <w:r>
        <w:rPr>
          <w:rFonts w:hint="eastAsia" w:ascii="仿宋_GB2312" w:hAnsi="仿宋"/>
          <w:sz w:val="32"/>
          <w:szCs w:val="32"/>
        </w:rPr>
        <w:t>该指标实际得分2分。</w:t>
      </w:r>
    </w:p>
    <w:p>
      <w:pPr>
        <w:spacing w:line="580" w:lineRule="exact"/>
        <w:ind w:firstLine="640" w:firstLineChars="200"/>
        <w:jc w:val="left"/>
        <w:rPr>
          <w:rFonts w:ascii="仿宋_GB2312" w:hAnsi="仿宋"/>
          <w:sz w:val="32"/>
          <w:szCs w:val="32"/>
        </w:rPr>
      </w:pPr>
      <w:r>
        <w:rPr>
          <w:rFonts w:hint="eastAsia" w:ascii="仿宋_GB2312" w:hAnsi="仿宋"/>
          <w:sz w:val="32"/>
          <w:szCs w:val="32"/>
        </w:rPr>
        <w:t>（2）立项程序规范性（2分）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该指标主要评价项目设立过程是否符合相关要求，是否制定实施方案，用以反映和考核项目立项程序的规范情况。</w:t>
      </w:r>
    </w:p>
    <w:p>
      <w:pPr>
        <w:spacing w:line="580" w:lineRule="exact"/>
        <w:ind w:firstLine="640" w:firstLineChars="200"/>
        <w:jc w:val="left"/>
        <w:rPr>
          <w:rFonts w:ascii="仿宋_GB2312" w:hAnsi="仿宋"/>
          <w:sz w:val="32"/>
          <w:szCs w:val="32"/>
        </w:rPr>
      </w:pPr>
      <w:r>
        <w:rPr>
          <w:rFonts w:hint="eastAsia" w:ascii="仿宋_GB2312" w:hAnsi="仿宋"/>
          <w:sz w:val="32"/>
          <w:szCs w:val="32"/>
        </w:rPr>
        <w:t>经检查，该项目列入了区人社局2019年项目预算</w:t>
      </w:r>
      <w:r>
        <w:rPr>
          <w:rFonts w:hint="eastAsia" w:ascii="仿宋_GB2312" w:hAnsi="仿宋"/>
          <w:sz w:val="32"/>
          <w:szCs w:val="32"/>
          <w:lang w:eastAsia="zh-CN"/>
        </w:rPr>
        <w:t>并</w:t>
      </w:r>
      <w:r>
        <w:rPr>
          <w:rFonts w:hint="eastAsia" w:ascii="仿宋_GB2312" w:hAnsi="仿宋"/>
          <w:sz w:val="32"/>
          <w:szCs w:val="32"/>
        </w:rPr>
        <w:t>经相关部门审批，且制定了《就业促进工程实施方案》、《职业技能培训工程实施方案》，项目立项程序较规范。</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该指标实际得分2分。</w:t>
      </w:r>
    </w:p>
    <w:p>
      <w:pPr>
        <w:spacing w:line="580" w:lineRule="exact"/>
        <w:ind w:firstLine="643" w:firstLineChars="200"/>
        <w:jc w:val="left"/>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绩效目标（7分）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该二级指标共包含两个三级指标，主要评价项目绩效目标合理性和绩效指标明确性。</w:t>
      </w:r>
    </w:p>
    <w:p>
      <w:pPr>
        <w:spacing w:line="580" w:lineRule="exact"/>
        <w:ind w:firstLine="640" w:firstLineChars="200"/>
        <w:jc w:val="left"/>
        <w:rPr>
          <w:rFonts w:ascii="仿宋_GB2312" w:hAnsi="仿宋"/>
          <w:sz w:val="32"/>
          <w:szCs w:val="32"/>
        </w:rPr>
      </w:pPr>
      <w:r>
        <w:rPr>
          <w:rFonts w:hint="eastAsia" w:ascii="仿宋_GB2312" w:hAnsi="仿宋"/>
          <w:sz w:val="32"/>
          <w:szCs w:val="32"/>
        </w:rPr>
        <w:t>（1）绩效目标合理性（4分）</w:t>
      </w:r>
    </w:p>
    <w:p>
      <w:pPr>
        <w:spacing w:line="580" w:lineRule="exact"/>
        <w:ind w:firstLine="640" w:firstLineChars="200"/>
        <w:jc w:val="left"/>
        <w:rPr>
          <w:rFonts w:ascii="仿宋_GB2312" w:hAnsi="仿宋"/>
          <w:sz w:val="32"/>
          <w:szCs w:val="32"/>
        </w:rPr>
      </w:pPr>
      <w:r>
        <w:rPr>
          <w:rFonts w:hint="eastAsia" w:ascii="仿宋_GB2312" w:hAnsi="宋体" w:cs="宋体"/>
          <w:sz w:val="32"/>
          <w:szCs w:val="32"/>
        </w:rPr>
        <w:t xml:space="preserve"> </w:t>
      </w:r>
      <w:r>
        <w:rPr>
          <w:rFonts w:hint="eastAsia" w:ascii="仿宋_GB2312" w:hAnsi="仿宋"/>
          <w:sz w:val="32"/>
          <w:szCs w:val="32"/>
        </w:rPr>
        <w:t>该指标主要评价项目所设定的目标是否与实际工作内容相关、是否与预算确定的资金量相匹配、</w:t>
      </w:r>
      <w:r>
        <w:rPr>
          <w:rFonts w:hint="eastAsia" w:ascii="仿宋_GB2312" w:hAnsi="仿宋"/>
          <w:sz w:val="32"/>
          <w:szCs w:val="32"/>
          <w:lang w:val="en-US" w:eastAsia="zh-CN"/>
        </w:rPr>
        <w:t>是</w:t>
      </w:r>
      <w:r>
        <w:rPr>
          <w:rFonts w:hint="eastAsia" w:ascii="仿宋_GB2312" w:hAnsi="仿宋"/>
          <w:sz w:val="32"/>
          <w:szCs w:val="32"/>
        </w:rPr>
        <w:t>否符合正常的业绩水平，用以反映和考核项目绩效目标与项目实施的相符情况。</w:t>
      </w:r>
    </w:p>
    <w:p>
      <w:pPr>
        <w:spacing w:line="580" w:lineRule="exact"/>
        <w:ind w:firstLine="640" w:firstLineChars="200"/>
        <w:jc w:val="left"/>
        <w:rPr>
          <w:rFonts w:ascii="仿宋_GB2312" w:hAnsi="仿宋"/>
          <w:sz w:val="32"/>
          <w:szCs w:val="32"/>
        </w:rPr>
      </w:pPr>
      <w:r>
        <w:rPr>
          <w:rFonts w:hint="eastAsia" w:ascii="仿宋_GB2312" w:hAnsi="仿宋"/>
          <w:sz w:val="32"/>
          <w:szCs w:val="32"/>
        </w:rPr>
        <w:t>经检查，该项目制定年初预算时设定了绩效目标，绩效目标为“就业创业服务”，执行过程中又将绩效目标细化为“资金按规定用于职业培训补贴</w:t>
      </w:r>
      <w:r>
        <w:rPr>
          <w:rFonts w:ascii="仿宋_GB2312" w:hAnsi="仿宋"/>
          <w:sz w:val="32"/>
          <w:szCs w:val="32"/>
        </w:rPr>
        <w:t>……</w:t>
      </w:r>
      <w:r>
        <w:rPr>
          <w:rFonts w:hint="eastAsia" w:ascii="仿宋_GB2312" w:hAnsi="仿宋"/>
          <w:sz w:val="32"/>
          <w:szCs w:val="32"/>
        </w:rPr>
        <w:t>就业创业服务补助、高技能人才培养”，但绩效目标未具体量化，无法与预算确定的资金量相匹配，不利于对项目绩效目标实际完成情况进行考核。酌情扣1分。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该指标实际得分3分。</w:t>
      </w:r>
    </w:p>
    <w:p>
      <w:pPr>
        <w:numPr>
          <w:ilvl w:val="0"/>
          <w:numId w:val="1"/>
        </w:numPr>
        <w:spacing w:line="580" w:lineRule="exact"/>
        <w:ind w:firstLine="640" w:firstLineChars="200"/>
        <w:jc w:val="left"/>
        <w:rPr>
          <w:rFonts w:ascii="仿宋_GB2312" w:hAnsi="仿宋"/>
          <w:sz w:val="32"/>
          <w:szCs w:val="32"/>
        </w:rPr>
      </w:pPr>
      <w:r>
        <w:rPr>
          <w:rFonts w:hint="eastAsia" w:ascii="仿宋_GB2312" w:hAnsi="仿宋"/>
          <w:sz w:val="32"/>
          <w:szCs w:val="32"/>
        </w:rPr>
        <w:t>绩效指标明确性（3分）</w:t>
      </w:r>
    </w:p>
    <w:p>
      <w:pPr>
        <w:spacing w:line="580" w:lineRule="exact"/>
        <w:ind w:firstLine="640"/>
        <w:jc w:val="left"/>
        <w:rPr>
          <w:rFonts w:ascii="仿宋_GB2312" w:hAnsi="仿宋"/>
          <w:sz w:val="32"/>
          <w:szCs w:val="32"/>
        </w:rPr>
      </w:pPr>
      <w:r>
        <w:rPr>
          <w:rFonts w:hint="eastAsia" w:ascii="仿宋_GB2312" w:hAnsi="仿宋"/>
          <w:sz w:val="32"/>
          <w:szCs w:val="32"/>
        </w:rPr>
        <w:t>该指标主要评价绩效目标设定的绩效指标是否清晰、细化、可衡量等，用以反映和考核项目绩效目标的细化情况。</w:t>
      </w:r>
    </w:p>
    <w:p>
      <w:pPr>
        <w:spacing w:line="580" w:lineRule="exact"/>
        <w:ind w:firstLine="640"/>
        <w:jc w:val="left"/>
        <w:rPr>
          <w:rFonts w:ascii="仿宋_GB2312" w:hAnsi="仿宋"/>
          <w:sz w:val="32"/>
          <w:szCs w:val="32"/>
        </w:rPr>
      </w:pPr>
      <w:r>
        <w:rPr>
          <w:rFonts w:hint="eastAsia" w:ascii="仿宋_GB2312" w:hAnsi="仿宋"/>
          <w:sz w:val="32"/>
          <w:szCs w:val="32"/>
        </w:rPr>
        <w:t>经检查，该项目制定年初预算时设定了绩效指标，绩效指标为“新增就业人员数量、就业服务到位率、服务对象满意度”等清晰、细化、可衡量的绩效指标。</w:t>
      </w:r>
    </w:p>
    <w:p>
      <w:pPr>
        <w:spacing w:line="580" w:lineRule="exact"/>
        <w:ind w:firstLine="640"/>
        <w:jc w:val="left"/>
        <w:rPr>
          <w:rFonts w:ascii="仿宋_GB2312" w:hAnsi="仿宋"/>
          <w:sz w:val="32"/>
          <w:szCs w:val="32"/>
        </w:rPr>
      </w:pPr>
      <w:r>
        <w:rPr>
          <w:rFonts w:hint="eastAsia" w:ascii="仿宋_GB2312" w:hAnsi="仿宋"/>
          <w:sz w:val="32"/>
          <w:szCs w:val="32"/>
        </w:rPr>
        <w:t>该指标实际得分3分。</w:t>
      </w:r>
    </w:p>
    <w:p>
      <w:pPr>
        <w:spacing w:line="580" w:lineRule="exact"/>
        <w:ind w:firstLine="643" w:firstLineChars="200"/>
        <w:jc w:val="left"/>
        <w:rPr>
          <w:rFonts w:ascii="仿宋_GB2312" w:hAnsi="仿宋"/>
          <w:b/>
          <w:bCs/>
          <w:sz w:val="32"/>
          <w:szCs w:val="32"/>
        </w:rPr>
      </w:pPr>
      <w:r>
        <w:rPr>
          <w:rFonts w:hint="eastAsia" w:ascii="仿宋_GB2312" w:hAnsi="仿宋"/>
          <w:b/>
          <w:bCs/>
          <w:sz w:val="32"/>
          <w:szCs w:val="32"/>
        </w:rPr>
        <w:t>3</w:t>
      </w:r>
      <w:r>
        <w:rPr>
          <w:rFonts w:hint="eastAsia" w:ascii="仿宋_GB2312" w:hAnsi="仿宋"/>
          <w:b/>
          <w:bCs/>
          <w:sz w:val="32"/>
          <w:szCs w:val="32"/>
          <w:lang w:eastAsia="zh-CN"/>
        </w:rPr>
        <w:t>．</w:t>
      </w:r>
      <w:r>
        <w:rPr>
          <w:rFonts w:hint="eastAsia" w:ascii="仿宋_GB2312" w:hAnsi="仿宋"/>
          <w:b/>
          <w:bCs/>
          <w:sz w:val="32"/>
          <w:szCs w:val="32"/>
        </w:rPr>
        <w:t>资金投入（2分）</w:t>
      </w:r>
    </w:p>
    <w:p>
      <w:pPr>
        <w:spacing w:line="580" w:lineRule="exact"/>
        <w:ind w:firstLine="640" w:firstLineChars="200"/>
        <w:jc w:val="left"/>
        <w:rPr>
          <w:rFonts w:ascii="仿宋_GB2312" w:hAnsi="宋体" w:cs="宋体"/>
          <w:sz w:val="32"/>
          <w:szCs w:val="32"/>
        </w:rPr>
      </w:pPr>
      <w:r>
        <w:rPr>
          <w:rFonts w:hint="eastAsia" w:ascii="仿宋_GB2312" w:hAnsi="仿宋"/>
          <w:sz w:val="32"/>
          <w:szCs w:val="32"/>
        </w:rPr>
        <w:t>该二级指标包含预算编制科学性一个三级指标，该指标主要评价项目预算编制是否经过科学论证、资金额度与年度目标是否相适应、资金预算测算依据是否充分，用以反映和考核项目预算编制的科学性、合理性情况。</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经检查，该项目预算编制不完整，业务科室根据</w:t>
      </w:r>
      <w:r>
        <w:rPr>
          <w:rFonts w:hint="eastAsia" w:ascii="仿宋_GB2312" w:hAnsi="仿宋"/>
          <w:sz w:val="32"/>
          <w:szCs w:val="32"/>
          <w:lang w:eastAsia="zh-CN"/>
        </w:rPr>
        <w:t>以前年度</w:t>
      </w:r>
      <w:r>
        <w:rPr>
          <w:rFonts w:hint="eastAsia" w:ascii="仿宋_GB2312" w:hAnsi="仿宋"/>
          <w:sz w:val="32"/>
          <w:szCs w:val="32"/>
        </w:rPr>
        <w:t>资金</w:t>
      </w:r>
      <w:r>
        <w:rPr>
          <w:rFonts w:hint="eastAsia" w:ascii="仿宋_GB2312" w:hAnsi="仿宋"/>
          <w:sz w:val="32"/>
          <w:szCs w:val="32"/>
          <w:lang w:eastAsia="zh-CN"/>
        </w:rPr>
        <w:t>实际支出情况并</w:t>
      </w:r>
      <w:r>
        <w:rPr>
          <w:rFonts w:hint="eastAsia" w:ascii="仿宋_GB2312" w:hAnsi="仿宋"/>
          <w:sz w:val="32"/>
          <w:szCs w:val="32"/>
        </w:rPr>
        <w:t>结合本年</w:t>
      </w:r>
      <w:r>
        <w:rPr>
          <w:rFonts w:hint="eastAsia" w:ascii="仿宋_GB2312" w:hAnsi="仿宋"/>
          <w:sz w:val="32"/>
          <w:szCs w:val="32"/>
          <w:lang w:eastAsia="zh-CN"/>
        </w:rPr>
        <w:t>预计变动情况</w:t>
      </w:r>
      <w:r>
        <w:rPr>
          <w:rFonts w:hint="eastAsia" w:ascii="仿宋_GB2312" w:hAnsi="仿宋"/>
          <w:sz w:val="32"/>
          <w:szCs w:val="32"/>
        </w:rPr>
        <w:t>测算2019年资金需求量为800万元，且根据</w:t>
      </w:r>
      <w:r>
        <w:rPr>
          <w:rFonts w:hint="eastAsia" w:ascii="仿宋_GB2312" w:hAnsi="仿宋"/>
          <w:sz w:val="32"/>
          <w:szCs w:val="32"/>
          <w:lang w:eastAsia="zh-CN"/>
        </w:rPr>
        <w:t>相关</w:t>
      </w:r>
      <w:r>
        <w:rPr>
          <w:rFonts w:hint="eastAsia" w:ascii="仿宋_GB2312" w:hAnsi="仿宋"/>
          <w:sz w:val="32"/>
          <w:szCs w:val="32"/>
        </w:rPr>
        <w:t>资金文</w:t>
      </w:r>
      <w:r>
        <w:rPr>
          <w:rFonts w:hint="eastAsia" w:ascii="仿宋_GB2312" w:hAnsi="仿宋"/>
          <w:sz w:val="32"/>
          <w:szCs w:val="32"/>
          <w:lang w:eastAsia="zh-CN"/>
        </w:rPr>
        <w:t>件</w:t>
      </w:r>
      <w:r>
        <w:rPr>
          <w:rFonts w:hint="eastAsia" w:ascii="仿宋_GB2312" w:hAnsi="仿宋"/>
          <w:sz w:val="32"/>
          <w:szCs w:val="32"/>
        </w:rPr>
        <w:t>2019年实际收到项目资金800万元，区人社局2019年该项目预算金额为600万元，只包含财政授权支付的600万元，未将财政直接支付的200万元列入项目年初预算金额，预算编制不完整。酌情扣1分。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该指标实际得分1分。</w:t>
      </w:r>
    </w:p>
    <w:p>
      <w:pPr>
        <w:pStyle w:val="3"/>
        <w:spacing w:before="0" w:after="0" w:line="580" w:lineRule="exact"/>
        <w:ind w:firstLine="643" w:firstLineChars="200"/>
        <w:rPr>
          <w:rFonts w:ascii="楷体_GB2312" w:hAnsi="Times New Roman" w:eastAsia="楷体_GB2312"/>
        </w:rPr>
      </w:pPr>
      <w:bookmarkStart w:id="54" w:name="_Toc41137191"/>
      <w:bookmarkStart w:id="55" w:name="_Toc8048"/>
      <w:bookmarkStart w:id="56" w:name="_Toc38452637"/>
      <w:bookmarkStart w:id="57" w:name="_Toc38447893"/>
      <w:r>
        <w:rPr>
          <w:rFonts w:hint="eastAsia" w:ascii="楷体_GB2312" w:hAnsi="Times New Roman" w:eastAsia="楷体_GB2312"/>
        </w:rPr>
        <w:t>（二）过程（27分）</w:t>
      </w:r>
      <w:bookmarkEnd w:id="54"/>
      <w:bookmarkEnd w:id="55"/>
      <w:bookmarkEnd w:id="56"/>
      <w:bookmarkEnd w:id="57"/>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该一级指标主要反映项目资金管理情况和组织实施情况。该一级指标分值27分，实际得分24.83分。</w:t>
      </w:r>
    </w:p>
    <w:tbl>
      <w:tblPr>
        <w:tblStyle w:val="20"/>
        <w:tblpPr w:leftFromText="180" w:rightFromText="180" w:vertAnchor="text" w:tblpY="1"/>
        <w:tblOverlap w:val="never"/>
        <w:tblW w:w="8177" w:type="dxa"/>
        <w:tblInd w:w="465" w:type="dxa"/>
        <w:tblLayout w:type="fixed"/>
        <w:tblCellMar>
          <w:top w:w="0" w:type="dxa"/>
          <w:left w:w="0" w:type="dxa"/>
          <w:bottom w:w="0" w:type="dxa"/>
          <w:right w:w="0" w:type="dxa"/>
        </w:tblCellMar>
      </w:tblPr>
      <w:tblGrid>
        <w:gridCol w:w="1396"/>
        <w:gridCol w:w="1947"/>
        <w:gridCol w:w="2415"/>
        <w:gridCol w:w="1339"/>
        <w:gridCol w:w="1080"/>
      </w:tblGrid>
      <w:tr>
        <w:tblPrEx>
          <w:tblCellMar>
            <w:top w:w="0" w:type="dxa"/>
            <w:left w:w="0" w:type="dxa"/>
            <w:bottom w:w="0" w:type="dxa"/>
            <w:right w:w="0" w:type="dxa"/>
          </w:tblCellMar>
        </w:tblPrEx>
        <w:trPr>
          <w:trHeight w:val="454" w:hRule="exact"/>
        </w:trPr>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9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CellMar>
            <w:top w:w="0" w:type="dxa"/>
            <w:left w:w="0" w:type="dxa"/>
            <w:bottom w:w="0" w:type="dxa"/>
            <w:right w:w="0" w:type="dxa"/>
          </w:tblCellMar>
        </w:tblPrEx>
        <w:trPr>
          <w:trHeight w:val="454" w:hRule="exact"/>
        </w:trPr>
        <w:tc>
          <w:tcPr>
            <w:tcW w:w="139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过程（27分）</w:t>
            </w:r>
          </w:p>
        </w:tc>
        <w:tc>
          <w:tcPr>
            <w:tcW w:w="19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资金管理（12分）</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资金到位率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预算执行率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2.83</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资金使用合规性</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组织实施（1</w:t>
            </w:r>
            <w:r>
              <w:rPr>
                <w:rFonts w:hint="default" w:ascii="Times New Roman" w:hAnsi="Times New Roman" w:eastAsia="宋体" w:cs="Times New Roman"/>
                <w:color w:val="000000"/>
                <w:kern w:val="0"/>
                <w:sz w:val="21"/>
                <w:szCs w:val="21"/>
                <w:lang w:val="en-US" w:eastAsia="zh-CN"/>
              </w:rPr>
              <w:t>5</w:t>
            </w:r>
            <w:r>
              <w:rPr>
                <w:rFonts w:hint="default" w:ascii="Times New Roman" w:hAnsi="Times New Roman" w:eastAsia="宋体" w:cs="Times New Roman"/>
                <w:color w:val="000000"/>
                <w:kern w:val="0"/>
                <w:sz w:val="21"/>
                <w:szCs w:val="21"/>
              </w:rPr>
              <w:t>分）</w:t>
            </w: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管理制度健全性</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4</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制度执行有效性</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5</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公开公示</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1</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政策宣传</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r>
      <w:tr>
        <w:tblPrEx>
          <w:tblCellMar>
            <w:top w:w="0" w:type="dxa"/>
            <w:left w:w="0" w:type="dxa"/>
            <w:bottom w:w="0" w:type="dxa"/>
            <w:right w:w="0" w:type="dxa"/>
          </w:tblCellMar>
        </w:tblPrEx>
        <w:trPr>
          <w:trHeight w:val="454" w:hRule="exact"/>
        </w:trPr>
        <w:tc>
          <w:tcPr>
            <w:tcW w:w="139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94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2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过程监督</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w:t>
            </w:r>
          </w:p>
        </w:tc>
      </w:tr>
      <w:tr>
        <w:tblPrEx>
          <w:tblCellMar>
            <w:top w:w="0" w:type="dxa"/>
            <w:left w:w="0" w:type="dxa"/>
            <w:bottom w:w="0" w:type="dxa"/>
            <w:right w:w="0" w:type="dxa"/>
          </w:tblCellMar>
        </w:tblPrEx>
        <w:trPr>
          <w:trHeight w:val="454" w:hRule="exact"/>
        </w:trPr>
        <w:tc>
          <w:tcPr>
            <w:tcW w:w="575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合计</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27</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24.83</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资金管理（12分）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该二级指标共包含三个三级指标，主要评价项目资金到位率、</w:t>
      </w:r>
      <w:r>
        <w:rPr>
          <w:rFonts w:hint="eastAsia" w:ascii="仿宋_GB2312" w:hAnsi="宋体" w:cs="宋体"/>
          <w:sz w:val="32"/>
          <w:szCs w:val="32"/>
        </w:rPr>
        <w:t>预算执行率</w:t>
      </w:r>
      <w:r>
        <w:rPr>
          <w:rFonts w:hint="eastAsia" w:ascii="仿宋_GB2312" w:hAnsi="仿宋"/>
          <w:sz w:val="32"/>
          <w:szCs w:val="32"/>
        </w:rPr>
        <w:t>和资金使用合规性。</w:t>
      </w:r>
    </w:p>
    <w:p>
      <w:pPr>
        <w:spacing w:line="580" w:lineRule="exact"/>
        <w:ind w:firstLine="640" w:firstLineChars="200"/>
        <w:jc w:val="left"/>
        <w:rPr>
          <w:rFonts w:ascii="仿宋_GB2312" w:hAnsi="仿宋"/>
          <w:sz w:val="32"/>
          <w:szCs w:val="32"/>
        </w:rPr>
      </w:pPr>
      <w:r>
        <w:rPr>
          <w:rFonts w:hint="eastAsia" w:ascii="仿宋_GB2312" w:hAnsi="仿宋"/>
          <w:sz w:val="32"/>
          <w:szCs w:val="32"/>
        </w:rPr>
        <w:t>（1）资金到位率（4分）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该指标主要评价实际到位资金与预算资金的比率，用以反映和考核资金落实情况对项目实施的总体保障程度。</w:t>
      </w:r>
    </w:p>
    <w:p>
      <w:pPr>
        <w:spacing w:line="580" w:lineRule="exact"/>
        <w:ind w:firstLine="640"/>
        <w:rPr>
          <w:rFonts w:ascii="仿宋_GB2312" w:hAnsi="仿宋_GB2312"/>
          <w:sz w:val="32"/>
          <w:szCs w:val="32"/>
        </w:rPr>
      </w:pPr>
      <w:r>
        <w:rPr>
          <w:rFonts w:hint="eastAsia" w:ascii="仿宋_GB2312" w:hAnsi="仿宋"/>
          <w:sz w:val="32"/>
          <w:szCs w:val="32"/>
        </w:rPr>
        <w:t>经检查，该项目预算</w:t>
      </w:r>
      <w:r>
        <w:rPr>
          <w:rFonts w:hint="eastAsia" w:ascii="仿宋_GB2312" w:hAnsi="仿宋"/>
          <w:sz w:val="32"/>
          <w:szCs w:val="32"/>
          <w:lang w:eastAsia="zh-CN"/>
        </w:rPr>
        <w:t>资金</w:t>
      </w:r>
      <w:r>
        <w:rPr>
          <w:rFonts w:hint="eastAsia" w:ascii="仿宋_GB2312" w:hAnsi="仿宋"/>
          <w:sz w:val="32"/>
          <w:szCs w:val="32"/>
        </w:rPr>
        <w:t>800万元</w:t>
      </w:r>
      <w:r>
        <w:rPr>
          <w:rFonts w:hint="eastAsia" w:ascii="仿宋_GB2312" w:hAnsi="仿宋_GB2312"/>
          <w:sz w:val="32"/>
          <w:szCs w:val="32"/>
        </w:rPr>
        <w:t>，2019年实际到位资金800万元，资金到位率为100%。</w:t>
      </w:r>
    </w:p>
    <w:p>
      <w:pPr>
        <w:spacing w:line="580" w:lineRule="exact"/>
        <w:ind w:firstLine="640"/>
        <w:rPr>
          <w:rFonts w:ascii="仿宋_GB2312" w:hAnsi="仿宋_GB2312"/>
          <w:sz w:val="32"/>
          <w:szCs w:val="32"/>
        </w:rPr>
      </w:pPr>
      <w:r>
        <w:rPr>
          <w:rFonts w:hint="eastAsia" w:ascii="仿宋_GB2312" w:hAnsi="仿宋_GB2312"/>
          <w:sz w:val="32"/>
          <w:szCs w:val="32"/>
        </w:rPr>
        <w:t>该指标实际得分4分。</w:t>
      </w:r>
    </w:p>
    <w:p>
      <w:pPr>
        <w:spacing w:line="580" w:lineRule="exact"/>
        <w:ind w:firstLine="640" w:firstLineChars="200"/>
        <w:rPr>
          <w:rFonts w:ascii="仿宋_GB2312" w:hAnsi="仿宋"/>
          <w:sz w:val="32"/>
          <w:szCs w:val="32"/>
        </w:rPr>
      </w:pPr>
      <w:r>
        <w:rPr>
          <w:rFonts w:hint="eastAsia" w:ascii="仿宋_GB2312" w:hAnsi="仿宋"/>
          <w:sz w:val="32"/>
          <w:szCs w:val="32"/>
        </w:rPr>
        <w:t>（2）预算执行率（4分）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该指标主要评价项目预算资金是否按照计划执行，用以反映或考核项目预算执行情况。</w:t>
      </w:r>
    </w:p>
    <w:p>
      <w:pPr>
        <w:spacing w:line="580" w:lineRule="exact"/>
        <w:ind w:firstLine="640" w:firstLineChars="200"/>
        <w:rPr>
          <w:rFonts w:ascii="仿宋_GB2312" w:hAnsi="仿宋_GB2312"/>
          <w:sz w:val="32"/>
          <w:szCs w:val="32"/>
        </w:rPr>
      </w:pPr>
      <w:r>
        <w:rPr>
          <w:rFonts w:hint="eastAsia" w:ascii="仿宋_GB2312" w:hAnsi="仿宋"/>
          <w:sz w:val="32"/>
          <w:szCs w:val="32"/>
        </w:rPr>
        <w:t>经检查，该项目2019年实际到位资金800万元，实际支出566.06万元，本年结余资金233.37万元，结余资金较大的主要原因为孵化基地的房租及物业补贴由于</w:t>
      </w:r>
      <w:r>
        <w:rPr>
          <w:rFonts w:hint="eastAsia" w:ascii="仿宋_GB2312" w:hAnsi="仿宋"/>
          <w:sz w:val="32"/>
          <w:szCs w:val="32"/>
          <w:lang w:eastAsia="zh-CN"/>
        </w:rPr>
        <w:t>申请</w:t>
      </w:r>
      <w:r>
        <w:rPr>
          <w:rFonts w:hint="eastAsia" w:ascii="仿宋_GB2312" w:hAnsi="仿宋"/>
          <w:sz w:val="32"/>
          <w:szCs w:val="32"/>
        </w:rPr>
        <w:t>资料不符合要求</w:t>
      </w:r>
      <w:r>
        <w:rPr>
          <w:rFonts w:hint="eastAsia" w:ascii="仿宋_GB2312" w:hAnsi="仿宋"/>
          <w:sz w:val="32"/>
          <w:szCs w:val="32"/>
          <w:lang w:eastAsia="zh-CN"/>
        </w:rPr>
        <w:t>，导致相关</w:t>
      </w:r>
      <w:r>
        <w:rPr>
          <w:rFonts w:hint="eastAsia" w:ascii="仿宋_GB2312" w:hAnsi="仿宋"/>
          <w:sz w:val="32"/>
          <w:szCs w:val="32"/>
        </w:rPr>
        <w:t>资金尚未支付。预算执行率=（566.06/800）*100%=70.76%。</w:t>
      </w:r>
    </w:p>
    <w:p>
      <w:pPr>
        <w:spacing w:line="580" w:lineRule="exact"/>
        <w:ind w:firstLine="640" w:firstLineChars="200"/>
        <w:rPr>
          <w:rFonts w:ascii="仿宋_GB2312" w:hAnsi="仿宋_GB2312"/>
          <w:sz w:val="32"/>
          <w:szCs w:val="32"/>
        </w:rPr>
      </w:pPr>
      <w:r>
        <w:rPr>
          <w:rFonts w:hint="eastAsia" w:ascii="仿宋_GB2312" w:hAnsi="仿宋_GB2312"/>
          <w:sz w:val="32"/>
          <w:szCs w:val="32"/>
        </w:rPr>
        <w:t>该指标实际得分</w:t>
      </w:r>
      <w:r>
        <w:rPr>
          <w:rFonts w:hint="eastAsia" w:ascii="仿宋_GB2312" w:hAnsi="仿宋_GB2312"/>
          <w:sz w:val="32"/>
          <w:szCs w:val="32"/>
          <w:lang w:val="en-US" w:eastAsia="zh-CN"/>
        </w:rPr>
        <w:t>=70.76%*4=</w:t>
      </w:r>
      <w:r>
        <w:rPr>
          <w:rFonts w:hint="eastAsia" w:ascii="仿宋_GB2312" w:hAnsi="仿宋_GB2312"/>
          <w:sz w:val="32"/>
          <w:szCs w:val="32"/>
        </w:rPr>
        <w:t>2.83分。</w:t>
      </w:r>
    </w:p>
    <w:p>
      <w:pPr>
        <w:spacing w:line="580" w:lineRule="exact"/>
        <w:ind w:firstLine="640" w:firstLineChars="200"/>
        <w:rPr>
          <w:rFonts w:ascii="仿宋_GB2312" w:hAnsi="仿宋"/>
          <w:sz w:val="32"/>
          <w:szCs w:val="32"/>
        </w:rPr>
      </w:pPr>
      <w:r>
        <w:rPr>
          <w:rFonts w:hint="eastAsia" w:ascii="仿宋_GB2312" w:hAnsi="仿宋"/>
          <w:sz w:val="32"/>
          <w:szCs w:val="32"/>
        </w:rPr>
        <w:t>（3）资金使用合规性（4分）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该指标主要评价项目资金使用是否符合相关财务管理制度规定，用以反映和考核项目资金的规范运行情况。</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经检查，该项目资金的拨付审批手续较齐全，用途符合资金管理办法规定的用途，且未发现截留、挪用等情况，资金使用合规。</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该指标实际得分4分。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组织实施（15分）</w:t>
      </w:r>
    </w:p>
    <w:p>
      <w:pPr>
        <w:spacing w:line="580" w:lineRule="exact"/>
        <w:ind w:firstLine="640" w:firstLineChars="200"/>
        <w:jc w:val="left"/>
        <w:rPr>
          <w:rFonts w:ascii="仿宋_GB2312" w:hAnsi="仿宋"/>
          <w:sz w:val="32"/>
          <w:szCs w:val="32"/>
        </w:rPr>
      </w:pPr>
      <w:r>
        <w:rPr>
          <w:rFonts w:hint="eastAsia" w:ascii="仿宋_GB2312" w:hAnsi="仿宋"/>
          <w:sz w:val="32"/>
          <w:szCs w:val="32"/>
        </w:rPr>
        <w:t>该二级指标共包含五个三级指标，主要评价项目管理制度健全性、制度执行有效性、政策宣传、公开公示及过程监管情况。</w:t>
      </w:r>
    </w:p>
    <w:p>
      <w:pPr>
        <w:spacing w:line="580" w:lineRule="exact"/>
        <w:ind w:firstLine="640" w:firstLineChars="200"/>
        <w:rPr>
          <w:rFonts w:ascii="仿宋_GB2312" w:hAnsi="仿宋"/>
          <w:sz w:val="32"/>
          <w:szCs w:val="32"/>
        </w:rPr>
      </w:pPr>
      <w:r>
        <w:rPr>
          <w:rFonts w:hint="eastAsia" w:ascii="仿宋_GB2312" w:hAnsi="仿宋"/>
          <w:sz w:val="32"/>
          <w:szCs w:val="32"/>
        </w:rPr>
        <w:t>（1）管理制度健全性（4分）</w:t>
      </w:r>
    </w:p>
    <w:p>
      <w:pPr>
        <w:spacing w:line="580" w:lineRule="exact"/>
        <w:rPr>
          <w:rFonts w:ascii="仿宋_GB2312" w:hAnsi="仿宋"/>
          <w:sz w:val="32"/>
          <w:szCs w:val="32"/>
        </w:rPr>
      </w:pPr>
      <w:r>
        <w:rPr>
          <w:rFonts w:hint="eastAsia" w:ascii="仿宋_GB2312" w:hAnsi="仿宋"/>
          <w:sz w:val="32"/>
          <w:szCs w:val="32"/>
        </w:rPr>
        <w:t xml:space="preserve">    该指标主要评价项目实施单位的财务和业务管理制度是否健全、完整，用以反映和考核财务和业务管理制度对项目顺利实施的保障情况。</w:t>
      </w:r>
    </w:p>
    <w:p>
      <w:pPr>
        <w:spacing w:line="580" w:lineRule="exact"/>
        <w:ind w:firstLine="640" w:firstLineChars="200"/>
        <w:rPr>
          <w:rFonts w:ascii="仿宋_GB2312" w:hAnsi="仿宋"/>
          <w:sz w:val="32"/>
          <w:szCs w:val="32"/>
        </w:rPr>
      </w:pPr>
      <w:r>
        <w:rPr>
          <w:rFonts w:hint="eastAsia" w:ascii="仿宋_GB2312" w:hAnsi="仿宋"/>
          <w:sz w:val="32"/>
          <w:szCs w:val="32"/>
        </w:rPr>
        <w:t>经检查，</w:t>
      </w:r>
      <w:r>
        <w:rPr>
          <w:rFonts w:hint="eastAsia" w:ascii="仿宋_GB2312" w:hAnsi="仿宋"/>
          <w:sz w:val="32"/>
          <w:szCs w:val="32"/>
          <w:lang w:eastAsia="zh-CN"/>
        </w:rPr>
        <w:t>区人社局</w:t>
      </w:r>
      <w:r>
        <w:rPr>
          <w:rFonts w:hint="eastAsia" w:ascii="仿宋_GB2312" w:hAnsi="仿宋"/>
          <w:sz w:val="32"/>
          <w:szCs w:val="32"/>
        </w:rPr>
        <w:t>制定了《财务管理制度》及《业务制度》，</w:t>
      </w:r>
      <w:r>
        <w:rPr>
          <w:rFonts w:hint="eastAsia" w:ascii="仿宋_GB2312" w:hAnsi="仿宋"/>
          <w:sz w:val="32"/>
          <w:szCs w:val="32"/>
          <w:lang w:eastAsia="zh-CN"/>
        </w:rPr>
        <w:t>相关</w:t>
      </w:r>
      <w:r>
        <w:rPr>
          <w:rFonts w:hint="eastAsia" w:ascii="仿宋_GB2312" w:hAnsi="仿宋"/>
          <w:sz w:val="32"/>
          <w:szCs w:val="32"/>
        </w:rPr>
        <w:t>制度较健全，基本能够保障项目的顺利实施。</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该指标实际得分4分。</w:t>
      </w:r>
    </w:p>
    <w:p>
      <w:pPr>
        <w:spacing w:line="580" w:lineRule="exact"/>
        <w:ind w:left="600" w:leftChars="200"/>
        <w:rPr>
          <w:rFonts w:ascii="仿宋_GB2312" w:hAnsi="仿宋"/>
          <w:sz w:val="32"/>
          <w:szCs w:val="32"/>
        </w:rPr>
      </w:pPr>
      <w:r>
        <w:rPr>
          <w:rFonts w:hint="eastAsia" w:ascii="仿宋_GB2312" w:hAnsi="仿宋"/>
          <w:sz w:val="32"/>
          <w:szCs w:val="32"/>
        </w:rPr>
        <w:t>（2）制度执行有效性（5分）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该指标主要评价项目实施是否符合相关管理规定，用以反映和考核相关管理制度的有效执行情况。</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经检查，该项目制度执行基本有效，支出手续较完备，补助资金申请等资料符合《河北省就业创业资金管理办法》的</w:t>
      </w:r>
      <w:r>
        <w:rPr>
          <w:rFonts w:hint="eastAsia" w:ascii="仿宋_GB2312" w:hAnsi="仿宋"/>
          <w:sz w:val="32"/>
          <w:szCs w:val="32"/>
          <w:lang w:eastAsia="zh-CN"/>
        </w:rPr>
        <w:t>相关</w:t>
      </w:r>
      <w:r>
        <w:rPr>
          <w:rFonts w:hint="eastAsia" w:ascii="仿宋_GB2312" w:hAnsi="仿宋"/>
          <w:sz w:val="32"/>
          <w:szCs w:val="32"/>
        </w:rPr>
        <w:t>规定且</w:t>
      </w:r>
      <w:r>
        <w:rPr>
          <w:rFonts w:hint="eastAsia" w:ascii="仿宋_GB2312" w:hAnsi="仿宋"/>
          <w:sz w:val="32"/>
          <w:szCs w:val="32"/>
          <w:lang w:eastAsia="zh-CN"/>
        </w:rPr>
        <w:t>档案</w:t>
      </w:r>
      <w:r>
        <w:rPr>
          <w:rFonts w:hint="eastAsia" w:ascii="仿宋_GB2312" w:hAnsi="仿宋"/>
          <w:sz w:val="32"/>
          <w:szCs w:val="32"/>
        </w:rPr>
        <w:t>资料较齐全。</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该指标实际得5分。</w:t>
      </w:r>
    </w:p>
    <w:p>
      <w:pPr>
        <w:spacing w:line="580" w:lineRule="exact"/>
        <w:ind w:firstLine="640" w:firstLineChars="200"/>
        <w:rPr>
          <w:rFonts w:ascii="仿宋_GB2312" w:hAnsi="仿宋"/>
          <w:sz w:val="32"/>
          <w:szCs w:val="32"/>
        </w:rPr>
      </w:pPr>
      <w:r>
        <w:rPr>
          <w:rFonts w:hint="eastAsia" w:ascii="仿宋_GB2312" w:hAnsi="仿宋"/>
          <w:sz w:val="32"/>
          <w:szCs w:val="32"/>
        </w:rPr>
        <w:t>（3）公示公开（2分）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该指标主要评价项目单位是否按规定对相关信息进行公开公示，用以反映和考核接受公众监督情况。</w:t>
      </w:r>
    </w:p>
    <w:p>
      <w:pPr>
        <w:spacing w:line="580" w:lineRule="exact"/>
        <w:ind w:firstLine="640" w:firstLineChars="200"/>
        <w:rPr>
          <w:rFonts w:ascii="仿宋_GB2312" w:hAnsi="仿宋"/>
          <w:sz w:val="32"/>
          <w:szCs w:val="32"/>
        </w:rPr>
      </w:pPr>
      <w:r>
        <w:rPr>
          <w:rFonts w:hint="eastAsia" w:ascii="仿宋_GB2312" w:hAnsi="仿宋"/>
          <w:sz w:val="32"/>
          <w:szCs w:val="32"/>
        </w:rPr>
        <w:t>经检查，区人社局在“徐水区人民政府网”对补贴</w:t>
      </w:r>
      <w:r>
        <w:rPr>
          <w:rFonts w:hint="eastAsia" w:ascii="仿宋_GB2312" w:hAnsi="仿宋"/>
          <w:sz w:val="32"/>
          <w:szCs w:val="32"/>
          <w:lang w:eastAsia="zh-CN"/>
        </w:rPr>
        <w:t>信息</w:t>
      </w:r>
      <w:r>
        <w:rPr>
          <w:rFonts w:hint="eastAsia" w:ascii="仿宋_GB2312" w:hAnsi="仿宋"/>
          <w:sz w:val="32"/>
          <w:szCs w:val="32"/>
        </w:rPr>
        <w:t>进行公开公示，公开公示</w:t>
      </w:r>
      <w:r>
        <w:rPr>
          <w:rFonts w:hint="eastAsia" w:ascii="仿宋_GB2312" w:hAnsi="仿宋"/>
          <w:sz w:val="32"/>
          <w:szCs w:val="32"/>
          <w:lang w:eastAsia="zh-CN"/>
        </w:rPr>
        <w:t>信息</w:t>
      </w:r>
      <w:r>
        <w:rPr>
          <w:rFonts w:hint="eastAsia" w:ascii="仿宋_GB2312" w:hAnsi="仿宋"/>
          <w:sz w:val="32"/>
          <w:szCs w:val="32"/>
        </w:rPr>
        <w:t>基本</w:t>
      </w:r>
      <w:r>
        <w:rPr>
          <w:rFonts w:hint="eastAsia" w:ascii="仿宋_GB2312" w:hAnsi="仿宋"/>
          <w:sz w:val="32"/>
          <w:szCs w:val="32"/>
          <w:lang w:eastAsia="zh-CN"/>
        </w:rPr>
        <w:t>符合</w:t>
      </w:r>
      <w:r>
        <w:rPr>
          <w:rFonts w:hint="eastAsia" w:ascii="仿宋_GB2312" w:hAnsi="仿宋"/>
          <w:sz w:val="32"/>
          <w:szCs w:val="32"/>
        </w:rPr>
        <w:t>要求，但个别类别的补贴</w:t>
      </w:r>
      <w:r>
        <w:rPr>
          <w:rFonts w:hint="eastAsia" w:ascii="仿宋_GB2312" w:hAnsi="仿宋"/>
          <w:sz w:val="32"/>
          <w:szCs w:val="32"/>
          <w:lang w:eastAsia="zh-CN"/>
        </w:rPr>
        <w:t>公开</w:t>
      </w:r>
      <w:r>
        <w:rPr>
          <w:rFonts w:hint="eastAsia" w:ascii="仿宋_GB2312" w:hAnsi="仿宋"/>
          <w:sz w:val="32"/>
          <w:szCs w:val="32"/>
        </w:rPr>
        <w:t>公示</w:t>
      </w:r>
      <w:r>
        <w:rPr>
          <w:rFonts w:hint="eastAsia" w:ascii="仿宋_GB2312" w:hAnsi="仿宋"/>
          <w:sz w:val="32"/>
          <w:szCs w:val="32"/>
          <w:lang w:eastAsia="zh-CN"/>
        </w:rPr>
        <w:t>信息</w:t>
      </w:r>
      <w:r>
        <w:rPr>
          <w:rFonts w:hint="eastAsia" w:ascii="仿宋_GB2312" w:hAnsi="仿宋"/>
          <w:sz w:val="32"/>
          <w:szCs w:val="32"/>
        </w:rPr>
        <w:t xml:space="preserve">不完整，具体为：公益性岗位补贴按月发放，但2019年仅在12月4日进行了一次公示，不符合《河北省就业创业资金管理实施办法》 </w:t>
      </w:r>
      <w:r>
        <w:rPr>
          <w:rFonts w:hint="eastAsia" w:ascii="仿宋_GB2312" w:hAnsi="仿宋"/>
          <w:sz w:val="32"/>
          <w:szCs w:val="32"/>
          <w:lang w:eastAsia="zh-CN"/>
        </w:rPr>
        <w:t>第二十九条</w:t>
      </w:r>
      <w:r>
        <w:rPr>
          <w:rFonts w:hint="eastAsia" w:ascii="仿宋_GB2312" w:hAnsi="仿宋"/>
          <w:sz w:val="32"/>
          <w:szCs w:val="32"/>
        </w:rPr>
        <w:t>“市县人社部门要认真执行按月、按季和每半年</w:t>
      </w:r>
      <w:r>
        <w:rPr>
          <w:rFonts w:hint="eastAsia" w:ascii="仿宋_GB2312" w:hAnsi="仿宋"/>
          <w:sz w:val="32"/>
          <w:szCs w:val="32"/>
          <w:lang w:eastAsia="zh-CN"/>
        </w:rPr>
        <w:t>受理</w:t>
      </w:r>
      <w:r>
        <w:rPr>
          <w:rFonts w:hint="eastAsia" w:ascii="仿宋_GB2312" w:hAnsi="仿宋"/>
          <w:sz w:val="32"/>
          <w:szCs w:val="32"/>
        </w:rPr>
        <w:t>补贴申请的规定</w:t>
      </w:r>
      <w:r>
        <w:rPr>
          <w:rFonts w:ascii="仿宋_GB2312" w:hAnsi="仿宋"/>
          <w:sz w:val="32"/>
          <w:szCs w:val="32"/>
        </w:rPr>
        <w:t>……</w:t>
      </w:r>
      <w:r>
        <w:rPr>
          <w:rFonts w:hint="eastAsia" w:ascii="仿宋_GB2312" w:hAnsi="仿宋"/>
          <w:sz w:val="32"/>
          <w:szCs w:val="32"/>
        </w:rPr>
        <w:t>申请资料审核完成后要在当地人民政府或人力资源社会保障网站上公示</w:t>
      </w:r>
      <w:r>
        <w:rPr>
          <w:rFonts w:ascii="仿宋_GB2312" w:hAnsi="仿宋"/>
          <w:sz w:val="32"/>
          <w:szCs w:val="32"/>
        </w:rPr>
        <w:t>……</w:t>
      </w:r>
      <w:r>
        <w:rPr>
          <w:rFonts w:hint="eastAsia" w:ascii="仿宋_GB2312" w:hAnsi="仿宋"/>
          <w:sz w:val="32"/>
          <w:szCs w:val="32"/>
        </w:rPr>
        <w:t>” 的规定，公益性岗位补贴公开公示不完整。酌情扣1分。</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该指标实际得分1分。</w:t>
      </w:r>
    </w:p>
    <w:p>
      <w:pPr>
        <w:spacing w:line="580" w:lineRule="exact"/>
        <w:ind w:firstLine="640" w:firstLineChars="200"/>
        <w:rPr>
          <w:rFonts w:ascii="仿宋_GB2312" w:hAnsi="仿宋"/>
          <w:sz w:val="32"/>
          <w:szCs w:val="32"/>
        </w:rPr>
      </w:pPr>
      <w:r>
        <w:rPr>
          <w:rFonts w:hint="eastAsia" w:ascii="仿宋_GB2312" w:hAnsi="仿宋"/>
          <w:sz w:val="32"/>
          <w:szCs w:val="32"/>
        </w:rPr>
        <w:t>（4）政策宣传（2分）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该指标主要评价项目单位对相关政策的宣传，用以反映和考核人社部门对政策的宣传情况。</w:t>
      </w:r>
    </w:p>
    <w:p>
      <w:pPr>
        <w:spacing w:line="580" w:lineRule="exact"/>
        <w:ind w:firstLine="640" w:firstLineChars="200"/>
        <w:rPr>
          <w:rFonts w:ascii="仿宋_GB2312" w:hAnsi="仿宋"/>
          <w:sz w:val="32"/>
          <w:szCs w:val="32"/>
        </w:rPr>
      </w:pPr>
      <w:r>
        <w:rPr>
          <w:rFonts w:hint="eastAsia" w:ascii="仿宋_GB2312" w:hAnsi="仿宋"/>
          <w:sz w:val="32"/>
          <w:szCs w:val="32"/>
        </w:rPr>
        <w:t>经检查，区人社局开立了“徐水人社”公众号，不定期在公众号上发布相关政策及职位招聘等相关信息，除此之外，区人社局还不定期举行“促进创新创业”的现场宣传活动，且通过问卷调查，大多数群众是通过当地相关部门的宣传得知该政策的，政策宣传比较到位。</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该指标实际得分2分。</w:t>
      </w:r>
    </w:p>
    <w:p>
      <w:pPr>
        <w:spacing w:line="580" w:lineRule="exact"/>
        <w:ind w:firstLine="640" w:firstLineChars="200"/>
        <w:rPr>
          <w:rFonts w:ascii="仿宋_GB2312" w:hAnsi="仿宋"/>
          <w:sz w:val="32"/>
          <w:szCs w:val="32"/>
        </w:rPr>
      </w:pPr>
      <w:r>
        <w:rPr>
          <w:rFonts w:hint="eastAsia" w:ascii="仿宋_GB2312" w:hAnsi="仿宋"/>
          <w:sz w:val="32"/>
          <w:szCs w:val="32"/>
        </w:rPr>
        <w:t>（5）过程监督（2分）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该指标主要评价项目单位是否完善监督、日常巡查机制，用以反应和考核人社部门对项目的过程监管情况。</w:t>
      </w:r>
    </w:p>
    <w:p>
      <w:pPr>
        <w:spacing w:line="580" w:lineRule="exact"/>
        <w:ind w:firstLine="640" w:firstLineChars="200"/>
        <w:rPr>
          <w:rFonts w:ascii="仿宋_GB2312" w:hAnsi="仿宋"/>
          <w:sz w:val="32"/>
          <w:szCs w:val="32"/>
        </w:rPr>
      </w:pPr>
      <w:r>
        <w:rPr>
          <w:rFonts w:hint="eastAsia" w:ascii="仿宋_GB2312" w:hAnsi="仿宋"/>
          <w:sz w:val="32"/>
          <w:szCs w:val="32"/>
        </w:rPr>
        <w:t>经检查，区人社局不定期对培训机构等享受补贴人群进行监管，并填写“培训监管情况表”，监督机制较完善。</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该指标实际得分2分。</w:t>
      </w:r>
    </w:p>
    <w:p>
      <w:pPr>
        <w:pStyle w:val="3"/>
        <w:spacing w:before="0" w:after="0" w:line="580" w:lineRule="exact"/>
        <w:ind w:firstLine="643" w:firstLineChars="200"/>
        <w:rPr>
          <w:rFonts w:ascii="楷体_GB2312" w:hAnsi="Times New Roman" w:eastAsia="楷体_GB2312"/>
        </w:rPr>
      </w:pPr>
      <w:bookmarkStart w:id="58" w:name="_Toc38447894"/>
      <w:bookmarkStart w:id="59" w:name="_Toc9161"/>
      <w:bookmarkStart w:id="60" w:name="_Toc38452638"/>
      <w:bookmarkStart w:id="61" w:name="_Toc41137192"/>
      <w:r>
        <w:rPr>
          <w:rFonts w:hint="eastAsia" w:ascii="楷体_GB2312" w:hAnsi="Times New Roman" w:eastAsia="楷体_GB2312"/>
        </w:rPr>
        <w:t>（三）产出（28分）</w:t>
      </w:r>
      <w:bookmarkEnd w:id="58"/>
      <w:bookmarkEnd w:id="59"/>
      <w:bookmarkEnd w:id="60"/>
      <w:bookmarkEnd w:id="61"/>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该一级指标主要反映项目的产出数量、产出质量、产出时效、产出成本。该一级指标分值28分，实际得分25.04分。</w:t>
      </w:r>
    </w:p>
    <w:tbl>
      <w:tblPr>
        <w:tblStyle w:val="20"/>
        <w:tblW w:w="45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98"/>
        <w:gridCol w:w="2128"/>
        <w:gridCol w:w="2269"/>
        <w:gridCol w:w="1236"/>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restar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w:t>
            </w:r>
            <w:r>
              <w:rPr>
                <w:rFonts w:hint="default" w:ascii="Times New Roman" w:hAnsi="Times New Roman" w:eastAsia="宋体" w:cs="Times New Roman"/>
                <w:color w:val="000000"/>
                <w:kern w:val="0"/>
                <w:sz w:val="21"/>
                <w:szCs w:val="21"/>
                <w:lang w:val="en-US" w:eastAsia="zh-CN"/>
              </w:rPr>
              <w:t>28</w:t>
            </w:r>
            <w:r>
              <w:rPr>
                <w:rFonts w:hint="default" w:ascii="Times New Roman" w:hAnsi="Times New Roman" w:eastAsia="宋体" w:cs="Times New Roman"/>
                <w:color w:val="000000"/>
                <w:kern w:val="0"/>
                <w:sz w:val="21"/>
                <w:szCs w:val="21"/>
              </w:rPr>
              <w:t>分）</w:t>
            </w: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产出数量（7分）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实际补贴完成率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continue"/>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产出质量（7分）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职业技能培训合格率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continue"/>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产出时效（7分）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补贴发放及时性</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02" w:type="pct"/>
            <w:vMerge w:val="continue"/>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281"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产出成本（7分）</w:t>
            </w:r>
          </w:p>
        </w:tc>
        <w:tc>
          <w:tcPr>
            <w:tcW w:w="1365"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补贴发放准确率</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549" w:type="pct"/>
            <w:gridSpan w:val="3"/>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合计</w:t>
            </w:r>
          </w:p>
        </w:tc>
        <w:tc>
          <w:tcPr>
            <w:tcW w:w="744" w:type="pct"/>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28</w:t>
            </w:r>
          </w:p>
        </w:tc>
        <w:tc>
          <w:tcPr>
            <w:tcW w:w="707" w:type="pct"/>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25.04</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产出数量（7分）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该二级指标包含实际</w:t>
      </w:r>
      <w:r>
        <w:rPr>
          <w:rFonts w:hint="eastAsia" w:ascii="仿宋_GB2312" w:hAnsi="仿宋"/>
          <w:sz w:val="32"/>
          <w:szCs w:val="32"/>
          <w:lang w:val="en-US" w:eastAsia="zh-CN"/>
        </w:rPr>
        <w:t>补贴</w:t>
      </w:r>
      <w:r>
        <w:rPr>
          <w:rFonts w:hint="eastAsia" w:ascii="仿宋_GB2312" w:hAnsi="仿宋"/>
          <w:sz w:val="32"/>
          <w:szCs w:val="32"/>
        </w:rPr>
        <w:t>完成率一个三级指标，主要评价项目实施的实际补贴人数与应补贴人数的比率，用以反映和考核项目产出数量目标的实现程度。</w:t>
      </w:r>
    </w:p>
    <w:p>
      <w:pPr>
        <w:spacing w:line="580" w:lineRule="exact"/>
        <w:ind w:firstLine="640" w:firstLineChars="200"/>
        <w:rPr>
          <w:rFonts w:ascii="仿宋_GB2312" w:hAnsi="仿宋"/>
          <w:sz w:val="32"/>
          <w:szCs w:val="32"/>
        </w:rPr>
      </w:pPr>
      <w:r>
        <w:rPr>
          <w:rFonts w:hint="eastAsia" w:ascii="仿宋_GB2312" w:hAnsi="仿宋"/>
          <w:sz w:val="32"/>
          <w:szCs w:val="32"/>
        </w:rPr>
        <w:t>经检查，2019年申请人员中符合补贴条件且</w:t>
      </w:r>
      <w:r>
        <w:rPr>
          <w:rFonts w:hint="eastAsia" w:ascii="仿宋_GB2312" w:hAnsi="仿宋"/>
          <w:sz w:val="32"/>
          <w:szCs w:val="32"/>
          <w:lang w:eastAsia="zh-CN"/>
        </w:rPr>
        <w:t>申请资料</w:t>
      </w:r>
      <w:r>
        <w:rPr>
          <w:rFonts w:hint="eastAsia" w:ascii="仿宋_GB2312" w:hAnsi="仿宋"/>
          <w:sz w:val="32"/>
          <w:szCs w:val="32"/>
        </w:rPr>
        <w:t>合规的人数</w:t>
      </w:r>
      <w:r>
        <w:rPr>
          <w:rFonts w:hint="eastAsia" w:ascii="仿宋_GB2312" w:hAnsi="仿宋"/>
          <w:sz w:val="32"/>
          <w:szCs w:val="32"/>
          <w:lang w:eastAsia="zh-CN"/>
        </w:rPr>
        <w:t>共计</w:t>
      </w:r>
      <w:r>
        <w:rPr>
          <w:rFonts w:hint="eastAsia" w:ascii="仿宋_GB2312" w:hAnsi="仿宋"/>
          <w:sz w:val="32"/>
          <w:szCs w:val="32"/>
        </w:rPr>
        <w:t>2154人，2019年实际发放补贴人数</w:t>
      </w:r>
      <w:r>
        <w:rPr>
          <w:rFonts w:hint="eastAsia" w:ascii="仿宋_GB2312" w:hAnsi="仿宋"/>
          <w:sz w:val="32"/>
          <w:szCs w:val="32"/>
          <w:lang w:eastAsia="zh-CN"/>
        </w:rPr>
        <w:t>共计</w:t>
      </w:r>
      <w:r>
        <w:rPr>
          <w:rFonts w:hint="eastAsia" w:ascii="仿宋_GB2312" w:hAnsi="仿宋"/>
          <w:sz w:val="32"/>
          <w:szCs w:val="32"/>
        </w:rPr>
        <w:t>2154人，与应补贴人数一致，实际完成率100%。</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该指标实际得分7分。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产出质量（7分）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该二级指标包含职业技能培训合格率一个三级指标，主要评价职业技能培训合格人数与参加职业技能培训人数的比率，用于反映和考核项目产出质量目标的实现程度。</w:t>
      </w:r>
    </w:p>
    <w:p>
      <w:pPr>
        <w:spacing w:line="580" w:lineRule="exact"/>
        <w:ind w:firstLine="640" w:firstLineChars="200"/>
        <w:rPr>
          <w:rFonts w:ascii="仿宋_GB2312" w:hAnsi="仿宋"/>
          <w:sz w:val="32"/>
          <w:szCs w:val="32"/>
        </w:rPr>
      </w:pPr>
      <w:r>
        <w:rPr>
          <w:rFonts w:hint="eastAsia" w:ascii="仿宋_GB2312" w:hAnsi="仿宋"/>
          <w:sz w:val="32"/>
          <w:szCs w:val="32"/>
        </w:rPr>
        <w:t>经检查，2019年参加职业技能培训的报名人数为1285人，实际培训合格人数为741人，职业技能培训合格率=（741/1285）*100%=57.67%。职业技能培训合格率较低的原因主要包括考勤天数不符合规定、中途退学、</w:t>
      </w:r>
      <w:r>
        <w:rPr>
          <w:rFonts w:hint="eastAsia" w:ascii="仿宋_GB2312" w:hAnsi="仿宋"/>
          <w:sz w:val="32"/>
          <w:szCs w:val="32"/>
          <w:highlight w:val="none"/>
        </w:rPr>
        <w:t>未取得资格证书</w:t>
      </w:r>
      <w:r>
        <w:rPr>
          <w:rFonts w:hint="eastAsia" w:ascii="仿宋_GB2312" w:hAnsi="仿宋"/>
          <w:sz w:val="32"/>
          <w:szCs w:val="32"/>
          <w:highlight w:val="none"/>
          <w:lang w:val="en-US" w:eastAsia="zh-CN"/>
        </w:rPr>
        <w:t>或者合格证</w:t>
      </w:r>
      <w:r>
        <w:rPr>
          <w:rFonts w:hint="eastAsia" w:ascii="仿宋_GB2312" w:hAnsi="仿宋"/>
          <w:sz w:val="32"/>
          <w:szCs w:val="32"/>
          <w:highlight w:val="none"/>
        </w:rPr>
        <w:t>等</w:t>
      </w:r>
      <w:r>
        <w:rPr>
          <w:rFonts w:hint="eastAsia" w:ascii="仿宋_GB2312" w:hAnsi="仿宋"/>
          <w:sz w:val="32"/>
          <w:szCs w:val="32"/>
        </w:rPr>
        <w:t>。</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w:t>
      </w:r>
      <w:r>
        <w:rPr>
          <w:rFonts w:hint="eastAsia" w:ascii="仿宋_GB2312" w:hAnsi="仿宋"/>
          <w:sz w:val="32"/>
          <w:szCs w:val="32"/>
          <w:lang w:val="en-US" w:eastAsia="zh-CN"/>
        </w:rPr>
        <w:t>=57.67%*7=</w:t>
      </w:r>
      <w:r>
        <w:rPr>
          <w:rFonts w:hint="eastAsia" w:ascii="仿宋_GB2312" w:hAnsi="仿宋"/>
          <w:sz w:val="32"/>
          <w:szCs w:val="32"/>
        </w:rPr>
        <w:t>4.04分。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3</w:t>
      </w:r>
      <w:r>
        <w:rPr>
          <w:rFonts w:hint="eastAsia" w:ascii="仿宋_GB2312" w:hAnsi="仿宋"/>
          <w:b/>
          <w:bCs/>
          <w:sz w:val="32"/>
          <w:szCs w:val="32"/>
          <w:lang w:eastAsia="zh-CN"/>
        </w:rPr>
        <w:t>．</w:t>
      </w:r>
      <w:r>
        <w:rPr>
          <w:rFonts w:hint="eastAsia" w:ascii="仿宋_GB2312" w:hAnsi="仿宋"/>
          <w:b/>
          <w:bCs/>
          <w:sz w:val="32"/>
          <w:szCs w:val="32"/>
        </w:rPr>
        <w:t>产出时效（7分）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该二级指标包含补贴发放及时性一个三级指标，主要评价项目资金发放是否及时，用以反映和考核项目产出时效目标的实现程度。</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经检查，该项目涉及的七类补贴，均按资金管理办法规定的流程（包括申请人提交资料</w:t>
      </w:r>
      <w:r>
        <w:rPr>
          <w:rFonts w:hint="eastAsia" w:ascii="仿宋_GB2312" w:hAnsi="仿宋"/>
          <w:sz w:val="32"/>
          <w:szCs w:val="32"/>
          <w:lang w:eastAsia="zh-CN"/>
        </w:rPr>
        <w:t>、</w:t>
      </w:r>
      <w:r>
        <w:rPr>
          <w:rFonts w:hint="eastAsia" w:ascii="仿宋_GB2312" w:hAnsi="仿宋"/>
          <w:sz w:val="32"/>
          <w:szCs w:val="32"/>
        </w:rPr>
        <w:t>审核资料</w:t>
      </w:r>
      <w:r>
        <w:rPr>
          <w:rFonts w:hint="eastAsia" w:ascii="仿宋_GB2312" w:hAnsi="仿宋"/>
          <w:sz w:val="32"/>
          <w:szCs w:val="32"/>
          <w:lang w:eastAsia="zh-CN"/>
        </w:rPr>
        <w:t>、</w:t>
      </w:r>
      <w:r>
        <w:rPr>
          <w:rFonts w:hint="eastAsia" w:ascii="仿宋_GB2312" w:hAnsi="仿宋"/>
          <w:sz w:val="32"/>
          <w:szCs w:val="32"/>
        </w:rPr>
        <w:t>公开公示</w:t>
      </w:r>
      <w:r>
        <w:rPr>
          <w:rFonts w:hint="eastAsia" w:ascii="仿宋_GB2312" w:hAnsi="仿宋"/>
          <w:sz w:val="32"/>
          <w:szCs w:val="32"/>
          <w:lang w:eastAsia="zh-CN"/>
        </w:rPr>
        <w:t>、</w:t>
      </w:r>
      <w:r>
        <w:rPr>
          <w:rFonts w:hint="eastAsia" w:ascii="仿宋_GB2312" w:hAnsi="仿宋"/>
          <w:sz w:val="32"/>
          <w:szCs w:val="32"/>
        </w:rPr>
        <w:t>发放补贴）</w:t>
      </w:r>
      <w:r>
        <w:rPr>
          <w:rFonts w:hint="eastAsia" w:ascii="仿宋_GB2312" w:hAnsi="仿宋"/>
          <w:sz w:val="32"/>
          <w:szCs w:val="32"/>
          <w:lang w:eastAsia="zh-CN"/>
        </w:rPr>
        <w:t>及时间</w:t>
      </w:r>
      <w:r>
        <w:rPr>
          <w:rFonts w:hint="eastAsia" w:ascii="仿宋_GB2312" w:hAnsi="仿宋"/>
          <w:sz w:val="32"/>
          <w:szCs w:val="32"/>
        </w:rPr>
        <w:t>进行</w:t>
      </w:r>
      <w:r>
        <w:rPr>
          <w:rFonts w:hint="eastAsia" w:ascii="仿宋_GB2312" w:hAnsi="仿宋"/>
          <w:sz w:val="32"/>
          <w:szCs w:val="32"/>
          <w:lang w:eastAsia="zh-CN"/>
        </w:rPr>
        <w:t>发放</w:t>
      </w:r>
      <w:r>
        <w:rPr>
          <w:rFonts w:hint="eastAsia" w:ascii="仿宋_GB2312" w:hAnsi="仿宋"/>
          <w:sz w:val="32"/>
          <w:szCs w:val="32"/>
        </w:rPr>
        <w:t>，补贴发放及时。</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该指标实际得分7分。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4</w:t>
      </w:r>
      <w:r>
        <w:rPr>
          <w:rFonts w:hint="eastAsia" w:ascii="仿宋_GB2312" w:hAnsi="仿宋"/>
          <w:b/>
          <w:bCs/>
          <w:sz w:val="32"/>
          <w:szCs w:val="32"/>
          <w:lang w:eastAsia="zh-CN"/>
        </w:rPr>
        <w:t>．</w:t>
      </w:r>
      <w:r>
        <w:rPr>
          <w:rFonts w:hint="eastAsia" w:ascii="仿宋_GB2312" w:hAnsi="仿宋"/>
          <w:b/>
          <w:bCs/>
          <w:sz w:val="32"/>
          <w:szCs w:val="32"/>
        </w:rPr>
        <w:t>产出成本（7分）</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该二级指标包含补贴发放准确率一个三级指标，主要评价应补贴金额与实际补贴金额的一致性，用以反映和考核补贴发放的准确程度。</w:t>
      </w:r>
    </w:p>
    <w:p>
      <w:pPr>
        <w:spacing w:line="580" w:lineRule="exact"/>
        <w:ind w:firstLine="640" w:firstLineChars="200"/>
        <w:rPr>
          <w:rFonts w:ascii="仿宋_GB2312" w:hAnsi="仿宋"/>
          <w:sz w:val="32"/>
          <w:szCs w:val="32"/>
        </w:rPr>
      </w:pPr>
      <w:r>
        <w:rPr>
          <w:rFonts w:hint="eastAsia" w:ascii="仿宋_GB2312" w:hAnsi="仿宋"/>
          <w:sz w:val="32"/>
          <w:szCs w:val="32"/>
        </w:rPr>
        <w:t>经检查，该项目2019年各补贴类别按补贴标准计算的应补贴金额为566.06万元，2019年实际补贴金额566.06万元，补贴发放准确率为100%。</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该指标实际得分7分。</w:t>
      </w:r>
    </w:p>
    <w:bookmarkEnd w:id="34"/>
    <w:bookmarkEnd w:id="35"/>
    <w:bookmarkEnd w:id="36"/>
    <w:bookmarkEnd w:id="37"/>
    <w:p>
      <w:pPr>
        <w:pStyle w:val="3"/>
        <w:spacing w:before="0" w:after="0" w:line="580" w:lineRule="exact"/>
        <w:ind w:firstLine="643" w:firstLineChars="200"/>
        <w:rPr>
          <w:rFonts w:ascii="楷体_GB2312" w:hAnsi="Times New Roman" w:eastAsia="楷体_GB2312"/>
        </w:rPr>
      </w:pPr>
      <w:bookmarkStart w:id="62" w:name="_Toc38447895"/>
      <w:bookmarkStart w:id="63" w:name="_Toc25439"/>
      <w:bookmarkStart w:id="64" w:name="_Toc41137193"/>
      <w:bookmarkStart w:id="65" w:name="_Toc38452639"/>
      <w:bookmarkStart w:id="66" w:name="_Toc8381_WPSOffice_Level1"/>
      <w:bookmarkStart w:id="67" w:name="_Toc3770_WPSOffice_Level1"/>
      <w:bookmarkStart w:id="68" w:name="_Toc29686_WPSOffice_Level1"/>
      <w:bookmarkStart w:id="69" w:name="_Toc10725_WPSOffice_Level1"/>
      <w:bookmarkStart w:id="70" w:name="_Toc10979_WPSOffice_Level1"/>
      <w:r>
        <w:rPr>
          <w:rFonts w:hint="eastAsia" w:ascii="楷体_GB2312" w:hAnsi="Times New Roman" w:eastAsia="楷体_GB2312"/>
        </w:rPr>
        <w:t>（四）效益（32分）</w:t>
      </w:r>
      <w:bookmarkEnd w:id="62"/>
      <w:bookmarkEnd w:id="63"/>
      <w:bookmarkEnd w:id="64"/>
      <w:bookmarkEnd w:id="65"/>
    </w:p>
    <w:p>
      <w:pPr>
        <w:spacing w:line="580" w:lineRule="exact"/>
        <w:ind w:firstLine="640" w:firstLineChars="200"/>
        <w:rPr>
          <w:rFonts w:ascii="仿宋_GB2312" w:hAnsi="仿宋"/>
          <w:sz w:val="32"/>
          <w:szCs w:val="32"/>
        </w:rPr>
      </w:pPr>
      <w:r>
        <w:rPr>
          <w:rFonts w:hint="eastAsia" w:ascii="仿宋_GB2312" w:hAnsi="仿宋"/>
          <w:sz w:val="32"/>
          <w:szCs w:val="32"/>
        </w:rPr>
        <w:t>该一级指标主要反映项目效益和满意度。该一级指标分值32分，实际得分29.20分。</w:t>
      </w:r>
    </w:p>
    <w:tbl>
      <w:tblPr>
        <w:tblStyle w:val="20"/>
        <w:tblW w:w="4574" w:type="pct"/>
        <w:jc w:val="center"/>
        <w:tblLayout w:type="autofit"/>
        <w:tblCellMar>
          <w:top w:w="0" w:type="dxa"/>
          <w:left w:w="0" w:type="dxa"/>
          <w:bottom w:w="0" w:type="dxa"/>
          <w:right w:w="0" w:type="dxa"/>
        </w:tblCellMar>
      </w:tblPr>
      <w:tblGrid>
        <w:gridCol w:w="1241"/>
        <w:gridCol w:w="1842"/>
        <w:gridCol w:w="2551"/>
        <w:gridCol w:w="1365"/>
        <w:gridCol w:w="1327"/>
      </w:tblGrid>
      <w:tr>
        <w:tblPrEx>
          <w:tblCellMar>
            <w:top w:w="0" w:type="dxa"/>
            <w:left w:w="0" w:type="dxa"/>
            <w:bottom w:w="0" w:type="dxa"/>
            <w:right w:w="0" w:type="dxa"/>
          </w:tblCellMar>
        </w:tblPrEx>
        <w:trPr>
          <w:trHeight w:val="454" w:hRule="atLeast"/>
          <w:jc w:val="center"/>
        </w:trPr>
        <w:tc>
          <w:tcPr>
            <w:tcW w:w="7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一级指标</w:t>
            </w:r>
          </w:p>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二级指标</w:t>
            </w: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三级指标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分数权重</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color w:val="000000"/>
                <w:sz w:val="21"/>
                <w:szCs w:val="21"/>
              </w:rPr>
            </w:pPr>
            <w:r>
              <w:rPr>
                <w:rFonts w:hint="default" w:ascii="Times New Roman" w:hAnsi="Times New Roman" w:eastAsia="宋体" w:cs="Times New Roman"/>
                <w:b/>
                <w:color w:val="000000"/>
                <w:kern w:val="0"/>
                <w:sz w:val="21"/>
                <w:szCs w:val="21"/>
              </w:rPr>
              <w:t>得分</w:t>
            </w:r>
          </w:p>
        </w:tc>
      </w:tr>
      <w:tr>
        <w:tblPrEx>
          <w:tblCellMar>
            <w:top w:w="0" w:type="dxa"/>
            <w:left w:w="0" w:type="dxa"/>
            <w:bottom w:w="0" w:type="dxa"/>
            <w:right w:w="0" w:type="dxa"/>
          </w:tblCellMar>
        </w:tblPrEx>
        <w:trPr>
          <w:trHeight w:val="454" w:hRule="atLeast"/>
          <w:jc w:val="center"/>
        </w:trPr>
        <w:tc>
          <w:tcPr>
            <w:tcW w:w="74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效益（32分）</w:t>
            </w:r>
          </w:p>
        </w:tc>
        <w:tc>
          <w:tcPr>
            <w:tcW w:w="110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项目效益（24分）</w:t>
            </w: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新增就业人数增长率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r>
      <w:tr>
        <w:tblPrEx>
          <w:tblCellMar>
            <w:top w:w="0" w:type="dxa"/>
            <w:left w:w="0" w:type="dxa"/>
            <w:bottom w:w="0" w:type="dxa"/>
            <w:right w:w="0" w:type="dxa"/>
          </w:tblCellMar>
        </w:tblPrEx>
        <w:trPr>
          <w:trHeight w:val="454" w:hRule="atLeast"/>
          <w:jc w:val="center"/>
        </w:trPr>
        <w:tc>
          <w:tcPr>
            <w:tcW w:w="745" w:type="pct"/>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就业困难人员再就业增长率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8</w:t>
            </w:r>
          </w:p>
        </w:tc>
      </w:tr>
      <w:tr>
        <w:tblPrEx>
          <w:tblCellMar>
            <w:top w:w="0" w:type="dxa"/>
            <w:left w:w="0" w:type="dxa"/>
            <w:bottom w:w="0" w:type="dxa"/>
            <w:right w:w="0" w:type="dxa"/>
          </w:tblCellMar>
        </w:tblPrEx>
        <w:trPr>
          <w:trHeight w:val="454" w:hRule="atLeast"/>
          <w:jc w:val="center"/>
        </w:trPr>
        <w:tc>
          <w:tcPr>
            <w:tcW w:w="745" w:type="pct"/>
            <w:vMerge w:val="continue"/>
            <w:tcBorders>
              <w:left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10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年末失业率下降率</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rPr>
              <w:t>7</w:t>
            </w:r>
          </w:p>
        </w:tc>
      </w:tr>
      <w:tr>
        <w:tblPrEx>
          <w:tblCellMar>
            <w:top w:w="0" w:type="dxa"/>
            <w:left w:w="0" w:type="dxa"/>
            <w:bottom w:w="0" w:type="dxa"/>
            <w:right w:w="0" w:type="dxa"/>
          </w:tblCellMar>
        </w:tblPrEx>
        <w:trPr>
          <w:trHeight w:val="454" w:hRule="atLeast"/>
          <w:jc w:val="center"/>
        </w:trPr>
        <w:tc>
          <w:tcPr>
            <w:tcW w:w="74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p>
        </w:tc>
        <w:tc>
          <w:tcPr>
            <w:tcW w:w="11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满意度（8分）</w:t>
            </w:r>
          </w:p>
        </w:tc>
        <w:tc>
          <w:tcPr>
            <w:tcW w:w="1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满意度</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8</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6.20</w:t>
            </w:r>
          </w:p>
        </w:tc>
      </w:tr>
      <w:tr>
        <w:tblPrEx>
          <w:tblCellMar>
            <w:top w:w="0" w:type="dxa"/>
            <w:left w:w="0" w:type="dxa"/>
            <w:bottom w:w="0" w:type="dxa"/>
            <w:right w:w="0" w:type="dxa"/>
          </w:tblCellMar>
        </w:tblPrEx>
        <w:trPr>
          <w:trHeight w:val="454" w:hRule="atLeast"/>
          <w:jc w:val="center"/>
        </w:trPr>
        <w:tc>
          <w:tcPr>
            <w:tcW w:w="3383"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合计</w:t>
            </w:r>
          </w:p>
        </w:tc>
        <w:tc>
          <w:tcPr>
            <w:tcW w:w="82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32</w:t>
            </w:r>
          </w:p>
        </w:tc>
        <w:tc>
          <w:tcPr>
            <w:tcW w:w="7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29.20</w:t>
            </w:r>
          </w:p>
        </w:tc>
      </w:tr>
    </w:tbl>
    <w:p>
      <w:pPr>
        <w:spacing w:line="580" w:lineRule="exact"/>
        <w:ind w:firstLine="643" w:firstLineChars="200"/>
        <w:rPr>
          <w:rFonts w:ascii="仿宋_GB2312" w:hAnsi="仿宋"/>
          <w:b/>
          <w:bCs/>
          <w:sz w:val="32"/>
          <w:szCs w:val="32"/>
        </w:rPr>
      </w:pPr>
      <w:r>
        <w:rPr>
          <w:rFonts w:hint="eastAsia" w:ascii="仿宋_GB2312" w:hAnsi="仿宋"/>
          <w:b/>
          <w:bCs/>
          <w:sz w:val="32"/>
          <w:szCs w:val="32"/>
        </w:rPr>
        <w:t>1</w:t>
      </w:r>
      <w:r>
        <w:rPr>
          <w:rFonts w:hint="eastAsia" w:ascii="仿宋_GB2312" w:hAnsi="仿宋"/>
          <w:b/>
          <w:bCs/>
          <w:sz w:val="32"/>
          <w:szCs w:val="32"/>
          <w:lang w:eastAsia="zh-CN"/>
        </w:rPr>
        <w:t>．</w:t>
      </w:r>
      <w:r>
        <w:rPr>
          <w:rFonts w:hint="eastAsia" w:ascii="仿宋_GB2312" w:hAnsi="仿宋"/>
          <w:b/>
          <w:bCs/>
          <w:sz w:val="32"/>
          <w:szCs w:val="32"/>
        </w:rPr>
        <w:t>项目效益（24分）</w:t>
      </w:r>
    </w:p>
    <w:p>
      <w:pPr>
        <w:spacing w:line="580" w:lineRule="exact"/>
        <w:ind w:firstLine="640" w:firstLineChars="200"/>
        <w:rPr>
          <w:rFonts w:ascii="仿宋_GB2312" w:hAnsi="仿宋"/>
          <w:sz w:val="32"/>
          <w:szCs w:val="32"/>
        </w:rPr>
      </w:pPr>
      <w:r>
        <w:rPr>
          <w:rFonts w:hint="eastAsia" w:ascii="仿宋_GB2312" w:hAnsi="仿宋"/>
          <w:sz w:val="32"/>
          <w:szCs w:val="32"/>
        </w:rPr>
        <w:t>该二级指标共包含三个三级指标，主要评价项目产生的社会效益。</w:t>
      </w:r>
    </w:p>
    <w:p>
      <w:pPr>
        <w:spacing w:line="580" w:lineRule="exact"/>
        <w:ind w:firstLine="640" w:firstLineChars="200"/>
        <w:rPr>
          <w:rFonts w:ascii="仿宋_GB2312" w:hAnsi="仿宋"/>
          <w:sz w:val="32"/>
          <w:szCs w:val="32"/>
        </w:rPr>
      </w:pPr>
      <w:r>
        <w:rPr>
          <w:rFonts w:hint="eastAsia" w:ascii="仿宋_GB2312" w:hAnsi="仿宋"/>
          <w:sz w:val="32"/>
          <w:szCs w:val="32"/>
        </w:rPr>
        <w:t>（1）新增就业人数增长率（8分）</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该指标主要评价本年新增就业人数较上年新增就业人数的增长率，用以反映和考核补贴产生的社会效益。</w:t>
      </w:r>
    </w:p>
    <w:p>
      <w:pPr>
        <w:spacing w:line="580" w:lineRule="exact"/>
        <w:ind w:firstLine="640"/>
        <w:rPr>
          <w:rFonts w:ascii="仿宋_GB2312" w:hAnsi="仿宋"/>
          <w:sz w:val="32"/>
          <w:szCs w:val="32"/>
          <w:highlight w:val="yellow"/>
        </w:rPr>
      </w:pPr>
      <w:r>
        <w:rPr>
          <w:rFonts w:hint="eastAsia" w:ascii="仿宋_GB2312" w:hAnsi="仿宋"/>
          <w:sz w:val="32"/>
          <w:szCs w:val="32"/>
        </w:rPr>
        <w:t>经检查，2018年年初至报告期末城镇新增就业人数3861人，2019年年初至报告期末城镇新增就业人数4016人，新增就业人数增长率=[（4016-3861）/3861]*100%=4.01%＞0。且超额完成年初3930人的任务目标。</w:t>
      </w:r>
    </w:p>
    <w:p>
      <w:pPr>
        <w:spacing w:line="580" w:lineRule="exact"/>
        <w:ind w:firstLine="640"/>
        <w:rPr>
          <w:rFonts w:ascii="仿宋_GB2312" w:hAnsi="仿宋"/>
          <w:sz w:val="32"/>
          <w:szCs w:val="32"/>
        </w:rPr>
      </w:pPr>
      <w:r>
        <w:rPr>
          <w:rFonts w:hint="eastAsia" w:ascii="仿宋_GB2312" w:hAnsi="仿宋"/>
          <w:sz w:val="32"/>
          <w:szCs w:val="32"/>
        </w:rPr>
        <w:t>该指标实际得分8分。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（2）就业困难人员再就业增长率（8分）</w:t>
      </w:r>
    </w:p>
    <w:p>
      <w:pPr>
        <w:spacing w:line="580" w:lineRule="exact"/>
        <w:ind w:firstLine="640" w:firstLineChars="200"/>
        <w:rPr>
          <w:rFonts w:ascii="仿宋_GB2312" w:hAnsi="仿宋"/>
          <w:bCs/>
          <w:sz w:val="32"/>
          <w:szCs w:val="32"/>
        </w:rPr>
      </w:pPr>
      <w:r>
        <w:rPr>
          <w:rFonts w:hint="eastAsia" w:ascii="仿宋_GB2312" w:hAnsi="仿宋"/>
          <w:bCs/>
          <w:sz w:val="32"/>
          <w:szCs w:val="32"/>
        </w:rPr>
        <w:t>该指标主要评价本年就业困难人员再就业人数较上年就业困难人员再就业人数的增长率，用以反映和考核补贴产生的社会效益。</w:t>
      </w:r>
    </w:p>
    <w:p>
      <w:pPr>
        <w:spacing w:line="580" w:lineRule="exact"/>
        <w:ind w:firstLine="640" w:firstLineChars="200"/>
        <w:rPr>
          <w:rFonts w:ascii="仿宋_GB2312" w:hAnsi="仿宋"/>
          <w:sz w:val="32"/>
          <w:szCs w:val="32"/>
        </w:rPr>
      </w:pPr>
      <w:r>
        <w:rPr>
          <w:rFonts w:hint="eastAsia" w:ascii="仿宋_GB2312" w:hAnsi="仿宋"/>
          <w:bCs/>
          <w:sz w:val="32"/>
          <w:szCs w:val="32"/>
        </w:rPr>
        <w:t>经检查，2018年就业困难人员再就业人数502人，2019年就业困难人员再就业人数504人，就业困难人员再就业增长率=[（504-502）/502]*100%=0.4%</w:t>
      </w:r>
      <w:r>
        <w:rPr>
          <w:rFonts w:hint="eastAsia" w:ascii="仿宋_GB2312" w:hAnsi="仿宋"/>
          <w:sz w:val="32"/>
          <w:szCs w:val="32"/>
        </w:rPr>
        <w:t>＞0。且超额完成年初480人的任务目标。</w:t>
      </w:r>
    </w:p>
    <w:p>
      <w:pPr>
        <w:spacing w:line="580" w:lineRule="exact"/>
        <w:ind w:firstLine="640" w:firstLineChars="200"/>
        <w:rPr>
          <w:rFonts w:ascii="仿宋_GB2312" w:hAnsi="仿宋"/>
          <w:sz w:val="32"/>
          <w:szCs w:val="32"/>
        </w:rPr>
      </w:pPr>
      <w:r>
        <w:rPr>
          <w:rFonts w:hint="eastAsia" w:ascii="仿宋_GB2312" w:hAnsi="仿宋"/>
          <w:sz w:val="32"/>
          <w:szCs w:val="32"/>
        </w:rPr>
        <w:t>该指标实际得分8分。</w:t>
      </w:r>
    </w:p>
    <w:p>
      <w:pPr>
        <w:spacing w:line="580" w:lineRule="exact"/>
        <w:ind w:firstLine="640" w:firstLineChars="200"/>
        <w:rPr>
          <w:rFonts w:ascii="仿宋_GB2312" w:hAnsi="仿宋"/>
          <w:sz w:val="32"/>
          <w:szCs w:val="32"/>
        </w:rPr>
      </w:pPr>
      <w:r>
        <w:rPr>
          <w:rFonts w:hint="eastAsia" w:ascii="仿宋_GB2312" w:hAnsi="仿宋"/>
          <w:sz w:val="32"/>
          <w:szCs w:val="32"/>
        </w:rPr>
        <w:t>（3）年末失业率下降率（8分）</w:t>
      </w:r>
    </w:p>
    <w:p>
      <w:pPr>
        <w:spacing w:line="580" w:lineRule="exact"/>
        <w:ind w:firstLine="640" w:firstLineChars="200"/>
        <w:rPr>
          <w:rFonts w:ascii="仿宋_GB2312" w:hAnsi="仿宋"/>
          <w:sz w:val="32"/>
          <w:szCs w:val="32"/>
        </w:rPr>
      </w:pPr>
      <w:r>
        <w:rPr>
          <w:rFonts w:hint="eastAsia" w:ascii="仿宋_GB2312" w:hAnsi="仿宋"/>
          <w:sz w:val="32"/>
          <w:szCs w:val="32"/>
        </w:rPr>
        <w:t>该指标主要评价本年末失业率较上年末失业率的下降比率，用以反映和考核补贴产生的社会效益。</w:t>
      </w:r>
    </w:p>
    <w:p>
      <w:pPr>
        <w:spacing w:line="580" w:lineRule="exact"/>
        <w:ind w:firstLine="640" w:firstLineChars="200"/>
        <w:rPr>
          <w:rFonts w:ascii="仿宋_GB2312" w:hAnsi="仿宋"/>
          <w:sz w:val="32"/>
          <w:szCs w:val="32"/>
        </w:rPr>
      </w:pPr>
      <w:r>
        <w:rPr>
          <w:rFonts w:hint="eastAsia" w:ascii="仿宋_GB2312" w:hAnsi="仿宋"/>
          <w:sz w:val="32"/>
          <w:szCs w:val="32"/>
        </w:rPr>
        <w:t>经检查，2018年末失业率3.12%，2019年末失业率3.16%，年末失业率</w:t>
      </w:r>
      <w:r>
        <w:rPr>
          <w:rFonts w:hint="eastAsia" w:ascii="仿宋_GB2312" w:hAnsi="仿宋"/>
          <w:sz w:val="32"/>
          <w:szCs w:val="32"/>
          <w:lang w:val="en-US" w:eastAsia="zh-CN"/>
        </w:rPr>
        <w:t>下降率</w:t>
      </w:r>
      <w:r>
        <w:rPr>
          <w:rFonts w:hint="eastAsia" w:ascii="仿宋_GB2312" w:hAnsi="仿宋"/>
          <w:sz w:val="32"/>
          <w:szCs w:val="32"/>
        </w:rPr>
        <w:t>=</w:t>
      </w:r>
      <w:r>
        <w:rPr>
          <w:rFonts w:hint="eastAsia" w:ascii="仿宋_GB2312" w:hAnsi="仿宋"/>
          <w:sz w:val="32"/>
          <w:szCs w:val="32"/>
          <w:lang w:val="en-US" w:eastAsia="zh-CN"/>
        </w:rPr>
        <w:t>-</w:t>
      </w:r>
      <w:r>
        <w:rPr>
          <w:rFonts w:hint="eastAsia" w:ascii="仿宋_GB2312" w:hAnsi="仿宋"/>
          <w:sz w:val="32"/>
          <w:szCs w:val="32"/>
        </w:rPr>
        <w:t>[（3.16%-3.12%）/3.12%]*100%=</w:t>
      </w:r>
      <w:r>
        <w:rPr>
          <w:rFonts w:hint="eastAsia" w:ascii="仿宋_GB2312" w:hAnsi="仿宋"/>
          <w:sz w:val="32"/>
          <w:szCs w:val="32"/>
          <w:lang w:val="en-US" w:eastAsia="zh-CN"/>
        </w:rPr>
        <w:t>-</w:t>
      </w:r>
      <w:r>
        <w:rPr>
          <w:rFonts w:hint="eastAsia" w:ascii="仿宋_GB2312" w:hAnsi="仿宋"/>
          <w:sz w:val="32"/>
          <w:szCs w:val="32"/>
        </w:rPr>
        <w:t>1.28%&lt;</w:t>
      </w:r>
      <w:r>
        <w:rPr>
          <w:rFonts w:hint="eastAsia" w:ascii="仿宋_GB2312" w:hAnsi="仿宋"/>
          <w:sz w:val="32"/>
          <w:szCs w:val="32"/>
        </w:rPr>
        <w:t>0。虽然年末失业率较上年有所增长，但远低于年度目标4.5%。酌情扣1分。</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该指标实际得分7分。</w:t>
      </w:r>
    </w:p>
    <w:p>
      <w:pPr>
        <w:spacing w:line="580" w:lineRule="exact"/>
        <w:ind w:firstLine="643" w:firstLineChars="200"/>
        <w:rPr>
          <w:rFonts w:ascii="仿宋_GB2312" w:hAnsi="仿宋"/>
          <w:b/>
          <w:bCs/>
          <w:sz w:val="32"/>
          <w:szCs w:val="32"/>
        </w:rPr>
      </w:pPr>
      <w:r>
        <w:rPr>
          <w:rFonts w:hint="eastAsia" w:ascii="仿宋_GB2312" w:hAnsi="仿宋"/>
          <w:b/>
          <w:bCs/>
          <w:sz w:val="32"/>
          <w:szCs w:val="32"/>
        </w:rPr>
        <w:t>2</w:t>
      </w:r>
      <w:r>
        <w:rPr>
          <w:rFonts w:hint="eastAsia" w:ascii="仿宋_GB2312" w:hAnsi="仿宋"/>
          <w:b/>
          <w:bCs/>
          <w:sz w:val="32"/>
          <w:szCs w:val="32"/>
          <w:lang w:eastAsia="zh-CN"/>
        </w:rPr>
        <w:t>．</w:t>
      </w:r>
      <w:r>
        <w:rPr>
          <w:rFonts w:hint="eastAsia" w:ascii="仿宋_GB2312" w:hAnsi="仿宋"/>
          <w:b/>
          <w:bCs/>
          <w:sz w:val="32"/>
          <w:szCs w:val="32"/>
        </w:rPr>
        <w:t>满意度（8分）</w:t>
      </w:r>
    </w:p>
    <w:p>
      <w:pPr>
        <w:spacing w:line="580" w:lineRule="exact"/>
        <w:ind w:firstLine="640" w:firstLineChars="200"/>
        <w:rPr>
          <w:rFonts w:ascii="仿宋_GB2312" w:hAnsi="仿宋" w:cs="仿宋"/>
          <w:sz w:val="32"/>
          <w:szCs w:val="32"/>
        </w:rPr>
      </w:pPr>
      <w:r>
        <w:rPr>
          <w:rFonts w:hint="eastAsia" w:ascii="仿宋_GB2312" w:hAnsi="仿宋"/>
          <w:sz w:val="32"/>
          <w:szCs w:val="32"/>
        </w:rPr>
        <w:t>该二级指标包含满意度一个三级指标，主要评价</w:t>
      </w:r>
      <w:r>
        <w:rPr>
          <w:rFonts w:hint="eastAsia" w:ascii="仿宋_GB2312" w:hAnsi="仿宋" w:cs="仿宋"/>
          <w:sz w:val="32"/>
          <w:szCs w:val="32"/>
        </w:rPr>
        <w:t>社会公众或服务对象对项目实施效果的满意程度。</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针对该指标，我们随机选取了50个调查对象进行了问卷调查，具体调查情况如下：</w:t>
      </w:r>
    </w:p>
    <w:p>
      <w:pPr>
        <w:spacing w:line="580" w:lineRule="exact"/>
        <w:jc w:val="center"/>
        <w:textAlignment w:val="baseline"/>
        <w:rPr>
          <w:rFonts w:ascii="宋体" w:hAnsi="宋体" w:eastAsia="宋体" w:cs="宋体"/>
          <w:b/>
          <w:bCs/>
          <w:sz w:val="32"/>
          <w:szCs w:val="32"/>
          <w:u w:color="000000"/>
        </w:rPr>
      </w:pPr>
      <w:r>
        <w:rPr>
          <w:rFonts w:hint="eastAsia" w:ascii="宋体" w:hAnsi="宋体" w:eastAsia="宋体" w:cs="宋体"/>
          <w:b/>
          <w:bCs/>
          <w:sz w:val="32"/>
          <w:szCs w:val="32"/>
          <w:u w:color="000000"/>
        </w:rPr>
        <w:t>群众满意度调查问卷汇总表</w:t>
      </w:r>
    </w:p>
    <w:p>
      <w:pPr>
        <w:spacing w:line="580" w:lineRule="exact"/>
        <w:ind w:firstLine="6930" w:firstLineChars="3300"/>
        <w:textAlignment w:val="baseline"/>
        <w:rPr>
          <w:rFonts w:ascii="仿宋_GB2312" w:hAnsi="宋体"/>
          <w:sz w:val="32"/>
          <w:szCs w:val="32"/>
          <w:u w:color="000000"/>
        </w:rPr>
      </w:pPr>
      <w:r>
        <w:rPr>
          <w:rFonts w:hint="eastAsia" w:ascii="宋体" w:hAnsi="宋体" w:eastAsia="宋体" w:cs="宋体"/>
          <w:sz w:val="21"/>
          <w:szCs w:val="21"/>
          <w:u w:color="000000"/>
        </w:rPr>
        <w:t>单位：人次</w:t>
      </w:r>
    </w:p>
    <w:tbl>
      <w:tblPr>
        <w:tblStyle w:val="20"/>
        <w:tblW w:w="8702" w:type="dxa"/>
        <w:jc w:val="center"/>
        <w:tblLayout w:type="fixed"/>
        <w:tblCellMar>
          <w:top w:w="15" w:type="dxa"/>
          <w:left w:w="15" w:type="dxa"/>
          <w:bottom w:w="15" w:type="dxa"/>
          <w:right w:w="15" w:type="dxa"/>
        </w:tblCellMar>
      </w:tblPr>
      <w:tblGrid>
        <w:gridCol w:w="2700"/>
        <w:gridCol w:w="1417"/>
        <w:gridCol w:w="946"/>
        <w:gridCol w:w="1464"/>
        <w:gridCol w:w="1086"/>
        <w:gridCol w:w="1089"/>
      </w:tblGrid>
      <w:tr>
        <w:tblPrEx>
          <w:tblCellMar>
            <w:top w:w="15" w:type="dxa"/>
            <w:left w:w="15" w:type="dxa"/>
            <w:bottom w:w="15" w:type="dxa"/>
            <w:right w:w="15" w:type="dxa"/>
          </w:tblCellMar>
        </w:tblPrEx>
        <w:trPr>
          <w:trHeight w:val="454" w:hRule="atLeast"/>
          <w:jc w:val="center"/>
        </w:trPr>
        <w:tc>
          <w:tcPr>
            <w:tcW w:w="2700"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调查项目</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满意/非常了解</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一般</w:t>
            </w:r>
          </w:p>
        </w:tc>
        <w:tc>
          <w:tcPr>
            <w:tcW w:w="1464"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不满意/不了解</w:t>
            </w:r>
          </w:p>
        </w:tc>
        <w:tc>
          <w:tcPr>
            <w:tcW w:w="1086"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合计</w:t>
            </w:r>
          </w:p>
        </w:tc>
        <w:tc>
          <w:tcPr>
            <w:tcW w:w="1089" w:type="dxa"/>
            <w:tcBorders>
              <w:top w:val="single" w:color="auto" w:sz="4" w:space="0"/>
              <w:left w:val="single" w:color="auto" w:sz="4" w:space="0"/>
              <w:bottom w:val="single" w:color="auto" w:sz="4" w:space="0"/>
              <w:right w:val="single" w:color="auto" w:sz="4" w:space="0"/>
            </w:tcBorders>
            <w:vAlign w:val="center"/>
          </w:tcPr>
          <w:p>
            <w:pPr>
              <w:jc w:val="center"/>
              <w:textAlignment w:val="baseline"/>
              <w:rPr>
                <w:rFonts w:hint="default" w:ascii="Times New Roman" w:hAnsi="Times New Roman" w:eastAsia="宋体" w:cs="Times New Roman"/>
                <w:b/>
                <w:bCs/>
                <w:sz w:val="21"/>
                <w:szCs w:val="21"/>
                <w:u w:color="000000"/>
              </w:rPr>
            </w:pPr>
            <w:r>
              <w:rPr>
                <w:rFonts w:hint="default" w:ascii="Times New Roman" w:hAnsi="Times New Roman" w:eastAsia="宋体" w:cs="Times New Roman"/>
                <w:b/>
                <w:bCs/>
                <w:sz w:val="21"/>
                <w:szCs w:val="21"/>
                <w:u w:color="000000"/>
              </w:rPr>
              <w:t>单项得分</w:t>
            </w:r>
          </w:p>
        </w:tc>
      </w:tr>
      <w:tr>
        <w:tblPrEx>
          <w:tblCellMar>
            <w:top w:w="15" w:type="dxa"/>
            <w:left w:w="15" w:type="dxa"/>
            <w:bottom w:w="15" w:type="dxa"/>
            <w:right w:w="15" w:type="dxa"/>
          </w:tblCellMar>
        </w:tblPrEx>
        <w:trPr>
          <w:trHeight w:val="454"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您对就业补助政策是否了解</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40</w:t>
            </w: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10</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0</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92</w:t>
            </w:r>
          </w:p>
        </w:tc>
      </w:tr>
      <w:tr>
        <w:tblPrEx>
          <w:tblCellMar>
            <w:top w:w="15" w:type="dxa"/>
            <w:left w:w="15" w:type="dxa"/>
            <w:bottom w:w="15" w:type="dxa"/>
            <w:right w:w="15" w:type="dxa"/>
          </w:tblCellMar>
        </w:tblPrEx>
        <w:trPr>
          <w:trHeight w:val="454"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您对就业补助资金的发放流程是否满意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45</w:t>
            </w: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0</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96</w:t>
            </w:r>
          </w:p>
        </w:tc>
      </w:tr>
      <w:tr>
        <w:tblPrEx>
          <w:tblCellMar>
            <w:top w:w="15" w:type="dxa"/>
            <w:left w:w="15" w:type="dxa"/>
            <w:bottom w:w="15" w:type="dxa"/>
            <w:right w:w="15" w:type="dxa"/>
          </w:tblCellMar>
        </w:tblPrEx>
        <w:trPr>
          <w:trHeight w:val="454"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您对就业补助资金的发放及时性是否满意</w:t>
            </w:r>
          </w:p>
        </w:tc>
        <w:tc>
          <w:tcPr>
            <w:tcW w:w="1417"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40</w:t>
            </w:r>
          </w:p>
        </w:tc>
        <w:tc>
          <w:tcPr>
            <w:tcW w:w="94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9</w:t>
            </w:r>
          </w:p>
        </w:tc>
        <w:tc>
          <w:tcPr>
            <w:tcW w:w="1464"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1</w:t>
            </w:r>
          </w:p>
        </w:tc>
        <w:tc>
          <w:tcPr>
            <w:tcW w:w="108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rPr>
            </w:pPr>
            <w:r>
              <w:rPr>
                <w:rFonts w:hint="default" w:ascii="Times New Roman" w:hAnsi="Times New Roman" w:eastAsia="宋体" w:cs="Times New Roman"/>
                <w:sz w:val="21"/>
                <w:szCs w:val="21"/>
                <w:u w:color="000000"/>
              </w:rPr>
              <w:t>50</w:t>
            </w:r>
          </w:p>
        </w:tc>
        <w:tc>
          <w:tcPr>
            <w:tcW w:w="1089"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Times New Roman" w:hAnsi="Times New Roman" w:eastAsia="宋体" w:cs="Times New Roman"/>
                <w:sz w:val="21"/>
                <w:szCs w:val="21"/>
                <w:u w:color="000000"/>
                <w:lang w:val="en-US" w:eastAsia="zh-CN"/>
              </w:rPr>
            </w:pPr>
            <w:r>
              <w:rPr>
                <w:rFonts w:hint="default" w:ascii="Times New Roman" w:hAnsi="Times New Roman" w:eastAsia="宋体" w:cs="Times New Roman"/>
                <w:sz w:val="21"/>
                <w:szCs w:val="21"/>
                <w:u w:color="000000"/>
              </w:rPr>
              <w:t>91.6</w:t>
            </w:r>
            <w:r>
              <w:rPr>
                <w:rFonts w:hint="default" w:ascii="Times New Roman" w:hAnsi="Times New Roman" w:eastAsia="宋体" w:cs="Times New Roman"/>
                <w:sz w:val="21"/>
                <w:szCs w:val="21"/>
                <w:u w:color="000000"/>
                <w:lang w:val="en-US" w:eastAsia="zh-CN"/>
              </w:rPr>
              <w:t>0</w:t>
            </w:r>
          </w:p>
        </w:tc>
      </w:tr>
    </w:tbl>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调查问卷共分为3个单项，每个单项满分为100分。其中：每一单项满分为100分：满意为100分，一般为60分，不满意为0分。</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单项满意度得分=总分数/总人数</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总体满意度得分=∑1/3各单项满意度得分</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经计算，总体得分为93.2</w:t>
      </w:r>
      <w:r>
        <w:rPr>
          <w:rFonts w:hint="eastAsia" w:ascii="仿宋_GB2312" w:hAnsi="宋体"/>
          <w:sz w:val="32"/>
          <w:szCs w:val="32"/>
          <w:u w:color="000000"/>
          <w:lang w:val="en-US" w:eastAsia="zh-CN"/>
        </w:rPr>
        <w:t>0</w:t>
      </w:r>
      <w:r>
        <w:rPr>
          <w:rFonts w:hint="eastAsia" w:ascii="仿宋_GB2312" w:hAnsi="宋体"/>
          <w:sz w:val="32"/>
          <w:szCs w:val="32"/>
          <w:u w:color="000000"/>
        </w:rPr>
        <w:t>分，满意度为93.20%，得分=8-（95%-93.2%）*1=6.20。</w:t>
      </w:r>
    </w:p>
    <w:p>
      <w:pPr>
        <w:spacing w:line="580" w:lineRule="exact"/>
        <w:ind w:firstLine="640" w:firstLineChars="200"/>
        <w:rPr>
          <w:rFonts w:ascii="仿宋_GB2312" w:hAnsi="宋体"/>
          <w:sz w:val="32"/>
          <w:szCs w:val="32"/>
          <w:u w:color="000000"/>
        </w:rPr>
      </w:pPr>
      <w:r>
        <w:rPr>
          <w:rFonts w:hint="eastAsia" w:ascii="仿宋_GB2312" w:hAnsi="宋体"/>
          <w:sz w:val="32"/>
          <w:szCs w:val="32"/>
          <w:u w:color="000000"/>
        </w:rPr>
        <w:t>该指标实际得分6.20分。</w:t>
      </w:r>
    </w:p>
    <w:p>
      <w:pPr>
        <w:pStyle w:val="2"/>
        <w:keepNext w:val="0"/>
        <w:keepLines w:val="0"/>
        <w:numPr>
          <w:ilvl w:val="0"/>
          <w:numId w:val="2"/>
        </w:numPr>
        <w:spacing w:before="0" w:after="0" w:line="580" w:lineRule="exact"/>
        <w:ind w:firstLine="643" w:firstLineChars="200"/>
        <w:jc w:val="left"/>
        <w:rPr>
          <w:rFonts w:ascii="黑体" w:hAnsi="黑体" w:eastAsia="黑体" w:cs="黑体"/>
          <w:sz w:val="32"/>
          <w:szCs w:val="32"/>
        </w:rPr>
      </w:pPr>
      <w:bookmarkStart w:id="71" w:name="_Toc38447896"/>
      <w:bookmarkStart w:id="72" w:name="_Toc38452640"/>
      <w:bookmarkStart w:id="73" w:name="_Toc41137194"/>
      <w:bookmarkStart w:id="74" w:name="_Toc20719"/>
      <w:bookmarkStart w:id="75" w:name="_Toc8882_WPSOffice_Level1"/>
      <w:r>
        <w:rPr>
          <w:rFonts w:hint="eastAsia" w:ascii="黑体" w:hAnsi="黑体" w:eastAsia="黑体" w:cs="黑体"/>
          <w:sz w:val="32"/>
          <w:szCs w:val="32"/>
        </w:rPr>
        <w:t>存在问题</w:t>
      </w:r>
      <w:bookmarkEnd w:id="71"/>
      <w:bookmarkEnd w:id="72"/>
      <w:bookmarkEnd w:id="73"/>
      <w:bookmarkEnd w:id="74"/>
      <w:bookmarkStart w:id="76" w:name="_Toc38452641"/>
      <w:bookmarkStart w:id="77" w:name="_Toc38447897"/>
    </w:p>
    <w:p>
      <w:pPr>
        <w:pStyle w:val="3"/>
        <w:spacing w:before="0" w:after="0" w:line="580" w:lineRule="exact"/>
        <w:ind w:firstLine="643" w:firstLineChars="200"/>
        <w:rPr>
          <w:rFonts w:hint="eastAsia" w:ascii="楷体_GB2312" w:hAnsi="Times New Roman" w:eastAsia="楷体_GB2312"/>
        </w:rPr>
      </w:pPr>
      <w:bookmarkStart w:id="78" w:name="_Toc41137195"/>
      <w:bookmarkStart w:id="79" w:name="_Toc3251"/>
      <w:r>
        <w:rPr>
          <w:rFonts w:hint="eastAsia" w:ascii="楷体_GB2312" w:hAnsi="Times New Roman" w:eastAsia="楷体_GB2312"/>
        </w:rPr>
        <w:t>（一）预算管理方面</w:t>
      </w:r>
      <w:bookmarkEnd w:id="76"/>
      <w:bookmarkEnd w:id="77"/>
      <w:bookmarkEnd w:id="78"/>
      <w:bookmarkEnd w:id="79"/>
    </w:p>
    <w:p>
      <w:pPr>
        <w:spacing w:line="580" w:lineRule="exact"/>
        <w:ind w:firstLine="640" w:firstLineChars="200"/>
        <w:rPr>
          <w:rFonts w:ascii="仿宋_GB2312" w:hAnsi="仿宋" w:cs="仿宋"/>
          <w:bCs/>
          <w:sz w:val="32"/>
          <w:szCs w:val="32"/>
        </w:rPr>
      </w:pPr>
      <w:r>
        <w:rPr>
          <w:rFonts w:hint="eastAsia" w:ascii="仿宋_GB2312" w:hAnsi="仿宋" w:cs="仿宋"/>
          <w:bCs/>
          <w:sz w:val="32"/>
          <w:szCs w:val="32"/>
        </w:rPr>
        <w:t>1</w:t>
      </w:r>
      <w:r>
        <w:rPr>
          <w:rFonts w:hint="eastAsia" w:ascii="仿宋_GB2312" w:hAnsi="仿宋" w:cs="仿宋"/>
          <w:bCs/>
          <w:sz w:val="32"/>
          <w:szCs w:val="32"/>
          <w:lang w:eastAsia="zh-CN"/>
        </w:rPr>
        <w:t>．</w:t>
      </w:r>
      <w:r>
        <w:rPr>
          <w:rFonts w:hint="eastAsia" w:ascii="仿宋_GB2312" w:hAnsi="仿宋" w:cs="仿宋"/>
          <w:bCs/>
          <w:sz w:val="32"/>
          <w:szCs w:val="32"/>
        </w:rPr>
        <w:t>预算编制不完整</w:t>
      </w:r>
    </w:p>
    <w:p>
      <w:pPr>
        <w:spacing w:line="580" w:lineRule="exact"/>
        <w:ind w:firstLine="640" w:firstLineChars="200"/>
        <w:rPr>
          <w:rFonts w:ascii="仿宋_GB2312" w:hAnsi="仿宋" w:cs="仿宋"/>
          <w:sz w:val="32"/>
          <w:szCs w:val="32"/>
          <w:highlight w:val="yellow"/>
        </w:rPr>
      </w:pPr>
      <w:r>
        <w:rPr>
          <w:rFonts w:hint="eastAsia" w:ascii="仿宋_GB2312" w:hAnsi="仿宋"/>
          <w:sz w:val="32"/>
          <w:szCs w:val="32"/>
        </w:rPr>
        <w:t>区人社局2019年部门项目支出预算“就业补助资金”预算金额为600万元，只将财政授权支付的600万元列入该项目年初预算，未将财政直接支付的200万元列入该项目年初预算，预算编制不完整。</w:t>
      </w:r>
    </w:p>
    <w:p>
      <w:pPr>
        <w:spacing w:line="580" w:lineRule="exact"/>
        <w:ind w:firstLine="640" w:firstLineChars="200"/>
        <w:rPr>
          <w:rFonts w:ascii="仿宋_GB2312" w:hAnsi="仿宋" w:cs="仿宋"/>
          <w:bCs/>
          <w:sz w:val="32"/>
          <w:szCs w:val="32"/>
        </w:rPr>
      </w:pPr>
      <w:r>
        <w:rPr>
          <w:rFonts w:hint="eastAsia" w:ascii="仿宋_GB2312" w:hAnsi="仿宋" w:cs="仿宋"/>
          <w:bCs/>
          <w:sz w:val="32"/>
          <w:szCs w:val="32"/>
        </w:rPr>
        <w:t>2</w:t>
      </w:r>
      <w:r>
        <w:rPr>
          <w:rFonts w:hint="eastAsia" w:ascii="仿宋_GB2312" w:hAnsi="仿宋" w:cs="仿宋"/>
          <w:bCs/>
          <w:sz w:val="32"/>
          <w:szCs w:val="32"/>
          <w:lang w:eastAsia="zh-CN"/>
        </w:rPr>
        <w:t>．</w:t>
      </w:r>
      <w:r>
        <w:rPr>
          <w:rFonts w:hint="eastAsia" w:ascii="仿宋_GB2312" w:hAnsi="仿宋" w:cs="仿宋"/>
          <w:bCs/>
          <w:sz w:val="32"/>
          <w:szCs w:val="32"/>
        </w:rPr>
        <w:t>绩效目标未具体量化，无法与预算确定的资金量相匹配</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该项目制定的绩效目标为“就业创业服务”，绩效目标未具体量化，无法与预算确定的资金量相匹配，不利于对项目绩效目标实际完成情况进行考核。</w:t>
      </w:r>
    </w:p>
    <w:p>
      <w:pPr>
        <w:pStyle w:val="3"/>
        <w:spacing w:before="0" w:after="0" w:line="580" w:lineRule="exact"/>
        <w:ind w:firstLine="643" w:firstLineChars="200"/>
        <w:rPr>
          <w:rFonts w:hint="eastAsia" w:ascii="楷体_GB2312" w:hAnsi="Times New Roman" w:eastAsia="楷体_GB2312"/>
        </w:rPr>
      </w:pPr>
      <w:bookmarkStart w:id="80" w:name="_Toc28600"/>
      <w:bookmarkStart w:id="81" w:name="_Toc41137196"/>
      <w:r>
        <w:rPr>
          <w:rFonts w:hint="eastAsia" w:ascii="楷体_GB2312" w:hAnsi="Times New Roman" w:eastAsia="楷体_GB2312"/>
        </w:rPr>
        <w:t>（二）资金管理方面</w:t>
      </w:r>
      <w:bookmarkEnd w:id="80"/>
      <w:bookmarkEnd w:id="81"/>
    </w:p>
    <w:p>
      <w:pPr>
        <w:spacing w:line="580" w:lineRule="exact"/>
        <w:ind w:firstLine="640" w:firstLineChars="200"/>
        <w:rPr>
          <w:rFonts w:ascii="仿宋_GB2312" w:hAnsi="仿宋" w:cs="仿宋"/>
          <w:b/>
          <w:bCs/>
          <w:sz w:val="32"/>
          <w:szCs w:val="32"/>
        </w:rPr>
      </w:pPr>
      <w:r>
        <w:rPr>
          <w:rFonts w:hint="eastAsia" w:ascii="仿宋_GB2312" w:hAnsi="仿宋" w:cs="仿宋"/>
          <w:bCs/>
          <w:sz w:val="32"/>
          <w:szCs w:val="32"/>
        </w:rPr>
        <w:t>预算执行率较低，资金结余量较大。</w:t>
      </w:r>
      <w:r>
        <w:rPr>
          <w:rFonts w:hint="eastAsia" w:ascii="仿宋_GB2312" w:hAnsi="仿宋"/>
          <w:sz w:val="32"/>
          <w:szCs w:val="32"/>
        </w:rPr>
        <w:t>该项目2019年实际到位资金800万元，实际支出566.06万元，本年结余资金233.37万元，结余资金较大的主要原因为孵化基地的房租及物业补贴由于申请资料不符合要求，导致部分资金尚未支付。</w:t>
      </w:r>
    </w:p>
    <w:p>
      <w:pPr>
        <w:pStyle w:val="3"/>
        <w:spacing w:before="0" w:after="0" w:line="580" w:lineRule="exact"/>
        <w:ind w:firstLine="643" w:firstLineChars="200"/>
        <w:rPr>
          <w:rFonts w:hint="eastAsia" w:ascii="楷体_GB2312" w:hAnsi="Times New Roman" w:eastAsia="楷体_GB2312"/>
        </w:rPr>
      </w:pPr>
      <w:bookmarkStart w:id="82" w:name="_Toc38447898"/>
      <w:bookmarkStart w:id="83" w:name="_Toc38452642"/>
      <w:bookmarkStart w:id="84" w:name="_Toc22697"/>
      <w:bookmarkStart w:id="85" w:name="_Toc41137197"/>
      <w:r>
        <w:rPr>
          <w:rFonts w:hint="eastAsia" w:ascii="楷体_GB2312" w:hAnsi="Times New Roman" w:eastAsia="楷体_GB2312"/>
        </w:rPr>
        <w:t>（三）过程管理方面</w:t>
      </w:r>
      <w:bookmarkEnd w:id="82"/>
      <w:bookmarkEnd w:id="83"/>
      <w:bookmarkEnd w:id="84"/>
      <w:bookmarkEnd w:id="85"/>
    </w:p>
    <w:p>
      <w:pPr>
        <w:spacing w:line="580" w:lineRule="exact"/>
        <w:ind w:firstLine="640" w:firstLineChars="200"/>
        <w:rPr>
          <w:rFonts w:ascii="仿宋_GB2312" w:hAnsi="仿宋" w:cs="仿宋"/>
          <w:b/>
          <w:bCs/>
          <w:sz w:val="32"/>
          <w:szCs w:val="32"/>
        </w:rPr>
      </w:pPr>
      <w:r>
        <w:rPr>
          <w:rFonts w:hint="eastAsia" w:ascii="仿宋_GB2312" w:hAnsi="仿宋" w:cs="仿宋"/>
          <w:bCs/>
          <w:sz w:val="32"/>
          <w:szCs w:val="32"/>
        </w:rPr>
        <w:t>个别补贴类别的公示公开信息不完整</w:t>
      </w:r>
      <w:r>
        <w:rPr>
          <w:rFonts w:hint="eastAsia" w:ascii="仿宋_GB2312" w:hAnsi="仿宋" w:cs="仿宋"/>
          <w:b/>
          <w:bCs/>
          <w:sz w:val="32"/>
          <w:szCs w:val="32"/>
        </w:rPr>
        <w:t>。</w:t>
      </w:r>
      <w:r>
        <w:rPr>
          <w:rFonts w:hint="eastAsia" w:ascii="仿宋_GB2312" w:hAnsi="仿宋"/>
          <w:sz w:val="32"/>
          <w:szCs w:val="32"/>
        </w:rPr>
        <w:t>公益性岗位补贴按月发放，但2019年仅在12月4日进行了一次公示，不符合《河北省就业创业资金管理实施办法》</w:t>
      </w:r>
      <w:r>
        <w:rPr>
          <w:rFonts w:hint="eastAsia" w:ascii="仿宋_GB2312" w:hAnsi="仿宋"/>
          <w:sz w:val="32"/>
          <w:szCs w:val="32"/>
          <w:lang w:eastAsia="zh-CN"/>
        </w:rPr>
        <w:t>第二十九条</w:t>
      </w:r>
      <w:r>
        <w:rPr>
          <w:rFonts w:hint="eastAsia" w:ascii="仿宋_GB2312" w:hAnsi="仿宋"/>
          <w:sz w:val="32"/>
          <w:szCs w:val="32"/>
        </w:rPr>
        <w:t>“市县人社部门要认真执行按月、按季和每半年</w:t>
      </w:r>
      <w:r>
        <w:rPr>
          <w:rFonts w:hint="eastAsia" w:ascii="仿宋_GB2312" w:hAnsi="仿宋"/>
          <w:sz w:val="32"/>
          <w:szCs w:val="32"/>
          <w:lang w:eastAsia="zh-CN"/>
        </w:rPr>
        <w:t>受理</w:t>
      </w:r>
      <w:r>
        <w:rPr>
          <w:rFonts w:hint="eastAsia" w:ascii="仿宋_GB2312" w:hAnsi="仿宋"/>
          <w:sz w:val="32"/>
          <w:szCs w:val="32"/>
        </w:rPr>
        <w:t>补贴申请的规定</w:t>
      </w:r>
      <w:r>
        <w:rPr>
          <w:rFonts w:ascii="仿宋_GB2312" w:hAnsi="仿宋"/>
          <w:sz w:val="32"/>
          <w:szCs w:val="32"/>
        </w:rPr>
        <w:t>……</w:t>
      </w:r>
      <w:r>
        <w:rPr>
          <w:rFonts w:hint="eastAsia" w:ascii="仿宋_GB2312" w:hAnsi="仿宋"/>
          <w:sz w:val="32"/>
          <w:szCs w:val="32"/>
        </w:rPr>
        <w:t>申请资料审核完成后要在当地人民政府或人力资源社会保障网站上公示</w:t>
      </w:r>
      <w:r>
        <w:rPr>
          <w:rFonts w:ascii="仿宋_GB2312" w:hAnsi="仿宋"/>
          <w:sz w:val="32"/>
          <w:szCs w:val="32"/>
        </w:rPr>
        <w:t>……</w:t>
      </w:r>
      <w:r>
        <w:rPr>
          <w:rFonts w:hint="eastAsia" w:ascii="仿宋_GB2312" w:hAnsi="仿宋"/>
          <w:sz w:val="32"/>
          <w:szCs w:val="32"/>
        </w:rPr>
        <w:t>”的规定，公示公开信息不完整。</w:t>
      </w:r>
    </w:p>
    <w:p>
      <w:pPr>
        <w:pStyle w:val="3"/>
        <w:spacing w:before="0" w:after="0" w:line="580" w:lineRule="exact"/>
        <w:ind w:firstLine="643" w:firstLineChars="200"/>
        <w:rPr>
          <w:rFonts w:hint="eastAsia" w:ascii="楷体_GB2312" w:hAnsi="Times New Roman" w:eastAsia="楷体_GB2312"/>
        </w:rPr>
      </w:pPr>
      <w:bookmarkStart w:id="86" w:name="_Toc41137198"/>
      <w:bookmarkStart w:id="87" w:name="_Toc10506"/>
      <w:r>
        <w:rPr>
          <w:rFonts w:hint="eastAsia" w:ascii="楷体_GB2312" w:hAnsi="Times New Roman" w:eastAsia="楷体_GB2312"/>
        </w:rPr>
        <w:t>（四）产出方面</w:t>
      </w:r>
      <w:bookmarkEnd w:id="86"/>
      <w:bookmarkEnd w:id="87"/>
    </w:p>
    <w:p>
      <w:pPr>
        <w:spacing w:line="580" w:lineRule="exact"/>
        <w:ind w:firstLine="640" w:firstLineChars="200"/>
        <w:rPr>
          <w:rFonts w:ascii="仿宋_GB2312" w:hAnsi="仿宋" w:cs="仿宋"/>
          <w:b/>
          <w:bCs/>
          <w:sz w:val="32"/>
          <w:szCs w:val="32"/>
        </w:rPr>
      </w:pPr>
      <w:r>
        <w:rPr>
          <w:rFonts w:hint="eastAsia" w:ascii="仿宋_GB2312" w:hAnsi="仿宋" w:cs="仿宋"/>
          <w:bCs/>
          <w:sz w:val="32"/>
          <w:szCs w:val="32"/>
        </w:rPr>
        <w:t>职业技能培训合格率较低，产出质量较差。</w:t>
      </w:r>
      <w:r>
        <w:rPr>
          <w:rFonts w:hint="eastAsia" w:ascii="仿宋_GB2312" w:hAnsi="仿宋"/>
          <w:sz w:val="32"/>
          <w:szCs w:val="32"/>
        </w:rPr>
        <w:t>2019年参加职业技能培训的报名人数为1285人，实际培训合格人数为741人，职业技能培训合格率57.67%。职业技能培训合格率较低的原因主要包括考勤天数不符合规定、中途退学、未取得资格证书或者合格证等。</w:t>
      </w:r>
    </w:p>
    <w:p>
      <w:pPr>
        <w:pStyle w:val="2"/>
        <w:keepNext w:val="0"/>
        <w:keepLines w:val="0"/>
        <w:numPr>
          <w:ilvl w:val="0"/>
          <w:numId w:val="0"/>
        </w:numPr>
        <w:spacing w:before="0" w:after="0" w:line="580" w:lineRule="exact"/>
        <w:ind w:firstLine="643" w:firstLineChars="200"/>
        <w:jc w:val="left"/>
        <w:rPr>
          <w:rFonts w:hint="eastAsia" w:ascii="黑体" w:hAnsi="黑体" w:eastAsia="黑体" w:cs="黑体"/>
          <w:sz w:val="32"/>
          <w:szCs w:val="32"/>
        </w:rPr>
      </w:pPr>
      <w:bookmarkStart w:id="88" w:name="_Toc38447899"/>
      <w:bookmarkStart w:id="89" w:name="_Toc38452643"/>
      <w:bookmarkStart w:id="90" w:name="_Toc41137199"/>
      <w:bookmarkStart w:id="91" w:name="_Toc4794"/>
      <w:r>
        <w:rPr>
          <w:rFonts w:hint="eastAsia" w:ascii="黑体" w:hAnsi="黑体" w:eastAsia="黑体" w:cs="黑体"/>
          <w:sz w:val="32"/>
          <w:szCs w:val="32"/>
        </w:rPr>
        <w:t>六、有关建议</w:t>
      </w:r>
      <w:bookmarkEnd w:id="88"/>
      <w:bookmarkEnd w:id="89"/>
      <w:bookmarkEnd w:id="90"/>
      <w:bookmarkEnd w:id="91"/>
    </w:p>
    <w:p>
      <w:pPr>
        <w:spacing w:line="580" w:lineRule="exact"/>
        <w:rPr>
          <w:rFonts w:ascii="仿宋_GB2312" w:hAnsi="仿宋"/>
          <w:sz w:val="32"/>
          <w:szCs w:val="32"/>
        </w:rPr>
      </w:pPr>
      <w:r>
        <w:rPr>
          <w:rFonts w:hint="eastAsia" w:ascii="黑体" w:hAnsi="黑体" w:eastAsia="黑体"/>
          <w:sz w:val="32"/>
          <w:szCs w:val="32"/>
        </w:rPr>
        <w:t xml:space="preserve">  </w:t>
      </w:r>
      <w:r>
        <w:rPr>
          <w:rFonts w:hint="eastAsia" w:ascii="仿宋_GB2312" w:hAnsi="仿宋"/>
          <w:sz w:val="32"/>
          <w:szCs w:val="32"/>
        </w:rPr>
        <w:t xml:space="preserve">  针对上述发现的问题，为进一步提升项目单位今后的项目管理水平，提出以下建议：</w:t>
      </w:r>
    </w:p>
    <w:p>
      <w:pPr>
        <w:spacing w:line="580" w:lineRule="exact"/>
        <w:ind w:firstLine="643" w:firstLineChars="200"/>
        <w:rPr>
          <w:rFonts w:eastAsia="楷体_GB2312"/>
          <w:b/>
          <w:bCs/>
          <w:sz w:val="32"/>
          <w:szCs w:val="32"/>
        </w:rPr>
      </w:pPr>
      <w:r>
        <w:rPr>
          <w:rFonts w:hint="eastAsia" w:eastAsia="楷体_GB2312"/>
          <w:b/>
          <w:bCs/>
          <w:sz w:val="32"/>
          <w:szCs w:val="32"/>
        </w:rPr>
        <w:t>（一）预算管理方面</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1</w:t>
      </w:r>
      <w:r>
        <w:rPr>
          <w:rFonts w:hint="eastAsia" w:ascii="仿宋_GB2312" w:hAnsi="宋体"/>
          <w:sz w:val="32"/>
          <w:szCs w:val="32"/>
          <w:u w:color="000000"/>
          <w:lang w:eastAsia="zh-CN"/>
        </w:rPr>
        <w:t>．</w:t>
      </w:r>
      <w:r>
        <w:rPr>
          <w:rFonts w:hint="eastAsia" w:ascii="仿宋_GB2312" w:hAnsi="宋体"/>
          <w:sz w:val="32"/>
          <w:szCs w:val="32"/>
          <w:u w:color="000000"/>
        </w:rPr>
        <w:t>针对预算编制不完整的问题，建议项目相关单位强化预算的基础编制工作，结合项目上年度执行情况及预算年度预计变动情况，科学、合理、全面、准确地确定项目支出预算金额，提高预算编制质量，同时预算编制过程中要加强财务</w:t>
      </w:r>
      <w:r>
        <w:rPr>
          <w:rFonts w:hint="eastAsia" w:ascii="仿宋_GB2312" w:hAnsi="宋体"/>
          <w:sz w:val="32"/>
          <w:szCs w:val="32"/>
          <w:u w:color="000000"/>
          <w:lang w:val="en-US" w:eastAsia="zh-CN"/>
        </w:rPr>
        <w:t>与</w:t>
      </w:r>
      <w:r>
        <w:rPr>
          <w:rFonts w:hint="eastAsia" w:ascii="仿宋_GB2312" w:hAnsi="宋体"/>
          <w:sz w:val="32"/>
          <w:szCs w:val="32"/>
          <w:u w:color="000000"/>
        </w:rPr>
        <w:t>相关业务部门的沟通，使预算编制更切合实际，充分发挥预算约束作用。</w:t>
      </w:r>
    </w:p>
    <w:p>
      <w:pPr>
        <w:spacing w:line="580" w:lineRule="exact"/>
        <w:ind w:firstLine="640" w:firstLineChars="200"/>
        <w:textAlignment w:val="baseline"/>
        <w:rPr>
          <w:rFonts w:ascii="仿宋_GB2312" w:hAnsi="宋体"/>
          <w:sz w:val="32"/>
          <w:szCs w:val="32"/>
          <w:u w:color="000000"/>
        </w:rPr>
      </w:pPr>
      <w:r>
        <w:rPr>
          <w:rFonts w:hint="eastAsia" w:ascii="仿宋_GB2312" w:hAnsi="宋体"/>
          <w:sz w:val="32"/>
          <w:szCs w:val="32"/>
          <w:u w:color="000000"/>
        </w:rPr>
        <w:t>2</w:t>
      </w:r>
      <w:r>
        <w:rPr>
          <w:rFonts w:hint="eastAsia" w:ascii="仿宋_GB2312" w:hAnsi="宋体"/>
          <w:sz w:val="32"/>
          <w:szCs w:val="32"/>
          <w:u w:color="000000"/>
          <w:lang w:eastAsia="zh-CN"/>
        </w:rPr>
        <w:t>．</w:t>
      </w:r>
      <w:r>
        <w:rPr>
          <w:rFonts w:hint="eastAsia" w:ascii="仿宋_GB2312" w:hAnsi="宋体"/>
          <w:sz w:val="32"/>
          <w:szCs w:val="32"/>
          <w:u w:color="000000"/>
        </w:rPr>
        <w:t>针对绩效目标未具体量化，无法与预算确定的资金量相匹配的问题，建议项目相关单位在制定绩效目标时</w:t>
      </w:r>
      <w:r>
        <w:rPr>
          <w:rFonts w:hint="eastAsia" w:ascii="仿宋_GB2312" w:hAnsi="宋体"/>
          <w:sz w:val="32"/>
          <w:szCs w:val="32"/>
          <w:u w:color="000000"/>
          <w:lang w:eastAsia="zh-CN"/>
        </w:rPr>
        <w:t>充分考虑绩效目标与</w:t>
      </w:r>
      <w:r>
        <w:rPr>
          <w:rFonts w:hint="eastAsia" w:ascii="仿宋_GB2312" w:hAnsi="仿宋"/>
          <w:sz w:val="32"/>
          <w:szCs w:val="32"/>
        </w:rPr>
        <w:t>预算确定的资金量</w:t>
      </w:r>
      <w:r>
        <w:rPr>
          <w:rFonts w:hint="eastAsia" w:ascii="仿宋_GB2312" w:hAnsi="仿宋"/>
          <w:sz w:val="32"/>
          <w:szCs w:val="32"/>
          <w:lang w:eastAsia="zh-CN"/>
        </w:rPr>
        <w:t>的</w:t>
      </w:r>
      <w:r>
        <w:rPr>
          <w:rFonts w:hint="eastAsia" w:ascii="仿宋_GB2312" w:hAnsi="仿宋"/>
          <w:sz w:val="32"/>
          <w:szCs w:val="32"/>
        </w:rPr>
        <w:t>匹配</w:t>
      </w:r>
      <w:r>
        <w:rPr>
          <w:rFonts w:hint="eastAsia" w:ascii="仿宋_GB2312" w:hAnsi="仿宋"/>
          <w:sz w:val="32"/>
          <w:szCs w:val="32"/>
          <w:lang w:eastAsia="zh-CN"/>
        </w:rPr>
        <w:t>性</w:t>
      </w:r>
      <w:r>
        <w:rPr>
          <w:rFonts w:hint="eastAsia" w:ascii="仿宋_GB2312" w:hAnsi="宋体"/>
          <w:sz w:val="32"/>
          <w:szCs w:val="32"/>
          <w:u w:color="000000"/>
        </w:rPr>
        <w:t>，并将绩效目标量化，便于对目标</w:t>
      </w:r>
      <w:r>
        <w:rPr>
          <w:rFonts w:hint="eastAsia" w:ascii="仿宋_GB2312" w:hAnsi="宋体"/>
          <w:sz w:val="32"/>
          <w:szCs w:val="32"/>
          <w:u w:color="000000"/>
          <w:lang w:eastAsia="zh-CN"/>
        </w:rPr>
        <w:t>的</w:t>
      </w:r>
      <w:r>
        <w:rPr>
          <w:rFonts w:hint="eastAsia" w:ascii="仿宋_GB2312" w:hAnsi="宋体"/>
          <w:sz w:val="32"/>
          <w:szCs w:val="32"/>
          <w:u w:color="000000"/>
        </w:rPr>
        <w:t>实现情况进行考核，充分发挥绩效目标的考核衡量作用。</w:t>
      </w:r>
    </w:p>
    <w:p>
      <w:pPr>
        <w:spacing w:line="580" w:lineRule="exact"/>
        <w:ind w:firstLine="643" w:firstLineChars="200"/>
        <w:rPr>
          <w:rFonts w:eastAsia="楷体_GB2312"/>
          <w:b/>
          <w:bCs/>
          <w:sz w:val="32"/>
          <w:szCs w:val="32"/>
        </w:rPr>
      </w:pPr>
      <w:r>
        <w:rPr>
          <w:rFonts w:hint="eastAsia" w:eastAsia="楷体_GB2312"/>
          <w:b/>
          <w:bCs/>
          <w:sz w:val="32"/>
          <w:szCs w:val="32"/>
        </w:rPr>
        <w:t>（二）资金管理方面</w:t>
      </w:r>
    </w:p>
    <w:p>
      <w:pPr>
        <w:spacing w:line="580" w:lineRule="exact"/>
        <w:ind w:firstLine="640" w:firstLineChars="200"/>
        <w:rPr>
          <w:rFonts w:ascii="仿宋_GB2312" w:hAnsi="仿宋"/>
          <w:sz w:val="32"/>
          <w:szCs w:val="32"/>
          <w:highlight w:val="yellow"/>
        </w:rPr>
      </w:pPr>
      <w:r>
        <w:rPr>
          <w:rFonts w:hint="eastAsia" w:ascii="仿宋_GB2312" w:hAnsi="仿宋"/>
          <w:sz w:val="32"/>
          <w:szCs w:val="32"/>
        </w:rPr>
        <w:t>针对预算执行率较低，资金结余量较大的问题，建议项目相关单位一是及时查找原因，针对原因提出整改措施并贯彻实施，二是进一步完善预算编制，优化预算执行体系，加大预算执行力度，提高财政资金配置效率，充分发挥财政资金的使用效益。</w:t>
      </w:r>
    </w:p>
    <w:p>
      <w:pPr>
        <w:spacing w:line="580" w:lineRule="exact"/>
        <w:ind w:firstLine="643" w:firstLineChars="200"/>
        <w:rPr>
          <w:rFonts w:eastAsia="楷体_GB2312"/>
          <w:b/>
          <w:bCs/>
          <w:sz w:val="32"/>
          <w:szCs w:val="32"/>
        </w:rPr>
      </w:pPr>
      <w:r>
        <w:rPr>
          <w:rFonts w:hint="eastAsia" w:eastAsia="楷体_GB2312"/>
          <w:b/>
          <w:bCs/>
          <w:sz w:val="32"/>
          <w:szCs w:val="32"/>
        </w:rPr>
        <w:t>（三）项目管理方面</w:t>
      </w:r>
    </w:p>
    <w:p>
      <w:pPr>
        <w:spacing w:line="580" w:lineRule="exact"/>
        <w:ind w:firstLine="640" w:firstLineChars="200"/>
        <w:rPr>
          <w:rFonts w:ascii="仿宋_GB2312" w:hAnsi="宋体"/>
          <w:sz w:val="32"/>
          <w:szCs w:val="32"/>
          <w:u w:color="000000"/>
        </w:rPr>
      </w:pPr>
      <w:r>
        <w:rPr>
          <w:rFonts w:hint="eastAsia" w:ascii="仿宋_GB2312" w:hAnsi="宋体"/>
          <w:sz w:val="32"/>
          <w:szCs w:val="32"/>
          <w:u w:color="000000"/>
        </w:rPr>
        <w:t>针对个别补贴类别的公示公开不完整的问题，建议</w:t>
      </w:r>
      <w:r>
        <w:rPr>
          <w:rFonts w:hint="eastAsia" w:ascii="仿宋_GB2312" w:hAnsi="宋体"/>
          <w:sz w:val="32"/>
          <w:szCs w:val="32"/>
          <w:u w:color="000000"/>
          <w:lang w:eastAsia="zh-CN"/>
        </w:rPr>
        <w:t>项目相关单位</w:t>
      </w:r>
      <w:r>
        <w:rPr>
          <w:rFonts w:hint="eastAsia" w:ascii="仿宋_GB2312" w:hAnsi="宋体"/>
          <w:sz w:val="32"/>
          <w:szCs w:val="32"/>
          <w:u w:color="000000"/>
        </w:rPr>
        <w:t>严格按相关文件要求，及时、完整地对相关补贴信息进行公示公开，提高工作的透明</w:t>
      </w:r>
      <w:r>
        <w:rPr>
          <w:rFonts w:hint="eastAsia" w:ascii="仿宋_GB2312" w:hAnsi="宋体"/>
          <w:sz w:val="32"/>
          <w:szCs w:val="32"/>
          <w:u w:color="000000"/>
          <w:lang w:eastAsia="zh-CN"/>
        </w:rPr>
        <w:t>度</w:t>
      </w:r>
      <w:r>
        <w:rPr>
          <w:rFonts w:hint="eastAsia" w:ascii="仿宋_GB2312" w:hAnsi="宋体"/>
          <w:sz w:val="32"/>
          <w:szCs w:val="32"/>
          <w:u w:color="000000"/>
        </w:rPr>
        <w:t>，更好地接受广大人民群众的监督。</w:t>
      </w:r>
    </w:p>
    <w:p>
      <w:pPr>
        <w:spacing w:line="580" w:lineRule="exact"/>
        <w:ind w:firstLine="643" w:firstLineChars="200"/>
        <w:rPr>
          <w:rFonts w:eastAsia="楷体_GB2312"/>
          <w:b/>
          <w:bCs/>
          <w:sz w:val="32"/>
          <w:szCs w:val="32"/>
        </w:rPr>
      </w:pPr>
      <w:r>
        <w:rPr>
          <w:rFonts w:hint="eastAsia" w:eastAsia="楷体_GB2312"/>
          <w:b/>
          <w:bCs/>
          <w:sz w:val="32"/>
          <w:szCs w:val="32"/>
        </w:rPr>
        <w:t>（四）产出方面</w:t>
      </w:r>
    </w:p>
    <w:p>
      <w:pPr>
        <w:spacing w:line="580" w:lineRule="exact"/>
        <w:ind w:firstLine="640" w:firstLineChars="200"/>
        <w:rPr>
          <w:rFonts w:ascii="仿宋_GB2312" w:hAnsi="宋体"/>
          <w:sz w:val="32"/>
          <w:szCs w:val="32"/>
          <w:u w:color="000000"/>
        </w:rPr>
      </w:pPr>
      <w:r>
        <w:rPr>
          <w:rFonts w:hint="eastAsia" w:ascii="仿宋_GB2312" w:hAnsi="宋体"/>
          <w:sz w:val="32"/>
          <w:szCs w:val="32"/>
          <w:u w:color="000000"/>
        </w:rPr>
        <w:t>针对职业技能培训合格率较低，产出质量较差的问题，建议相关单位创新思路，站在学员的角度，充分了解学员的实际需求，调查学员未坚持到课程结束及未参加考试的根本原因，对症下药，提高职业技能培训合格率，充分发挥职业培训的作用，提高就业困难人群的就业率，从而真正发挥就业补助资金的作用。</w:t>
      </w:r>
    </w:p>
    <w:p>
      <w:pPr>
        <w:spacing w:line="580" w:lineRule="exact"/>
        <w:rPr>
          <w:rFonts w:ascii="仿宋_GB2312" w:hAnsi="宋体"/>
          <w:sz w:val="32"/>
          <w:szCs w:val="32"/>
          <w:u w:color="000000"/>
        </w:rPr>
      </w:pPr>
    </w:p>
    <w:p>
      <w:pPr>
        <w:spacing w:line="580" w:lineRule="exact"/>
        <w:rPr>
          <w:rFonts w:ascii="仿宋" w:hAnsi="仿宋" w:eastAsia="仿宋" w:cs="仿宋"/>
          <w:sz w:val="32"/>
          <w:szCs w:val="32"/>
        </w:rPr>
      </w:pPr>
    </w:p>
    <w:p>
      <w:pPr>
        <w:spacing w:line="580" w:lineRule="exact"/>
        <w:rPr>
          <w:rFonts w:ascii="仿宋" w:hAnsi="仿宋" w:eastAsia="仿宋" w:cs="仿宋"/>
          <w:sz w:val="32"/>
          <w:szCs w:val="32"/>
        </w:rPr>
      </w:pPr>
      <w:r>
        <w:rPr>
          <w:rFonts w:hint="eastAsia" w:ascii="仿宋" w:hAnsi="仿宋" w:eastAsia="仿宋" w:cs="仿宋"/>
          <w:sz w:val="32"/>
          <w:szCs w:val="32"/>
        </w:rPr>
        <w:t>附件：</w:t>
      </w:r>
      <w:bookmarkEnd w:id="75"/>
      <w:bookmarkStart w:id="92" w:name="_Toc22134_WPSOffice_Level1"/>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徐水区2019年就业补助资金项目绩效评价体系</w:t>
      </w:r>
    </w:p>
    <w:bookmarkEnd w:id="92"/>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群众满意度调查问卷</w:t>
      </w:r>
    </w:p>
    <w:p>
      <w:pPr>
        <w:spacing w:line="580" w:lineRule="exact"/>
        <w:rPr>
          <w:rFonts w:ascii="仿宋" w:hAnsi="仿宋" w:eastAsia="仿宋" w:cs="仿宋"/>
          <w:sz w:val="32"/>
          <w:szCs w:val="32"/>
        </w:rPr>
      </w:pPr>
    </w:p>
    <w:bookmarkEnd w:id="66"/>
    <w:bookmarkEnd w:id="67"/>
    <w:bookmarkEnd w:id="68"/>
    <w:bookmarkEnd w:id="69"/>
    <w:bookmarkEnd w:id="70"/>
    <w:p>
      <w:pPr>
        <w:spacing w:line="580" w:lineRule="exact"/>
        <w:ind w:left="300" w:leftChars="100"/>
        <w:rPr>
          <w:rFonts w:ascii="楷体" w:hAnsi="楷体" w:eastAsia="楷体" w:cs="楷体"/>
          <w:sz w:val="32"/>
          <w:szCs w:val="32"/>
        </w:rPr>
      </w:pPr>
    </w:p>
    <w:p>
      <w:pPr>
        <w:spacing w:line="580" w:lineRule="exact"/>
        <w:rPr>
          <w:rFonts w:ascii="楷体" w:hAnsi="楷体" w:eastAsia="楷体" w:cs="楷体"/>
          <w:sz w:val="32"/>
          <w:szCs w:val="32"/>
        </w:rPr>
      </w:pPr>
    </w:p>
    <w:p>
      <w:pPr>
        <w:spacing w:line="580" w:lineRule="exact"/>
        <w:rPr>
          <w:rFonts w:ascii="楷体" w:hAnsi="楷体" w:eastAsia="楷体" w:cs="楷体"/>
          <w:sz w:val="32"/>
          <w:szCs w:val="32"/>
        </w:rPr>
      </w:pPr>
    </w:p>
    <w:p>
      <w:pPr>
        <w:spacing w:line="580" w:lineRule="exact"/>
        <w:rPr>
          <w:rFonts w:ascii="楷体" w:hAnsi="楷体" w:eastAsia="楷体" w:cs="楷体"/>
          <w:sz w:val="32"/>
          <w:szCs w:val="32"/>
        </w:rPr>
      </w:pPr>
    </w:p>
    <w:p>
      <w:pPr>
        <w:spacing w:line="580" w:lineRule="exact"/>
        <w:rPr>
          <w:rFonts w:hint="eastAsia"/>
          <w:sz w:val="32"/>
          <w:szCs w:val="32"/>
          <w:lang w:eastAsia="zh-CN"/>
        </w:rPr>
      </w:pPr>
      <w:r>
        <w:rPr>
          <w:rFonts w:hint="eastAsia"/>
          <w:sz w:val="32"/>
          <w:szCs w:val="32"/>
          <w:lang w:eastAsia="zh-CN"/>
        </w:rPr>
        <w:t>（</w:t>
      </w:r>
      <w:r>
        <w:rPr>
          <w:rFonts w:hint="eastAsia"/>
          <w:sz w:val="32"/>
          <w:szCs w:val="32"/>
          <w:lang w:val="en-US" w:eastAsia="zh-CN"/>
        </w:rPr>
        <w:t>此页无正文</w:t>
      </w:r>
      <w:r>
        <w:rPr>
          <w:rFonts w:hint="eastAsia"/>
          <w:sz w:val="32"/>
          <w:szCs w:val="32"/>
          <w:lang w:eastAsia="zh-CN"/>
        </w:rPr>
        <w:t>）</w:t>
      </w: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rFonts w:hint="eastAsia"/>
          <w:sz w:val="32"/>
          <w:szCs w:val="32"/>
        </w:rPr>
      </w:pPr>
    </w:p>
    <w:p>
      <w:pPr>
        <w:spacing w:line="580" w:lineRule="exact"/>
        <w:ind w:firstLine="640" w:firstLineChars="200"/>
        <w:rPr>
          <w:sz w:val="32"/>
          <w:szCs w:val="32"/>
        </w:rPr>
      </w:pPr>
      <w:r>
        <w:rPr>
          <w:rFonts w:hint="eastAsia"/>
          <w:sz w:val="32"/>
          <w:szCs w:val="32"/>
        </w:rPr>
        <w:t>河北德永会计师事务所           中国注册会计师：</w:t>
      </w:r>
    </w:p>
    <w:p>
      <w:pPr>
        <w:pStyle w:val="8"/>
        <w:spacing w:line="360" w:lineRule="auto"/>
        <w:ind w:right="300" w:rightChars="100" w:firstLine="1600" w:firstLineChars="500"/>
        <w:rPr>
          <w:rFonts w:ascii="Times New Roman" w:hAnsi="Times New Roman" w:cs="Times New Roman"/>
          <w:sz w:val="32"/>
          <w:szCs w:val="32"/>
        </w:rPr>
      </w:pPr>
      <w:r>
        <w:rPr>
          <w:rFonts w:hint="eastAsia" w:ascii="Times New Roman" w:hAnsi="Times New Roman" w:cs="Times New Roman"/>
          <w:sz w:val="32"/>
          <w:szCs w:val="32"/>
        </w:rPr>
        <w:t xml:space="preserve">有限公司  </w:t>
      </w:r>
    </w:p>
    <w:p>
      <w:pPr>
        <w:pStyle w:val="8"/>
        <w:spacing w:line="660" w:lineRule="exact"/>
        <w:ind w:left="6422" w:leftChars="434" w:hanging="5120" w:hangingChars="1600"/>
        <w:rPr>
          <w:rFonts w:ascii="Times New Roman" w:hAnsi="Times New Roman" w:cs="Times New Roman"/>
          <w:sz w:val="32"/>
          <w:szCs w:val="32"/>
        </w:rPr>
      </w:pPr>
      <w:r>
        <w:rPr>
          <w:rFonts w:hint="eastAsia" w:ascii="Times New Roman" w:hAnsi="Times New Roman" w:cs="Times New Roman"/>
          <w:sz w:val="32"/>
          <w:szCs w:val="32"/>
        </w:rPr>
        <w:t>中国·石家庄               中国注册会计师：</w:t>
      </w:r>
    </w:p>
    <w:p>
      <w:pPr>
        <w:pStyle w:val="8"/>
        <w:spacing w:line="660" w:lineRule="exact"/>
        <w:ind w:firstLine="5440" w:firstLineChars="1700"/>
        <w:rPr>
          <w:rFonts w:ascii="Times New Roman" w:hAnsi="Times New Roman" w:cs="Times New Roman"/>
          <w:sz w:val="32"/>
          <w:szCs w:val="32"/>
        </w:rPr>
      </w:pPr>
      <w:r>
        <w:rPr>
          <w:rFonts w:hint="eastAsia" w:ascii="Times New Roman" w:hAnsi="Times New Roman" w:cs="Times New Roman"/>
          <w:sz w:val="32"/>
          <w:szCs w:val="32"/>
          <w:highlight w:val="yellow"/>
        </w:rPr>
        <w:t>二〇二〇年五月六日</w:t>
      </w:r>
      <w:r>
        <w:rPr>
          <w:rFonts w:hint="eastAsia" w:ascii="Times New Roman" w:hAnsi="Times New Roman" w:cs="Times New Roman"/>
          <w:sz w:val="32"/>
          <w:szCs w:val="32"/>
        </w:rPr>
        <w:t xml:space="preserve">  </w:t>
      </w:r>
    </w:p>
    <w:p>
      <w:pPr>
        <w:jc w:val="both"/>
        <w:rPr>
          <w:rFonts w:hint="eastAsia"/>
          <w:sz w:val="32"/>
          <w:szCs w:val="32"/>
        </w:rPr>
      </w:pPr>
    </w:p>
    <w:p>
      <w:pPr>
        <w:jc w:val="right"/>
        <w:rPr>
          <w:sz w:val="32"/>
          <w:szCs w:val="32"/>
        </w:rPr>
        <w:sectPr>
          <w:footerReference r:id="rId5" w:type="default"/>
          <w:pgSz w:w="11906" w:h="16838"/>
          <w:pgMar w:top="2098" w:right="1304" w:bottom="1871" w:left="1531" w:header="851" w:footer="992" w:gutter="0"/>
          <w:pgNumType w:fmt="decimal" w:start="1"/>
          <w:cols w:space="720" w:num="1"/>
          <w:docGrid w:type="lines" w:linePitch="415" w:charSpace="0"/>
        </w:sectPr>
      </w:pPr>
    </w:p>
    <w:p>
      <w:pPr>
        <w:jc w:val="left"/>
        <w:rPr>
          <w:sz w:val="28"/>
          <w:szCs w:val="28"/>
        </w:rPr>
      </w:pPr>
      <w:r>
        <w:rPr>
          <w:rFonts w:hint="eastAsia"/>
          <w:sz w:val="28"/>
          <w:szCs w:val="28"/>
        </w:rPr>
        <w:t>附件1：</w:t>
      </w:r>
    </w:p>
    <w:tbl>
      <w:tblPr>
        <w:tblStyle w:val="20"/>
        <w:tblW w:w="16195" w:type="dxa"/>
        <w:jc w:val="center"/>
        <w:tblLayout w:type="autofit"/>
        <w:tblCellMar>
          <w:top w:w="0" w:type="dxa"/>
          <w:left w:w="108" w:type="dxa"/>
          <w:bottom w:w="0" w:type="dxa"/>
          <w:right w:w="108" w:type="dxa"/>
        </w:tblCellMar>
      </w:tblPr>
      <w:tblGrid>
        <w:gridCol w:w="817"/>
        <w:gridCol w:w="1026"/>
        <w:gridCol w:w="955"/>
        <w:gridCol w:w="486"/>
        <w:gridCol w:w="3203"/>
        <w:gridCol w:w="4394"/>
        <w:gridCol w:w="2775"/>
        <w:gridCol w:w="709"/>
        <w:gridCol w:w="1830"/>
      </w:tblGrid>
      <w:tr>
        <w:tblPrEx>
          <w:tblCellMar>
            <w:top w:w="0" w:type="dxa"/>
            <w:left w:w="108" w:type="dxa"/>
            <w:bottom w:w="0" w:type="dxa"/>
            <w:right w:w="108" w:type="dxa"/>
          </w:tblCellMar>
        </w:tblPrEx>
        <w:trPr>
          <w:trHeight w:val="480" w:hRule="atLeast"/>
          <w:jc w:val="center"/>
        </w:trPr>
        <w:tc>
          <w:tcPr>
            <w:tcW w:w="16195" w:type="dxa"/>
            <w:gridSpan w:val="9"/>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徐水区2019年度就业补助资金项目绩效评价指标体系</w:t>
            </w:r>
          </w:p>
        </w:tc>
      </w:tr>
      <w:tr>
        <w:tblPrEx>
          <w:tblCellMar>
            <w:top w:w="0" w:type="dxa"/>
            <w:left w:w="108" w:type="dxa"/>
            <w:bottom w:w="0" w:type="dxa"/>
            <w:right w:w="108" w:type="dxa"/>
          </w:tblCellMar>
        </w:tblPrEx>
        <w:trPr>
          <w:trHeight w:val="390" w:hRule="atLeast"/>
          <w:jc w:val="center"/>
        </w:trPr>
        <w:tc>
          <w:tcPr>
            <w:tcW w:w="6487" w:type="dxa"/>
            <w:gridSpan w:val="5"/>
            <w:tcBorders>
              <w:top w:val="nil"/>
              <w:left w:val="nil"/>
              <w:bottom w:val="single" w:color="auto" w:sz="4" w:space="0"/>
              <w:right w:val="nil"/>
            </w:tcBorders>
            <w:shd w:val="clear" w:color="auto" w:fill="auto"/>
            <w:noWrap/>
            <w:vAlign w:val="center"/>
          </w:tcPr>
          <w:p>
            <w:pPr>
              <w:widowControl/>
              <w:rPr>
                <w:rFonts w:ascii="黑体" w:hAnsi="黑体" w:eastAsia="黑体" w:cs="宋体"/>
                <w:color w:val="000000"/>
                <w:kern w:val="0"/>
                <w:sz w:val="21"/>
                <w:szCs w:val="21"/>
              </w:rPr>
            </w:pPr>
            <w:r>
              <w:rPr>
                <w:rFonts w:hint="eastAsia" w:ascii="黑体" w:hAnsi="黑体" w:eastAsia="黑体" w:cs="宋体"/>
                <w:color w:val="000000"/>
                <w:kern w:val="0"/>
                <w:sz w:val="21"/>
                <w:szCs w:val="21"/>
              </w:rPr>
              <w:t>被评价单位:保定市徐水区人力资源和社会保障局</w:t>
            </w:r>
          </w:p>
        </w:tc>
        <w:tc>
          <w:tcPr>
            <w:tcW w:w="4394"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p>
        </w:tc>
        <w:tc>
          <w:tcPr>
            <w:tcW w:w="2775"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p>
        </w:tc>
        <w:tc>
          <w:tcPr>
            <w:tcW w:w="709"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8"/>
                <w:szCs w:val="18"/>
              </w:rPr>
            </w:pPr>
          </w:p>
        </w:tc>
        <w:tc>
          <w:tcPr>
            <w:tcW w:w="1830" w:type="dxa"/>
            <w:tcBorders>
              <w:top w:val="nil"/>
              <w:left w:val="nil"/>
              <w:bottom w:val="nil"/>
              <w:right w:val="nil"/>
            </w:tcBorders>
            <w:shd w:val="clear" w:color="auto" w:fill="auto"/>
            <w:noWrap/>
            <w:vAlign w:val="center"/>
          </w:tcPr>
          <w:p>
            <w:pPr>
              <w:widowControl/>
              <w:jc w:val="center"/>
              <w:rPr>
                <w:rFonts w:ascii="仿宋" w:hAnsi="仿宋" w:eastAsia="仿宋" w:cs="宋体"/>
                <w:color w:val="000000"/>
                <w:kern w:val="0"/>
                <w:sz w:val="16"/>
                <w:szCs w:val="16"/>
              </w:rPr>
            </w:pPr>
          </w:p>
        </w:tc>
      </w:tr>
      <w:tr>
        <w:tblPrEx>
          <w:tblCellMar>
            <w:top w:w="0" w:type="dxa"/>
            <w:left w:w="108" w:type="dxa"/>
            <w:bottom w:w="0" w:type="dxa"/>
            <w:right w:w="108" w:type="dxa"/>
          </w:tblCellMar>
        </w:tblPrEx>
        <w:trPr>
          <w:trHeight w:val="450" w:hRule="atLeast"/>
          <w:jc w:val="center"/>
        </w:trPr>
        <w:tc>
          <w:tcPr>
            <w:tcW w:w="817" w:type="dxa"/>
            <w:tcBorders>
              <w:top w:val="nil"/>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一级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指标</w:t>
            </w:r>
          </w:p>
        </w:tc>
        <w:tc>
          <w:tcPr>
            <w:tcW w:w="1026"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二级</w:t>
            </w:r>
            <w:r>
              <w:rPr>
                <w:rFonts w:hint="eastAsia" w:ascii="宋体" w:hAnsi="宋体" w:eastAsia="宋体" w:cs="宋体"/>
                <w:b/>
                <w:bCs/>
                <w:kern w:val="0"/>
                <w:sz w:val="18"/>
                <w:szCs w:val="18"/>
              </w:rPr>
              <w:br w:type="textWrapping"/>
            </w:r>
            <w:r>
              <w:rPr>
                <w:rFonts w:hint="eastAsia" w:ascii="宋体" w:hAnsi="宋体" w:eastAsia="宋体" w:cs="宋体"/>
                <w:b/>
                <w:bCs/>
                <w:kern w:val="0"/>
                <w:sz w:val="18"/>
                <w:szCs w:val="18"/>
              </w:rPr>
              <w:t>指标</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三级指标</w:t>
            </w:r>
          </w:p>
        </w:tc>
        <w:tc>
          <w:tcPr>
            <w:tcW w:w="42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分值</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指标解释</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指标说明</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评分标准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评分</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b/>
                <w:bCs/>
                <w:kern w:val="0"/>
                <w:sz w:val="18"/>
                <w:szCs w:val="18"/>
              </w:rPr>
            </w:pPr>
            <w:r>
              <w:rPr>
                <w:rFonts w:hint="eastAsia" w:ascii="宋体" w:hAnsi="宋体" w:eastAsia="宋体" w:cs="宋体"/>
                <w:b/>
                <w:bCs/>
                <w:kern w:val="0"/>
                <w:sz w:val="18"/>
                <w:szCs w:val="18"/>
              </w:rPr>
              <w:t>备注</w:t>
            </w:r>
          </w:p>
        </w:tc>
      </w:tr>
      <w:tr>
        <w:tblPrEx>
          <w:tblCellMar>
            <w:top w:w="0" w:type="dxa"/>
            <w:left w:w="108" w:type="dxa"/>
            <w:bottom w:w="0" w:type="dxa"/>
            <w:right w:w="108" w:type="dxa"/>
          </w:tblCellMar>
        </w:tblPrEx>
        <w:trPr>
          <w:trHeight w:val="1455" w:hRule="atLeast"/>
          <w:jc w:val="center"/>
        </w:trPr>
        <w:tc>
          <w:tcPr>
            <w:tcW w:w="817" w:type="dxa"/>
            <w:vMerge w:val="restart"/>
            <w:tcBorders>
              <w:top w:val="single" w:color="auto" w:sz="4" w:space="0"/>
              <w:left w:val="single" w:color="auto" w:sz="4" w:space="0"/>
              <w:bottom w:val="nil"/>
              <w:right w:val="single" w:color="auto" w:sz="4" w:space="0"/>
            </w:tcBorders>
            <w:shd w:val="clear" w:color="auto" w:fill="auto"/>
            <w:vAlign w:val="center"/>
          </w:tcPr>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决策</w:t>
            </w: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（13分）</w:t>
            </w: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both"/>
              <w:rPr>
                <w:rFonts w:eastAsia="等线"/>
                <w:color w:val="000000"/>
                <w:kern w:val="0"/>
                <w:sz w:val="18"/>
                <w:szCs w:val="18"/>
              </w:rPr>
            </w:pPr>
            <w:r>
              <w:rPr>
                <w:rFonts w:hint="eastAsia" w:ascii="宋体" w:hAnsi="宋体" w:eastAsia="宋体"/>
                <w:color w:val="000000"/>
                <w:kern w:val="0"/>
                <w:sz w:val="18"/>
                <w:szCs w:val="18"/>
              </w:rPr>
              <w:t>决策</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w:t>
            </w:r>
            <w:r>
              <w:rPr>
                <w:rFonts w:eastAsia="等线"/>
                <w:color w:val="000000"/>
                <w:kern w:val="0"/>
                <w:sz w:val="18"/>
                <w:szCs w:val="18"/>
              </w:rPr>
              <w:t>13</w:t>
            </w:r>
            <w:r>
              <w:rPr>
                <w:rFonts w:hint="eastAsia" w:ascii="宋体" w:hAnsi="宋体" w:eastAsia="宋体"/>
                <w:color w:val="000000"/>
                <w:kern w:val="0"/>
                <w:sz w:val="18"/>
                <w:szCs w:val="18"/>
              </w:rPr>
              <w:t>分）</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项目立项</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立项依据充分性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项目立项是否符合法律法规、相关政策、发展规划以及部门职责，用以反映和考核项目申请依据情况。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①项目立项是否符合国家法律法规和相关政策；</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②项目申请是否符合行业发展规划和政策要求；</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③项目申请是否与部门职责相符，属于部门履职所需；④项目是否属于公共财政支持范围，是否符合中央、</w:t>
            </w:r>
            <w:r>
              <w:rPr>
                <w:rFonts w:hint="eastAsia" w:ascii="宋体" w:hAnsi="宋体" w:eastAsia="宋体"/>
                <w:kern w:val="0"/>
                <w:sz w:val="18"/>
                <w:szCs w:val="18"/>
              </w:rPr>
              <w:t>地方权责支出责分原则。</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根据被评价单位提供项目申请相关资料，完全符合得满分，缺一项扣</w:t>
            </w:r>
            <w:r>
              <w:rPr>
                <w:rFonts w:eastAsia="等线"/>
                <w:color w:val="000000"/>
                <w:kern w:val="0"/>
                <w:sz w:val="18"/>
                <w:szCs w:val="18"/>
              </w:rPr>
              <w:t>0.5</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230" w:hRule="atLeast"/>
          <w:jc w:val="center"/>
        </w:trPr>
        <w:tc>
          <w:tcPr>
            <w:tcW w:w="817"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立项程序规范性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项目立项过程是否符合相关要求，用以反映和考核项目申请的规范情况。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①项目是否按照规定程序申请设立；</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②申请文件、资料是否符合相关要求；</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③项目是否经过部门绩效评估；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④项目是否制定实施方案。</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根据被评价单位提供项目申请相关资料，完全符合得满分，缺一项扣</w:t>
            </w:r>
            <w:r>
              <w:rPr>
                <w:rFonts w:eastAsia="等线"/>
                <w:color w:val="000000"/>
                <w:kern w:val="0"/>
                <w:sz w:val="18"/>
                <w:szCs w:val="18"/>
              </w:rPr>
              <w:t>0.5</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200" w:hRule="atLeast"/>
          <w:jc w:val="center"/>
        </w:trPr>
        <w:tc>
          <w:tcPr>
            <w:tcW w:w="817"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绩效目标</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绩效目标合理性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项目所设定的绩效目标是否依据充分，是否符合客观实际，用以反映和考核项目绩效目标与项目实施的相符情况。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①项目是否有绩效目标；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②项目绩效目标与实际工作内容是否具有相关性；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③是否与预算确定的项目投资额或资金量相匹配；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④项目产出效益和效果是否符合正常的业绩水平。</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根据被评价单位提供项目绩效目标相关资料，有绩效目标、绩效目标与实际工作内容相关、与预算确定的项目投资额匹配、产出效益和效果符合正常的业绩水平得满分，缺一项扣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3</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绩效目标无法</w:t>
            </w:r>
            <w:r>
              <w:rPr>
                <w:rFonts w:hint="eastAsia" w:ascii="宋体" w:hAnsi="宋体" w:eastAsia="宋体" w:cs="宋体"/>
                <w:color w:val="000000"/>
                <w:kern w:val="0"/>
                <w:sz w:val="16"/>
                <w:szCs w:val="16"/>
                <w:lang w:eastAsia="zh-CN"/>
              </w:rPr>
              <w:t>与</w:t>
            </w:r>
            <w:r>
              <w:rPr>
                <w:rFonts w:hint="eastAsia" w:ascii="宋体" w:hAnsi="宋体" w:eastAsia="宋体" w:cs="宋体"/>
                <w:color w:val="000000"/>
                <w:kern w:val="0"/>
                <w:sz w:val="16"/>
                <w:szCs w:val="16"/>
              </w:rPr>
              <w:t>项目投资额相匹配</w:t>
            </w:r>
          </w:p>
        </w:tc>
      </w:tr>
      <w:tr>
        <w:tblPrEx>
          <w:tblCellMar>
            <w:top w:w="0" w:type="dxa"/>
            <w:left w:w="108" w:type="dxa"/>
            <w:bottom w:w="0" w:type="dxa"/>
            <w:right w:w="108" w:type="dxa"/>
          </w:tblCellMar>
        </w:tblPrEx>
        <w:trPr>
          <w:trHeight w:val="960" w:hRule="atLeast"/>
          <w:jc w:val="center"/>
        </w:trPr>
        <w:tc>
          <w:tcPr>
            <w:tcW w:w="8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绩效指标明确性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3</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依据绩效目标设定的绩效指标是否清晰、细化、可衡量等，用以反映和考核项目绩效目标的明细化情况。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①是否将项目绩效目标细化分解为具体的绩效指标；</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②是否通过清晰、可衡量的指标值予以体现；</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③是否与项目目标任务数或计划数相对应。</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根据被评价单位提供项目绩效指标相关资料，绩效指标清晰可衡量、与项目目标任务数相对应得满分，缺一项扣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3</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33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资金投入</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预算编制科学性</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项目预算编制是否经过科学论证、有明确标准，资金预算是否与项目实施相适应，用反映和考核项目预算编制科学性、合理性情况。</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①预算编制是否经过科学论证；</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②预算内容与项目内容是否匹配；</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③资金预算测算依据是否充分，是否按标准编制；</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④预算确定的项目投资额是否与工作任务相匹配。</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根据被评价单位提供项目预算相关资料，预算编制经过科学论证、内容与项目内容相匹配、测算依据充分且按标准编制、项目投资额与工作任务相匹配得满分，缺一项扣</w:t>
            </w:r>
            <w:r>
              <w:rPr>
                <w:rFonts w:eastAsia="等线"/>
                <w:color w:val="000000"/>
                <w:kern w:val="0"/>
                <w:sz w:val="18"/>
                <w:szCs w:val="18"/>
              </w:rPr>
              <w:t>0.5</w:t>
            </w:r>
            <w:r>
              <w:rPr>
                <w:rFonts w:hint="eastAsia" w:ascii="宋体" w:hAnsi="宋体" w:eastAsia="宋体"/>
                <w:color w:val="000000"/>
                <w:kern w:val="0"/>
                <w:sz w:val="18"/>
                <w:szCs w:val="18"/>
              </w:rPr>
              <w:t>分，扣完为止。</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1</w:t>
            </w:r>
          </w:p>
        </w:tc>
        <w:tc>
          <w:tcPr>
            <w:tcW w:w="183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年初预算金额800万元，财务预算只将财政授权支付600万元列入年初预算，财政直接支付资金200万元未列入年初预算</w:t>
            </w:r>
          </w:p>
        </w:tc>
      </w:tr>
      <w:tr>
        <w:tblPrEx>
          <w:tblCellMar>
            <w:top w:w="0" w:type="dxa"/>
            <w:left w:w="108" w:type="dxa"/>
            <w:bottom w:w="0" w:type="dxa"/>
            <w:right w:w="108" w:type="dxa"/>
          </w:tblCellMar>
        </w:tblPrEx>
        <w:trPr>
          <w:trHeight w:val="795" w:hRule="atLeast"/>
          <w:jc w:val="center"/>
        </w:trPr>
        <w:tc>
          <w:tcPr>
            <w:tcW w:w="8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过程</w:t>
            </w:r>
          </w:p>
          <w:p>
            <w:pPr>
              <w:widowControl/>
              <w:spacing w:line="300" w:lineRule="exact"/>
              <w:jc w:val="center"/>
              <w:rPr>
                <w:rFonts w:hint="eastAsia"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（27分）</w:t>
            </w: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both"/>
              <w:rPr>
                <w:rFonts w:hint="eastAsia" w:ascii="宋体" w:hAnsi="宋体" w:eastAsia="宋体"/>
                <w:color w:val="000000"/>
                <w:kern w:val="0"/>
                <w:sz w:val="18"/>
                <w:szCs w:val="18"/>
              </w:rPr>
            </w:pPr>
          </w:p>
          <w:p>
            <w:pPr>
              <w:widowControl/>
              <w:spacing w:line="300" w:lineRule="exact"/>
              <w:jc w:val="both"/>
              <w:rPr>
                <w:rFonts w:eastAsia="等线"/>
                <w:color w:val="000000"/>
                <w:kern w:val="0"/>
                <w:sz w:val="18"/>
                <w:szCs w:val="18"/>
              </w:rPr>
            </w:pPr>
            <w:r>
              <w:rPr>
                <w:rFonts w:hint="eastAsia" w:ascii="宋体" w:hAnsi="宋体" w:eastAsia="宋体"/>
                <w:color w:val="000000"/>
                <w:kern w:val="0"/>
                <w:sz w:val="18"/>
                <w:szCs w:val="18"/>
              </w:rPr>
              <w:t>过程</w:t>
            </w: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rPr>
              <w:br w:type="textWrapping"/>
            </w:r>
            <w:r>
              <w:rPr>
                <w:rFonts w:eastAsia="等线"/>
                <w:color w:val="000000"/>
                <w:kern w:val="0"/>
                <w:sz w:val="18"/>
                <w:szCs w:val="18"/>
              </w:rPr>
              <w:t>27</w:t>
            </w:r>
            <w:r>
              <w:rPr>
                <w:rFonts w:hint="eastAsia" w:ascii="宋体" w:hAnsi="宋体" w:eastAsia="宋体"/>
                <w:color w:val="000000"/>
                <w:kern w:val="0"/>
                <w:sz w:val="18"/>
                <w:szCs w:val="18"/>
              </w:rPr>
              <w:t>分）</w:t>
            </w: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资金管理</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资金到位率</w:t>
            </w:r>
          </w:p>
        </w:tc>
        <w:tc>
          <w:tcPr>
            <w:tcW w:w="42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实际到位资金与预算资金的比率，用以反映和考核资金落实情况对项目实施的总体保障程度。</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资金到位率</w:t>
            </w:r>
            <w:r>
              <w:rPr>
                <w:rFonts w:eastAsia="等线"/>
                <w:color w:val="000000"/>
                <w:kern w:val="0"/>
                <w:sz w:val="18"/>
                <w:szCs w:val="18"/>
              </w:rPr>
              <w:t>=</w:t>
            </w:r>
            <w:r>
              <w:rPr>
                <w:rFonts w:hint="eastAsia" w:ascii="宋体" w:hAnsi="宋体" w:eastAsia="宋体"/>
                <w:color w:val="000000"/>
                <w:kern w:val="0"/>
                <w:sz w:val="18"/>
                <w:szCs w:val="18"/>
              </w:rPr>
              <w:t>（实际到位资金</w:t>
            </w:r>
            <w:r>
              <w:rPr>
                <w:rFonts w:eastAsia="等线"/>
                <w:color w:val="000000"/>
                <w:kern w:val="0"/>
                <w:sz w:val="18"/>
                <w:szCs w:val="18"/>
              </w:rPr>
              <w:t>/</w:t>
            </w:r>
            <w:r>
              <w:rPr>
                <w:rFonts w:hint="eastAsia" w:ascii="宋体" w:hAnsi="宋体" w:eastAsia="宋体"/>
                <w:color w:val="000000"/>
                <w:kern w:val="0"/>
                <w:sz w:val="18"/>
                <w:szCs w:val="18"/>
              </w:rPr>
              <w:t>预算资金）</w:t>
            </w:r>
            <w:r>
              <w:rPr>
                <w:rFonts w:eastAsia="等线"/>
                <w:color w:val="000000"/>
                <w:kern w:val="0"/>
                <w:sz w:val="18"/>
                <w:szCs w:val="18"/>
              </w:rPr>
              <w:t>*100%</w:t>
            </w:r>
          </w:p>
        </w:tc>
        <w:tc>
          <w:tcPr>
            <w:tcW w:w="2775"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实际得分</w:t>
            </w:r>
            <w:r>
              <w:rPr>
                <w:rFonts w:eastAsia="等线"/>
                <w:color w:val="000000"/>
                <w:kern w:val="0"/>
                <w:sz w:val="18"/>
                <w:szCs w:val="18"/>
              </w:rPr>
              <w:t>=</w:t>
            </w:r>
            <w:r>
              <w:rPr>
                <w:rFonts w:hint="eastAsia" w:ascii="宋体" w:hAnsi="宋体" w:eastAsia="宋体"/>
                <w:color w:val="000000"/>
                <w:kern w:val="0"/>
                <w:sz w:val="18"/>
                <w:szCs w:val="18"/>
              </w:rPr>
              <w:t>资金到位率</w:t>
            </w:r>
            <w:r>
              <w:rPr>
                <w:rFonts w:eastAsia="等线"/>
                <w:color w:val="000000"/>
                <w:kern w:val="0"/>
                <w:sz w:val="18"/>
                <w:szCs w:val="18"/>
              </w:rPr>
              <w:t>*4</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30"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预算执行率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项目预算资金是否按计划执行，用以反映或考核项目预算执行情况。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预算执行率</w:t>
            </w:r>
            <w:r>
              <w:rPr>
                <w:rFonts w:eastAsia="等线"/>
                <w:color w:val="000000"/>
                <w:kern w:val="0"/>
                <w:sz w:val="18"/>
                <w:szCs w:val="18"/>
              </w:rPr>
              <w:t>=</w:t>
            </w:r>
            <w:r>
              <w:rPr>
                <w:rFonts w:hint="eastAsia" w:ascii="宋体" w:hAnsi="宋体" w:eastAsia="宋体"/>
                <w:color w:val="000000"/>
                <w:kern w:val="0"/>
                <w:sz w:val="18"/>
                <w:szCs w:val="18"/>
              </w:rPr>
              <w:t>（实际支出资金</w:t>
            </w:r>
            <w:r>
              <w:rPr>
                <w:rFonts w:eastAsia="等线"/>
                <w:color w:val="000000"/>
                <w:kern w:val="0"/>
                <w:sz w:val="18"/>
                <w:szCs w:val="18"/>
              </w:rPr>
              <w:t>/</w:t>
            </w:r>
            <w:r>
              <w:rPr>
                <w:rFonts w:hint="eastAsia" w:ascii="宋体" w:hAnsi="宋体" w:eastAsia="宋体"/>
                <w:color w:val="000000"/>
                <w:kern w:val="0"/>
                <w:sz w:val="18"/>
                <w:szCs w:val="18"/>
              </w:rPr>
              <w:t>实际到位资金）</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实际得分</w:t>
            </w:r>
            <w:r>
              <w:rPr>
                <w:rFonts w:eastAsia="等线"/>
                <w:color w:val="000000"/>
                <w:kern w:val="0"/>
                <w:sz w:val="18"/>
                <w:szCs w:val="18"/>
              </w:rPr>
              <w:t>=</w:t>
            </w:r>
            <w:r>
              <w:rPr>
                <w:rFonts w:hint="eastAsia" w:ascii="宋体" w:hAnsi="宋体" w:eastAsia="宋体"/>
                <w:color w:val="000000"/>
                <w:kern w:val="0"/>
                <w:sz w:val="18"/>
                <w:szCs w:val="18"/>
              </w:rPr>
              <w:t>预算执行率</w:t>
            </w:r>
            <w:r>
              <w:rPr>
                <w:rFonts w:eastAsia="等线"/>
                <w:color w:val="000000"/>
                <w:kern w:val="0"/>
                <w:sz w:val="18"/>
                <w:szCs w:val="18"/>
              </w:rPr>
              <w:t>*4</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2.83</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6"/>
                <w:szCs w:val="16"/>
              </w:rPr>
            </w:pPr>
            <w:r>
              <w:rPr>
                <w:rFonts w:hint="eastAsia" w:ascii="宋体" w:hAnsi="宋体" w:eastAsia="宋体"/>
                <w:color w:val="000000"/>
                <w:kern w:val="0"/>
                <w:sz w:val="16"/>
                <w:szCs w:val="16"/>
              </w:rPr>
              <w:t>实际支出</w:t>
            </w:r>
            <w:r>
              <w:rPr>
                <w:rFonts w:eastAsia="等线"/>
                <w:color w:val="000000"/>
                <w:kern w:val="0"/>
                <w:sz w:val="16"/>
                <w:szCs w:val="16"/>
              </w:rPr>
              <w:t>566.06</w:t>
            </w:r>
            <w:r>
              <w:rPr>
                <w:rFonts w:hint="eastAsia" w:ascii="宋体" w:hAnsi="宋体" w:eastAsia="宋体"/>
                <w:color w:val="000000"/>
                <w:kern w:val="0"/>
                <w:sz w:val="16"/>
                <w:szCs w:val="16"/>
              </w:rPr>
              <w:t>万元，预算执行率</w:t>
            </w:r>
            <w:r>
              <w:rPr>
                <w:rFonts w:eastAsia="等线"/>
                <w:color w:val="000000"/>
                <w:kern w:val="0"/>
                <w:sz w:val="16"/>
                <w:szCs w:val="16"/>
              </w:rPr>
              <w:t>70.76%</w:t>
            </w:r>
          </w:p>
        </w:tc>
      </w:tr>
      <w:tr>
        <w:tblPrEx>
          <w:tblCellMar>
            <w:top w:w="0" w:type="dxa"/>
            <w:left w:w="108" w:type="dxa"/>
            <w:bottom w:w="0" w:type="dxa"/>
            <w:right w:w="108" w:type="dxa"/>
          </w:tblCellMar>
        </w:tblPrEx>
        <w:trPr>
          <w:trHeight w:val="148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资金使用合规性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项目资金使用是否符合相关的财务管理制度规定，用以反映和考核项目资金的规范运行情况。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①是否符合国家财经和财务管理制度以及有关专项资金管理办法规定；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②资金的拨付是否有完整的审批程序和手续；</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③是否符合预算或合同规定用途；</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④是否存在截留、挤占、挪用、虚列支出等情况。</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完全符合得满分，缺一项扣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3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default" w:ascii="宋体" w:hAnsi="宋体" w:eastAsia="宋体"/>
                <w:color w:val="000000"/>
                <w:kern w:val="0"/>
                <w:sz w:val="18"/>
                <w:szCs w:val="18"/>
                <w:lang w:val="en-US" w:eastAsia="zh-CN"/>
              </w:rPr>
            </w:pPr>
            <w:r>
              <w:rPr>
                <w:rFonts w:hint="eastAsia" w:ascii="宋体" w:hAnsi="宋体" w:eastAsia="宋体"/>
                <w:color w:val="000000"/>
                <w:kern w:val="0"/>
                <w:sz w:val="18"/>
                <w:szCs w:val="18"/>
                <w:lang w:val="en-US" w:eastAsia="zh-CN"/>
              </w:rPr>
              <w:t>组织实施</w:t>
            </w: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hint="eastAsia" w:ascii="宋体" w:hAnsi="宋体" w:eastAsia="宋体"/>
                <w:color w:val="000000"/>
                <w:kern w:val="0"/>
                <w:sz w:val="18"/>
                <w:szCs w:val="18"/>
              </w:rPr>
            </w:pPr>
          </w:p>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组织实施</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管理制度健全性</w:t>
            </w:r>
          </w:p>
        </w:tc>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项目实施单位的财务和业务管理制度是否健全，用以反映和考核财务和业务管理制度对项目顺利实施的保障情况。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①是否已制定或具有相应的财务和业务管理制度；</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②财务和业务管理制度是否合法、合规、完整。</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已制定或具有相应财务制度和业务管理制度且合法、合规、完整得满分，缺一项扣</w:t>
            </w:r>
            <w:r>
              <w:rPr>
                <w:rFonts w:eastAsia="等线"/>
                <w:color w:val="000000"/>
                <w:kern w:val="0"/>
                <w:sz w:val="18"/>
                <w:szCs w:val="18"/>
              </w:rPr>
              <w:t>2</w:t>
            </w:r>
            <w:r>
              <w:rPr>
                <w:rFonts w:hint="eastAsia" w:ascii="宋体" w:hAnsi="宋体" w:eastAsia="宋体"/>
                <w:color w:val="000000"/>
                <w:kern w:val="0"/>
                <w:sz w:val="18"/>
                <w:szCs w:val="18"/>
              </w:rPr>
              <w:t>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1440"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制度执行有效性</w:t>
            </w:r>
          </w:p>
        </w:tc>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5</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项目实施是否符合相关管理规定，用以反映和考核相关管理制度的有效执行情况。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评价要点：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①是否遵守相关法律法规和相关管理规定；</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②项目支出手续是否完备；</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③项目补助资金申请等资料是否齐全并及时归档；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④项目资料审批是否合规；</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⑤项目实施的人员条件、信息支撑等是否落实到位。</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完全符合得满分，缺一项扣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5</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9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公开公示</w:t>
            </w:r>
          </w:p>
        </w:tc>
        <w:tc>
          <w:tcPr>
            <w:tcW w:w="425"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人社部门是否按规定对相关信息进行公开公示，用以反映和考核接受公众监督情况。</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①相关单位是否建立了公开公示制度；</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②是否按规定进行公开公示。</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对相关信息按规定进行公开公示，得满分，否则酌情扣分。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1</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公益性岗位补贴公开公示信息不完整</w:t>
            </w:r>
          </w:p>
        </w:tc>
      </w:tr>
      <w:tr>
        <w:tblPrEx>
          <w:tblCellMar>
            <w:top w:w="0" w:type="dxa"/>
            <w:left w:w="108" w:type="dxa"/>
            <w:bottom w:w="0" w:type="dxa"/>
            <w:right w:w="108" w:type="dxa"/>
          </w:tblCellMar>
        </w:tblPrEx>
        <w:trPr>
          <w:trHeight w:val="615" w:hRule="atLeast"/>
          <w:jc w:val="center"/>
        </w:trPr>
        <w:tc>
          <w:tcPr>
            <w:tcW w:w="817"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政策宣传</w:t>
            </w: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政策宣传，用以反映和考核人社部门对政策的宣传情况。</w:t>
            </w:r>
          </w:p>
        </w:tc>
        <w:tc>
          <w:tcPr>
            <w:tcW w:w="4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是否开展政策宣传活动宣传就业补助资金政策。</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进行宣传且效果良好得满分；否则酌情扣分。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825"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过程监督</w:t>
            </w:r>
          </w:p>
        </w:tc>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326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是否完善监督、监管、日常巡查机制，用以反映和考核人社部门对项目的过程监管情况。</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①是否完善监督、监管、日常巡查机制；</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②是否进行日常监管。</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建立相关机制且进行日常监督得满分；否则酌情扣分。</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2</w:t>
            </w:r>
          </w:p>
        </w:tc>
        <w:tc>
          <w:tcPr>
            <w:tcW w:w="1830"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75" w:hRule="atLeast"/>
          <w:jc w:val="center"/>
        </w:trPr>
        <w:tc>
          <w:tcPr>
            <w:tcW w:w="8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w:t>
            </w:r>
            <w:r>
              <w:rPr>
                <w:rFonts w:eastAsia="等线"/>
                <w:color w:val="000000"/>
                <w:kern w:val="0"/>
                <w:sz w:val="18"/>
                <w:szCs w:val="18"/>
              </w:rPr>
              <w:t>28</w:t>
            </w:r>
            <w:r>
              <w:rPr>
                <w:rFonts w:hint="eastAsia" w:ascii="宋体" w:hAnsi="宋体" w:eastAsia="宋体"/>
                <w:color w:val="000000"/>
                <w:kern w:val="0"/>
                <w:sz w:val="18"/>
                <w:szCs w:val="18"/>
              </w:rPr>
              <w:t>分）</w:t>
            </w:r>
          </w:p>
        </w:tc>
        <w:tc>
          <w:tcPr>
            <w:tcW w:w="1026" w:type="dxa"/>
            <w:tcBorders>
              <w:top w:val="single" w:color="auto" w:sz="4" w:space="0"/>
              <w:left w:val="nil"/>
              <w:bottom w:val="nil"/>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产出数量</w:t>
            </w:r>
          </w:p>
        </w:tc>
        <w:tc>
          <w:tcPr>
            <w:tcW w:w="955"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实际补贴完成率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实际补贴人数与计划补贴人数的比率，用以反映和考核项目产出数量目标的实现程度。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bookmarkStart w:id="94" w:name="_GoBack"/>
            <w:bookmarkEnd w:id="94"/>
            <w:r>
              <w:rPr>
                <w:rFonts w:hint="eastAsia" w:ascii="宋体" w:hAnsi="宋体" w:eastAsia="宋体"/>
                <w:color w:val="000000"/>
                <w:kern w:val="0"/>
                <w:sz w:val="18"/>
                <w:szCs w:val="18"/>
              </w:rPr>
              <w:t>实际完成率</w:t>
            </w:r>
            <w:r>
              <w:rPr>
                <w:rFonts w:eastAsia="等线"/>
                <w:color w:val="000000"/>
                <w:kern w:val="0"/>
                <w:sz w:val="18"/>
                <w:szCs w:val="18"/>
              </w:rPr>
              <w:t>=</w:t>
            </w:r>
            <w:r>
              <w:rPr>
                <w:rFonts w:hint="eastAsia" w:ascii="宋体" w:hAnsi="宋体" w:eastAsia="宋体"/>
                <w:color w:val="000000"/>
                <w:kern w:val="0"/>
                <w:sz w:val="18"/>
                <w:szCs w:val="18"/>
              </w:rPr>
              <w:t>（实际补贴人数</w:t>
            </w:r>
            <w:r>
              <w:rPr>
                <w:rFonts w:eastAsia="等线"/>
                <w:color w:val="000000"/>
                <w:kern w:val="0"/>
                <w:sz w:val="18"/>
                <w:szCs w:val="18"/>
              </w:rPr>
              <w:t>/</w:t>
            </w:r>
            <w:r>
              <w:rPr>
                <w:rFonts w:hint="eastAsia" w:ascii="宋体" w:hAnsi="宋体" w:eastAsia="宋体"/>
                <w:color w:val="000000"/>
                <w:kern w:val="0"/>
                <w:sz w:val="18"/>
                <w:szCs w:val="18"/>
              </w:rPr>
              <w:t>计划补贴人数）</w:t>
            </w:r>
            <w:r>
              <w:rPr>
                <w:rFonts w:eastAsia="等线"/>
                <w:color w:val="000000"/>
                <w:kern w:val="0"/>
                <w:sz w:val="18"/>
                <w:szCs w:val="18"/>
              </w:rPr>
              <w:t>*100%</w:t>
            </w:r>
            <w:r>
              <w:rPr>
                <w:rFonts w:hint="eastAsia" w:ascii="宋体" w:hAnsi="宋体" w:eastAsia="宋体"/>
                <w:color w:val="000000"/>
                <w:kern w:val="0"/>
                <w:sz w:val="18"/>
                <w:szCs w:val="18"/>
              </w:rPr>
              <w:t>。</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实际得分</w:t>
            </w:r>
            <w:r>
              <w:rPr>
                <w:rFonts w:eastAsia="等线"/>
                <w:color w:val="000000"/>
                <w:kern w:val="0"/>
                <w:sz w:val="18"/>
                <w:szCs w:val="18"/>
              </w:rPr>
              <w:t>=</w:t>
            </w:r>
            <w:r>
              <w:rPr>
                <w:rFonts w:hint="eastAsia" w:ascii="宋体" w:hAnsi="宋体" w:eastAsia="宋体"/>
                <w:color w:val="000000"/>
                <w:kern w:val="0"/>
                <w:sz w:val="18"/>
                <w:szCs w:val="18"/>
              </w:rPr>
              <w:t>实际补贴完成率</w:t>
            </w:r>
            <w:r>
              <w:rPr>
                <w:rFonts w:eastAsia="等线"/>
                <w:color w:val="000000"/>
                <w:kern w:val="0"/>
                <w:sz w:val="18"/>
                <w:szCs w:val="18"/>
              </w:rPr>
              <w:t>*7</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7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产出质量</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宋体" w:hAnsi="宋体" w:eastAsia="宋体" w:cs="宋体"/>
                <w:kern w:val="0"/>
                <w:sz w:val="18"/>
                <w:szCs w:val="18"/>
              </w:rPr>
            </w:pPr>
            <w:r>
              <w:rPr>
                <w:rFonts w:hint="eastAsia" w:ascii="宋体" w:hAnsi="宋体" w:eastAsia="宋体" w:cs="宋体"/>
                <w:kern w:val="0"/>
                <w:sz w:val="18"/>
                <w:szCs w:val="18"/>
              </w:rPr>
              <w:t>职业技能培训合格率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kern w:val="0"/>
                <w:sz w:val="18"/>
                <w:szCs w:val="18"/>
              </w:rPr>
            </w:pPr>
            <w:r>
              <w:rPr>
                <w:rFonts w:eastAsia="等线"/>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ascii="宋体" w:hAnsi="宋体" w:eastAsia="宋体" w:cs="宋体"/>
                <w:kern w:val="0"/>
                <w:sz w:val="18"/>
                <w:szCs w:val="18"/>
              </w:rPr>
            </w:pPr>
            <w:r>
              <w:rPr>
                <w:rFonts w:hint="eastAsia" w:ascii="宋体" w:hAnsi="宋体" w:eastAsia="宋体" w:cs="宋体"/>
                <w:kern w:val="0"/>
                <w:sz w:val="18"/>
                <w:szCs w:val="18"/>
              </w:rPr>
              <w:t>职业技能培训合格人数与参加职业技能培训人数的比率，用以反映和考核项目产出质量目标的实现程度。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职业技能培训合格率</w:t>
            </w:r>
            <w:r>
              <w:rPr>
                <w:rFonts w:eastAsia="等线"/>
                <w:kern w:val="0"/>
                <w:sz w:val="18"/>
                <w:szCs w:val="18"/>
              </w:rPr>
              <w:t>=</w:t>
            </w:r>
            <w:r>
              <w:rPr>
                <w:rFonts w:hint="eastAsia" w:ascii="宋体" w:hAnsi="宋体" w:eastAsia="宋体"/>
                <w:kern w:val="0"/>
                <w:sz w:val="18"/>
                <w:szCs w:val="18"/>
              </w:rPr>
              <w:t>（职业技能培训合格人数</w:t>
            </w:r>
            <w:r>
              <w:rPr>
                <w:rFonts w:eastAsia="等线"/>
                <w:kern w:val="0"/>
                <w:sz w:val="18"/>
                <w:szCs w:val="18"/>
              </w:rPr>
              <w:t>/</w:t>
            </w:r>
            <w:r>
              <w:rPr>
                <w:rFonts w:hint="eastAsia" w:ascii="宋体" w:hAnsi="宋体" w:eastAsia="宋体"/>
                <w:kern w:val="0"/>
                <w:sz w:val="18"/>
                <w:szCs w:val="18"/>
              </w:rPr>
              <w:t>参加职业技能培训人数）</w:t>
            </w:r>
            <w:r>
              <w:rPr>
                <w:rFonts w:eastAsia="等线"/>
                <w:kern w:val="0"/>
                <w:sz w:val="18"/>
                <w:szCs w:val="18"/>
              </w:rPr>
              <w:t>*100%</w:t>
            </w:r>
            <w:r>
              <w:rPr>
                <w:rFonts w:hint="eastAsia" w:ascii="宋体" w:hAnsi="宋体" w:eastAsia="宋体"/>
                <w:kern w:val="0"/>
                <w:sz w:val="18"/>
                <w:szCs w:val="18"/>
              </w:rPr>
              <w:t>。</w:t>
            </w:r>
          </w:p>
        </w:tc>
        <w:tc>
          <w:tcPr>
            <w:tcW w:w="2775"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kern w:val="0"/>
                <w:sz w:val="18"/>
                <w:szCs w:val="18"/>
              </w:rPr>
            </w:pPr>
            <w:r>
              <w:rPr>
                <w:rFonts w:hint="eastAsia" w:ascii="宋体" w:hAnsi="宋体" w:eastAsia="宋体"/>
                <w:kern w:val="0"/>
                <w:sz w:val="18"/>
                <w:szCs w:val="18"/>
              </w:rPr>
              <w:t>实际得分</w:t>
            </w:r>
            <w:r>
              <w:rPr>
                <w:rFonts w:eastAsia="等线"/>
                <w:kern w:val="0"/>
                <w:sz w:val="18"/>
                <w:szCs w:val="18"/>
              </w:rPr>
              <w:t>=</w:t>
            </w:r>
            <w:r>
              <w:rPr>
                <w:rFonts w:hint="eastAsia" w:ascii="宋体" w:hAnsi="宋体" w:eastAsia="宋体"/>
                <w:kern w:val="0"/>
                <w:sz w:val="18"/>
                <w:szCs w:val="18"/>
              </w:rPr>
              <w:t>职业技能培训合格率</w:t>
            </w:r>
            <w:r>
              <w:rPr>
                <w:rFonts w:eastAsia="等线"/>
                <w:kern w:val="0"/>
                <w:sz w:val="18"/>
                <w:szCs w:val="18"/>
              </w:rPr>
              <w:t>*7</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4.04</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hint="eastAsia" w:eastAsia="宋体"/>
                <w:color w:val="000000"/>
                <w:kern w:val="0"/>
                <w:sz w:val="16"/>
                <w:szCs w:val="16"/>
                <w:lang w:eastAsia="zh-CN"/>
              </w:rPr>
            </w:pPr>
            <w:r>
              <w:rPr>
                <w:rFonts w:hint="eastAsia" w:ascii="宋体" w:hAnsi="宋体" w:eastAsia="宋体"/>
                <w:color w:val="000000"/>
                <w:kern w:val="0"/>
                <w:sz w:val="16"/>
                <w:szCs w:val="16"/>
              </w:rPr>
              <w:t>实际参加培训人数</w:t>
            </w:r>
            <w:r>
              <w:rPr>
                <w:rFonts w:eastAsia="等线"/>
                <w:color w:val="000000"/>
                <w:kern w:val="0"/>
                <w:sz w:val="16"/>
                <w:szCs w:val="16"/>
              </w:rPr>
              <w:t>1285</w:t>
            </w:r>
            <w:r>
              <w:rPr>
                <w:rFonts w:hint="eastAsia" w:ascii="宋体" w:hAnsi="宋体" w:eastAsia="宋体"/>
                <w:color w:val="000000"/>
                <w:kern w:val="0"/>
                <w:sz w:val="16"/>
                <w:szCs w:val="16"/>
              </w:rPr>
              <w:t>人，合格人数</w:t>
            </w:r>
            <w:r>
              <w:rPr>
                <w:rFonts w:eastAsia="等线"/>
                <w:color w:val="000000"/>
                <w:kern w:val="0"/>
                <w:sz w:val="16"/>
                <w:szCs w:val="16"/>
              </w:rPr>
              <w:t>741</w:t>
            </w:r>
            <w:r>
              <w:rPr>
                <w:rFonts w:hint="eastAsia" w:ascii="宋体" w:hAnsi="宋体" w:eastAsia="宋体"/>
                <w:color w:val="000000"/>
                <w:kern w:val="0"/>
                <w:sz w:val="16"/>
                <w:szCs w:val="16"/>
              </w:rPr>
              <w:t>人</w:t>
            </w:r>
            <w:r>
              <w:rPr>
                <w:rFonts w:hint="eastAsia" w:ascii="宋体" w:hAnsi="宋体" w:eastAsia="宋体"/>
                <w:color w:val="000000"/>
                <w:kern w:val="0"/>
                <w:sz w:val="16"/>
                <w:szCs w:val="16"/>
                <w:lang w:eastAsia="zh-CN"/>
              </w:rPr>
              <w:t>，合格率</w:t>
            </w:r>
          </w:p>
        </w:tc>
      </w:tr>
      <w:tr>
        <w:tblPrEx>
          <w:tblCellMar>
            <w:top w:w="0" w:type="dxa"/>
            <w:left w:w="108" w:type="dxa"/>
            <w:bottom w:w="0" w:type="dxa"/>
            <w:right w:w="108" w:type="dxa"/>
          </w:tblCellMar>
        </w:tblPrEx>
        <w:trPr>
          <w:trHeight w:val="67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产出时效</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补贴发放及时性</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补贴资金发放是否及时，用以反映和考核项目产出时效目标的实现程度。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评价要点：</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补贴资金是否按规定时间及时发放。</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及时发放得满分，否则酌情扣分。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45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产出成本</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补贴发放准确率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应补贴金额与实际补贴金额的一致性，用以反映和考核补贴发放的准确程度。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补贴发放准确率</w:t>
            </w:r>
            <w:r>
              <w:rPr>
                <w:rFonts w:eastAsia="等线"/>
                <w:color w:val="000000"/>
                <w:kern w:val="0"/>
                <w:sz w:val="18"/>
                <w:szCs w:val="18"/>
              </w:rPr>
              <w:t>=</w:t>
            </w:r>
            <w:r>
              <w:rPr>
                <w:rFonts w:hint="eastAsia" w:ascii="宋体" w:hAnsi="宋体" w:eastAsia="宋体"/>
                <w:color w:val="000000"/>
                <w:kern w:val="0"/>
                <w:sz w:val="18"/>
                <w:szCs w:val="18"/>
              </w:rPr>
              <w:t>（实际补贴金额</w:t>
            </w:r>
            <w:r>
              <w:rPr>
                <w:rFonts w:eastAsia="等线"/>
                <w:color w:val="000000"/>
                <w:kern w:val="0"/>
                <w:sz w:val="18"/>
                <w:szCs w:val="18"/>
              </w:rPr>
              <w:t>/</w:t>
            </w:r>
            <w:r>
              <w:rPr>
                <w:rFonts w:hint="eastAsia" w:ascii="宋体" w:hAnsi="宋体" w:eastAsia="宋体"/>
                <w:color w:val="000000"/>
                <w:kern w:val="0"/>
                <w:sz w:val="18"/>
                <w:szCs w:val="18"/>
              </w:rPr>
              <w:t>应补贴金额）</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发放准确率为</w:t>
            </w:r>
            <w:r>
              <w:rPr>
                <w:rFonts w:eastAsia="等线"/>
                <w:color w:val="000000"/>
                <w:kern w:val="0"/>
                <w:sz w:val="18"/>
                <w:szCs w:val="18"/>
              </w:rPr>
              <w:t>100%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675" w:hRule="atLeast"/>
          <w:jc w:val="center"/>
        </w:trPr>
        <w:tc>
          <w:tcPr>
            <w:tcW w:w="817"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效果</w:t>
            </w:r>
            <w:r>
              <w:rPr>
                <w:rFonts w:hint="eastAsia" w:ascii="宋体" w:hAnsi="宋体" w:eastAsia="宋体"/>
                <w:color w:val="000000"/>
                <w:kern w:val="0"/>
                <w:sz w:val="18"/>
                <w:szCs w:val="18"/>
              </w:rPr>
              <w:br w:type="textWrapping"/>
            </w:r>
            <w:r>
              <w:rPr>
                <w:rFonts w:hint="eastAsia" w:ascii="宋体" w:hAnsi="宋体" w:eastAsia="宋体"/>
                <w:color w:val="000000"/>
                <w:kern w:val="0"/>
                <w:sz w:val="18"/>
                <w:szCs w:val="18"/>
              </w:rPr>
              <w:t>（</w:t>
            </w:r>
            <w:r>
              <w:rPr>
                <w:rFonts w:eastAsia="等线"/>
                <w:color w:val="000000"/>
                <w:kern w:val="0"/>
                <w:sz w:val="18"/>
                <w:szCs w:val="18"/>
              </w:rPr>
              <w:t>32</w:t>
            </w:r>
            <w:r>
              <w:rPr>
                <w:rFonts w:hint="eastAsia" w:ascii="宋体" w:hAnsi="宋体" w:eastAsia="宋体"/>
                <w:color w:val="000000"/>
                <w:kern w:val="0"/>
                <w:sz w:val="18"/>
                <w:szCs w:val="18"/>
              </w:rPr>
              <w:t>分）</w:t>
            </w:r>
          </w:p>
        </w:tc>
        <w:tc>
          <w:tcPr>
            <w:tcW w:w="1026" w:type="dxa"/>
            <w:vMerge w:val="restart"/>
            <w:tcBorders>
              <w:top w:val="nil"/>
              <w:left w:val="single" w:color="auto" w:sz="4" w:space="0"/>
              <w:bottom w:val="nil"/>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项目效益</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新增就业人数增长率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本年新增就业人数较上年新增就业人数的增长率，用以反映和考核补贴产生的社会效益。</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新增就业人数增长率</w:t>
            </w:r>
            <w:r>
              <w:rPr>
                <w:rFonts w:eastAsia="等线"/>
                <w:color w:val="000000"/>
                <w:kern w:val="0"/>
                <w:sz w:val="18"/>
                <w:szCs w:val="18"/>
              </w:rPr>
              <w:t>=[</w:t>
            </w:r>
            <w:r>
              <w:rPr>
                <w:rFonts w:hint="eastAsia" w:ascii="宋体" w:hAnsi="宋体" w:eastAsia="宋体"/>
                <w:color w:val="000000"/>
                <w:kern w:val="0"/>
                <w:sz w:val="18"/>
                <w:szCs w:val="18"/>
              </w:rPr>
              <w:t>（本年新增就业人数</w:t>
            </w:r>
            <w:r>
              <w:rPr>
                <w:rFonts w:eastAsia="等线"/>
                <w:color w:val="000000"/>
                <w:kern w:val="0"/>
                <w:sz w:val="18"/>
                <w:szCs w:val="18"/>
              </w:rPr>
              <w:t>-</w:t>
            </w:r>
            <w:r>
              <w:rPr>
                <w:rFonts w:hint="eastAsia" w:ascii="宋体" w:hAnsi="宋体" w:eastAsia="宋体"/>
                <w:color w:val="000000"/>
                <w:kern w:val="0"/>
                <w:sz w:val="18"/>
                <w:szCs w:val="18"/>
              </w:rPr>
              <w:t>上年新增就业人数）</w:t>
            </w:r>
            <w:r>
              <w:rPr>
                <w:rFonts w:eastAsia="等线"/>
                <w:color w:val="000000"/>
                <w:kern w:val="0"/>
                <w:sz w:val="18"/>
                <w:szCs w:val="18"/>
              </w:rPr>
              <w:t>/</w:t>
            </w:r>
            <w:r>
              <w:rPr>
                <w:rFonts w:hint="eastAsia" w:ascii="宋体" w:hAnsi="宋体" w:eastAsia="宋体"/>
                <w:color w:val="000000"/>
                <w:kern w:val="0"/>
                <w:sz w:val="18"/>
                <w:szCs w:val="18"/>
              </w:rPr>
              <w:t>上年新增就业人数</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新增就业人数增长率≥</w:t>
            </w:r>
            <w:r>
              <w:rPr>
                <w:rFonts w:eastAsia="等线"/>
                <w:color w:val="000000"/>
                <w:kern w:val="0"/>
                <w:sz w:val="18"/>
                <w:szCs w:val="18"/>
              </w:rPr>
              <w:t>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20"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就业困难人员再就业增长率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本年就业困难人员再就业人数较上年就业困难人员再就业人数的增长率，用以反映和考核补贴产生的社会效益。</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就业困难人员再就业增长率</w:t>
            </w:r>
            <w:r>
              <w:rPr>
                <w:rFonts w:eastAsia="等线"/>
                <w:color w:val="000000"/>
                <w:kern w:val="0"/>
                <w:sz w:val="18"/>
                <w:szCs w:val="18"/>
              </w:rPr>
              <w:t>=[</w:t>
            </w:r>
            <w:r>
              <w:rPr>
                <w:rFonts w:hint="eastAsia" w:ascii="宋体" w:hAnsi="宋体" w:eastAsia="宋体"/>
                <w:color w:val="000000"/>
                <w:kern w:val="0"/>
                <w:sz w:val="18"/>
                <w:szCs w:val="18"/>
              </w:rPr>
              <w:t>（本年就业困难人员再就业人数</w:t>
            </w:r>
            <w:r>
              <w:rPr>
                <w:rFonts w:eastAsia="等线"/>
                <w:color w:val="000000"/>
                <w:kern w:val="0"/>
                <w:sz w:val="18"/>
                <w:szCs w:val="18"/>
              </w:rPr>
              <w:t>-</w:t>
            </w:r>
            <w:r>
              <w:rPr>
                <w:rFonts w:hint="eastAsia" w:ascii="宋体" w:hAnsi="宋体" w:eastAsia="宋体"/>
                <w:color w:val="000000"/>
                <w:kern w:val="0"/>
                <w:sz w:val="18"/>
                <w:szCs w:val="18"/>
              </w:rPr>
              <w:t>上年就业困难人员再就业人数）</w:t>
            </w:r>
            <w:r>
              <w:rPr>
                <w:rFonts w:eastAsia="等线"/>
                <w:color w:val="000000"/>
                <w:kern w:val="0"/>
                <w:sz w:val="18"/>
                <w:szCs w:val="18"/>
              </w:rPr>
              <w:t>/</w:t>
            </w:r>
            <w:r>
              <w:rPr>
                <w:rFonts w:hint="eastAsia" w:ascii="宋体" w:hAnsi="宋体" w:eastAsia="宋体"/>
                <w:color w:val="000000"/>
                <w:kern w:val="0"/>
                <w:sz w:val="18"/>
                <w:szCs w:val="18"/>
              </w:rPr>
              <w:t>上年就业困难人员再就业人数</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就业困难人员再就业增长率≥</w:t>
            </w:r>
            <w:r>
              <w:rPr>
                <w:rFonts w:eastAsia="等线"/>
                <w:color w:val="000000"/>
                <w:kern w:val="0"/>
                <w:sz w:val="18"/>
                <w:szCs w:val="18"/>
              </w:rPr>
              <w:t>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833"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vMerge w:val="continue"/>
            <w:tcBorders>
              <w:top w:val="nil"/>
              <w:left w:val="single" w:color="auto" w:sz="4" w:space="0"/>
              <w:bottom w:val="nil"/>
              <w:right w:val="single" w:color="auto" w:sz="4" w:space="0"/>
            </w:tcBorders>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年末失业率下降率</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本年末失业率较上年末失业率下降比率，用以反映和考核补贴产生的社会效益。</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年末失业率下降率</w:t>
            </w:r>
            <w:r>
              <w:rPr>
                <w:rFonts w:eastAsia="等线"/>
                <w:color w:val="000000"/>
                <w:kern w:val="0"/>
                <w:sz w:val="18"/>
                <w:szCs w:val="18"/>
              </w:rPr>
              <w:t>=[</w:t>
            </w:r>
            <w:r>
              <w:rPr>
                <w:rFonts w:hint="eastAsia" w:ascii="宋体" w:hAnsi="宋体" w:eastAsia="宋体"/>
                <w:color w:val="000000"/>
                <w:kern w:val="0"/>
                <w:sz w:val="18"/>
                <w:szCs w:val="18"/>
              </w:rPr>
              <w:t>（本年末失业率</w:t>
            </w:r>
            <w:r>
              <w:rPr>
                <w:rFonts w:eastAsia="等线"/>
                <w:color w:val="000000"/>
                <w:kern w:val="0"/>
                <w:sz w:val="18"/>
                <w:szCs w:val="18"/>
              </w:rPr>
              <w:t>-</w:t>
            </w:r>
            <w:r>
              <w:rPr>
                <w:rFonts w:hint="eastAsia" w:ascii="宋体" w:hAnsi="宋体" w:eastAsia="宋体"/>
                <w:color w:val="000000"/>
                <w:kern w:val="0"/>
                <w:sz w:val="18"/>
                <w:szCs w:val="18"/>
              </w:rPr>
              <w:t>上年末失业率）</w:t>
            </w:r>
            <w:r>
              <w:rPr>
                <w:rFonts w:eastAsia="等线"/>
                <w:color w:val="000000"/>
                <w:kern w:val="0"/>
                <w:sz w:val="18"/>
                <w:szCs w:val="18"/>
              </w:rPr>
              <w:t>/</w:t>
            </w:r>
            <w:r>
              <w:rPr>
                <w:rFonts w:hint="eastAsia" w:ascii="宋体" w:hAnsi="宋体" w:eastAsia="宋体"/>
                <w:color w:val="000000"/>
                <w:kern w:val="0"/>
                <w:sz w:val="18"/>
                <w:szCs w:val="18"/>
              </w:rPr>
              <w:t>上年末失业率</w:t>
            </w:r>
            <w:r>
              <w:rPr>
                <w:rFonts w:eastAsia="等线"/>
                <w:color w:val="000000"/>
                <w:kern w:val="0"/>
                <w:sz w:val="18"/>
                <w:szCs w:val="18"/>
              </w:rPr>
              <w:t>]*100%</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年末失业率下降率≤</w:t>
            </w:r>
            <w:r>
              <w:rPr>
                <w:rFonts w:eastAsia="等线"/>
                <w:color w:val="000000"/>
                <w:kern w:val="0"/>
                <w:sz w:val="18"/>
                <w:szCs w:val="18"/>
              </w:rPr>
              <w:t>0</w:t>
            </w:r>
            <w:r>
              <w:rPr>
                <w:rFonts w:hint="eastAsia" w:ascii="宋体" w:hAnsi="宋体" w:eastAsia="宋体"/>
                <w:color w:val="000000"/>
                <w:kern w:val="0"/>
                <w:sz w:val="18"/>
                <w:szCs w:val="18"/>
              </w:rPr>
              <w:t>得满分，否则酌情扣分。</w:t>
            </w: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r>
        <w:tblPrEx>
          <w:tblCellMar>
            <w:top w:w="0" w:type="dxa"/>
            <w:left w:w="108" w:type="dxa"/>
            <w:bottom w:w="0" w:type="dxa"/>
            <w:right w:w="108" w:type="dxa"/>
          </w:tblCellMar>
        </w:tblPrEx>
        <w:trPr>
          <w:trHeight w:val="735" w:hRule="atLeast"/>
          <w:jc w:val="center"/>
        </w:trPr>
        <w:tc>
          <w:tcPr>
            <w:tcW w:w="817" w:type="dxa"/>
            <w:vMerge w:val="continue"/>
            <w:tcBorders>
              <w:top w:val="nil"/>
              <w:left w:val="single" w:color="auto" w:sz="4" w:space="0"/>
              <w:bottom w:val="single" w:color="000000" w:sz="4" w:space="0"/>
              <w:right w:val="single" w:color="auto" w:sz="4" w:space="0"/>
            </w:tcBorders>
            <w:vAlign w:val="center"/>
          </w:tcPr>
          <w:p>
            <w:pPr>
              <w:widowControl/>
              <w:spacing w:line="300" w:lineRule="exact"/>
              <w:jc w:val="center"/>
              <w:rPr>
                <w:rFonts w:eastAsia="等线"/>
                <w:color w:val="000000"/>
                <w:kern w:val="0"/>
                <w:sz w:val="18"/>
                <w:szCs w:val="18"/>
              </w:rPr>
            </w:pPr>
          </w:p>
        </w:tc>
        <w:tc>
          <w:tcPr>
            <w:tcW w:w="1026" w:type="dxa"/>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满意度</w:t>
            </w: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满意度</w:t>
            </w: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8</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社会公众或受益对象对项目实施效果的满意程度。</w:t>
            </w:r>
          </w:p>
        </w:tc>
        <w:tc>
          <w:tcPr>
            <w:tcW w:w="439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社会公众或受益对象是指因该项目实施而受到影响的部门（单位）、群体或个人。一般采取社会调查的方式。</w:t>
            </w:r>
          </w:p>
        </w:tc>
        <w:tc>
          <w:tcPr>
            <w:tcW w:w="2775"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r>
              <w:rPr>
                <w:rFonts w:hint="eastAsia" w:ascii="宋体" w:hAnsi="宋体" w:eastAsia="宋体"/>
                <w:color w:val="000000"/>
                <w:kern w:val="0"/>
                <w:sz w:val="18"/>
                <w:szCs w:val="18"/>
              </w:rPr>
              <w:t>发放问卷调查，若群众满意率大于等于</w:t>
            </w:r>
            <w:r>
              <w:rPr>
                <w:rFonts w:eastAsia="等线"/>
                <w:color w:val="000000"/>
                <w:kern w:val="0"/>
                <w:sz w:val="18"/>
                <w:szCs w:val="18"/>
              </w:rPr>
              <w:t>95%</w:t>
            </w:r>
            <w:r>
              <w:rPr>
                <w:rFonts w:hint="eastAsia" w:ascii="宋体" w:hAnsi="宋体" w:eastAsia="宋体"/>
                <w:color w:val="000000"/>
                <w:kern w:val="0"/>
                <w:sz w:val="18"/>
                <w:szCs w:val="18"/>
              </w:rPr>
              <w:t>，满分；否则，每降低</w:t>
            </w:r>
            <w:r>
              <w:rPr>
                <w:rFonts w:eastAsia="等线"/>
                <w:color w:val="000000"/>
                <w:kern w:val="0"/>
                <w:sz w:val="18"/>
                <w:szCs w:val="18"/>
              </w:rPr>
              <w:t>1%</w:t>
            </w:r>
            <w:r>
              <w:rPr>
                <w:rFonts w:hint="eastAsia" w:ascii="宋体" w:hAnsi="宋体" w:eastAsia="宋体"/>
                <w:color w:val="000000"/>
                <w:kern w:val="0"/>
                <w:sz w:val="18"/>
                <w:szCs w:val="18"/>
              </w:rPr>
              <w:t>扣</w:t>
            </w:r>
            <w:r>
              <w:rPr>
                <w:rFonts w:eastAsia="等线"/>
                <w:color w:val="000000"/>
                <w:kern w:val="0"/>
                <w:sz w:val="18"/>
                <w:szCs w:val="18"/>
              </w:rPr>
              <w:t>1</w:t>
            </w:r>
            <w:r>
              <w:rPr>
                <w:rFonts w:hint="eastAsia" w:ascii="宋体" w:hAnsi="宋体" w:eastAsia="宋体"/>
                <w:color w:val="000000"/>
                <w:kern w:val="0"/>
                <w:sz w:val="18"/>
                <w:szCs w:val="18"/>
              </w:rPr>
              <w:t>分，扣完为止。</w:t>
            </w:r>
          </w:p>
        </w:tc>
        <w:tc>
          <w:tcPr>
            <w:tcW w:w="709"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6.2</w:t>
            </w:r>
          </w:p>
        </w:tc>
        <w:tc>
          <w:tcPr>
            <w:tcW w:w="183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6"/>
                <w:szCs w:val="16"/>
              </w:rPr>
            </w:pPr>
            <w:r>
              <w:rPr>
                <w:rFonts w:hint="eastAsia" w:ascii="宋体" w:hAnsi="宋体" w:eastAsia="宋体"/>
                <w:color w:val="000000"/>
                <w:kern w:val="0"/>
                <w:sz w:val="16"/>
                <w:szCs w:val="16"/>
              </w:rPr>
              <w:t>满意度</w:t>
            </w:r>
            <w:r>
              <w:rPr>
                <w:rFonts w:eastAsia="等线"/>
                <w:color w:val="000000"/>
                <w:kern w:val="0"/>
                <w:sz w:val="16"/>
                <w:szCs w:val="16"/>
              </w:rPr>
              <w:t>93.20%</w:t>
            </w:r>
          </w:p>
        </w:tc>
      </w:tr>
      <w:tr>
        <w:tblPrEx>
          <w:tblCellMar>
            <w:top w:w="0" w:type="dxa"/>
            <w:left w:w="108" w:type="dxa"/>
            <w:bottom w:w="0" w:type="dxa"/>
            <w:right w:w="108" w:type="dxa"/>
          </w:tblCellMar>
        </w:tblPrEx>
        <w:trPr>
          <w:trHeight w:val="300" w:hRule="atLeast"/>
          <w:jc w:val="center"/>
        </w:trPr>
        <w:tc>
          <w:tcPr>
            <w:tcW w:w="817"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hint="eastAsia" w:ascii="宋体" w:hAnsi="宋体" w:eastAsia="宋体"/>
                <w:color w:val="000000"/>
                <w:kern w:val="0"/>
                <w:sz w:val="18"/>
                <w:szCs w:val="18"/>
              </w:rPr>
              <w:t>合计</w:t>
            </w:r>
          </w:p>
        </w:tc>
        <w:tc>
          <w:tcPr>
            <w:tcW w:w="1026"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p>
        </w:tc>
        <w:tc>
          <w:tcPr>
            <w:tcW w:w="955"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eastAsia="等线"/>
                <w:color w:val="000000"/>
                <w:kern w:val="0"/>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100</w:t>
            </w:r>
          </w:p>
        </w:tc>
        <w:tc>
          <w:tcPr>
            <w:tcW w:w="3264" w:type="dxa"/>
            <w:tcBorders>
              <w:top w:val="nil"/>
              <w:left w:val="nil"/>
              <w:bottom w:val="single" w:color="auto" w:sz="4" w:space="0"/>
              <w:right w:val="single" w:color="auto" w:sz="4" w:space="0"/>
            </w:tcBorders>
            <w:shd w:val="clear" w:color="auto" w:fill="auto"/>
            <w:vAlign w:val="center"/>
          </w:tcPr>
          <w:p>
            <w:pPr>
              <w:widowControl/>
              <w:spacing w:line="300" w:lineRule="exact"/>
              <w:jc w:val="left"/>
              <w:rPr>
                <w:rFonts w:eastAsia="等线"/>
                <w:color w:val="000000"/>
                <w:kern w:val="0"/>
                <w:sz w:val="18"/>
                <w:szCs w:val="18"/>
              </w:rPr>
            </w:pPr>
          </w:p>
        </w:tc>
        <w:tc>
          <w:tcPr>
            <w:tcW w:w="4394"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p>
        </w:tc>
        <w:tc>
          <w:tcPr>
            <w:tcW w:w="2775" w:type="dxa"/>
            <w:tcBorders>
              <w:top w:val="nil"/>
              <w:left w:val="nil"/>
              <w:bottom w:val="single" w:color="auto" w:sz="4" w:space="0"/>
              <w:right w:val="single" w:color="auto" w:sz="4" w:space="0"/>
            </w:tcBorders>
            <w:shd w:val="clear" w:color="auto" w:fill="auto"/>
            <w:noWrap/>
            <w:vAlign w:val="center"/>
          </w:tcPr>
          <w:p>
            <w:pPr>
              <w:widowControl/>
              <w:spacing w:line="300" w:lineRule="exact"/>
              <w:jc w:val="left"/>
              <w:rPr>
                <w:rFonts w:eastAsia="等线"/>
                <w:color w:val="000000"/>
                <w:kern w:val="0"/>
                <w:sz w:val="18"/>
                <w:szCs w:val="18"/>
              </w:rPr>
            </w:pPr>
          </w:p>
        </w:tc>
        <w:tc>
          <w:tcPr>
            <w:tcW w:w="709"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8"/>
                <w:szCs w:val="18"/>
              </w:rPr>
            </w:pPr>
            <w:r>
              <w:rPr>
                <w:rFonts w:eastAsia="等线"/>
                <w:color w:val="000000"/>
                <w:kern w:val="0"/>
                <w:sz w:val="18"/>
                <w:szCs w:val="18"/>
              </w:rPr>
              <w:t>90.07</w:t>
            </w:r>
          </w:p>
        </w:tc>
        <w:tc>
          <w:tcPr>
            <w:tcW w:w="1830" w:type="dxa"/>
            <w:tcBorders>
              <w:top w:val="nil"/>
              <w:left w:val="nil"/>
              <w:bottom w:val="single" w:color="auto" w:sz="4" w:space="0"/>
              <w:right w:val="single" w:color="auto" w:sz="4" w:space="0"/>
            </w:tcBorders>
            <w:shd w:val="clear" w:color="auto" w:fill="auto"/>
            <w:noWrap/>
            <w:vAlign w:val="center"/>
          </w:tcPr>
          <w:p>
            <w:pPr>
              <w:widowControl/>
              <w:spacing w:line="300" w:lineRule="exact"/>
              <w:jc w:val="center"/>
              <w:rPr>
                <w:rFonts w:eastAsia="等线"/>
                <w:color w:val="000000"/>
                <w:kern w:val="0"/>
                <w:sz w:val="16"/>
                <w:szCs w:val="16"/>
              </w:rPr>
            </w:pPr>
          </w:p>
        </w:tc>
      </w:tr>
    </w:tbl>
    <w:p>
      <w:pPr>
        <w:jc w:val="left"/>
        <w:rPr>
          <w:sz w:val="28"/>
          <w:szCs w:val="28"/>
        </w:rPr>
      </w:pPr>
    </w:p>
    <w:p>
      <w:pPr>
        <w:widowControl/>
        <w:jc w:val="left"/>
        <w:rPr>
          <w:sz w:val="28"/>
          <w:szCs w:val="28"/>
        </w:rPr>
        <w:sectPr>
          <w:footerReference r:id="rId6" w:type="default"/>
          <w:pgSz w:w="16838" w:h="11906" w:orient="landscape"/>
          <w:pgMar w:top="720" w:right="567" w:bottom="720" w:left="567" w:header="851" w:footer="992" w:gutter="0"/>
          <w:pgNumType w:fmt="decimal"/>
          <w:cols w:space="720" w:num="1"/>
          <w:docGrid w:type="lines" w:linePitch="415" w:charSpace="0"/>
        </w:sectPr>
      </w:pPr>
      <w:r>
        <w:rPr>
          <w:sz w:val="28"/>
          <w:szCs w:val="28"/>
        </w:rPr>
        <w:br w:type="page"/>
      </w:r>
    </w:p>
    <w:p>
      <w:pPr>
        <w:spacing w:line="500" w:lineRule="exact"/>
        <w:ind w:right="334"/>
        <w:jc w:val="center"/>
        <w:outlineLvl w:val="9"/>
        <w:rPr>
          <w:rFonts w:ascii="宋体" w:hAnsi="宋体" w:eastAsia="宋体" w:cs="宋体"/>
          <w:b/>
          <w:bCs/>
          <w:kern w:val="0"/>
          <w:sz w:val="36"/>
          <w:szCs w:val="36"/>
        </w:rPr>
      </w:pPr>
      <w:bookmarkStart w:id="93" w:name="_Toc2363"/>
      <w:r>
        <w:rPr>
          <w:rFonts w:hint="eastAsia" w:ascii="宋体" w:hAnsi="宋体" w:eastAsia="宋体" w:cs="宋体"/>
          <w:b/>
          <w:bCs/>
          <w:spacing w:val="-1"/>
          <w:kern w:val="0"/>
          <w:sz w:val="36"/>
          <w:szCs w:val="36"/>
        </w:rPr>
        <w:t>群众满意度调查问卷</w:t>
      </w:r>
      <w:bookmarkEnd w:id="93"/>
    </w:p>
    <w:p>
      <w:pPr>
        <w:spacing w:line="400" w:lineRule="exact"/>
        <w:jc w:val="center"/>
        <w:rPr>
          <w:rFonts w:ascii="宋体" w:hAnsi="宋体" w:eastAsia="宋体" w:cs="宋体"/>
          <w:b/>
          <w:bCs/>
          <w:kern w:val="0"/>
          <w:sz w:val="28"/>
          <w:szCs w:val="28"/>
        </w:rPr>
      </w:pPr>
    </w:p>
    <w:p>
      <w:pPr>
        <w:spacing w:line="360" w:lineRule="auto"/>
        <w:ind w:left="102" w:right="113" w:firstLine="568" w:firstLineChars="200"/>
        <w:rPr>
          <w:rFonts w:ascii="宋体" w:hAnsi="宋体" w:eastAsia="宋体" w:cs="宋体"/>
          <w:b/>
          <w:bCs/>
          <w:kern w:val="0"/>
          <w:sz w:val="18"/>
          <w:szCs w:val="18"/>
        </w:rPr>
      </w:pPr>
      <w:r>
        <w:rPr>
          <w:rFonts w:hint="eastAsia" w:ascii="宋体" w:hAnsi="宋体" w:eastAsia="宋体" w:cs="宋体"/>
          <w:spacing w:val="2"/>
          <w:kern w:val="0"/>
          <w:sz w:val="28"/>
          <w:szCs w:val="28"/>
        </w:rPr>
        <w:t>您好！我们是河北德永会计师事务所安排的调查员。为做好徐水区2019年就业补助资金项目绩效评价工作，</w:t>
      </w:r>
      <w:r>
        <w:rPr>
          <w:rFonts w:hint="eastAsia" w:ascii="宋体" w:hAnsi="宋体" w:eastAsia="宋体" w:cs="宋体"/>
          <w:kern w:val="0"/>
          <w:sz w:val="28"/>
          <w:szCs w:val="28"/>
        </w:rPr>
        <w:t>了解服务对象对该项目实施效益的</w:t>
      </w:r>
      <w:r>
        <w:rPr>
          <w:rFonts w:hint="eastAsia" w:ascii="宋体" w:hAnsi="宋体" w:eastAsia="宋体" w:cs="宋体"/>
          <w:spacing w:val="-1"/>
          <w:kern w:val="0"/>
          <w:sz w:val="28"/>
          <w:szCs w:val="28"/>
        </w:rPr>
        <w:t>满意度，我们做了调</w:t>
      </w:r>
      <w:r>
        <w:rPr>
          <w:rFonts w:hint="eastAsia" w:ascii="宋体" w:hAnsi="宋体" w:eastAsia="宋体" w:cs="宋体"/>
          <w:spacing w:val="2"/>
          <w:kern w:val="0"/>
          <w:sz w:val="28"/>
          <w:szCs w:val="28"/>
        </w:rPr>
        <w:t>查问卷。您所填的问卷将是匿名的，对于您的问卷内</w:t>
      </w:r>
      <w:r>
        <w:rPr>
          <w:rFonts w:hint="eastAsia" w:ascii="宋体" w:hAnsi="宋体" w:eastAsia="宋体" w:cs="宋体"/>
          <w:kern w:val="0"/>
          <w:sz w:val="28"/>
          <w:szCs w:val="28"/>
        </w:rPr>
        <w:t>容我们将严格予以保密。</w:t>
      </w:r>
      <w:r>
        <w:rPr>
          <w:rFonts w:hint="eastAsia" w:ascii="宋体" w:hAnsi="宋体" w:eastAsia="宋体" w:cs="宋体"/>
          <w:b/>
          <w:bCs/>
          <w:kern w:val="0"/>
          <w:sz w:val="32"/>
          <w:szCs w:val="32"/>
        </w:rPr>
        <w:t>谢谢您的合作！</w:t>
      </w:r>
    </w:p>
    <w:p>
      <w:pPr>
        <w:spacing w:line="360" w:lineRule="auto"/>
        <w:ind w:left="102" w:right="113" w:firstLine="556" w:firstLineChars="200"/>
        <w:rPr>
          <w:rFonts w:ascii="宋体" w:hAnsi="宋体" w:eastAsia="宋体" w:cs="宋体"/>
          <w:spacing w:val="-1"/>
          <w:kern w:val="0"/>
          <w:sz w:val="28"/>
          <w:szCs w:val="28"/>
        </w:rPr>
      </w:pPr>
      <w:r>
        <w:rPr>
          <w:rFonts w:hint="eastAsia" w:ascii="宋体" w:hAnsi="宋体" w:eastAsia="宋体" w:cs="宋体"/>
          <w:spacing w:val="-1"/>
          <w:kern w:val="0"/>
          <w:sz w:val="28"/>
          <w:szCs w:val="28"/>
        </w:rPr>
        <w:t>请在您认为符合的选项打“√”</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1、您对就业补助政策是否了解：</w:t>
      </w:r>
    </w:p>
    <w:p>
      <w:pPr>
        <w:spacing w:line="360" w:lineRule="auto"/>
        <w:ind w:left="102"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 xml:space="preserve">①非常了解         ② 一般       ③不了解  </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2、您通过何种途径知道就业补助资金政策的：</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①当地相关部门宣传</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②电视等媒体</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③亲朋好友</w:t>
      </w:r>
    </w:p>
    <w:p>
      <w:pPr>
        <w:spacing w:line="360" w:lineRule="auto"/>
        <w:ind w:right="113" w:firstLine="568" w:firstLineChars="200"/>
        <w:rPr>
          <w:rFonts w:ascii="宋体" w:hAnsi="宋体" w:eastAsia="宋体" w:cs="宋体"/>
          <w:spacing w:val="2"/>
          <w:kern w:val="0"/>
          <w:sz w:val="28"/>
          <w:szCs w:val="28"/>
          <w:highlight w:val="yellow"/>
        </w:rPr>
      </w:pPr>
      <w:r>
        <w:rPr>
          <w:rFonts w:hint="eastAsia" w:ascii="宋体" w:hAnsi="宋体" w:eastAsia="宋体" w:cs="宋体"/>
          <w:spacing w:val="2"/>
          <w:kern w:val="0"/>
          <w:sz w:val="28"/>
          <w:szCs w:val="28"/>
        </w:rPr>
        <w:t>④其他</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3、您对就业补助资金的发放流程是否满意：</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 xml:space="preserve">①满意         ② 一般       ③不满意 </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4、您对就业补助资金的发放及时性是否满意：</w:t>
      </w:r>
    </w:p>
    <w:p>
      <w:pPr>
        <w:spacing w:line="360" w:lineRule="auto"/>
        <w:ind w:right="113" w:firstLine="568" w:firstLineChars="200"/>
        <w:rPr>
          <w:rFonts w:ascii="宋体" w:hAnsi="宋体" w:eastAsia="宋体" w:cs="宋体"/>
          <w:spacing w:val="2"/>
          <w:kern w:val="0"/>
          <w:sz w:val="28"/>
          <w:szCs w:val="28"/>
        </w:rPr>
      </w:pPr>
      <w:r>
        <w:rPr>
          <w:rFonts w:hint="eastAsia" w:ascii="宋体" w:hAnsi="宋体" w:eastAsia="宋体" w:cs="宋体"/>
          <w:spacing w:val="2"/>
          <w:kern w:val="0"/>
          <w:sz w:val="28"/>
          <w:szCs w:val="28"/>
        </w:rPr>
        <w:t>①满意         ② 一般       ③不满意</w:t>
      </w:r>
    </w:p>
    <w:p>
      <w:pPr>
        <w:spacing w:line="360" w:lineRule="auto"/>
        <w:ind w:right="113"/>
        <w:rPr>
          <w:rFonts w:ascii="宋体" w:hAnsi="宋体" w:eastAsia="宋体" w:cs="宋体"/>
          <w:spacing w:val="2"/>
          <w:kern w:val="0"/>
          <w:sz w:val="28"/>
          <w:szCs w:val="28"/>
        </w:rPr>
      </w:pPr>
      <w:r>
        <w:rPr>
          <w:rFonts w:hint="eastAsia" w:ascii="宋体" w:hAnsi="宋体" w:eastAsia="宋体" w:cs="宋体"/>
          <w:spacing w:val="2"/>
          <w:kern w:val="0"/>
          <w:sz w:val="28"/>
          <w:szCs w:val="28"/>
        </w:rPr>
        <w:t xml:space="preserve">    5、您对本区就业补助政策还有哪些意见和建议：</w:t>
      </w:r>
    </w:p>
    <w:p>
      <w:pPr>
        <w:jc w:val="left"/>
        <w:rPr>
          <w:sz w:val="28"/>
          <w:szCs w:val="28"/>
        </w:rPr>
      </w:pPr>
    </w:p>
    <w:sectPr>
      <w:pgSz w:w="11906" w:h="16838"/>
      <w:pgMar w:top="2098" w:right="1304" w:bottom="1871" w:left="1531" w:header="851" w:footer="992" w:gutter="0"/>
      <w:pgNumType w:fmt="decimal"/>
      <w:cols w:space="720" w:num="1"/>
      <w:docGrid w:type="lines" w:linePitch="4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roman"/>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pict>
        <v:shape id="_x0000_s2055" o:spid="_x0000_s2055"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2058" o:spid="_x0000_s205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1"/>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C957"/>
    <w:multiLevelType w:val="singleLevel"/>
    <w:tmpl w:val="057AC957"/>
    <w:lvl w:ilvl="0" w:tentative="0">
      <w:start w:val="5"/>
      <w:numFmt w:val="chineseCounting"/>
      <w:suff w:val="nothing"/>
      <w:lvlText w:val="%1、"/>
      <w:lvlJc w:val="left"/>
      <w:rPr>
        <w:rFonts w:hint="eastAsia"/>
      </w:rPr>
    </w:lvl>
  </w:abstractNum>
  <w:abstractNum w:abstractNumId="1">
    <w:nsid w:val="62553D07"/>
    <w:multiLevelType w:val="singleLevel"/>
    <w:tmpl w:val="62553D07"/>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415"/>
  <w:displayHorizont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11E5F"/>
    <w:rsid w:val="000127ED"/>
    <w:rsid w:val="00023AE0"/>
    <w:rsid w:val="00030F3E"/>
    <w:rsid w:val="00037E06"/>
    <w:rsid w:val="00045441"/>
    <w:rsid w:val="00050492"/>
    <w:rsid w:val="00051A2C"/>
    <w:rsid w:val="00054505"/>
    <w:rsid w:val="00057D87"/>
    <w:rsid w:val="000618D4"/>
    <w:rsid w:val="00072BB7"/>
    <w:rsid w:val="000730AB"/>
    <w:rsid w:val="00085772"/>
    <w:rsid w:val="00086F23"/>
    <w:rsid w:val="00093980"/>
    <w:rsid w:val="000A5380"/>
    <w:rsid w:val="000A5CF7"/>
    <w:rsid w:val="000A650F"/>
    <w:rsid w:val="000B0BAF"/>
    <w:rsid w:val="000B1E3C"/>
    <w:rsid w:val="000B67C0"/>
    <w:rsid w:val="000B771D"/>
    <w:rsid w:val="000C05C1"/>
    <w:rsid w:val="000C090B"/>
    <w:rsid w:val="000C6532"/>
    <w:rsid w:val="000D1760"/>
    <w:rsid w:val="000D2198"/>
    <w:rsid w:val="000D6C36"/>
    <w:rsid w:val="000D7925"/>
    <w:rsid w:val="000E56E4"/>
    <w:rsid w:val="000F65B4"/>
    <w:rsid w:val="00105032"/>
    <w:rsid w:val="00112699"/>
    <w:rsid w:val="001235AB"/>
    <w:rsid w:val="001279E6"/>
    <w:rsid w:val="00140BC0"/>
    <w:rsid w:val="00141A9B"/>
    <w:rsid w:val="001445E3"/>
    <w:rsid w:val="00150D14"/>
    <w:rsid w:val="00164A3D"/>
    <w:rsid w:val="001711E9"/>
    <w:rsid w:val="001725F8"/>
    <w:rsid w:val="00177F9C"/>
    <w:rsid w:val="001809B6"/>
    <w:rsid w:val="00192F21"/>
    <w:rsid w:val="001A1659"/>
    <w:rsid w:val="001A1879"/>
    <w:rsid w:val="001A1ECF"/>
    <w:rsid w:val="001A2339"/>
    <w:rsid w:val="001A2955"/>
    <w:rsid w:val="001A6C46"/>
    <w:rsid w:val="001A72D0"/>
    <w:rsid w:val="001C08F9"/>
    <w:rsid w:val="001C681B"/>
    <w:rsid w:val="001D5909"/>
    <w:rsid w:val="001E4011"/>
    <w:rsid w:val="001E57BD"/>
    <w:rsid w:val="001E6218"/>
    <w:rsid w:val="001F2702"/>
    <w:rsid w:val="001F4CE7"/>
    <w:rsid w:val="00202046"/>
    <w:rsid w:val="00206E2F"/>
    <w:rsid w:val="00213BA5"/>
    <w:rsid w:val="00214369"/>
    <w:rsid w:val="002273CC"/>
    <w:rsid w:val="002328AC"/>
    <w:rsid w:val="00241DE4"/>
    <w:rsid w:val="00245501"/>
    <w:rsid w:val="00252E58"/>
    <w:rsid w:val="002542FF"/>
    <w:rsid w:val="00254C5A"/>
    <w:rsid w:val="00256F95"/>
    <w:rsid w:val="00264A01"/>
    <w:rsid w:val="00267882"/>
    <w:rsid w:val="0027589D"/>
    <w:rsid w:val="00283F04"/>
    <w:rsid w:val="002926DB"/>
    <w:rsid w:val="002964F4"/>
    <w:rsid w:val="002A24D8"/>
    <w:rsid w:val="002A4F27"/>
    <w:rsid w:val="002B41E0"/>
    <w:rsid w:val="002C34AD"/>
    <w:rsid w:val="002D2976"/>
    <w:rsid w:val="002E0FFB"/>
    <w:rsid w:val="002E2919"/>
    <w:rsid w:val="002E6A3A"/>
    <w:rsid w:val="00301C47"/>
    <w:rsid w:val="003026F0"/>
    <w:rsid w:val="00303093"/>
    <w:rsid w:val="003055C5"/>
    <w:rsid w:val="003066EE"/>
    <w:rsid w:val="00314841"/>
    <w:rsid w:val="00316D48"/>
    <w:rsid w:val="003218BB"/>
    <w:rsid w:val="003256B2"/>
    <w:rsid w:val="00335B26"/>
    <w:rsid w:val="00335C7E"/>
    <w:rsid w:val="00336B28"/>
    <w:rsid w:val="00341E79"/>
    <w:rsid w:val="003525AE"/>
    <w:rsid w:val="00355A11"/>
    <w:rsid w:val="00357442"/>
    <w:rsid w:val="0036255A"/>
    <w:rsid w:val="0037782C"/>
    <w:rsid w:val="00391A2C"/>
    <w:rsid w:val="003921F3"/>
    <w:rsid w:val="0039321E"/>
    <w:rsid w:val="00397AB6"/>
    <w:rsid w:val="003A3CAB"/>
    <w:rsid w:val="003A741D"/>
    <w:rsid w:val="003B24FF"/>
    <w:rsid w:val="003B4159"/>
    <w:rsid w:val="003B6864"/>
    <w:rsid w:val="003C5F0C"/>
    <w:rsid w:val="003D0C31"/>
    <w:rsid w:val="003D6C6B"/>
    <w:rsid w:val="003E41CD"/>
    <w:rsid w:val="003E6E2A"/>
    <w:rsid w:val="003F5F6E"/>
    <w:rsid w:val="00401DE5"/>
    <w:rsid w:val="004178BA"/>
    <w:rsid w:val="00427366"/>
    <w:rsid w:val="0043228D"/>
    <w:rsid w:val="004364AF"/>
    <w:rsid w:val="00440FCC"/>
    <w:rsid w:val="0044112E"/>
    <w:rsid w:val="00445B8F"/>
    <w:rsid w:val="00451699"/>
    <w:rsid w:val="004520FE"/>
    <w:rsid w:val="0045396E"/>
    <w:rsid w:val="00456FD8"/>
    <w:rsid w:val="00482F18"/>
    <w:rsid w:val="00487CFE"/>
    <w:rsid w:val="00492DFD"/>
    <w:rsid w:val="004A5BBC"/>
    <w:rsid w:val="004A6A14"/>
    <w:rsid w:val="004B68FB"/>
    <w:rsid w:val="004D50D4"/>
    <w:rsid w:val="004D74FF"/>
    <w:rsid w:val="004D75C3"/>
    <w:rsid w:val="004E0119"/>
    <w:rsid w:val="004E29D1"/>
    <w:rsid w:val="004E5DF4"/>
    <w:rsid w:val="004F3C29"/>
    <w:rsid w:val="004F715B"/>
    <w:rsid w:val="004F7EBA"/>
    <w:rsid w:val="005032C0"/>
    <w:rsid w:val="00505D0C"/>
    <w:rsid w:val="0051742B"/>
    <w:rsid w:val="00517C6E"/>
    <w:rsid w:val="00526B25"/>
    <w:rsid w:val="00540956"/>
    <w:rsid w:val="00547A56"/>
    <w:rsid w:val="00551F57"/>
    <w:rsid w:val="00561AE1"/>
    <w:rsid w:val="00584649"/>
    <w:rsid w:val="005A03F2"/>
    <w:rsid w:val="005A1938"/>
    <w:rsid w:val="005A6A16"/>
    <w:rsid w:val="005B41FA"/>
    <w:rsid w:val="005B637F"/>
    <w:rsid w:val="005C2B12"/>
    <w:rsid w:val="005C6BB2"/>
    <w:rsid w:val="005D21C3"/>
    <w:rsid w:val="005D2AFB"/>
    <w:rsid w:val="005E404E"/>
    <w:rsid w:val="005E485A"/>
    <w:rsid w:val="005F6EEC"/>
    <w:rsid w:val="006013EF"/>
    <w:rsid w:val="00625985"/>
    <w:rsid w:val="00643249"/>
    <w:rsid w:val="006479EF"/>
    <w:rsid w:val="00650E8E"/>
    <w:rsid w:val="00661630"/>
    <w:rsid w:val="00661CE1"/>
    <w:rsid w:val="0066276F"/>
    <w:rsid w:val="00663712"/>
    <w:rsid w:val="00676D37"/>
    <w:rsid w:val="00680AF6"/>
    <w:rsid w:val="00682FED"/>
    <w:rsid w:val="00697B4F"/>
    <w:rsid w:val="00697DA0"/>
    <w:rsid w:val="006A11F3"/>
    <w:rsid w:val="006A31EE"/>
    <w:rsid w:val="006B3718"/>
    <w:rsid w:val="006D612D"/>
    <w:rsid w:val="006E5F4F"/>
    <w:rsid w:val="00701060"/>
    <w:rsid w:val="00701137"/>
    <w:rsid w:val="0071775A"/>
    <w:rsid w:val="00723B3D"/>
    <w:rsid w:val="00747C7E"/>
    <w:rsid w:val="00750ABC"/>
    <w:rsid w:val="007649AB"/>
    <w:rsid w:val="0076516B"/>
    <w:rsid w:val="007659F4"/>
    <w:rsid w:val="00772DC7"/>
    <w:rsid w:val="00774C87"/>
    <w:rsid w:val="007920B9"/>
    <w:rsid w:val="00796888"/>
    <w:rsid w:val="00796EF8"/>
    <w:rsid w:val="007A3F31"/>
    <w:rsid w:val="007A6981"/>
    <w:rsid w:val="007B02ED"/>
    <w:rsid w:val="007B402E"/>
    <w:rsid w:val="007D189D"/>
    <w:rsid w:val="007D5837"/>
    <w:rsid w:val="007E3D9E"/>
    <w:rsid w:val="007E7ECE"/>
    <w:rsid w:val="007F444F"/>
    <w:rsid w:val="007F7B9D"/>
    <w:rsid w:val="00805AB8"/>
    <w:rsid w:val="0080611B"/>
    <w:rsid w:val="008077C3"/>
    <w:rsid w:val="00812818"/>
    <w:rsid w:val="008205BC"/>
    <w:rsid w:val="00822273"/>
    <w:rsid w:val="00823449"/>
    <w:rsid w:val="00826CE1"/>
    <w:rsid w:val="00826F6B"/>
    <w:rsid w:val="0085220E"/>
    <w:rsid w:val="0085233A"/>
    <w:rsid w:val="00853915"/>
    <w:rsid w:val="00855A4E"/>
    <w:rsid w:val="00856A52"/>
    <w:rsid w:val="00866310"/>
    <w:rsid w:val="00873DC7"/>
    <w:rsid w:val="00876FC0"/>
    <w:rsid w:val="00880F66"/>
    <w:rsid w:val="00890C04"/>
    <w:rsid w:val="00895857"/>
    <w:rsid w:val="008A2876"/>
    <w:rsid w:val="008B3F93"/>
    <w:rsid w:val="008B537A"/>
    <w:rsid w:val="008B6FC9"/>
    <w:rsid w:val="008C5A34"/>
    <w:rsid w:val="008D1F65"/>
    <w:rsid w:val="008D5410"/>
    <w:rsid w:val="008F1C8A"/>
    <w:rsid w:val="00901306"/>
    <w:rsid w:val="00904C3C"/>
    <w:rsid w:val="009065B0"/>
    <w:rsid w:val="00911922"/>
    <w:rsid w:val="00911D85"/>
    <w:rsid w:val="00914B09"/>
    <w:rsid w:val="00926829"/>
    <w:rsid w:val="0092787E"/>
    <w:rsid w:val="009305CA"/>
    <w:rsid w:val="00932363"/>
    <w:rsid w:val="00933D13"/>
    <w:rsid w:val="00937E6D"/>
    <w:rsid w:val="00943709"/>
    <w:rsid w:val="00945E63"/>
    <w:rsid w:val="00953248"/>
    <w:rsid w:val="00956578"/>
    <w:rsid w:val="00957AFE"/>
    <w:rsid w:val="009665F5"/>
    <w:rsid w:val="009734C6"/>
    <w:rsid w:val="00982B1D"/>
    <w:rsid w:val="00990F40"/>
    <w:rsid w:val="00991B91"/>
    <w:rsid w:val="009A1CC2"/>
    <w:rsid w:val="009A223C"/>
    <w:rsid w:val="009C076E"/>
    <w:rsid w:val="009C1C5C"/>
    <w:rsid w:val="009C2FD4"/>
    <w:rsid w:val="009C51A1"/>
    <w:rsid w:val="009C6F85"/>
    <w:rsid w:val="009C7958"/>
    <w:rsid w:val="009D2A0A"/>
    <w:rsid w:val="009E002D"/>
    <w:rsid w:val="009E1D10"/>
    <w:rsid w:val="009F2A98"/>
    <w:rsid w:val="009F4B09"/>
    <w:rsid w:val="009F7AF9"/>
    <w:rsid w:val="00A01F94"/>
    <w:rsid w:val="00A02E08"/>
    <w:rsid w:val="00A07653"/>
    <w:rsid w:val="00A11E5F"/>
    <w:rsid w:val="00A21192"/>
    <w:rsid w:val="00A22862"/>
    <w:rsid w:val="00A23D20"/>
    <w:rsid w:val="00A516A6"/>
    <w:rsid w:val="00A5726D"/>
    <w:rsid w:val="00A72701"/>
    <w:rsid w:val="00A741DC"/>
    <w:rsid w:val="00A83506"/>
    <w:rsid w:val="00A856CF"/>
    <w:rsid w:val="00A91C65"/>
    <w:rsid w:val="00A94837"/>
    <w:rsid w:val="00A96E14"/>
    <w:rsid w:val="00A97344"/>
    <w:rsid w:val="00AA0789"/>
    <w:rsid w:val="00AA08CD"/>
    <w:rsid w:val="00AA0983"/>
    <w:rsid w:val="00AA134E"/>
    <w:rsid w:val="00AA7B8B"/>
    <w:rsid w:val="00AB323A"/>
    <w:rsid w:val="00AB45A6"/>
    <w:rsid w:val="00AC7BEA"/>
    <w:rsid w:val="00AD5A97"/>
    <w:rsid w:val="00AD7475"/>
    <w:rsid w:val="00AD7BAD"/>
    <w:rsid w:val="00AF4A5A"/>
    <w:rsid w:val="00AF57CB"/>
    <w:rsid w:val="00B109CE"/>
    <w:rsid w:val="00B122FF"/>
    <w:rsid w:val="00B1388A"/>
    <w:rsid w:val="00B17FC9"/>
    <w:rsid w:val="00B20191"/>
    <w:rsid w:val="00B25846"/>
    <w:rsid w:val="00B358F5"/>
    <w:rsid w:val="00B60961"/>
    <w:rsid w:val="00B61279"/>
    <w:rsid w:val="00B613B5"/>
    <w:rsid w:val="00B65FA9"/>
    <w:rsid w:val="00B7147C"/>
    <w:rsid w:val="00B77A69"/>
    <w:rsid w:val="00B8077C"/>
    <w:rsid w:val="00B84F63"/>
    <w:rsid w:val="00B90AF1"/>
    <w:rsid w:val="00B932A7"/>
    <w:rsid w:val="00B95840"/>
    <w:rsid w:val="00BA1026"/>
    <w:rsid w:val="00BA2D7A"/>
    <w:rsid w:val="00BB0EFE"/>
    <w:rsid w:val="00BB3132"/>
    <w:rsid w:val="00BC6CD7"/>
    <w:rsid w:val="00BC7AF8"/>
    <w:rsid w:val="00BD3632"/>
    <w:rsid w:val="00BD633B"/>
    <w:rsid w:val="00BD7B20"/>
    <w:rsid w:val="00BE3405"/>
    <w:rsid w:val="00BF1AFB"/>
    <w:rsid w:val="00C0331C"/>
    <w:rsid w:val="00C05C90"/>
    <w:rsid w:val="00C10DE7"/>
    <w:rsid w:val="00C16396"/>
    <w:rsid w:val="00C213E9"/>
    <w:rsid w:val="00C23EC2"/>
    <w:rsid w:val="00C3657B"/>
    <w:rsid w:val="00C405F3"/>
    <w:rsid w:val="00C4195A"/>
    <w:rsid w:val="00C41BB0"/>
    <w:rsid w:val="00C44DD5"/>
    <w:rsid w:val="00C45953"/>
    <w:rsid w:val="00C53ACF"/>
    <w:rsid w:val="00C66BF3"/>
    <w:rsid w:val="00C7368A"/>
    <w:rsid w:val="00C77AFB"/>
    <w:rsid w:val="00C815C1"/>
    <w:rsid w:val="00C83715"/>
    <w:rsid w:val="00C86B3B"/>
    <w:rsid w:val="00C87DAF"/>
    <w:rsid w:val="00C90CFE"/>
    <w:rsid w:val="00C91A5B"/>
    <w:rsid w:val="00C96AD7"/>
    <w:rsid w:val="00CA45F3"/>
    <w:rsid w:val="00CB26D0"/>
    <w:rsid w:val="00CC0C47"/>
    <w:rsid w:val="00CC1AA7"/>
    <w:rsid w:val="00CC407F"/>
    <w:rsid w:val="00CC7285"/>
    <w:rsid w:val="00CD1503"/>
    <w:rsid w:val="00CD1BA3"/>
    <w:rsid w:val="00CE3C3A"/>
    <w:rsid w:val="00CE5F10"/>
    <w:rsid w:val="00D015EB"/>
    <w:rsid w:val="00D1287E"/>
    <w:rsid w:val="00D17FBC"/>
    <w:rsid w:val="00D4061F"/>
    <w:rsid w:val="00D436C9"/>
    <w:rsid w:val="00D52E9C"/>
    <w:rsid w:val="00D56BCA"/>
    <w:rsid w:val="00D571AA"/>
    <w:rsid w:val="00D60DE3"/>
    <w:rsid w:val="00D63712"/>
    <w:rsid w:val="00D63821"/>
    <w:rsid w:val="00D63E0D"/>
    <w:rsid w:val="00D90E33"/>
    <w:rsid w:val="00D92F9F"/>
    <w:rsid w:val="00D96546"/>
    <w:rsid w:val="00DA2069"/>
    <w:rsid w:val="00DB4841"/>
    <w:rsid w:val="00DD00EF"/>
    <w:rsid w:val="00DD5625"/>
    <w:rsid w:val="00DE5F6C"/>
    <w:rsid w:val="00DF1857"/>
    <w:rsid w:val="00E065FA"/>
    <w:rsid w:val="00E16079"/>
    <w:rsid w:val="00E17D09"/>
    <w:rsid w:val="00E273F6"/>
    <w:rsid w:val="00E33ABA"/>
    <w:rsid w:val="00E33BDF"/>
    <w:rsid w:val="00E46273"/>
    <w:rsid w:val="00E5201A"/>
    <w:rsid w:val="00E61725"/>
    <w:rsid w:val="00E62219"/>
    <w:rsid w:val="00E63547"/>
    <w:rsid w:val="00E8398D"/>
    <w:rsid w:val="00E909AE"/>
    <w:rsid w:val="00E94AA3"/>
    <w:rsid w:val="00E958D2"/>
    <w:rsid w:val="00E965DB"/>
    <w:rsid w:val="00E96937"/>
    <w:rsid w:val="00EA1470"/>
    <w:rsid w:val="00EB03B6"/>
    <w:rsid w:val="00EB429B"/>
    <w:rsid w:val="00EB4BB4"/>
    <w:rsid w:val="00EB6814"/>
    <w:rsid w:val="00EC3FDE"/>
    <w:rsid w:val="00EC5963"/>
    <w:rsid w:val="00ED0048"/>
    <w:rsid w:val="00ED286B"/>
    <w:rsid w:val="00EE59B6"/>
    <w:rsid w:val="00F13A31"/>
    <w:rsid w:val="00F20ADF"/>
    <w:rsid w:val="00F312C2"/>
    <w:rsid w:val="00F3751C"/>
    <w:rsid w:val="00F41BB1"/>
    <w:rsid w:val="00F429FB"/>
    <w:rsid w:val="00F64FDD"/>
    <w:rsid w:val="00F674B8"/>
    <w:rsid w:val="00F67C39"/>
    <w:rsid w:val="00F67FA0"/>
    <w:rsid w:val="00F67FA1"/>
    <w:rsid w:val="00F7476E"/>
    <w:rsid w:val="00F7760C"/>
    <w:rsid w:val="00F82BC0"/>
    <w:rsid w:val="00F90D52"/>
    <w:rsid w:val="00F9720F"/>
    <w:rsid w:val="00FA07DB"/>
    <w:rsid w:val="00FA49D4"/>
    <w:rsid w:val="00FA4F11"/>
    <w:rsid w:val="00FB4EFC"/>
    <w:rsid w:val="00FC2CD8"/>
    <w:rsid w:val="00FC4120"/>
    <w:rsid w:val="00FD313B"/>
    <w:rsid w:val="00FF0418"/>
    <w:rsid w:val="01003934"/>
    <w:rsid w:val="0107611F"/>
    <w:rsid w:val="012465FF"/>
    <w:rsid w:val="012B4DA3"/>
    <w:rsid w:val="01414458"/>
    <w:rsid w:val="015B52A2"/>
    <w:rsid w:val="0179089B"/>
    <w:rsid w:val="017A1B51"/>
    <w:rsid w:val="018812E4"/>
    <w:rsid w:val="01942CFB"/>
    <w:rsid w:val="01A27A4B"/>
    <w:rsid w:val="01F813BE"/>
    <w:rsid w:val="020E53F2"/>
    <w:rsid w:val="023163D0"/>
    <w:rsid w:val="024B1BEA"/>
    <w:rsid w:val="027E2505"/>
    <w:rsid w:val="028C26FB"/>
    <w:rsid w:val="02A76950"/>
    <w:rsid w:val="02BC63CD"/>
    <w:rsid w:val="02C36C4A"/>
    <w:rsid w:val="02C70962"/>
    <w:rsid w:val="033019E1"/>
    <w:rsid w:val="0383575F"/>
    <w:rsid w:val="039E4C4B"/>
    <w:rsid w:val="03B1202E"/>
    <w:rsid w:val="03CA3C2E"/>
    <w:rsid w:val="040F5726"/>
    <w:rsid w:val="04134127"/>
    <w:rsid w:val="0436204E"/>
    <w:rsid w:val="04540552"/>
    <w:rsid w:val="04722C86"/>
    <w:rsid w:val="04A448F2"/>
    <w:rsid w:val="04AA0A4D"/>
    <w:rsid w:val="04AB2517"/>
    <w:rsid w:val="04CE619F"/>
    <w:rsid w:val="05246E85"/>
    <w:rsid w:val="052D3BF6"/>
    <w:rsid w:val="052E5ADF"/>
    <w:rsid w:val="054E2BBF"/>
    <w:rsid w:val="05800D35"/>
    <w:rsid w:val="058C1FA9"/>
    <w:rsid w:val="05903005"/>
    <w:rsid w:val="06117CCC"/>
    <w:rsid w:val="061428C9"/>
    <w:rsid w:val="064E48C0"/>
    <w:rsid w:val="066F0ABC"/>
    <w:rsid w:val="0672780F"/>
    <w:rsid w:val="067500CF"/>
    <w:rsid w:val="06880BFB"/>
    <w:rsid w:val="06883A6D"/>
    <w:rsid w:val="07021889"/>
    <w:rsid w:val="07444628"/>
    <w:rsid w:val="077C509F"/>
    <w:rsid w:val="07E2787C"/>
    <w:rsid w:val="08201ACB"/>
    <w:rsid w:val="08255414"/>
    <w:rsid w:val="082B6F06"/>
    <w:rsid w:val="082F1B24"/>
    <w:rsid w:val="08451561"/>
    <w:rsid w:val="08506666"/>
    <w:rsid w:val="085C297F"/>
    <w:rsid w:val="08696195"/>
    <w:rsid w:val="08AB4974"/>
    <w:rsid w:val="08F57D5E"/>
    <w:rsid w:val="0919631E"/>
    <w:rsid w:val="09387203"/>
    <w:rsid w:val="095C6ACC"/>
    <w:rsid w:val="09A57182"/>
    <w:rsid w:val="09DE3C99"/>
    <w:rsid w:val="09E22D4E"/>
    <w:rsid w:val="0A207FCD"/>
    <w:rsid w:val="0A492416"/>
    <w:rsid w:val="0A502063"/>
    <w:rsid w:val="0A6F7EF5"/>
    <w:rsid w:val="0A717C8E"/>
    <w:rsid w:val="0A856F47"/>
    <w:rsid w:val="0AAF5DD0"/>
    <w:rsid w:val="0AB5345C"/>
    <w:rsid w:val="0AC43792"/>
    <w:rsid w:val="0AE45AA0"/>
    <w:rsid w:val="0B046A35"/>
    <w:rsid w:val="0B2016C8"/>
    <w:rsid w:val="0B301837"/>
    <w:rsid w:val="0B37390F"/>
    <w:rsid w:val="0B905564"/>
    <w:rsid w:val="0BCE2FBD"/>
    <w:rsid w:val="0C05619E"/>
    <w:rsid w:val="0C363C8F"/>
    <w:rsid w:val="0C500A06"/>
    <w:rsid w:val="0CCA7238"/>
    <w:rsid w:val="0CE61773"/>
    <w:rsid w:val="0D1603AF"/>
    <w:rsid w:val="0D3B1690"/>
    <w:rsid w:val="0D5A77FC"/>
    <w:rsid w:val="0D5C3DFC"/>
    <w:rsid w:val="0D6F1511"/>
    <w:rsid w:val="0D916195"/>
    <w:rsid w:val="0DDD206B"/>
    <w:rsid w:val="0DE22485"/>
    <w:rsid w:val="0DF4047D"/>
    <w:rsid w:val="0E0B7EEA"/>
    <w:rsid w:val="0E2F5E8B"/>
    <w:rsid w:val="0E327D44"/>
    <w:rsid w:val="0E4612B5"/>
    <w:rsid w:val="0E49358D"/>
    <w:rsid w:val="0EA8553C"/>
    <w:rsid w:val="0EBA7CA9"/>
    <w:rsid w:val="0EBB72E1"/>
    <w:rsid w:val="0EE949DC"/>
    <w:rsid w:val="0F036662"/>
    <w:rsid w:val="0F1B4176"/>
    <w:rsid w:val="0F2A185A"/>
    <w:rsid w:val="0F3F24A8"/>
    <w:rsid w:val="0F4D79AC"/>
    <w:rsid w:val="0F8E2324"/>
    <w:rsid w:val="100E43B2"/>
    <w:rsid w:val="104C561C"/>
    <w:rsid w:val="104D2B35"/>
    <w:rsid w:val="105E4E97"/>
    <w:rsid w:val="106C79B8"/>
    <w:rsid w:val="107058B3"/>
    <w:rsid w:val="107C6102"/>
    <w:rsid w:val="109C42EE"/>
    <w:rsid w:val="109F56E0"/>
    <w:rsid w:val="10B17D1B"/>
    <w:rsid w:val="10D04765"/>
    <w:rsid w:val="10F4597F"/>
    <w:rsid w:val="111E4B7A"/>
    <w:rsid w:val="11246F65"/>
    <w:rsid w:val="113D199D"/>
    <w:rsid w:val="115B2A46"/>
    <w:rsid w:val="117C2F02"/>
    <w:rsid w:val="117D6F38"/>
    <w:rsid w:val="11975A27"/>
    <w:rsid w:val="11A7598A"/>
    <w:rsid w:val="11D62C11"/>
    <w:rsid w:val="11DE469C"/>
    <w:rsid w:val="11E16AE8"/>
    <w:rsid w:val="11F276E8"/>
    <w:rsid w:val="11F97256"/>
    <w:rsid w:val="11FF0FAA"/>
    <w:rsid w:val="129B1203"/>
    <w:rsid w:val="13087FF1"/>
    <w:rsid w:val="132656CD"/>
    <w:rsid w:val="136A68BC"/>
    <w:rsid w:val="137421F0"/>
    <w:rsid w:val="138D21F6"/>
    <w:rsid w:val="13C02521"/>
    <w:rsid w:val="13E03955"/>
    <w:rsid w:val="13F13629"/>
    <w:rsid w:val="14365636"/>
    <w:rsid w:val="143A1C19"/>
    <w:rsid w:val="14581F33"/>
    <w:rsid w:val="14666B80"/>
    <w:rsid w:val="14952A28"/>
    <w:rsid w:val="14E074A9"/>
    <w:rsid w:val="14E23413"/>
    <w:rsid w:val="14E9314E"/>
    <w:rsid w:val="14EC363E"/>
    <w:rsid w:val="15751943"/>
    <w:rsid w:val="157B009D"/>
    <w:rsid w:val="15A25D1A"/>
    <w:rsid w:val="15F81B24"/>
    <w:rsid w:val="15FC71CB"/>
    <w:rsid w:val="16281F9C"/>
    <w:rsid w:val="1681345B"/>
    <w:rsid w:val="169518FE"/>
    <w:rsid w:val="16C8364A"/>
    <w:rsid w:val="17213F34"/>
    <w:rsid w:val="172476FF"/>
    <w:rsid w:val="174A0786"/>
    <w:rsid w:val="174D0964"/>
    <w:rsid w:val="175D7DAD"/>
    <w:rsid w:val="176540A6"/>
    <w:rsid w:val="17783E9C"/>
    <w:rsid w:val="17AF4029"/>
    <w:rsid w:val="17E262B5"/>
    <w:rsid w:val="17FF5BE3"/>
    <w:rsid w:val="182E7ED4"/>
    <w:rsid w:val="183045B6"/>
    <w:rsid w:val="18435BE7"/>
    <w:rsid w:val="18A35F81"/>
    <w:rsid w:val="18D82D51"/>
    <w:rsid w:val="190E32F4"/>
    <w:rsid w:val="192008FE"/>
    <w:rsid w:val="192F112F"/>
    <w:rsid w:val="193052F6"/>
    <w:rsid w:val="19546F6A"/>
    <w:rsid w:val="19B95C06"/>
    <w:rsid w:val="19F07385"/>
    <w:rsid w:val="1A5904DE"/>
    <w:rsid w:val="1A68702D"/>
    <w:rsid w:val="1AC2537B"/>
    <w:rsid w:val="1AF4294F"/>
    <w:rsid w:val="1B1C15C9"/>
    <w:rsid w:val="1B570D69"/>
    <w:rsid w:val="1B7278A4"/>
    <w:rsid w:val="1B815B33"/>
    <w:rsid w:val="1B843248"/>
    <w:rsid w:val="1BA91A6B"/>
    <w:rsid w:val="1BB13F52"/>
    <w:rsid w:val="1BB83978"/>
    <w:rsid w:val="1BC220FC"/>
    <w:rsid w:val="1BCE14E5"/>
    <w:rsid w:val="1C006AC4"/>
    <w:rsid w:val="1C3C5377"/>
    <w:rsid w:val="1C5235BC"/>
    <w:rsid w:val="1C5D68BE"/>
    <w:rsid w:val="1C60780B"/>
    <w:rsid w:val="1C7031D7"/>
    <w:rsid w:val="1C897325"/>
    <w:rsid w:val="1CAA608D"/>
    <w:rsid w:val="1CB06DA3"/>
    <w:rsid w:val="1CBC1B96"/>
    <w:rsid w:val="1CDC61B0"/>
    <w:rsid w:val="1CDD7656"/>
    <w:rsid w:val="1D17670A"/>
    <w:rsid w:val="1D34744D"/>
    <w:rsid w:val="1D3A7352"/>
    <w:rsid w:val="1D71197F"/>
    <w:rsid w:val="1D712FCE"/>
    <w:rsid w:val="1D8B6E7D"/>
    <w:rsid w:val="1D9B1894"/>
    <w:rsid w:val="1DA7228F"/>
    <w:rsid w:val="1DBD1DF1"/>
    <w:rsid w:val="1DF3195E"/>
    <w:rsid w:val="1E1A474A"/>
    <w:rsid w:val="1E3D2300"/>
    <w:rsid w:val="1E3F7AE3"/>
    <w:rsid w:val="1E4E5730"/>
    <w:rsid w:val="1E5A7FFF"/>
    <w:rsid w:val="1EBD2A25"/>
    <w:rsid w:val="1EDA04D4"/>
    <w:rsid w:val="1EFD24E3"/>
    <w:rsid w:val="1F1218F7"/>
    <w:rsid w:val="1F525DBA"/>
    <w:rsid w:val="1F713F95"/>
    <w:rsid w:val="1F9D2C8A"/>
    <w:rsid w:val="1FB07195"/>
    <w:rsid w:val="1FEF2C9E"/>
    <w:rsid w:val="1FFF7CDC"/>
    <w:rsid w:val="201E4E32"/>
    <w:rsid w:val="20330FC6"/>
    <w:rsid w:val="20354BF1"/>
    <w:rsid w:val="204C35DD"/>
    <w:rsid w:val="20903D68"/>
    <w:rsid w:val="20A3502A"/>
    <w:rsid w:val="20B07B54"/>
    <w:rsid w:val="20B26E07"/>
    <w:rsid w:val="20C83398"/>
    <w:rsid w:val="211377F6"/>
    <w:rsid w:val="21240C7A"/>
    <w:rsid w:val="21360382"/>
    <w:rsid w:val="21434A03"/>
    <w:rsid w:val="218B6B8E"/>
    <w:rsid w:val="21A36C00"/>
    <w:rsid w:val="21B302C0"/>
    <w:rsid w:val="21E15DF6"/>
    <w:rsid w:val="21E76615"/>
    <w:rsid w:val="21ED1AF3"/>
    <w:rsid w:val="21F33B7C"/>
    <w:rsid w:val="22033E8E"/>
    <w:rsid w:val="220F6A27"/>
    <w:rsid w:val="222332E4"/>
    <w:rsid w:val="22435EA1"/>
    <w:rsid w:val="225E1725"/>
    <w:rsid w:val="22772BDA"/>
    <w:rsid w:val="22802D63"/>
    <w:rsid w:val="22845AB4"/>
    <w:rsid w:val="22B401AB"/>
    <w:rsid w:val="22F607FE"/>
    <w:rsid w:val="22F97D2F"/>
    <w:rsid w:val="23155822"/>
    <w:rsid w:val="231D3046"/>
    <w:rsid w:val="235D3D13"/>
    <w:rsid w:val="23BB183A"/>
    <w:rsid w:val="23FB78A1"/>
    <w:rsid w:val="244021C5"/>
    <w:rsid w:val="24405EA1"/>
    <w:rsid w:val="24554D88"/>
    <w:rsid w:val="245C52DB"/>
    <w:rsid w:val="24772937"/>
    <w:rsid w:val="249C19AD"/>
    <w:rsid w:val="24AE4623"/>
    <w:rsid w:val="24F5628A"/>
    <w:rsid w:val="24F63058"/>
    <w:rsid w:val="25115BD4"/>
    <w:rsid w:val="25237103"/>
    <w:rsid w:val="25B26FE4"/>
    <w:rsid w:val="25ED2094"/>
    <w:rsid w:val="262977D0"/>
    <w:rsid w:val="26315965"/>
    <w:rsid w:val="26317123"/>
    <w:rsid w:val="263A73F2"/>
    <w:rsid w:val="263C48CB"/>
    <w:rsid w:val="263C5E72"/>
    <w:rsid w:val="26500849"/>
    <w:rsid w:val="26780617"/>
    <w:rsid w:val="26847176"/>
    <w:rsid w:val="26886F86"/>
    <w:rsid w:val="26925C46"/>
    <w:rsid w:val="269D5952"/>
    <w:rsid w:val="26F41FB8"/>
    <w:rsid w:val="27043058"/>
    <w:rsid w:val="27364429"/>
    <w:rsid w:val="274D3FB6"/>
    <w:rsid w:val="27545406"/>
    <w:rsid w:val="27833F3C"/>
    <w:rsid w:val="2795735E"/>
    <w:rsid w:val="27F13A21"/>
    <w:rsid w:val="27F819EB"/>
    <w:rsid w:val="28062900"/>
    <w:rsid w:val="284D4FE7"/>
    <w:rsid w:val="285F1382"/>
    <w:rsid w:val="29224CD0"/>
    <w:rsid w:val="29997DF3"/>
    <w:rsid w:val="29F00158"/>
    <w:rsid w:val="29F238EB"/>
    <w:rsid w:val="2A171CC4"/>
    <w:rsid w:val="2A18258C"/>
    <w:rsid w:val="2A350B0F"/>
    <w:rsid w:val="2A4B3C3F"/>
    <w:rsid w:val="2AC248FA"/>
    <w:rsid w:val="2AC64B53"/>
    <w:rsid w:val="2ACE792E"/>
    <w:rsid w:val="2AEF7803"/>
    <w:rsid w:val="2AF97CB4"/>
    <w:rsid w:val="2AFE04AC"/>
    <w:rsid w:val="2B227098"/>
    <w:rsid w:val="2B791410"/>
    <w:rsid w:val="2BB328FF"/>
    <w:rsid w:val="2BE06ECE"/>
    <w:rsid w:val="2BE50675"/>
    <w:rsid w:val="2C505A98"/>
    <w:rsid w:val="2C9F5868"/>
    <w:rsid w:val="2CA854FF"/>
    <w:rsid w:val="2D0778E2"/>
    <w:rsid w:val="2D1C0AEB"/>
    <w:rsid w:val="2D6447D2"/>
    <w:rsid w:val="2D6D0593"/>
    <w:rsid w:val="2D6E7A11"/>
    <w:rsid w:val="2D935A20"/>
    <w:rsid w:val="2DBC63E3"/>
    <w:rsid w:val="2E0003B0"/>
    <w:rsid w:val="2E457BCB"/>
    <w:rsid w:val="2E5200E9"/>
    <w:rsid w:val="2E9F0240"/>
    <w:rsid w:val="2EAE262C"/>
    <w:rsid w:val="2EAE6A2E"/>
    <w:rsid w:val="2ECB0AE2"/>
    <w:rsid w:val="2F2B0F7C"/>
    <w:rsid w:val="2F55491D"/>
    <w:rsid w:val="2F8337D6"/>
    <w:rsid w:val="2FAF4D85"/>
    <w:rsid w:val="2FBE1939"/>
    <w:rsid w:val="2FD8197F"/>
    <w:rsid w:val="2FF33EC8"/>
    <w:rsid w:val="300131F1"/>
    <w:rsid w:val="300A507B"/>
    <w:rsid w:val="30127F4A"/>
    <w:rsid w:val="30195AFF"/>
    <w:rsid w:val="301A7B0D"/>
    <w:rsid w:val="301A7BEA"/>
    <w:rsid w:val="30247EA4"/>
    <w:rsid w:val="30370C40"/>
    <w:rsid w:val="304E0FE9"/>
    <w:rsid w:val="30600CEC"/>
    <w:rsid w:val="306C79C8"/>
    <w:rsid w:val="30916FFE"/>
    <w:rsid w:val="30CA57E9"/>
    <w:rsid w:val="315040C3"/>
    <w:rsid w:val="31570277"/>
    <w:rsid w:val="316E379B"/>
    <w:rsid w:val="317E7511"/>
    <w:rsid w:val="318459E2"/>
    <w:rsid w:val="318B08AD"/>
    <w:rsid w:val="31CF127B"/>
    <w:rsid w:val="321D60A8"/>
    <w:rsid w:val="322066AC"/>
    <w:rsid w:val="326D09E6"/>
    <w:rsid w:val="32B86CCC"/>
    <w:rsid w:val="32CF0240"/>
    <w:rsid w:val="32F02A08"/>
    <w:rsid w:val="32F621B4"/>
    <w:rsid w:val="32FE2EA5"/>
    <w:rsid w:val="33146B30"/>
    <w:rsid w:val="331816D1"/>
    <w:rsid w:val="332E1986"/>
    <w:rsid w:val="33316F40"/>
    <w:rsid w:val="338D097D"/>
    <w:rsid w:val="33BD4D5E"/>
    <w:rsid w:val="33FA6CB4"/>
    <w:rsid w:val="3463015F"/>
    <w:rsid w:val="34766EC0"/>
    <w:rsid w:val="350739D4"/>
    <w:rsid w:val="35260066"/>
    <w:rsid w:val="35776F37"/>
    <w:rsid w:val="35A20810"/>
    <w:rsid w:val="35A41DCF"/>
    <w:rsid w:val="35A6123F"/>
    <w:rsid w:val="35B359C0"/>
    <w:rsid w:val="35D157B9"/>
    <w:rsid w:val="35E86AEA"/>
    <w:rsid w:val="36074077"/>
    <w:rsid w:val="361A3116"/>
    <w:rsid w:val="367D294C"/>
    <w:rsid w:val="369D5C1D"/>
    <w:rsid w:val="36AE13E1"/>
    <w:rsid w:val="36D7419E"/>
    <w:rsid w:val="36FF6099"/>
    <w:rsid w:val="371426FE"/>
    <w:rsid w:val="371C16B7"/>
    <w:rsid w:val="37337C1E"/>
    <w:rsid w:val="378050B1"/>
    <w:rsid w:val="37A7049B"/>
    <w:rsid w:val="37AF2E55"/>
    <w:rsid w:val="37B041B8"/>
    <w:rsid w:val="37BA6E6F"/>
    <w:rsid w:val="37C275FC"/>
    <w:rsid w:val="37CB25D7"/>
    <w:rsid w:val="37DC7031"/>
    <w:rsid w:val="37E46B52"/>
    <w:rsid w:val="37F47D27"/>
    <w:rsid w:val="380D4216"/>
    <w:rsid w:val="381D591D"/>
    <w:rsid w:val="3820434D"/>
    <w:rsid w:val="383332DD"/>
    <w:rsid w:val="38517D59"/>
    <w:rsid w:val="38965112"/>
    <w:rsid w:val="38A63548"/>
    <w:rsid w:val="38D83427"/>
    <w:rsid w:val="39004EE4"/>
    <w:rsid w:val="390A0237"/>
    <w:rsid w:val="395F26C1"/>
    <w:rsid w:val="396C132B"/>
    <w:rsid w:val="39C802B0"/>
    <w:rsid w:val="3A0C64BF"/>
    <w:rsid w:val="3A143CD2"/>
    <w:rsid w:val="3A3F32B7"/>
    <w:rsid w:val="3A4534B3"/>
    <w:rsid w:val="3A5F0651"/>
    <w:rsid w:val="3A9164BE"/>
    <w:rsid w:val="3AC30568"/>
    <w:rsid w:val="3ACA1E51"/>
    <w:rsid w:val="3B2106FF"/>
    <w:rsid w:val="3B64464E"/>
    <w:rsid w:val="3B764887"/>
    <w:rsid w:val="3B782206"/>
    <w:rsid w:val="3B92414C"/>
    <w:rsid w:val="3BC3791A"/>
    <w:rsid w:val="3BFB74FF"/>
    <w:rsid w:val="3C3D6AD5"/>
    <w:rsid w:val="3C4B0DD6"/>
    <w:rsid w:val="3C522BAD"/>
    <w:rsid w:val="3C937372"/>
    <w:rsid w:val="3CC86630"/>
    <w:rsid w:val="3CCA0A95"/>
    <w:rsid w:val="3CEA3E7B"/>
    <w:rsid w:val="3D1D0F97"/>
    <w:rsid w:val="3D4641B6"/>
    <w:rsid w:val="3D4E0FEB"/>
    <w:rsid w:val="3D570AB7"/>
    <w:rsid w:val="3D61067E"/>
    <w:rsid w:val="3D775545"/>
    <w:rsid w:val="3DA84569"/>
    <w:rsid w:val="3DE346C0"/>
    <w:rsid w:val="3DEC4C1A"/>
    <w:rsid w:val="3E14510F"/>
    <w:rsid w:val="3E166A58"/>
    <w:rsid w:val="3E181D31"/>
    <w:rsid w:val="3E456E5B"/>
    <w:rsid w:val="3E617B8D"/>
    <w:rsid w:val="3E631761"/>
    <w:rsid w:val="3EA56EE3"/>
    <w:rsid w:val="3EBC018B"/>
    <w:rsid w:val="3F475757"/>
    <w:rsid w:val="3F505163"/>
    <w:rsid w:val="3F545FC8"/>
    <w:rsid w:val="3F6C41F2"/>
    <w:rsid w:val="3F9E622E"/>
    <w:rsid w:val="3FC15DAC"/>
    <w:rsid w:val="404560DF"/>
    <w:rsid w:val="40702400"/>
    <w:rsid w:val="408D08E9"/>
    <w:rsid w:val="40F83192"/>
    <w:rsid w:val="411B4498"/>
    <w:rsid w:val="417B3290"/>
    <w:rsid w:val="417B38C0"/>
    <w:rsid w:val="418439C9"/>
    <w:rsid w:val="41D43820"/>
    <w:rsid w:val="423425BE"/>
    <w:rsid w:val="429E129C"/>
    <w:rsid w:val="42B4371C"/>
    <w:rsid w:val="42C50376"/>
    <w:rsid w:val="42CE2D3E"/>
    <w:rsid w:val="42ED2CCD"/>
    <w:rsid w:val="43335690"/>
    <w:rsid w:val="434E0F27"/>
    <w:rsid w:val="43800918"/>
    <w:rsid w:val="43946227"/>
    <w:rsid w:val="43AE782F"/>
    <w:rsid w:val="43B8756C"/>
    <w:rsid w:val="43BB7D58"/>
    <w:rsid w:val="43C6133A"/>
    <w:rsid w:val="43E27DAC"/>
    <w:rsid w:val="43F506E9"/>
    <w:rsid w:val="442278F0"/>
    <w:rsid w:val="4428373B"/>
    <w:rsid w:val="44433E40"/>
    <w:rsid w:val="44484A7F"/>
    <w:rsid w:val="445837A4"/>
    <w:rsid w:val="446C162F"/>
    <w:rsid w:val="447B6AA6"/>
    <w:rsid w:val="44FE0566"/>
    <w:rsid w:val="4514471C"/>
    <w:rsid w:val="453F1545"/>
    <w:rsid w:val="457F7F52"/>
    <w:rsid w:val="45937DC0"/>
    <w:rsid w:val="45A879FD"/>
    <w:rsid w:val="45DB57E0"/>
    <w:rsid w:val="45EE3DEF"/>
    <w:rsid w:val="460C2C10"/>
    <w:rsid w:val="466B5C0E"/>
    <w:rsid w:val="4693346B"/>
    <w:rsid w:val="46D7084C"/>
    <w:rsid w:val="46E84AD0"/>
    <w:rsid w:val="46F404DA"/>
    <w:rsid w:val="47022DDB"/>
    <w:rsid w:val="472C4A39"/>
    <w:rsid w:val="473C3D61"/>
    <w:rsid w:val="474D6866"/>
    <w:rsid w:val="475C42E4"/>
    <w:rsid w:val="47D94CF2"/>
    <w:rsid w:val="47E950BE"/>
    <w:rsid w:val="47FC03C7"/>
    <w:rsid w:val="480A1795"/>
    <w:rsid w:val="481E491E"/>
    <w:rsid w:val="482B2FFA"/>
    <w:rsid w:val="4838441B"/>
    <w:rsid w:val="48485489"/>
    <w:rsid w:val="48644107"/>
    <w:rsid w:val="487E7CF0"/>
    <w:rsid w:val="490049DC"/>
    <w:rsid w:val="49393BE4"/>
    <w:rsid w:val="49444963"/>
    <w:rsid w:val="495C1AEA"/>
    <w:rsid w:val="4968237E"/>
    <w:rsid w:val="497B013A"/>
    <w:rsid w:val="498A5CE0"/>
    <w:rsid w:val="49AA5DDB"/>
    <w:rsid w:val="49C33235"/>
    <w:rsid w:val="49D07F96"/>
    <w:rsid w:val="49F03D7D"/>
    <w:rsid w:val="49FE11CD"/>
    <w:rsid w:val="4A132ACD"/>
    <w:rsid w:val="4A1B2AE0"/>
    <w:rsid w:val="4A5974AE"/>
    <w:rsid w:val="4A5F41D2"/>
    <w:rsid w:val="4A9B304D"/>
    <w:rsid w:val="4AB76927"/>
    <w:rsid w:val="4ACC120F"/>
    <w:rsid w:val="4B2F74D4"/>
    <w:rsid w:val="4B352710"/>
    <w:rsid w:val="4B354939"/>
    <w:rsid w:val="4BA124B8"/>
    <w:rsid w:val="4BB614EB"/>
    <w:rsid w:val="4BBF538E"/>
    <w:rsid w:val="4BC72B1F"/>
    <w:rsid w:val="4BE91114"/>
    <w:rsid w:val="4C05627F"/>
    <w:rsid w:val="4C2A35FC"/>
    <w:rsid w:val="4C7E20E0"/>
    <w:rsid w:val="4C8837C5"/>
    <w:rsid w:val="4CDA68EB"/>
    <w:rsid w:val="4CF66CAC"/>
    <w:rsid w:val="4CFC49EF"/>
    <w:rsid w:val="4D1E2DC9"/>
    <w:rsid w:val="4D4945EF"/>
    <w:rsid w:val="4D5C2B2D"/>
    <w:rsid w:val="4D8F4A7A"/>
    <w:rsid w:val="4DBB5D86"/>
    <w:rsid w:val="4E0527CE"/>
    <w:rsid w:val="4E1B15CD"/>
    <w:rsid w:val="4E411497"/>
    <w:rsid w:val="4E417DC3"/>
    <w:rsid w:val="4E770E53"/>
    <w:rsid w:val="4E8303B9"/>
    <w:rsid w:val="4E850B96"/>
    <w:rsid w:val="4E894356"/>
    <w:rsid w:val="4E9A409C"/>
    <w:rsid w:val="4EA57DC5"/>
    <w:rsid w:val="4ECE241F"/>
    <w:rsid w:val="4F0B7589"/>
    <w:rsid w:val="4F2A2679"/>
    <w:rsid w:val="4F4C5928"/>
    <w:rsid w:val="4F5F59CE"/>
    <w:rsid w:val="4F7D6285"/>
    <w:rsid w:val="4FC44855"/>
    <w:rsid w:val="501D5D39"/>
    <w:rsid w:val="502B6704"/>
    <w:rsid w:val="50805941"/>
    <w:rsid w:val="509718D4"/>
    <w:rsid w:val="50A236F3"/>
    <w:rsid w:val="50BC0F98"/>
    <w:rsid w:val="50BF20E2"/>
    <w:rsid w:val="50C14B62"/>
    <w:rsid w:val="50D3695C"/>
    <w:rsid w:val="50D6651B"/>
    <w:rsid w:val="510F1E0A"/>
    <w:rsid w:val="511122C0"/>
    <w:rsid w:val="511F19CD"/>
    <w:rsid w:val="51632FF8"/>
    <w:rsid w:val="51844645"/>
    <w:rsid w:val="519954EF"/>
    <w:rsid w:val="51BA5FCE"/>
    <w:rsid w:val="52003C83"/>
    <w:rsid w:val="520A5C81"/>
    <w:rsid w:val="524833B7"/>
    <w:rsid w:val="527C4A77"/>
    <w:rsid w:val="527F421B"/>
    <w:rsid w:val="528C3E64"/>
    <w:rsid w:val="52F72AA8"/>
    <w:rsid w:val="532067C9"/>
    <w:rsid w:val="53251CDC"/>
    <w:rsid w:val="53343624"/>
    <w:rsid w:val="533E3FEB"/>
    <w:rsid w:val="53635670"/>
    <w:rsid w:val="537F6D72"/>
    <w:rsid w:val="539B4555"/>
    <w:rsid w:val="539E16DA"/>
    <w:rsid w:val="53A32513"/>
    <w:rsid w:val="53CF2225"/>
    <w:rsid w:val="53FE592D"/>
    <w:rsid w:val="54042746"/>
    <w:rsid w:val="54126C5B"/>
    <w:rsid w:val="544F4F75"/>
    <w:rsid w:val="545144FD"/>
    <w:rsid w:val="546C70EA"/>
    <w:rsid w:val="551F6956"/>
    <w:rsid w:val="55627EA8"/>
    <w:rsid w:val="557137A4"/>
    <w:rsid w:val="557C2064"/>
    <w:rsid w:val="559A66C2"/>
    <w:rsid w:val="55C374A8"/>
    <w:rsid w:val="55D6253B"/>
    <w:rsid w:val="55EB6F64"/>
    <w:rsid w:val="55EC1152"/>
    <w:rsid w:val="55FB4216"/>
    <w:rsid w:val="56203E5A"/>
    <w:rsid w:val="563E7D25"/>
    <w:rsid w:val="56580428"/>
    <w:rsid w:val="56684980"/>
    <w:rsid w:val="56792962"/>
    <w:rsid w:val="56AD1477"/>
    <w:rsid w:val="56B42AB9"/>
    <w:rsid w:val="56EB337E"/>
    <w:rsid w:val="57247F65"/>
    <w:rsid w:val="573B3F98"/>
    <w:rsid w:val="57492FAC"/>
    <w:rsid w:val="58225E02"/>
    <w:rsid w:val="58520694"/>
    <w:rsid w:val="585E5BA8"/>
    <w:rsid w:val="587122DA"/>
    <w:rsid w:val="588E13BF"/>
    <w:rsid w:val="5891699E"/>
    <w:rsid w:val="58AC609E"/>
    <w:rsid w:val="58CA0850"/>
    <w:rsid w:val="58EA34F4"/>
    <w:rsid w:val="58F6102A"/>
    <w:rsid w:val="59031A39"/>
    <w:rsid w:val="59194AD7"/>
    <w:rsid w:val="597F3785"/>
    <w:rsid w:val="59BA2941"/>
    <w:rsid w:val="59C95467"/>
    <w:rsid w:val="59E319A6"/>
    <w:rsid w:val="59E96494"/>
    <w:rsid w:val="5A3676DD"/>
    <w:rsid w:val="5A3C594E"/>
    <w:rsid w:val="5A4009BF"/>
    <w:rsid w:val="5A6D7EBD"/>
    <w:rsid w:val="5A6F0593"/>
    <w:rsid w:val="5AAE2683"/>
    <w:rsid w:val="5ACA252E"/>
    <w:rsid w:val="5ADE4867"/>
    <w:rsid w:val="5AEF1271"/>
    <w:rsid w:val="5AF04581"/>
    <w:rsid w:val="5B10362C"/>
    <w:rsid w:val="5B395C6D"/>
    <w:rsid w:val="5BAD4AB0"/>
    <w:rsid w:val="5BC3189A"/>
    <w:rsid w:val="5BF41C67"/>
    <w:rsid w:val="5C240674"/>
    <w:rsid w:val="5C24195F"/>
    <w:rsid w:val="5C3021B3"/>
    <w:rsid w:val="5C594EF0"/>
    <w:rsid w:val="5C62465A"/>
    <w:rsid w:val="5C965AD7"/>
    <w:rsid w:val="5C9C1AB7"/>
    <w:rsid w:val="5CF94E7D"/>
    <w:rsid w:val="5D312DA5"/>
    <w:rsid w:val="5D586B67"/>
    <w:rsid w:val="5D5B6193"/>
    <w:rsid w:val="5D611CF6"/>
    <w:rsid w:val="5D7B238B"/>
    <w:rsid w:val="5D953B1C"/>
    <w:rsid w:val="5D983C26"/>
    <w:rsid w:val="5D996EBC"/>
    <w:rsid w:val="5DBA54DC"/>
    <w:rsid w:val="5DEB0993"/>
    <w:rsid w:val="5E042870"/>
    <w:rsid w:val="5E7D30ED"/>
    <w:rsid w:val="5EAE2515"/>
    <w:rsid w:val="5EF0582B"/>
    <w:rsid w:val="5F435985"/>
    <w:rsid w:val="5F4D79D3"/>
    <w:rsid w:val="5FB62151"/>
    <w:rsid w:val="5FCF6E40"/>
    <w:rsid w:val="5FDF3616"/>
    <w:rsid w:val="5FED676F"/>
    <w:rsid w:val="601A4B11"/>
    <w:rsid w:val="607209CF"/>
    <w:rsid w:val="60873C43"/>
    <w:rsid w:val="608C742D"/>
    <w:rsid w:val="6091482D"/>
    <w:rsid w:val="609B7E78"/>
    <w:rsid w:val="60AA7836"/>
    <w:rsid w:val="60AB765E"/>
    <w:rsid w:val="60DD1149"/>
    <w:rsid w:val="60E85A88"/>
    <w:rsid w:val="61051D03"/>
    <w:rsid w:val="610D34E3"/>
    <w:rsid w:val="612D657A"/>
    <w:rsid w:val="6153188F"/>
    <w:rsid w:val="61F13505"/>
    <w:rsid w:val="61F70891"/>
    <w:rsid w:val="62081E98"/>
    <w:rsid w:val="620B661D"/>
    <w:rsid w:val="624812F3"/>
    <w:rsid w:val="6264571E"/>
    <w:rsid w:val="62AC3EE8"/>
    <w:rsid w:val="62AE5028"/>
    <w:rsid w:val="62BE7E2A"/>
    <w:rsid w:val="62DB04CF"/>
    <w:rsid w:val="62F95F84"/>
    <w:rsid w:val="63027C9D"/>
    <w:rsid w:val="636E0FFC"/>
    <w:rsid w:val="63AC68ED"/>
    <w:rsid w:val="640A64F7"/>
    <w:rsid w:val="64340F42"/>
    <w:rsid w:val="64676CB4"/>
    <w:rsid w:val="64A642B7"/>
    <w:rsid w:val="65075DE6"/>
    <w:rsid w:val="65231E3A"/>
    <w:rsid w:val="65482DDF"/>
    <w:rsid w:val="654A5867"/>
    <w:rsid w:val="65931EDD"/>
    <w:rsid w:val="65B23AC1"/>
    <w:rsid w:val="65DE28A6"/>
    <w:rsid w:val="65E60B6F"/>
    <w:rsid w:val="66041C0C"/>
    <w:rsid w:val="66613728"/>
    <w:rsid w:val="666910D5"/>
    <w:rsid w:val="667A0BE3"/>
    <w:rsid w:val="66B43920"/>
    <w:rsid w:val="66FE32A8"/>
    <w:rsid w:val="67540551"/>
    <w:rsid w:val="679C7331"/>
    <w:rsid w:val="67AF6427"/>
    <w:rsid w:val="67CA21D2"/>
    <w:rsid w:val="67CD2E0A"/>
    <w:rsid w:val="67E95CE9"/>
    <w:rsid w:val="67FE7603"/>
    <w:rsid w:val="680D034C"/>
    <w:rsid w:val="6815685E"/>
    <w:rsid w:val="684A29D3"/>
    <w:rsid w:val="688B3E6F"/>
    <w:rsid w:val="68975BA0"/>
    <w:rsid w:val="68AE4C8E"/>
    <w:rsid w:val="68C72BC1"/>
    <w:rsid w:val="68FF13A4"/>
    <w:rsid w:val="690178B8"/>
    <w:rsid w:val="69497B31"/>
    <w:rsid w:val="695318FB"/>
    <w:rsid w:val="6958523A"/>
    <w:rsid w:val="69854E5E"/>
    <w:rsid w:val="699E4E29"/>
    <w:rsid w:val="699F31A7"/>
    <w:rsid w:val="6A4A278F"/>
    <w:rsid w:val="6A5F1E0E"/>
    <w:rsid w:val="6A736CBD"/>
    <w:rsid w:val="6A845C6A"/>
    <w:rsid w:val="6A9E6904"/>
    <w:rsid w:val="6AC36461"/>
    <w:rsid w:val="6AFF3C12"/>
    <w:rsid w:val="6B1F5808"/>
    <w:rsid w:val="6B25333A"/>
    <w:rsid w:val="6B4B3FBF"/>
    <w:rsid w:val="6B5D1494"/>
    <w:rsid w:val="6B795DAA"/>
    <w:rsid w:val="6BC74DB9"/>
    <w:rsid w:val="6BCD3C6B"/>
    <w:rsid w:val="6BF8707F"/>
    <w:rsid w:val="6C2B5BB8"/>
    <w:rsid w:val="6C8267EF"/>
    <w:rsid w:val="6CA25293"/>
    <w:rsid w:val="6CC61278"/>
    <w:rsid w:val="6CCC120C"/>
    <w:rsid w:val="6CE02A99"/>
    <w:rsid w:val="6CE420E2"/>
    <w:rsid w:val="6CFB0AEE"/>
    <w:rsid w:val="6D04283D"/>
    <w:rsid w:val="6D1A649B"/>
    <w:rsid w:val="6D294295"/>
    <w:rsid w:val="6D2E186C"/>
    <w:rsid w:val="6DBF3308"/>
    <w:rsid w:val="6E0428BC"/>
    <w:rsid w:val="6E0A5F6B"/>
    <w:rsid w:val="6E0B6F9C"/>
    <w:rsid w:val="6E320196"/>
    <w:rsid w:val="6E39241B"/>
    <w:rsid w:val="6ECE7846"/>
    <w:rsid w:val="6EE03BED"/>
    <w:rsid w:val="6F5A5949"/>
    <w:rsid w:val="6FAF644F"/>
    <w:rsid w:val="6FB1408D"/>
    <w:rsid w:val="6FDE5227"/>
    <w:rsid w:val="70462B36"/>
    <w:rsid w:val="70553C42"/>
    <w:rsid w:val="70901464"/>
    <w:rsid w:val="70940BF4"/>
    <w:rsid w:val="70A96FE6"/>
    <w:rsid w:val="70B4602B"/>
    <w:rsid w:val="71072DD9"/>
    <w:rsid w:val="716B1A32"/>
    <w:rsid w:val="718C3E37"/>
    <w:rsid w:val="71915716"/>
    <w:rsid w:val="71955EFB"/>
    <w:rsid w:val="720E7483"/>
    <w:rsid w:val="7211401C"/>
    <w:rsid w:val="721627CD"/>
    <w:rsid w:val="72576952"/>
    <w:rsid w:val="72661D6D"/>
    <w:rsid w:val="72A37546"/>
    <w:rsid w:val="72DE2250"/>
    <w:rsid w:val="72E12135"/>
    <w:rsid w:val="72E2594D"/>
    <w:rsid w:val="72F20A73"/>
    <w:rsid w:val="73054401"/>
    <w:rsid w:val="730D36FB"/>
    <w:rsid w:val="73150A3D"/>
    <w:rsid w:val="73716B6C"/>
    <w:rsid w:val="737B0A6B"/>
    <w:rsid w:val="73CE085D"/>
    <w:rsid w:val="73E44663"/>
    <w:rsid w:val="74282365"/>
    <w:rsid w:val="74427782"/>
    <w:rsid w:val="74512320"/>
    <w:rsid w:val="745B2E48"/>
    <w:rsid w:val="74B3429D"/>
    <w:rsid w:val="74CC51DA"/>
    <w:rsid w:val="74F304CE"/>
    <w:rsid w:val="75146837"/>
    <w:rsid w:val="751533C0"/>
    <w:rsid w:val="751A33F0"/>
    <w:rsid w:val="75294F97"/>
    <w:rsid w:val="75505E1F"/>
    <w:rsid w:val="75670781"/>
    <w:rsid w:val="75BE639A"/>
    <w:rsid w:val="75C13364"/>
    <w:rsid w:val="75E67078"/>
    <w:rsid w:val="762D2664"/>
    <w:rsid w:val="76443A1D"/>
    <w:rsid w:val="767E1270"/>
    <w:rsid w:val="768123B7"/>
    <w:rsid w:val="76912CC2"/>
    <w:rsid w:val="76AB6B0A"/>
    <w:rsid w:val="76D2656C"/>
    <w:rsid w:val="76E60A8D"/>
    <w:rsid w:val="77280D22"/>
    <w:rsid w:val="77526882"/>
    <w:rsid w:val="77836411"/>
    <w:rsid w:val="778C35D8"/>
    <w:rsid w:val="780E027F"/>
    <w:rsid w:val="782034A7"/>
    <w:rsid w:val="78306DEB"/>
    <w:rsid w:val="7866636C"/>
    <w:rsid w:val="78734977"/>
    <w:rsid w:val="78A3381B"/>
    <w:rsid w:val="78BE2D03"/>
    <w:rsid w:val="79182CA6"/>
    <w:rsid w:val="794C5432"/>
    <w:rsid w:val="79622438"/>
    <w:rsid w:val="79754725"/>
    <w:rsid w:val="79A70769"/>
    <w:rsid w:val="79DE162C"/>
    <w:rsid w:val="79EE0681"/>
    <w:rsid w:val="7A1D101B"/>
    <w:rsid w:val="7A2540B3"/>
    <w:rsid w:val="7A480199"/>
    <w:rsid w:val="7A603F19"/>
    <w:rsid w:val="7A6C7660"/>
    <w:rsid w:val="7AA73E5E"/>
    <w:rsid w:val="7AAD6471"/>
    <w:rsid w:val="7AC23622"/>
    <w:rsid w:val="7B0254DE"/>
    <w:rsid w:val="7B39348F"/>
    <w:rsid w:val="7B6962D7"/>
    <w:rsid w:val="7B6A2CF0"/>
    <w:rsid w:val="7B84298F"/>
    <w:rsid w:val="7B873604"/>
    <w:rsid w:val="7BA919F6"/>
    <w:rsid w:val="7BAA2185"/>
    <w:rsid w:val="7C361FD1"/>
    <w:rsid w:val="7C4E181F"/>
    <w:rsid w:val="7C6F6FAC"/>
    <w:rsid w:val="7C781FB0"/>
    <w:rsid w:val="7C914A01"/>
    <w:rsid w:val="7CA03FCB"/>
    <w:rsid w:val="7CA9403B"/>
    <w:rsid w:val="7CAE2104"/>
    <w:rsid w:val="7D644F18"/>
    <w:rsid w:val="7DA94C83"/>
    <w:rsid w:val="7E293911"/>
    <w:rsid w:val="7E2F51D6"/>
    <w:rsid w:val="7E4D65E6"/>
    <w:rsid w:val="7E79238B"/>
    <w:rsid w:val="7E931354"/>
    <w:rsid w:val="7EB554A1"/>
    <w:rsid w:val="7F054EDA"/>
    <w:rsid w:val="7F153ED5"/>
    <w:rsid w:val="7F2F6C90"/>
    <w:rsid w:val="7F70522E"/>
    <w:rsid w:val="7F776C84"/>
    <w:rsid w:val="7F7E3D1E"/>
    <w:rsid w:val="7F8C6B77"/>
    <w:rsid w:val="7F961060"/>
    <w:rsid w:val="7FC746CE"/>
    <w:rsid w:val="7FCF14D7"/>
    <w:rsid w:val="7FD00373"/>
    <w:rsid w:val="7FE65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rFonts w:eastAsia="宋体"/>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800"/>
      <w:jc w:val="left"/>
    </w:pPr>
    <w:rPr>
      <w:rFonts w:asciiTheme="minorHAnsi" w:hAnsiTheme="minorHAnsi"/>
      <w:sz w:val="18"/>
      <w:szCs w:val="18"/>
    </w:rPr>
  </w:style>
  <w:style w:type="paragraph" w:styleId="5">
    <w:name w:val="Body Text Indent"/>
    <w:basedOn w:val="1"/>
    <w:link w:val="28"/>
    <w:qFormat/>
    <w:uiPriority w:val="0"/>
    <w:pPr>
      <w:autoSpaceDE w:val="0"/>
      <w:autoSpaceDN w:val="0"/>
      <w:adjustRightInd w:val="0"/>
      <w:snapToGrid w:val="0"/>
      <w:spacing w:line="588" w:lineRule="atLeast"/>
      <w:ind w:left="1596" w:hanging="969"/>
    </w:pPr>
    <w:rPr>
      <w:rFonts w:ascii="宋体" w:hAnsi="宋体"/>
      <w:spacing w:val="6"/>
    </w:rPr>
  </w:style>
  <w:style w:type="paragraph" w:styleId="6">
    <w:name w:val="toc 5"/>
    <w:basedOn w:val="1"/>
    <w:next w:val="1"/>
    <w:qFormat/>
    <w:uiPriority w:val="0"/>
    <w:pPr>
      <w:ind w:left="1200"/>
      <w:jc w:val="left"/>
    </w:pPr>
    <w:rPr>
      <w:rFonts w:asciiTheme="minorHAnsi" w:hAnsiTheme="minorHAnsi"/>
      <w:sz w:val="18"/>
      <w:szCs w:val="18"/>
    </w:rPr>
  </w:style>
  <w:style w:type="paragraph" w:styleId="7">
    <w:name w:val="toc 3"/>
    <w:basedOn w:val="1"/>
    <w:next w:val="1"/>
    <w:qFormat/>
    <w:uiPriority w:val="0"/>
    <w:pPr>
      <w:ind w:left="600"/>
      <w:jc w:val="left"/>
    </w:pPr>
    <w:rPr>
      <w:rFonts w:asciiTheme="minorHAnsi" w:hAnsiTheme="minorHAnsi"/>
      <w:i/>
      <w:iCs/>
      <w:sz w:val="20"/>
      <w:szCs w:val="20"/>
    </w:rPr>
  </w:style>
  <w:style w:type="paragraph" w:styleId="8">
    <w:name w:val="Plain Text"/>
    <w:basedOn w:val="1"/>
    <w:qFormat/>
    <w:uiPriority w:val="0"/>
    <w:rPr>
      <w:rFonts w:ascii="宋体" w:hAnsi="Courier New" w:cs="Courier New"/>
      <w:szCs w:val="21"/>
    </w:rPr>
  </w:style>
  <w:style w:type="paragraph" w:styleId="9">
    <w:name w:val="toc 8"/>
    <w:basedOn w:val="1"/>
    <w:next w:val="1"/>
    <w:uiPriority w:val="0"/>
    <w:pPr>
      <w:ind w:left="2100"/>
      <w:jc w:val="left"/>
    </w:pPr>
    <w:rPr>
      <w:rFonts w:asciiTheme="minorHAnsi" w:hAnsiTheme="minorHAnsi"/>
      <w:sz w:val="18"/>
      <w:szCs w:val="18"/>
    </w:rPr>
  </w:style>
  <w:style w:type="paragraph" w:styleId="10">
    <w:name w:val="Balloon Text"/>
    <w:basedOn w:val="1"/>
    <w:link w:val="4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qFormat/>
    <w:uiPriority w:val="0"/>
    <w:pPr>
      <w:ind w:left="900"/>
      <w:jc w:val="left"/>
    </w:pPr>
    <w:rPr>
      <w:rFonts w:asciiTheme="minorHAnsi" w:hAnsiTheme="minorHAnsi"/>
      <w:sz w:val="18"/>
      <w:szCs w:val="18"/>
    </w:rPr>
  </w:style>
  <w:style w:type="paragraph" w:styleId="15">
    <w:name w:val="toc 6"/>
    <w:basedOn w:val="1"/>
    <w:next w:val="1"/>
    <w:qFormat/>
    <w:uiPriority w:val="0"/>
    <w:pPr>
      <w:ind w:left="1500"/>
      <w:jc w:val="left"/>
    </w:pPr>
    <w:rPr>
      <w:rFonts w:asciiTheme="minorHAnsi" w:hAnsiTheme="minorHAnsi"/>
      <w:sz w:val="18"/>
      <w:szCs w:val="18"/>
    </w:rPr>
  </w:style>
  <w:style w:type="paragraph" w:styleId="16">
    <w:name w:val="toc 2"/>
    <w:basedOn w:val="1"/>
    <w:next w:val="1"/>
    <w:unhideWhenUsed/>
    <w:qFormat/>
    <w:uiPriority w:val="39"/>
    <w:pPr>
      <w:ind w:left="300"/>
      <w:jc w:val="left"/>
    </w:pPr>
    <w:rPr>
      <w:rFonts w:asciiTheme="minorHAnsi" w:hAnsiTheme="minorHAnsi"/>
      <w:smallCaps/>
      <w:sz w:val="20"/>
      <w:szCs w:val="20"/>
    </w:rPr>
  </w:style>
  <w:style w:type="paragraph" w:styleId="17">
    <w:name w:val="toc 9"/>
    <w:basedOn w:val="1"/>
    <w:next w:val="1"/>
    <w:qFormat/>
    <w:uiPriority w:val="0"/>
    <w:pPr>
      <w:ind w:left="2400"/>
      <w:jc w:val="left"/>
    </w:pPr>
    <w:rPr>
      <w:rFonts w:asciiTheme="minorHAnsi" w:hAnsiTheme="minorHAnsi"/>
      <w:sz w:val="18"/>
      <w:szCs w:val="18"/>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Cambria" w:hAnsi="Cambria" w:eastAsia="宋体"/>
      <w:b/>
      <w:bCs/>
      <w:kern w:val="0"/>
      <w:sz w:val="32"/>
      <w:szCs w:val="32"/>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FollowedHyperlink"/>
    <w:qFormat/>
    <w:uiPriority w:val="0"/>
    <w:rPr>
      <w:color w:val="000000"/>
      <w:sz w:val="18"/>
      <w:szCs w:val="18"/>
      <w:u w:val="none"/>
    </w:rPr>
  </w:style>
  <w:style w:type="character" w:styleId="25">
    <w:name w:val="Hyperlink"/>
    <w:unhideWhenUsed/>
    <w:qFormat/>
    <w:uiPriority w:val="99"/>
    <w:rPr>
      <w:color w:val="0563C1"/>
      <w:u w:val="single"/>
    </w:rPr>
  </w:style>
  <w:style w:type="character" w:customStyle="1" w:styleId="26">
    <w:name w:val="font51"/>
    <w:qFormat/>
    <w:uiPriority w:val="0"/>
    <w:rPr>
      <w:rFonts w:hint="eastAsia" w:ascii="宋体" w:hAnsi="宋体" w:eastAsia="宋体" w:cs="宋体"/>
      <w:color w:val="000000"/>
      <w:sz w:val="20"/>
      <w:szCs w:val="20"/>
      <w:u w:val="none"/>
    </w:rPr>
  </w:style>
  <w:style w:type="character" w:customStyle="1" w:styleId="27">
    <w:name w:val="font21"/>
    <w:qFormat/>
    <w:uiPriority w:val="0"/>
    <w:rPr>
      <w:rFonts w:hint="eastAsia" w:ascii="宋体" w:hAnsi="宋体" w:eastAsia="宋体" w:cs="宋体"/>
      <w:color w:val="000000"/>
      <w:sz w:val="20"/>
      <w:szCs w:val="20"/>
      <w:u w:val="none"/>
    </w:rPr>
  </w:style>
  <w:style w:type="character" w:customStyle="1" w:styleId="28">
    <w:name w:val="正文文本缩进 Char"/>
    <w:link w:val="5"/>
    <w:qFormat/>
    <w:uiPriority w:val="0"/>
    <w:rPr>
      <w:rFonts w:ascii="宋体" w:hAnsi="宋体" w:eastAsia="仿宋_GB2312"/>
      <w:spacing w:val="6"/>
      <w:kern w:val="2"/>
      <w:sz w:val="30"/>
      <w:szCs w:val="24"/>
    </w:rPr>
  </w:style>
  <w:style w:type="character" w:customStyle="1" w:styleId="29">
    <w:name w:val="font61"/>
    <w:qFormat/>
    <w:uiPriority w:val="0"/>
    <w:rPr>
      <w:rFonts w:hint="eastAsia" w:ascii="宋体" w:hAnsi="宋体" w:eastAsia="宋体" w:cs="宋体"/>
      <w:color w:val="000000"/>
      <w:sz w:val="20"/>
      <w:szCs w:val="20"/>
      <w:u w:val="none"/>
    </w:rPr>
  </w:style>
  <w:style w:type="character" w:customStyle="1" w:styleId="30">
    <w:name w:val="font0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default" w:ascii="Times New Roman" w:hAnsi="Times New Roman" w:cs="Times New Roman"/>
      <w:color w:val="000000"/>
      <w:sz w:val="20"/>
      <w:szCs w:val="20"/>
      <w:u w:val="none"/>
    </w:rPr>
  </w:style>
  <w:style w:type="character" w:customStyle="1" w:styleId="32">
    <w:name w:val="标题 2 Char"/>
    <w:link w:val="3"/>
    <w:qFormat/>
    <w:uiPriority w:val="0"/>
    <w:rPr>
      <w:rFonts w:ascii="Cambria" w:hAnsi="Cambria" w:eastAsia="仿宋_GB2312"/>
      <w:b/>
      <w:bCs/>
      <w:kern w:val="2"/>
      <w:sz w:val="32"/>
      <w:szCs w:val="32"/>
    </w:rPr>
  </w:style>
  <w:style w:type="character" w:customStyle="1" w:styleId="33">
    <w:name w:val="标题 1 Char"/>
    <w:link w:val="2"/>
    <w:qFormat/>
    <w:uiPriority w:val="99"/>
    <w:rPr>
      <w:b/>
      <w:bCs/>
      <w:kern w:val="44"/>
      <w:sz w:val="44"/>
      <w:szCs w:val="44"/>
    </w:rPr>
  </w:style>
  <w:style w:type="character" w:customStyle="1" w:styleId="34">
    <w:name w:val="font11"/>
    <w:qFormat/>
    <w:uiPriority w:val="0"/>
    <w:rPr>
      <w:rFonts w:hint="eastAsia" w:ascii="宋体" w:hAnsi="宋体" w:eastAsia="宋体" w:cs="宋体"/>
      <w:color w:val="000000"/>
      <w:sz w:val="20"/>
      <w:szCs w:val="20"/>
      <w:u w:val="none"/>
    </w:rPr>
  </w:style>
  <w:style w:type="character" w:customStyle="1" w:styleId="35">
    <w:name w:val="font71"/>
    <w:qFormat/>
    <w:uiPriority w:val="0"/>
    <w:rPr>
      <w:rFonts w:hint="eastAsia" w:ascii="宋体" w:hAnsi="宋体" w:eastAsia="宋体" w:cs="宋体"/>
      <w:color w:val="000000"/>
      <w:sz w:val="16"/>
      <w:szCs w:val="16"/>
      <w:u w:val="none"/>
    </w:rPr>
  </w:style>
  <w:style w:type="paragraph" w:customStyle="1" w:styleId="36">
    <w:name w:val="标题 11"/>
    <w:basedOn w:val="1"/>
    <w:qFormat/>
    <w:uiPriority w:val="1"/>
    <w:pPr>
      <w:ind w:left="226"/>
      <w:outlineLvl w:val="1"/>
    </w:pPr>
    <w:rPr>
      <w:rFonts w:ascii="仿宋_GB2312" w:hAnsi="仿宋_GB2312"/>
      <w:sz w:val="32"/>
      <w:szCs w:val="32"/>
    </w:rPr>
  </w:style>
  <w:style w:type="paragraph" w:customStyle="1" w:styleId="37">
    <w:name w:val="TOC Heading"/>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8">
    <w:name w:val="WPSOffice手动目录 3"/>
    <w:uiPriority w:val="0"/>
    <w:pPr>
      <w:ind w:left="400" w:leftChars="400"/>
    </w:pPr>
    <w:rPr>
      <w:rFonts w:ascii="Times New Roman" w:hAnsi="Times New Roman" w:eastAsia="宋体" w:cs="Times New Roman"/>
      <w:lang w:val="en-US" w:eastAsia="zh-CN" w:bidi="ar-SA"/>
    </w:rPr>
  </w:style>
  <w:style w:type="paragraph" w:customStyle="1" w:styleId="39">
    <w:name w:val="WPSOffice手动目录 1"/>
    <w:uiPriority w:val="0"/>
    <w:rPr>
      <w:rFonts w:ascii="Times New Roman" w:hAnsi="Times New Roman" w:eastAsia="宋体" w:cs="Times New Roman"/>
      <w:lang w:val="en-US" w:eastAsia="zh-CN" w:bidi="ar-SA"/>
    </w:rPr>
  </w:style>
  <w:style w:type="paragraph" w:customStyle="1" w:styleId="40">
    <w:name w:val="WPSOffice手动目录 2"/>
    <w:uiPriority w:val="0"/>
    <w:pPr>
      <w:ind w:left="200" w:leftChars="200"/>
    </w:pPr>
    <w:rPr>
      <w:rFonts w:ascii="Times New Roman" w:hAnsi="Times New Roman" w:eastAsia="宋体" w:cs="Times New Roman"/>
      <w:lang w:val="en-US" w:eastAsia="zh-CN" w:bidi="ar-SA"/>
    </w:rPr>
  </w:style>
  <w:style w:type="character" w:customStyle="1" w:styleId="41">
    <w:name w:val="批注框文本 Char"/>
    <w:basedOn w:val="22"/>
    <w:link w:val="10"/>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20&#24180;&#39033;&#30446;\8.&#24464;&#27700;&#21306;&#23601;&#19994;&#34917;&#21161;&#36164;&#37329;&#32489;&#25928;&#35780;&#20215;\&#36807;&#31243;&#36164;&#26009;---&#33258;&#2404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020&#24180;&#39033;&#30446;\8.&#24464;&#27700;&#21306;&#23601;&#19994;&#34917;&#21161;&#36164;&#37329;&#32489;&#25928;&#35780;&#20215;\&#36807;&#31243;&#36164;&#26009;---&#33258;&#24049;.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2020&#24180;&#39033;&#30446;\8.&#24464;&#27700;&#21306;&#23601;&#19994;&#34917;&#21161;&#36164;&#37329;&#32489;&#25928;&#35780;&#20215;\&#36807;&#31243;&#36164;&#26009;---&#33258;&#2404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en-US" altLang="zh-CN" sz="1400"/>
              <a:t>2019</a:t>
            </a:r>
            <a:r>
              <a:rPr lang="zh-CN" altLang="en-US" sz="1400"/>
              <a:t>年补贴类别人数占比图 </a:t>
            </a:r>
            <a:endParaRPr lang="zh-CN" altLang="en-US" sz="1400"/>
          </a:p>
        </c:rich>
      </c:tx>
      <c:layout/>
      <c:overlay val="0"/>
    </c:title>
    <c:autoTitleDeleted val="0"/>
    <c:plotArea>
      <c:layout/>
      <c:pieChart>
        <c:varyColors val="1"/>
        <c:ser>
          <c:idx val="0"/>
          <c:order val="0"/>
          <c:tx>
            <c:strRef>
              <c:f>图表!$B$12:$B$13</c:f>
              <c:strCache>
                <c:ptCount val="1"/>
                <c:pt idx="0">
                  <c:v>补贴类别支出占比图 支出金额</c:v>
                </c:pt>
              </c:strCache>
            </c:strRef>
          </c:tx>
          <c:explosion val="0"/>
          <c:dPt>
            <c:idx val="0"/>
            <c:bubble3D val="0"/>
          </c:dPt>
          <c:dPt>
            <c:idx val="1"/>
            <c:bubble3D val="0"/>
          </c:dPt>
          <c:dPt>
            <c:idx val="2"/>
            <c:bubble3D val="0"/>
          </c:dPt>
          <c:dPt>
            <c:idx val="3"/>
            <c:bubble3D val="0"/>
          </c:dPt>
          <c:dPt>
            <c:idx val="4"/>
            <c:bubble3D val="0"/>
          </c:dPt>
          <c:dPt>
            <c:idx val="5"/>
            <c:bubble3D val="0"/>
          </c:dPt>
          <c:dLbls>
            <c:dLbl>
              <c:idx val="2"/>
              <c:layout>
                <c:manualLayout>
                  <c:x val="-0.0345781933508311"/>
                  <c:y val="0.0386628754738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24984689413825"/>
                  <c:y val="0.0074879702537183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56484033245844"/>
                  <c:y val="-0.010149460484106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62338145231846"/>
                  <c:y val="-0.01592556138815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图表!$A$14:$A$19</c:f>
              <c:strCache>
                <c:ptCount val="6"/>
                <c:pt idx="0">
                  <c:v>社会保险补贴</c:v>
                </c:pt>
                <c:pt idx="1">
                  <c:v>职业培训补贴</c:v>
                </c:pt>
                <c:pt idx="2">
                  <c:v>职业技能鉴定补贴</c:v>
                </c:pt>
                <c:pt idx="3">
                  <c:v>公益性岗位补贴</c:v>
                </c:pt>
                <c:pt idx="4">
                  <c:v>见习补贴</c:v>
                </c:pt>
                <c:pt idx="5">
                  <c:v>其他补贴</c:v>
                </c:pt>
              </c:strCache>
            </c:strRef>
          </c:cat>
          <c:val>
            <c:numRef>
              <c:f>图表!$B$14:$B$19</c:f>
              <c:numCache>
                <c:formatCode>General</c:formatCode>
                <c:ptCount val="6"/>
                <c:pt idx="0">
                  <c:v>457</c:v>
                </c:pt>
                <c:pt idx="1">
                  <c:v>798</c:v>
                </c:pt>
                <c:pt idx="2">
                  <c:v>708</c:v>
                </c:pt>
                <c:pt idx="3">
                  <c:v>98</c:v>
                </c:pt>
                <c:pt idx="4">
                  <c:v>87</c:v>
                </c:pt>
                <c:pt idx="5">
                  <c:v>6</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en-US" altLang="zh-CN" sz="1400"/>
              <a:t>2019</a:t>
            </a:r>
            <a:r>
              <a:rPr lang="zh-CN" altLang="en-US" sz="1400"/>
              <a:t>年补贴类别支出占比图 </a:t>
            </a:r>
            <a:endParaRPr lang="zh-CN" altLang="en-US" sz="1400"/>
          </a:p>
        </c:rich>
      </c:tx>
      <c:layout/>
      <c:overlay val="0"/>
    </c:title>
    <c:autoTitleDeleted val="0"/>
    <c:plotArea>
      <c:layout/>
      <c:pieChart>
        <c:varyColors val="1"/>
        <c:ser>
          <c:idx val="0"/>
          <c:order val="0"/>
          <c:tx>
            <c:strRef>
              <c:f>图表!$B$12:$B$13</c:f>
              <c:strCache>
                <c:ptCount val="1"/>
                <c:pt idx="0">
                  <c:v>补贴类别支出占比图 支出金额</c:v>
                </c:pt>
              </c:strCache>
            </c:strRef>
          </c:tx>
          <c:explosion val="0"/>
          <c:dPt>
            <c:idx val="0"/>
            <c:bubble3D val="0"/>
          </c:dPt>
          <c:dPt>
            <c:idx val="1"/>
            <c:bubble3D val="0"/>
          </c:dPt>
          <c:dPt>
            <c:idx val="2"/>
            <c:bubble3D val="0"/>
          </c:dPt>
          <c:dPt>
            <c:idx val="3"/>
            <c:bubble3D val="0"/>
          </c:dPt>
          <c:dPt>
            <c:idx val="4"/>
            <c:bubble3D val="0"/>
          </c:dPt>
          <c:dPt>
            <c:idx val="5"/>
            <c:bubble3D val="0"/>
          </c:dPt>
          <c:dLbls>
            <c:dLbl>
              <c:idx val="2"/>
              <c:layout>
                <c:manualLayout>
                  <c:x val="-0.0345781933508311"/>
                  <c:y val="0.038662875473899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269429133858268"/>
                  <c:y val="-0.029549066783318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56484033245844"/>
                  <c:y val="-0.010149460484106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662338145231846"/>
                  <c:y val="-0.015925561388159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图表!$A$14:$A$19</c:f>
              <c:strCache>
                <c:ptCount val="6"/>
                <c:pt idx="0">
                  <c:v>社会保险补贴</c:v>
                </c:pt>
                <c:pt idx="1">
                  <c:v>职业培训补贴</c:v>
                </c:pt>
                <c:pt idx="2">
                  <c:v>职业技能鉴定补贴</c:v>
                </c:pt>
                <c:pt idx="3">
                  <c:v>公益性岗位补贴</c:v>
                </c:pt>
                <c:pt idx="4">
                  <c:v>见习补贴</c:v>
                </c:pt>
                <c:pt idx="5">
                  <c:v>其他补贴</c:v>
                </c:pt>
              </c:strCache>
            </c:strRef>
          </c:cat>
          <c:val>
            <c:numRef>
              <c:f>图表!$B$14:$B$19</c:f>
              <c:numCache>
                <c:formatCode>General</c:formatCode>
                <c:ptCount val="6"/>
                <c:pt idx="0">
                  <c:v>285.3</c:v>
                </c:pt>
                <c:pt idx="1">
                  <c:v>84.11</c:v>
                </c:pt>
                <c:pt idx="2">
                  <c:v>17.06</c:v>
                </c:pt>
                <c:pt idx="3">
                  <c:v>152.66</c:v>
                </c:pt>
                <c:pt idx="4">
                  <c:v>24.13</c:v>
                </c:pt>
                <c:pt idx="5">
                  <c:v>2.8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600"/>
              <a:t>2018-2019</a:t>
            </a:r>
            <a:r>
              <a:rPr lang="zh-CN" altLang="en-US" sz="1600"/>
              <a:t>年享受就业补贴人群对比图</a:t>
            </a:r>
            <a:endParaRPr lang="zh-CN" altLang="en-US" sz="1600"/>
          </a:p>
        </c:rich>
      </c:tx>
      <c:layout/>
      <c:overlay val="0"/>
    </c:title>
    <c:autoTitleDeleted val="0"/>
    <c:plotArea>
      <c:layout/>
      <c:barChart>
        <c:barDir val="col"/>
        <c:grouping val="clustered"/>
        <c:varyColors val="0"/>
        <c:ser>
          <c:idx val="0"/>
          <c:order val="0"/>
          <c:tx>
            <c:strRef>
              <c:f>图表!$B$30</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图表!$A$31:$A$37</c:f>
              <c:strCache>
                <c:ptCount val="7"/>
                <c:pt idx="0">
                  <c:v>社会保险补贴</c:v>
                </c:pt>
                <c:pt idx="1">
                  <c:v>职业培训补贴</c:v>
                </c:pt>
                <c:pt idx="2">
                  <c:v>职业技能鉴定补贴</c:v>
                </c:pt>
                <c:pt idx="3">
                  <c:v>公益性岗位补贴</c:v>
                </c:pt>
                <c:pt idx="4">
                  <c:v>见习补贴</c:v>
                </c:pt>
                <c:pt idx="5">
                  <c:v>创业补贴</c:v>
                </c:pt>
                <c:pt idx="6">
                  <c:v>小微企业场地租金补贴</c:v>
                </c:pt>
              </c:strCache>
            </c:strRef>
          </c:cat>
          <c:val>
            <c:numRef>
              <c:f>图表!$B$31:$B$37</c:f>
              <c:numCache>
                <c:formatCode>General</c:formatCode>
                <c:ptCount val="7"/>
                <c:pt idx="0">
                  <c:v>513</c:v>
                </c:pt>
                <c:pt idx="1">
                  <c:v>0</c:v>
                </c:pt>
                <c:pt idx="2">
                  <c:v>0</c:v>
                </c:pt>
                <c:pt idx="3">
                  <c:v>93</c:v>
                </c:pt>
                <c:pt idx="4">
                  <c:v>0</c:v>
                </c:pt>
                <c:pt idx="5">
                  <c:v>1</c:v>
                </c:pt>
                <c:pt idx="6">
                  <c:v>1</c:v>
                </c:pt>
              </c:numCache>
            </c:numRef>
          </c:val>
        </c:ser>
        <c:ser>
          <c:idx val="1"/>
          <c:order val="1"/>
          <c:tx>
            <c:strRef>
              <c:f>图表!$C$30</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图表!$A$31:$A$37</c:f>
              <c:strCache>
                <c:ptCount val="7"/>
                <c:pt idx="0">
                  <c:v>社会保险补贴</c:v>
                </c:pt>
                <c:pt idx="1">
                  <c:v>职业培训补贴</c:v>
                </c:pt>
                <c:pt idx="2">
                  <c:v>职业技能鉴定补贴</c:v>
                </c:pt>
                <c:pt idx="3">
                  <c:v>公益性岗位补贴</c:v>
                </c:pt>
                <c:pt idx="4">
                  <c:v>见习补贴</c:v>
                </c:pt>
                <c:pt idx="5">
                  <c:v>创业补贴</c:v>
                </c:pt>
                <c:pt idx="6">
                  <c:v>小微企业场地租金补贴</c:v>
                </c:pt>
              </c:strCache>
            </c:strRef>
          </c:cat>
          <c:val>
            <c:numRef>
              <c:f>图表!$C$31:$C$37</c:f>
              <c:numCache>
                <c:formatCode>General</c:formatCode>
                <c:ptCount val="7"/>
                <c:pt idx="0">
                  <c:v>457</c:v>
                </c:pt>
                <c:pt idx="1">
                  <c:v>798</c:v>
                </c:pt>
                <c:pt idx="2">
                  <c:v>708</c:v>
                </c:pt>
                <c:pt idx="3">
                  <c:v>98</c:v>
                </c:pt>
                <c:pt idx="4">
                  <c:v>87</c:v>
                </c:pt>
                <c:pt idx="5">
                  <c:v>4</c:v>
                </c:pt>
                <c:pt idx="6">
                  <c:v>2</c:v>
                </c:pt>
              </c:numCache>
            </c:numRef>
          </c:val>
        </c:ser>
        <c:dLbls>
          <c:showLegendKey val="0"/>
          <c:showVal val="1"/>
          <c:showCatName val="0"/>
          <c:showSerName val="0"/>
          <c:showPercent val="0"/>
          <c:showBubbleSize val="0"/>
        </c:dLbls>
        <c:gapWidth val="150"/>
        <c:axId val="126087936"/>
        <c:axId val="126089856"/>
      </c:barChart>
      <c:catAx>
        <c:axId val="126087936"/>
        <c:scaling>
          <c:orientation val="minMax"/>
        </c:scaling>
        <c:delete val="0"/>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补贴类别</a:t>
                </a:r>
                <a:endParaRPr lang="zh-CN" altLang="en-US"/>
              </a:p>
            </c:rich>
          </c:tx>
          <c:layout>
            <c:manualLayout>
              <c:xMode val="edge"/>
              <c:yMode val="edge"/>
              <c:x val="0.808008967629047"/>
              <c:y val="0.646532438478748"/>
            </c:manualLayout>
          </c:layout>
          <c:overlay val="0"/>
        </c:title>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089856"/>
        <c:crosses val="autoZero"/>
        <c:auto val="1"/>
        <c:lblAlgn val="ctr"/>
        <c:lblOffset val="100"/>
        <c:noMultiLvlLbl val="0"/>
      </c:catAx>
      <c:valAx>
        <c:axId val="126089856"/>
        <c:scaling>
          <c:orientation val="minMax"/>
        </c:scaling>
        <c:delete val="0"/>
        <c:axPos val="l"/>
        <c:title>
          <c:tx>
            <c:rich>
              <a:bodyPr rot="0" spcFirstLastPara="0" vertOverflow="ellipsis" vert="wordArtVertRtl" wrap="square" anchor="ctr" anchorCtr="1"/>
              <a:lstStyle/>
              <a:p>
                <a:pPr>
                  <a:defRPr lang="zh-CN" sz="1000" b="1" i="0" u="none" strike="noStrike" kern="1200" baseline="0">
                    <a:solidFill>
                      <a:schemeClr val="tx1"/>
                    </a:solidFill>
                    <a:latin typeface="+mn-lt"/>
                    <a:ea typeface="+mn-ea"/>
                    <a:cs typeface="+mn-cs"/>
                  </a:defRPr>
                </a:pPr>
                <a:r>
                  <a:rPr lang="zh-CN" altLang="en-US"/>
                  <a:t>人数</a:t>
                </a:r>
                <a:endParaRPr lang="en-US" altLang="zh-CN"/>
              </a:p>
            </c:rich>
          </c:tx>
          <c:layout>
            <c:manualLayout>
              <c:xMode val="edge"/>
              <c:yMode val="edge"/>
              <c:x val="0.0305555555555556"/>
              <c:y val="0.0757719882330145"/>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0879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0.80243</cdr:x>
      <cdr:y>0.18043</cdr:y>
    </cdr:from>
    <cdr:to>
      <cdr:x>0.96187</cdr:x>
      <cdr:y>0.27217</cdr:y>
    </cdr:to>
    <cdr:sp>
      <cdr:nvSpPr>
        <cdr:cNvPr id="2" name="矩形 1"/>
        <cdr:cNvSpPr/>
      </cdr:nvSpPr>
      <cdr:spPr xmlns:a="http://schemas.openxmlformats.org/drawingml/2006/main">
        <a:xfrm xmlns:a="http://schemas.openxmlformats.org/drawingml/2006/main">
          <a:off x="4410076" y="561975"/>
          <a:ext cx="876300" cy="28575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单位：人</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textRotate="1"/>
    <customShpInfo spid="_x0000_s2055"/>
    <customShpInfo spid="_x0000_s2058"/>
    <customShpInfo spid="_x0000_s105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D017C-430E-4C68-BA73-F8FD2BDC701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36</Pages>
  <Words>2696</Words>
  <Characters>15369</Characters>
  <Lines>128</Lines>
  <Paragraphs>36</Paragraphs>
  <TotalTime>3</TotalTime>
  <ScaleCrop>false</ScaleCrop>
  <LinksUpToDate>false</LinksUpToDate>
  <CharactersWithSpaces>18029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2020-05-23T06:47:00Z</dcterms:created>
  <dc:creator>89532</dc:creator>
  <cp:lastModifiedBy>李琳</cp:lastModifiedBy>
  <cp:lastPrinted>2018-06-28T08:27:00Z</cp:lastPrinted>
  <dcterms:modified xsi:type="dcterms:W3CDTF">2020-05-26T07:23:59Z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