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adjustRightInd/>
        <w:snapToGrid/>
        <w:spacing w:after="0" w:line="540" w:lineRule="exact"/>
        <w:rPr>
          <w:rFonts w:ascii="Times New Roman" w:hAnsi="Times New Roman" w:eastAsia="宋体" w:cs="Times New Roman"/>
          <w:bCs/>
          <w:kern w:val="2"/>
          <w:sz w:val="32"/>
          <w:szCs w:val="32"/>
        </w:rPr>
      </w:pPr>
      <w:r>
        <w:rPr>
          <w:rFonts w:hint="eastAsia" w:ascii="黑体" w:hAnsi="黑体" w:eastAsia="黑体" w:cs="黑体"/>
          <w:bCs/>
          <w:kern w:val="2"/>
          <w:sz w:val="32"/>
          <w:szCs w:val="32"/>
        </w:rPr>
        <w:t>徐政财字〔2022〕96号附件</w:t>
      </w:r>
      <w:r>
        <w:rPr>
          <w:rFonts w:ascii="黑体" w:hAnsi="黑体" w:eastAsia="黑体" w:cs="黑体"/>
          <w:bCs/>
          <w:kern w:val="2"/>
          <w:sz w:val="32"/>
          <w:szCs w:val="32"/>
        </w:rPr>
        <w:t>2</w:t>
      </w: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80" w:lineRule="exact"/>
        <w:jc w:val="center"/>
        <w:rPr>
          <w:rFonts w:asciiTheme="majorEastAsia" w:hAnsiTheme="majorEastAsia" w:eastAsiaTheme="majorEastAsia" w:cstheme="majorEastAsia"/>
          <w:b/>
          <w:kern w:val="2"/>
          <w:sz w:val="44"/>
          <w:szCs w:val="44"/>
        </w:rPr>
      </w:pPr>
      <w:r>
        <w:rPr>
          <w:rFonts w:hint="eastAsia" w:asciiTheme="majorEastAsia" w:hAnsiTheme="majorEastAsia" w:eastAsiaTheme="majorEastAsia" w:cstheme="majorEastAsia"/>
          <w:b/>
          <w:kern w:val="2"/>
          <w:sz w:val="44"/>
          <w:szCs w:val="44"/>
        </w:rPr>
        <w:t>保定市徐水区</w:t>
      </w:r>
      <w:r>
        <w:rPr>
          <w:rFonts w:asciiTheme="majorEastAsia" w:hAnsiTheme="majorEastAsia" w:eastAsiaTheme="majorEastAsia" w:cstheme="majorEastAsia"/>
          <w:b/>
          <w:kern w:val="2"/>
          <w:sz w:val="44"/>
          <w:szCs w:val="44"/>
        </w:rPr>
        <w:t>文化广电和旅游局</w:t>
      </w:r>
    </w:p>
    <w:p>
      <w:pPr>
        <w:widowControl w:val="0"/>
        <w:adjustRightInd/>
        <w:snapToGrid/>
        <w:spacing w:after="0" w:line="580" w:lineRule="exact"/>
        <w:jc w:val="center"/>
        <w:rPr>
          <w:rFonts w:asciiTheme="majorEastAsia" w:hAnsiTheme="majorEastAsia" w:eastAsiaTheme="majorEastAsia" w:cstheme="majorEastAsia"/>
          <w:b/>
          <w:kern w:val="2"/>
          <w:sz w:val="44"/>
          <w:szCs w:val="44"/>
        </w:rPr>
      </w:pPr>
      <w:r>
        <w:rPr>
          <w:rFonts w:hint="eastAsia" w:asciiTheme="majorEastAsia" w:hAnsiTheme="majorEastAsia" w:eastAsiaTheme="majorEastAsia" w:cstheme="majorEastAsia"/>
          <w:b/>
          <w:kern w:val="2"/>
          <w:sz w:val="44"/>
          <w:szCs w:val="44"/>
        </w:rPr>
        <w:t>202</w:t>
      </w:r>
      <w:r>
        <w:rPr>
          <w:rFonts w:asciiTheme="majorEastAsia" w:hAnsiTheme="majorEastAsia" w:eastAsiaTheme="majorEastAsia" w:cstheme="majorEastAsia"/>
          <w:b/>
          <w:kern w:val="2"/>
          <w:sz w:val="44"/>
          <w:szCs w:val="44"/>
        </w:rPr>
        <w:t>1</w:t>
      </w:r>
      <w:r>
        <w:rPr>
          <w:rFonts w:hint="eastAsia" w:asciiTheme="majorEastAsia" w:hAnsiTheme="majorEastAsia" w:eastAsiaTheme="majorEastAsia" w:cstheme="majorEastAsia"/>
          <w:b/>
          <w:kern w:val="2"/>
          <w:sz w:val="44"/>
          <w:szCs w:val="44"/>
        </w:rPr>
        <w:t>年部门整体支出绩效评价自评报告</w:t>
      </w:r>
    </w:p>
    <w:p>
      <w:pPr>
        <w:widowControl w:val="0"/>
        <w:adjustRightInd/>
        <w:snapToGrid/>
        <w:spacing w:after="0" w:line="540" w:lineRule="exact"/>
        <w:ind w:firstLine="880" w:firstLineChars="200"/>
        <w:jc w:val="both"/>
        <w:rPr>
          <w:rFonts w:ascii="Times New Roman" w:hAnsi="Times New Roman" w:eastAsia="宋体" w:cs="Times New Roman"/>
          <w:bCs/>
          <w:kern w:val="2"/>
          <w:sz w:val="44"/>
          <w:szCs w:val="44"/>
        </w:rPr>
      </w:pPr>
    </w:p>
    <w:p>
      <w:pPr>
        <w:widowControl w:val="0"/>
        <w:adjustRightInd/>
        <w:snapToGrid/>
        <w:spacing w:after="0" w:line="540" w:lineRule="exact"/>
        <w:ind w:firstLine="880" w:firstLineChars="200"/>
        <w:jc w:val="both"/>
        <w:rPr>
          <w:rFonts w:ascii="Times New Roman" w:hAnsi="Times New Roman" w:eastAsia="宋体" w:cs="Times New Roman"/>
          <w:bCs/>
          <w:kern w:val="2"/>
          <w:sz w:val="44"/>
          <w:szCs w:val="44"/>
        </w:rPr>
      </w:pPr>
    </w:p>
    <w:p>
      <w:pPr>
        <w:widowControl w:val="0"/>
        <w:adjustRightInd/>
        <w:snapToGrid/>
        <w:spacing w:after="0" w:line="540" w:lineRule="exact"/>
        <w:ind w:firstLine="880" w:firstLineChars="200"/>
        <w:jc w:val="both"/>
        <w:rPr>
          <w:rFonts w:ascii="Times New Roman" w:hAnsi="Times New Roman" w:eastAsia="宋体" w:cs="Times New Roman"/>
          <w:bCs/>
          <w:kern w:val="2"/>
          <w:sz w:val="44"/>
          <w:szCs w:val="44"/>
        </w:rPr>
      </w:pPr>
    </w:p>
    <w:p>
      <w:pPr>
        <w:widowControl w:val="0"/>
        <w:adjustRightInd/>
        <w:snapToGrid/>
        <w:spacing w:after="0" w:line="540" w:lineRule="exact"/>
        <w:ind w:firstLine="880" w:firstLineChars="200"/>
        <w:jc w:val="both"/>
        <w:rPr>
          <w:rFonts w:ascii="Times New Roman" w:hAnsi="Times New Roman" w:eastAsia="宋体" w:cs="Times New Roman"/>
          <w:bCs/>
          <w:kern w:val="2"/>
          <w:sz w:val="44"/>
          <w:szCs w:val="44"/>
        </w:rPr>
      </w:pPr>
    </w:p>
    <w:p>
      <w:pPr>
        <w:widowControl w:val="0"/>
        <w:adjustRightInd/>
        <w:snapToGrid/>
        <w:spacing w:after="0" w:line="540" w:lineRule="exact"/>
        <w:ind w:firstLine="880" w:firstLineChars="200"/>
        <w:jc w:val="both"/>
        <w:rPr>
          <w:rFonts w:ascii="Times New Roman" w:hAnsi="Times New Roman" w:eastAsia="宋体" w:cs="Times New Roman"/>
          <w:bCs/>
          <w:kern w:val="2"/>
          <w:sz w:val="44"/>
          <w:szCs w:val="44"/>
        </w:rPr>
      </w:pPr>
    </w:p>
    <w:p>
      <w:pPr>
        <w:widowControl w:val="0"/>
        <w:adjustRightInd/>
        <w:snapToGrid/>
        <w:spacing w:after="0" w:line="540" w:lineRule="exact"/>
        <w:ind w:firstLine="880" w:firstLineChars="200"/>
        <w:jc w:val="both"/>
        <w:rPr>
          <w:rFonts w:ascii="Times New Roman" w:hAnsi="Times New Roman" w:eastAsia="宋体" w:cs="Times New Roman"/>
          <w:bCs/>
          <w:kern w:val="2"/>
          <w:sz w:val="44"/>
          <w:szCs w:val="44"/>
        </w:rPr>
      </w:pPr>
    </w:p>
    <w:p>
      <w:pPr>
        <w:widowControl w:val="0"/>
        <w:adjustRightInd/>
        <w:snapToGrid/>
        <w:spacing w:after="0" w:line="540" w:lineRule="exact"/>
        <w:ind w:firstLine="880" w:firstLineChars="200"/>
        <w:jc w:val="both"/>
        <w:rPr>
          <w:rFonts w:ascii="Times New Roman" w:hAnsi="Times New Roman" w:eastAsia="宋体" w:cs="Times New Roman"/>
          <w:bCs/>
          <w:kern w:val="2"/>
          <w:sz w:val="44"/>
          <w:szCs w:val="44"/>
        </w:rPr>
      </w:pPr>
    </w:p>
    <w:p>
      <w:pPr>
        <w:widowControl w:val="0"/>
        <w:adjustRightInd/>
        <w:snapToGrid/>
        <w:spacing w:after="0" w:line="540" w:lineRule="exact"/>
        <w:ind w:firstLine="880" w:firstLineChars="200"/>
        <w:jc w:val="both"/>
        <w:rPr>
          <w:rFonts w:ascii="Times New Roman" w:hAnsi="Times New Roman" w:eastAsia="宋体" w:cs="Times New Roman"/>
          <w:bCs/>
          <w:kern w:val="2"/>
          <w:sz w:val="44"/>
          <w:szCs w:val="44"/>
        </w:rPr>
      </w:pPr>
    </w:p>
    <w:p>
      <w:pPr>
        <w:widowControl w:val="0"/>
        <w:adjustRightInd/>
        <w:snapToGrid/>
        <w:spacing w:after="0" w:line="540" w:lineRule="exact"/>
        <w:ind w:firstLine="880" w:firstLineChars="200"/>
        <w:jc w:val="both"/>
        <w:rPr>
          <w:rFonts w:ascii="Times New Roman" w:hAnsi="Times New Roman" w:eastAsia="宋体" w:cs="Times New Roman"/>
          <w:bCs/>
          <w:kern w:val="2"/>
          <w:sz w:val="44"/>
          <w:szCs w:val="44"/>
        </w:rPr>
      </w:pPr>
    </w:p>
    <w:p>
      <w:pPr>
        <w:widowControl w:val="0"/>
        <w:adjustRightInd/>
        <w:snapToGrid/>
        <w:spacing w:after="0" w:line="540" w:lineRule="exact"/>
        <w:ind w:firstLine="880" w:firstLineChars="200"/>
        <w:jc w:val="both"/>
        <w:rPr>
          <w:rFonts w:ascii="Times New Roman" w:hAnsi="Times New Roman" w:eastAsia="宋体" w:cs="Times New Roman"/>
          <w:bCs/>
          <w:kern w:val="2"/>
          <w:sz w:val="44"/>
          <w:szCs w:val="44"/>
        </w:rPr>
      </w:pPr>
    </w:p>
    <w:p>
      <w:pPr>
        <w:widowControl w:val="0"/>
        <w:adjustRightInd/>
        <w:snapToGrid/>
        <w:spacing w:after="0" w:line="540" w:lineRule="exact"/>
        <w:ind w:firstLine="880" w:firstLineChars="200"/>
        <w:jc w:val="both"/>
        <w:rPr>
          <w:rFonts w:ascii="Times New Roman" w:hAnsi="Times New Roman" w:eastAsia="宋体" w:cs="Times New Roman"/>
          <w:bCs/>
          <w:kern w:val="2"/>
          <w:sz w:val="44"/>
          <w:szCs w:val="44"/>
        </w:rPr>
      </w:pPr>
    </w:p>
    <w:p>
      <w:pPr>
        <w:widowControl w:val="0"/>
        <w:adjustRightInd/>
        <w:snapToGrid/>
        <w:spacing w:after="0" w:line="540" w:lineRule="exact"/>
        <w:ind w:firstLine="880" w:firstLineChars="200"/>
        <w:jc w:val="both"/>
        <w:rPr>
          <w:rFonts w:ascii="Times New Roman" w:hAnsi="Times New Roman" w:eastAsia="宋体" w:cs="Times New Roman"/>
          <w:bCs/>
          <w:kern w:val="2"/>
          <w:sz w:val="44"/>
          <w:szCs w:val="44"/>
        </w:rPr>
      </w:pPr>
    </w:p>
    <w:p>
      <w:pPr>
        <w:widowControl w:val="0"/>
        <w:adjustRightInd/>
        <w:snapToGrid/>
        <w:spacing w:after="0" w:line="540" w:lineRule="exact"/>
        <w:ind w:firstLine="880" w:firstLineChars="200"/>
        <w:jc w:val="both"/>
        <w:rPr>
          <w:rFonts w:ascii="Times New Roman" w:hAnsi="Times New Roman" w:eastAsia="宋体" w:cs="Times New Roman"/>
          <w:bCs/>
          <w:kern w:val="2"/>
          <w:sz w:val="44"/>
          <w:szCs w:val="44"/>
        </w:rPr>
      </w:pPr>
    </w:p>
    <w:p>
      <w:pPr>
        <w:widowControl w:val="0"/>
        <w:adjustRightInd/>
        <w:snapToGrid/>
        <w:spacing w:after="0" w:line="540" w:lineRule="exact"/>
        <w:ind w:firstLine="880" w:firstLineChars="200"/>
        <w:jc w:val="center"/>
        <w:rPr>
          <w:rFonts w:cs="Times New Roman" w:asciiTheme="minorEastAsia" w:hAnsiTheme="minorEastAsia" w:eastAsiaTheme="minorEastAsia"/>
          <w:bCs/>
          <w:kern w:val="2"/>
          <w:sz w:val="44"/>
          <w:szCs w:val="44"/>
        </w:rPr>
      </w:pPr>
      <w:r>
        <w:rPr>
          <w:rFonts w:hint="eastAsia" w:cs="Times New Roman" w:asciiTheme="minorEastAsia" w:hAnsiTheme="minorEastAsia" w:eastAsiaTheme="minorEastAsia"/>
          <w:bCs/>
          <w:kern w:val="2"/>
          <w:sz w:val="44"/>
          <w:szCs w:val="44"/>
        </w:rPr>
        <w:t>20</w:t>
      </w:r>
      <w:r>
        <w:rPr>
          <w:rFonts w:cs="Times New Roman" w:asciiTheme="minorEastAsia" w:hAnsiTheme="minorEastAsia" w:eastAsiaTheme="minorEastAsia"/>
          <w:bCs/>
          <w:kern w:val="2"/>
          <w:sz w:val="44"/>
          <w:szCs w:val="44"/>
        </w:rPr>
        <w:t>22</w:t>
      </w:r>
      <w:r>
        <w:rPr>
          <w:rFonts w:hint="eastAsia" w:cs="Times New Roman" w:asciiTheme="minorEastAsia" w:hAnsiTheme="minorEastAsia" w:eastAsiaTheme="minorEastAsia"/>
          <w:bCs/>
          <w:kern w:val="2"/>
          <w:sz w:val="44"/>
          <w:szCs w:val="44"/>
        </w:rPr>
        <w:t>年</w:t>
      </w:r>
      <w:r>
        <w:rPr>
          <w:rFonts w:cs="Times New Roman" w:asciiTheme="minorEastAsia" w:hAnsiTheme="minorEastAsia" w:eastAsiaTheme="minorEastAsia"/>
          <w:bCs/>
          <w:kern w:val="2"/>
          <w:sz w:val="44"/>
          <w:szCs w:val="44"/>
        </w:rPr>
        <w:t>11</w:t>
      </w:r>
      <w:r>
        <w:rPr>
          <w:rFonts w:hint="eastAsia" w:cs="Times New Roman" w:asciiTheme="minorEastAsia" w:hAnsiTheme="minorEastAsia" w:eastAsiaTheme="minorEastAsia"/>
          <w:bCs/>
          <w:kern w:val="2"/>
          <w:sz w:val="44"/>
          <w:szCs w:val="44"/>
        </w:rPr>
        <w:t>月</w:t>
      </w: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sdt>
      <w:sdtPr>
        <w:rPr>
          <w:rFonts w:ascii="Tahoma" w:hAnsi="Tahoma" w:eastAsia="微软雅黑" w:cstheme="minorBidi"/>
          <w:b w:val="0"/>
          <w:bCs w:val="0"/>
          <w:color w:val="auto"/>
          <w:sz w:val="22"/>
          <w:szCs w:val="22"/>
          <w:lang w:val="zh-CN"/>
        </w:rPr>
        <w:id w:val="8905895"/>
        <w:docPartObj>
          <w:docPartGallery w:val="Table of Contents"/>
          <w:docPartUnique/>
        </w:docPartObj>
      </w:sdtPr>
      <w:sdtEndPr>
        <w:rPr>
          <w:rFonts w:ascii="Tahoma" w:hAnsi="Tahoma" w:eastAsia="微软雅黑" w:cstheme="minorBidi"/>
          <w:b w:val="0"/>
          <w:bCs w:val="0"/>
          <w:color w:val="auto"/>
          <w:sz w:val="22"/>
          <w:szCs w:val="22"/>
          <w:lang w:val="en-US"/>
        </w:rPr>
      </w:sdtEndPr>
      <w:sdtContent>
        <w:p>
          <w:pPr>
            <w:pStyle w:val="71"/>
            <w:ind w:firstLine="440" w:firstLineChars="200"/>
            <w:jc w:val="center"/>
            <w:rPr>
              <w:rFonts w:ascii="Tahoma" w:hAnsi="Tahoma" w:eastAsia="微软雅黑" w:cstheme="minorBidi"/>
              <w:b w:val="0"/>
              <w:bCs w:val="0"/>
              <w:color w:val="auto"/>
              <w:sz w:val="22"/>
              <w:szCs w:val="22"/>
              <w:lang w:val="zh-CN"/>
            </w:rPr>
          </w:pPr>
        </w:p>
        <w:p>
          <w:pPr>
            <w:pStyle w:val="71"/>
            <w:ind w:firstLine="883" w:firstLineChars="200"/>
            <w:jc w:val="center"/>
            <w:rPr>
              <w:color w:val="auto"/>
              <w:sz w:val="44"/>
              <w:szCs w:val="44"/>
              <w:lang w:val="zh-CN"/>
            </w:rPr>
          </w:pPr>
          <w:r>
            <w:rPr>
              <w:color w:val="auto"/>
              <w:sz w:val="44"/>
              <w:szCs w:val="44"/>
              <w:lang w:val="zh-CN"/>
            </w:rPr>
            <w:t>目</w:t>
          </w:r>
          <w:r>
            <w:rPr>
              <w:rFonts w:hint="eastAsia"/>
              <w:color w:val="auto"/>
              <w:sz w:val="44"/>
              <w:szCs w:val="44"/>
              <w:lang w:val="zh-CN"/>
            </w:rPr>
            <w:t xml:space="preserve">    </w:t>
          </w:r>
          <w:r>
            <w:rPr>
              <w:color w:val="auto"/>
              <w:sz w:val="44"/>
              <w:szCs w:val="44"/>
              <w:lang w:val="zh-CN"/>
            </w:rPr>
            <w:t>录</w:t>
          </w:r>
        </w:p>
        <w:p>
          <w:pPr>
            <w:pStyle w:val="18"/>
            <w:tabs>
              <w:tab w:val="right" w:leader="dot" w:pos="8312"/>
            </w:tabs>
            <w:spacing w:line="312" w:lineRule="auto"/>
            <w:ind w:left="0" w:leftChars="0"/>
            <w:rPr>
              <w:rFonts w:asciiTheme="majorEastAsia" w:hAnsiTheme="majorEastAsia" w:eastAsiaTheme="majorEastAsia" w:cstheme="majorEastAsia"/>
              <w:b/>
              <w:bCs/>
              <w:sz w:val="24"/>
            </w:rPr>
          </w:pP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TOC \o "1-3" \h \z \u </w:instrText>
          </w:r>
          <w:r>
            <w:rPr>
              <w:rFonts w:asciiTheme="minorEastAsia" w:hAnsiTheme="minorEastAsia" w:eastAsiaTheme="minorEastAsia"/>
              <w:sz w:val="24"/>
            </w:rPr>
            <w:fldChar w:fldCharType="separate"/>
          </w:r>
          <w:r>
            <w:fldChar w:fldCharType="begin"/>
          </w:r>
          <w:r>
            <w:instrText xml:space="preserve"> HYPERLINK \l "_Toc25184" </w:instrText>
          </w:r>
          <w:r>
            <w:fldChar w:fldCharType="separate"/>
          </w:r>
          <w:r>
            <w:rPr>
              <w:rFonts w:hint="eastAsia" w:asciiTheme="majorEastAsia" w:hAnsiTheme="majorEastAsia" w:eastAsiaTheme="majorEastAsia" w:cstheme="majorEastAsia"/>
              <w:b/>
              <w:bCs/>
              <w:sz w:val="24"/>
            </w:rPr>
            <w:t>第一部分   摘  要</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_Toc25184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1</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pPr>
            <w:pStyle w:val="18"/>
            <w:tabs>
              <w:tab w:val="right" w:leader="dot" w:pos="8312"/>
            </w:tabs>
            <w:spacing w:line="312" w:lineRule="auto"/>
            <w:ind w:left="0" w:leftChars="0"/>
            <w:rPr>
              <w:rFonts w:asciiTheme="majorEastAsia" w:hAnsiTheme="majorEastAsia" w:eastAsiaTheme="majorEastAsia" w:cstheme="majorEastAsia"/>
              <w:sz w:val="24"/>
            </w:rPr>
          </w:pPr>
          <w:r>
            <w:fldChar w:fldCharType="begin"/>
          </w:r>
          <w:r>
            <w:instrText xml:space="preserve"> HYPERLINK \l "_Toc4346" </w:instrText>
          </w:r>
          <w:r>
            <w:fldChar w:fldCharType="separate"/>
          </w:r>
          <w:r>
            <w:rPr>
              <w:rFonts w:hint="eastAsia" w:asciiTheme="majorEastAsia" w:hAnsiTheme="majorEastAsia" w:eastAsiaTheme="majorEastAsia" w:cstheme="majorEastAsia"/>
              <w:b/>
              <w:bCs/>
              <w:sz w:val="24"/>
            </w:rPr>
            <w:t>第二部分   绩效评价报告</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t>7</w:t>
          </w:r>
          <w:r>
            <w:rPr>
              <w:rFonts w:hint="eastAsia" w:asciiTheme="majorEastAsia" w:hAnsiTheme="majorEastAsia" w:eastAsiaTheme="majorEastAsia" w:cstheme="majorEastAsia"/>
              <w:b/>
              <w:bCs/>
              <w:sz w:val="24"/>
            </w:rPr>
            <w:fldChar w:fldCharType="end"/>
          </w:r>
        </w:p>
        <w:p>
          <w:pPr>
            <w:pStyle w:val="18"/>
            <w:tabs>
              <w:tab w:val="right" w:leader="dot" w:pos="8312"/>
            </w:tabs>
            <w:spacing w:line="312" w:lineRule="auto"/>
            <w:ind w:left="0" w:leftChars="0"/>
            <w:rPr>
              <w:rFonts w:asciiTheme="majorEastAsia" w:hAnsiTheme="majorEastAsia" w:eastAsiaTheme="majorEastAsia" w:cstheme="majorEastAsia"/>
              <w:b/>
              <w:bCs/>
              <w:sz w:val="24"/>
            </w:rPr>
          </w:pPr>
          <w:r>
            <w:fldChar w:fldCharType="begin"/>
          </w:r>
          <w:r>
            <w:instrText xml:space="preserve"> HYPERLINK \l "_Toc427" </w:instrText>
          </w:r>
          <w:r>
            <w:fldChar w:fldCharType="separate"/>
          </w:r>
          <w:r>
            <w:rPr>
              <w:rFonts w:hint="eastAsia" w:asciiTheme="majorEastAsia" w:hAnsiTheme="majorEastAsia" w:eastAsiaTheme="majorEastAsia" w:cstheme="majorEastAsia"/>
              <w:b/>
              <w:bCs/>
              <w:sz w:val="24"/>
            </w:rPr>
            <w:t>一、保定市徐水区文化广电和旅游局基本情况</w:t>
          </w:r>
          <w:r>
            <w:rPr>
              <w:rFonts w:hint="eastAsia" w:asciiTheme="majorEastAsia" w:hAnsiTheme="majorEastAsia" w:eastAsiaTheme="majorEastAsia" w:cstheme="majorEastAsia"/>
              <w:b/>
              <w:bCs/>
              <w:sz w:val="24"/>
            </w:rPr>
            <w:tab/>
          </w:r>
          <w:r>
            <w:rPr>
              <w:rFonts w:asciiTheme="majorEastAsia" w:hAnsiTheme="majorEastAsia" w:eastAsiaTheme="majorEastAsia" w:cstheme="majorEastAsia"/>
              <w:b/>
              <w:bCs/>
              <w:sz w:val="24"/>
            </w:rPr>
            <w:t>7</w:t>
          </w:r>
          <w:r>
            <w:rPr>
              <w:rFonts w:asciiTheme="majorEastAsia" w:hAnsiTheme="majorEastAsia" w:eastAsiaTheme="majorEastAsia" w:cstheme="majorEastAsia"/>
              <w:b/>
              <w:bCs/>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"_Toc11473" </w:instrText>
          </w:r>
          <w:r>
            <w:fldChar w:fldCharType="separate"/>
          </w:r>
          <w:r>
            <w:rPr>
              <w:rFonts w:hint="eastAsia" w:asciiTheme="majorEastAsia" w:hAnsiTheme="majorEastAsia" w:eastAsiaTheme="majorEastAsia" w:cstheme="majorEastAsia"/>
              <w:sz w:val="24"/>
            </w:rPr>
            <w:t>（一）部门职责和工作活动</w:t>
          </w:r>
          <w:r>
            <w:rPr>
              <w:rFonts w:hint="eastAsia" w:asciiTheme="majorEastAsia" w:hAnsiTheme="majorEastAsia" w:eastAsiaTheme="majorEastAsia" w:cstheme="majorEastAsia"/>
              <w:sz w:val="24"/>
            </w:rPr>
            <w:tab/>
          </w:r>
          <w:r>
            <w:rPr>
              <w:rFonts w:asciiTheme="majorEastAsia" w:hAnsiTheme="majorEastAsia" w:eastAsiaTheme="majorEastAsia" w:cstheme="majorEastAsia"/>
              <w:sz w:val="24"/>
            </w:rPr>
            <w:t>7</w:t>
          </w:r>
          <w:r>
            <w:rPr>
              <w:rFonts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"_Toc7075" </w:instrText>
          </w:r>
          <w:r>
            <w:fldChar w:fldCharType="separate"/>
          </w:r>
          <w:r>
            <w:rPr>
              <w:rFonts w:hint="eastAsia" w:asciiTheme="majorEastAsia" w:hAnsiTheme="majorEastAsia" w:eastAsiaTheme="majorEastAsia" w:cstheme="majorEastAsia"/>
              <w:sz w:val="24"/>
            </w:rPr>
            <w:t>（二）部门年度发展规划总体目标和职责分类绩效目标</w:t>
          </w:r>
          <w:r>
            <w:rPr>
              <w:rFonts w:hint="eastAsia" w:asciiTheme="majorEastAsia" w:hAnsiTheme="majorEastAsia" w:eastAsiaTheme="majorEastAsia" w:cstheme="majorEastAsia"/>
              <w:sz w:val="24"/>
            </w:rPr>
            <w:tab/>
          </w:r>
          <w:r>
            <w:rPr>
              <w:rFonts w:asciiTheme="majorEastAsia" w:hAnsiTheme="majorEastAsia" w:eastAsiaTheme="majorEastAsia" w:cstheme="majorEastAsia"/>
              <w:sz w:val="24"/>
            </w:rPr>
            <w:t>9</w:t>
          </w:r>
          <w:r>
            <w:rPr>
              <w:rFonts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"_Toc1678" </w:instrText>
          </w:r>
          <w:r>
            <w:fldChar w:fldCharType="separate"/>
          </w:r>
          <w:r>
            <w:rPr>
              <w:rFonts w:hint="eastAsia" w:asciiTheme="majorEastAsia" w:hAnsiTheme="majorEastAsia" w:eastAsiaTheme="majorEastAsia" w:cstheme="majorEastAsia"/>
              <w:sz w:val="24"/>
            </w:rPr>
            <w:t>（三）部门预算收入及决算收入</w:t>
          </w:r>
          <w:r>
            <w:rPr>
              <w:rFonts w:hint="eastAsia" w:asciiTheme="majorEastAsia" w:hAnsiTheme="majorEastAsia" w:eastAsiaTheme="majorEastAsia" w:cstheme="majorEastAsia"/>
              <w:sz w:val="24"/>
            </w:rPr>
            <w:tab/>
          </w:r>
          <w:r>
            <w:rPr>
              <w:rFonts w:asciiTheme="majorEastAsia" w:hAnsiTheme="majorEastAsia" w:eastAsiaTheme="majorEastAsia" w:cstheme="majorEastAsia"/>
              <w:sz w:val="24"/>
            </w:rPr>
            <w:t>10</w:t>
          </w:r>
          <w:r>
            <w:rPr>
              <w:rFonts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"_Toc18197" </w:instrText>
          </w:r>
          <w:r>
            <w:fldChar w:fldCharType="separate"/>
          </w:r>
          <w:r>
            <w:rPr>
              <w:rFonts w:hint="eastAsia" w:asciiTheme="majorEastAsia" w:hAnsiTheme="majorEastAsia" w:eastAsiaTheme="majorEastAsia" w:cstheme="majorEastAsia"/>
              <w:sz w:val="24"/>
            </w:rPr>
            <w:t>（四）预算支出及决算支出</w:t>
          </w:r>
          <w:r>
            <w:rPr>
              <w:rFonts w:hint="eastAsia" w:asciiTheme="majorEastAsia" w:hAnsiTheme="majorEastAsia" w:eastAsiaTheme="majorEastAsia" w:cstheme="majorEastAsia"/>
              <w:sz w:val="24"/>
            </w:rPr>
            <w:tab/>
          </w:r>
          <w:r>
            <w:rPr>
              <w:rFonts w:asciiTheme="majorEastAsia" w:hAnsiTheme="majorEastAsia" w:eastAsiaTheme="majorEastAsia" w:cstheme="majorEastAsia"/>
              <w:sz w:val="24"/>
            </w:rPr>
            <w:t>11</w:t>
          </w:r>
          <w:r>
            <w:rPr>
              <w:rFonts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"_Toc19291" </w:instrText>
          </w:r>
          <w:r>
            <w:fldChar w:fldCharType="separate"/>
          </w:r>
          <w:r>
            <w:rPr>
              <w:rFonts w:hint="eastAsia" w:asciiTheme="majorEastAsia" w:hAnsiTheme="majorEastAsia" w:eastAsiaTheme="majorEastAsia" w:cstheme="majorEastAsia"/>
              <w:sz w:val="24"/>
            </w:rPr>
            <w:t>（五）“三公”经费预算安排及支出情况</w:t>
          </w:r>
          <w:r>
            <w:rPr>
              <w:rFonts w:hint="eastAsia" w:asciiTheme="majorEastAsia" w:hAnsiTheme="majorEastAsia" w:eastAsiaTheme="majorEastAsia" w:cstheme="majorEastAsia"/>
              <w:sz w:val="24"/>
            </w:rPr>
            <w:tab/>
          </w:r>
          <w:r>
            <w:rPr>
              <w:rFonts w:asciiTheme="majorEastAsia" w:hAnsiTheme="majorEastAsia" w:eastAsiaTheme="majorEastAsia" w:cstheme="majorEastAsia"/>
              <w:sz w:val="24"/>
            </w:rPr>
            <w:t>14</w:t>
          </w:r>
          <w:r>
            <w:rPr>
              <w:rFonts w:asciiTheme="majorEastAsia" w:hAnsiTheme="majorEastAsia" w:eastAsiaTheme="majorEastAsia" w:cstheme="majorEastAsia"/>
              <w:sz w:val="24"/>
            </w:rPr>
            <w:fldChar w:fldCharType="end"/>
          </w:r>
        </w:p>
        <w:p>
          <w:pPr>
            <w:pStyle w:val="18"/>
            <w:tabs>
              <w:tab w:val="right" w:leader="dot" w:pos="8312"/>
            </w:tabs>
            <w:spacing w:line="312" w:lineRule="auto"/>
            <w:ind w:left="0" w:leftChars="0"/>
            <w:rPr>
              <w:rFonts w:asciiTheme="majorEastAsia" w:hAnsiTheme="majorEastAsia" w:eastAsiaTheme="majorEastAsia" w:cstheme="majorEastAsia"/>
              <w:b/>
              <w:bCs/>
              <w:sz w:val="24"/>
            </w:rPr>
          </w:pPr>
          <w:r>
            <w:fldChar w:fldCharType="begin"/>
          </w:r>
          <w:r>
            <w:instrText xml:space="preserve"> HYPERLINK \l "_Toc20454" </w:instrText>
          </w:r>
          <w:r>
            <w:fldChar w:fldCharType="separate"/>
          </w:r>
          <w:r>
            <w:rPr>
              <w:rFonts w:hint="eastAsia" w:asciiTheme="majorEastAsia" w:hAnsiTheme="majorEastAsia" w:eastAsiaTheme="majorEastAsia" w:cstheme="majorEastAsia"/>
              <w:b/>
              <w:bCs/>
              <w:sz w:val="24"/>
            </w:rPr>
            <w:t>二、部门整体支出绩效评价指标体系设定情况</w:t>
          </w:r>
          <w:r>
            <w:rPr>
              <w:rFonts w:hint="eastAsia" w:asciiTheme="majorEastAsia" w:hAnsiTheme="majorEastAsia" w:eastAsiaTheme="majorEastAsia" w:cstheme="majorEastAsia"/>
              <w:b/>
              <w:bCs/>
              <w:sz w:val="24"/>
            </w:rPr>
            <w:tab/>
          </w:r>
          <w:r>
            <w:rPr>
              <w:rFonts w:asciiTheme="majorEastAsia" w:hAnsiTheme="majorEastAsia" w:eastAsiaTheme="majorEastAsia" w:cstheme="majorEastAsia"/>
              <w:b/>
              <w:bCs/>
              <w:sz w:val="24"/>
            </w:rPr>
            <w:t>15</w:t>
          </w:r>
          <w:r>
            <w:rPr>
              <w:rFonts w:asciiTheme="majorEastAsia" w:hAnsiTheme="majorEastAsia" w:eastAsiaTheme="majorEastAsia" w:cstheme="majorEastAsia"/>
              <w:b/>
              <w:bCs/>
              <w:sz w:val="24"/>
            </w:rPr>
            <w:fldChar w:fldCharType="end"/>
          </w:r>
        </w:p>
        <w:p>
          <w:pPr>
            <w:pStyle w:val="18"/>
            <w:tabs>
              <w:tab w:val="right" w:leader="dot" w:pos="8312"/>
            </w:tabs>
            <w:spacing w:line="312" w:lineRule="auto"/>
            <w:ind w:left="0" w:leftChars="0" w:firstLine="300" w:firstLineChars="100"/>
            <w:rPr>
              <w:rFonts w:asciiTheme="majorEastAsia" w:hAnsiTheme="majorEastAsia" w:eastAsiaTheme="majorEastAsia" w:cstheme="majorEastAsia"/>
              <w:sz w:val="24"/>
            </w:rPr>
          </w:pPr>
          <w:r>
            <w:fldChar w:fldCharType="begin"/>
          </w:r>
          <w:r>
            <w:instrText xml:space="preserve"> HYPERLINK \l "_Toc9569" </w:instrText>
          </w:r>
          <w:r>
            <w:fldChar w:fldCharType="separate"/>
          </w:r>
          <w:r>
            <w:rPr>
              <w:rFonts w:hint="eastAsia" w:asciiTheme="majorEastAsia" w:hAnsiTheme="majorEastAsia" w:eastAsiaTheme="majorEastAsia" w:cstheme="majorEastAsia"/>
              <w:sz w:val="24"/>
            </w:rPr>
            <w:t>（一）投入</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_Toc9569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15</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"_Toc30221" </w:instrText>
          </w:r>
          <w:r>
            <w:fldChar w:fldCharType="separate"/>
          </w:r>
          <w:r>
            <w:rPr>
              <w:rFonts w:hint="eastAsia" w:asciiTheme="majorEastAsia" w:hAnsiTheme="majorEastAsia" w:eastAsiaTheme="majorEastAsia" w:cstheme="majorEastAsia"/>
              <w:sz w:val="24"/>
            </w:rPr>
            <w:t>（二）过程</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_Toc30221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16</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"_Toc24932" </w:instrText>
          </w:r>
          <w:r>
            <w:fldChar w:fldCharType="separate"/>
          </w:r>
          <w:r>
            <w:rPr>
              <w:rFonts w:hint="eastAsia" w:asciiTheme="majorEastAsia" w:hAnsiTheme="majorEastAsia" w:eastAsiaTheme="majorEastAsia" w:cstheme="majorEastAsia"/>
              <w:sz w:val="24"/>
            </w:rPr>
            <w:t>（三）产出</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_Toc24932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16</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"_Toc21821" </w:instrText>
          </w:r>
          <w:r>
            <w:fldChar w:fldCharType="separate"/>
          </w:r>
          <w:r>
            <w:rPr>
              <w:rFonts w:hint="eastAsia" w:asciiTheme="majorEastAsia" w:hAnsiTheme="majorEastAsia" w:eastAsiaTheme="majorEastAsia" w:cstheme="majorEastAsia"/>
              <w:sz w:val="24"/>
            </w:rPr>
            <w:t>（四）效果</w:t>
          </w:r>
          <w:r>
            <w:rPr>
              <w:rFonts w:hint="eastAsia" w:asciiTheme="majorEastAsia" w:hAnsiTheme="majorEastAsia" w:eastAsiaTheme="majorEastAsia" w:cstheme="majorEastAsia"/>
              <w:sz w:val="24"/>
            </w:rPr>
            <w:tab/>
          </w:r>
          <w:r>
            <w:rPr>
              <w:rFonts w:asciiTheme="majorEastAsia" w:hAnsiTheme="majorEastAsia" w:eastAsiaTheme="majorEastAsia" w:cstheme="majorEastAsia"/>
              <w:sz w:val="24"/>
            </w:rPr>
            <w:t>16</w:t>
          </w:r>
          <w:r>
            <w:rPr>
              <w:rFonts w:asciiTheme="majorEastAsia" w:hAnsiTheme="majorEastAsia" w:eastAsiaTheme="majorEastAsia" w:cstheme="majorEastAsia"/>
              <w:sz w:val="24"/>
            </w:rPr>
            <w:fldChar w:fldCharType="end"/>
          </w:r>
        </w:p>
        <w:p>
          <w:pPr>
            <w:pStyle w:val="18"/>
            <w:tabs>
              <w:tab w:val="right" w:leader="dot" w:pos="8312"/>
            </w:tabs>
            <w:spacing w:line="312" w:lineRule="auto"/>
            <w:ind w:left="0" w:leftChars="0"/>
            <w:rPr>
              <w:rFonts w:asciiTheme="majorEastAsia" w:hAnsiTheme="majorEastAsia" w:eastAsiaTheme="majorEastAsia" w:cstheme="majorEastAsia"/>
              <w:b/>
              <w:bCs/>
              <w:sz w:val="24"/>
            </w:rPr>
          </w:pPr>
          <w:r>
            <w:fldChar w:fldCharType="begin"/>
          </w:r>
          <w:r>
            <w:instrText xml:space="preserve"> HYPERLINK \l "_Toc11842" </w:instrText>
          </w:r>
          <w:r>
            <w:fldChar w:fldCharType="separate"/>
          </w:r>
          <w:r>
            <w:rPr>
              <w:rFonts w:hint="eastAsia" w:asciiTheme="majorEastAsia" w:hAnsiTheme="majorEastAsia" w:eastAsiaTheme="majorEastAsia" w:cstheme="majorEastAsia"/>
              <w:b/>
              <w:bCs/>
              <w:sz w:val="24"/>
            </w:rPr>
            <w:t>三、综合绩效评价工作情况</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_Toc11842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17</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"_Toc17138" </w:instrText>
          </w:r>
          <w:r>
            <w:fldChar w:fldCharType="separate"/>
          </w:r>
          <w:r>
            <w:rPr>
              <w:rFonts w:hint="eastAsia" w:asciiTheme="majorEastAsia" w:hAnsiTheme="majorEastAsia" w:eastAsiaTheme="majorEastAsia" w:cstheme="majorEastAsia"/>
              <w:sz w:val="24"/>
            </w:rPr>
            <w:t>（一）绩效评价目的</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_Toc17138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17</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"_Toc11607" </w:instrText>
          </w:r>
          <w:r>
            <w:fldChar w:fldCharType="separate"/>
          </w:r>
          <w:r>
            <w:rPr>
              <w:rFonts w:hint="eastAsia" w:asciiTheme="majorEastAsia" w:hAnsiTheme="majorEastAsia" w:eastAsiaTheme="majorEastAsia" w:cstheme="majorEastAsia"/>
              <w:sz w:val="24"/>
            </w:rPr>
            <w:t>（二）绩效评价依据</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_Toc11607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17</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"_Toc7609" </w:instrText>
          </w:r>
          <w:r>
            <w:fldChar w:fldCharType="separate"/>
          </w:r>
          <w:r>
            <w:rPr>
              <w:rFonts w:hint="eastAsia" w:asciiTheme="majorEastAsia" w:hAnsiTheme="majorEastAsia" w:eastAsiaTheme="majorEastAsia" w:cstheme="majorEastAsia"/>
              <w:sz w:val="24"/>
            </w:rPr>
            <w:t>（三）绩效评价内容</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_Toc7609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18</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"_Toc789" </w:instrText>
          </w:r>
          <w:r>
            <w:fldChar w:fldCharType="separate"/>
          </w:r>
          <w:r>
            <w:rPr>
              <w:rFonts w:hint="eastAsia" w:asciiTheme="majorEastAsia" w:hAnsiTheme="majorEastAsia" w:eastAsiaTheme="majorEastAsia" w:cstheme="majorEastAsia"/>
              <w:sz w:val="24"/>
            </w:rPr>
            <w:t>（四）绩效评价原则</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_Toc789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18</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"_Toc8171" </w:instrText>
          </w:r>
          <w:r>
            <w:fldChar w:fldCharType="separate"/>
          </w:r>
          <w:r>
            <w:rPr>
              <w:rFonts w:hint="eastAsia" w:asciiTheme="majorEastAsia" w:hAnsiTheme="majorEastAsia" w:eastAsiaTheme="majorEastAsia" w:cstheme="majorEastAsia"/>
              <w:sz w:val="24"/>
            </w:rPr>
            <w:t>（五）绩效评价方法</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_Toc8171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19</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"_Toc20821" </w:instrText>
          </w:r>
          <w:r>
            <w:fldChar w:fldCharType="separate"/>
          </w:r>
          <w:r>
            <w:rPr>
              <w:rFonts w:hint="eastAsia" w:asciiTheme="majorEastAsia" w:hAnsiTheme="majorEastAsia" w:eastAsiaTheme="majorEastAsia" w:cstheme="majorEastAsia"/>
              <w:sz w:val="24"/>
            </w:rPr>
            <w:t>（六）绩效评价工作过程</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_Toc20821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19</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8"/>
            <w:tabs>
              <w:tab w:val="right" w:leader="dot" w:pos="8312"/>
            </w:tabs>
            <w:spacing w:line="312" w:lineRule="auto"/>
            <w:ind w:left="0" w:leftChars="0"/>
            <w:rPr>
              <w:rFonts w:asciiTheme="majorEastAsia" w:hAnsiTheme="majorEastAsia" w:eastAsiaTheme="majorEastAsia" w:cstheme="majorEastAsia"/>
              <w:b/>
              <w:bCs/>
              <w:sz w:val="24"/>
            </w:rPr>
          </w:pPr>
          <w:r>
            <w:fldChar w:fldCharType="begin"/>
          </w:r>
          <w:r>
            <w:instrText xml:space="preserve"> HYPERLINK \l "_Toc6467" </w:instrText>
          </w:r>
          <w:r>
            <w:fldChar w:fldCharType="separate"/>
          </w:r>
          <w:r>
            <w:rPr>
              <w:rFonts w:hint="eastAsia" w:asciiTheme="majorEastAsia" w:hAnsiTheme="majorEastAsia" w:eastAsiaTheme="majorEastAsia" w:cstheme="majorEastAsia"/>
              <w:b/>
              <w:bCs/>
              <w:sz w:val="24"/>
            </w:rPr>
            <w:t>四、绩效评价评分情况</w:t>
          </w:r>
          <w:r>
            <w:rPr>
              <w:rFonts w:hint="eastAsia" w:asciiTheme="majorEastAsia" w:hAnsiTheme="majorEastAsia" w:eastAsiaTheme="majorEastAsia" w:cstheme="majorEastAsia"/>
              <w:b/>
              <w:bCs/>
              <w:sz w:val="24"/>
            </w:rPr>
            <w:tab/>
          </w:r>
          <w:r>
            <w:rPr>
              <w:rFonts w:asciiTheme="majorEastAsia" w:hAnsiTheme="majorEastAsia" w:eastAsiaTheme="majorEastAsia" w:cstheme="majorEastAsia"/>
              <w:b/>
              <w:bCs/>
              <w:sz w:val="24"/>
            </w:rPr>
            <w:t>21</w:t>
          </w:r>
          <w:r>
            <w:rPr>
              <w:rFonts w:asciiTheme="majorEastAsia" w:hAnsiTheme="majorEastAsia" w:eastAsiaTheme="majorEastAsia" w:cstheme="majorEastAsia"/>
              <w:b/>
              <w:bCs/>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"_Toc4390" </w:instrText>
          </w:r>
          <w:r>
            <w:fldChar w:fldCharType="separate"/>
          </w:r>
          <w:r>
            <w:rPr>
              <w:rFonts w:hint="eastAsia" w:asciiTheme="majorEastAsia" w:hAnsiTheme="majorEastAsia" w:eastAsiaTheme="majorEastAsia" w:cstheme="majorEastAsia"/>
              <w:sz w:val="24"/>
            </w:rPr>
            <w:t>（一）投入</w:t>
          </w:r>
          <w:r>
            <w:rPr>
              <w:rFonts w:hint="eastAsia" w:asciiTheme="majorEastAsia" w:hAnsiTheme="majorEastAsia" w:eastAsiaTheme="majorEastAsia" w:cstheme="majorEastAsia"/>
              <w:sz w:val="24"/>
            </w:rPr>
            <w:tab/>
          </w:r>
          <w:r>
            <w:rPr>
              <w:rFonts w:asciiTheme="majorEastAsia" w:hAnsiTheme="majorEastAsia" w:eastAsiaTheme="majorEastAsia" w:cstheme="majorEastAsia"/>
              <w:sz w:val="24"/>
            </w:rPr>
            <w:t>21</w:t>
          </w:r>
          <w:r>
            <w:rPr>
              <w:rFonts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"_Toc19940" </w:instrText>
          </w:r>
          <w:r>
            <w:fldChar w:fldCharType="separate"/>
          </w:r>
          <w:r>
            <w:rPr>
              <w:rFonts w:hint="eastAsia" w:asciiTheme="majorEastAsia" w:hAnsiTheme="majorEastAsia" w:eastAsiaTheme="majorEastAsia" w:cstheme="majorEastAsia"/>
              <w:sz w:val="24"/>
            </w:rPr>
            <w:t>（二）过程</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_Toc19940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24</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"_Toc12330" </w:instrText>
          </w:r>
          <w:r>
            <w:fldChar w:fldCharType="separate"/>
          </w:r>
          <w:r>
            <w:rPr>
              <w:rFonts w:hint="eastAsia" w:asciiTheme="majorEastAsia" w:hAnsiTheme="majorEastAsia" w:eastAsiaTheme="majorEastAsia" w:cstheme="majorEastAsia"/>
              <w:sz w:val="24"/>
            </w:rPr>
            <w:t>（三）产出</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_Toc12330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30</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"_Toc28363" </w:instrText>
          </w:r>
          <w:r>
            <w:fldChar w:fldCharType="separate"/>
          </w:r>
          <w:r>
            <w:rPr>
              <w:rFonts w:hint="eastAsia" w:asciiTheme="majorEastAsia" w:hAnsiTheme="majorEastAsia" w:eastAsiaTheme="majorEastAsia" w:cstheme="majorEastAsia"/>
              <w:sz w:val="24"/>
            </w:rPr>
            <w:t>（四）效果</w:t>
          </w:r>
          <w:r>
            <w:rPr>
              <w:rFonts w:hint="eastAsia" w:asciiTheme="majorEastAsia" w:hAnsiTheme="majorEastAsia" w:eastAsiaTheme="majorEastAsia" w:cstheme="majorEastAsia"/>
              <w:sz w:val="24"/>
            </w:rPr>
            <w:tab/>
          </w:r>
          <w:r>
            <w:rPr>
              <w:rFonts w:asciiTheme="majorEastAsia" w:hAnsiTheme="majorEastAsia" w:eastAsiaTheme="majorEastAsia" w:cstheme="majorEastAsia"/>
              <w:sz w:val="24"/>
            </w:rPr>
            <w:t>32</w:t>
          </w:r>
          <w:r>
            <w:rPr>
              <w:rFonts w:asciiTheme="majorEastAsia" w:hAnsiTheme="majorEastAsia" w:eastAsiaTheme="majorEastAsia" w:cstheme="majorEastAsia"/>
              <w:sz w:val="24"/>
            </w:rPr>
            <w:fldChar w:fldCharType="end"/>
          </w:r>
        </w:p>
        <w:p>
          <w:pPr>
            <w:pStyle w:val="18"/>
            <w:tabs>
              <w:tab w:val="right" w:leader="dot" w:pos="8312"/>
            </w:tabs>
            <w:spacing w:line="312" w:lineRule="auto"/>
            <w:ind w:left="0" w:leftChars="0"/>
            <w:rPr>
              <w:rFonts w:asciiTheme="majorEastAsia" w:hAnsiTheme="majorEastAsia" w:eastAsiaTheme="majorEastAsia" w:cstheme="majorEastAsia"/>
              <w:sz w:val="24"/>
            </w:rPr>
          </w:pPr>
          <w:r>
            <w:fldChar w:fldCharType="begin"/>
          </w:r>
          <w:r>
            <w:instrText xml:space="preserve"> HYPERLINK \l "_Toc13757" </w:instrText>
          </w:r>
          <w:r>
            <w:fldChar w:fldCharType="separate"/>
          </w:r>
          <w:r>
            <w:rPr>
              <w:rFonts w:hint="eastAsia" w:asciiTheme="majorEastAsia" w:hAnsiTheme="majorEastAsia" w:eastAsiaTheme="majorEastAsia" w:cstheme="majorEastAsia"/>
              <w:b/>
              <w:bCs/>
              <w:sz w:val="24"/>
            </w:rPr>
            <w:t>五、绩效评价发现的问题</w:t>
          </w:r>
          <w:r>
            <w:rPr>
              <w:rFonts w:hint="eastAsia" w:asciiTheme="majorEastAsia" w:hAnsiTheme="majorEastAsia" w:eastAsiaTheme="majorEastAsia" w:cstheme="majorEastAsia"/>
              <w:b/>
              <w:bCs/>
              <w:sz w:val="24"/>
            </w:rPr>
            <w:tab/>
          </w:r>
          <w:r>
            <w:rPr>
              <w:rFonts w:asciiTheme="majorEastAsia" w:hAnsiTheme="majorEastAsia" w:eastAsiaTheme="majorEastAsia" w:cstheme="majorEastAsia"/>
              <w:b/>
              <w:bCs/>
              <w:sz w:val="24"/>
            </w:rPr>
            <w:t>33</w:t>
          </w:r>
          <w:r>
            <w:rPr>
              <w:rFonts w:asciiTheme="majorEastAsia" w:hAnsiTheme="majorEastAsia" w:eastAsiaTheme="majorEastAsia" w:cstheme="majorEastAsia"/>
              <w:b/>
              <w:bCs/>
              <w:sz w:val="24"/>
            </w:rPr>
            <w:fldChar w:fldCharType="end"/>
          </w:r>
        </w:p>
        <w:p>
          <w:pPr>
            <w:pStyle w:val="18"/>
            <w:tabs>
              <w:tab w:val="right" w:leader="dot" w:pos="8312"/>
            </w:tabs>
            <w:spacing w:line="312" w:lineRule="auto"/>
            <w:ind w:left="0" w:leftChars="0"/>
            <w:rPr>
              <w:b/>
              <w:bCs/>
            </w:rPr>
          </w:pPr>
          <w:r>
            <w:fldChar w:fldCharType="begin"/>
          </w:r>
          <w:r>
            <w:instrText xml:space="preserve"> HYPERLINK \l "_Toc20723" </w:instrText>
          </w:r>
          <w:r>
            <w:fldChar w:fldCharType="separate"/>
          </w:r>
          <w:r>
            <w:rPr>
              <w:rFonts w:hint="eastAsia" w:asciiTheme="majorEastAsia" w:hAnsiTheme="majorEastAsia" w:eastAsiaTheme="majorEastAsia" w:cstheme="majorEastAsia"/>
              <w:b/>
              <w:bCs/>
              <w:sz w:val="24"/>
            </w:rPr>
            <w:t>六、绩效评价意见及建议</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_Toc20723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34</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pPr>
            <w:spacing w:line="312" w:lineRule="auto"/>
            <w:ind w:firstLine="440" w:firstLineChars="200"/>
            <w:jc w:val="both"/>
            <w:sectPr>
              <w:footerReference r:id="rId4" w:type="default"/>
              <w:pgSz w:w="11906" w:h="16838"/>
              <w:pgMar w:top="1440" w:right="1797" w:bottom="1191" w:left="1797" w:header="709" w:footer="709" w:gutter="0"/>
              <w:pgNumType w:start="1"/>
              <w:cols w:space="708" w:num="1"/>
              <w:docGrid w:linePitch="360" w:charSpace="0"/>
            </w:sectPr>
          </w:pPr>
          <w:r>
            <w:rPr>
              <w:rFonts w:asciiTheme="minorEastAsia" w:hAnsiTheme="minorEastAsia" w:eastAsiaTheme="minorEastAsia"/>
              <w:szCs w:val="24"/>
            </w:rPr>
            <w:fldChar w:fldCharType="end"/>
          </w:r>
        </w:p>
      </w:sdtContent>
    </w:sdt>
    <w:p>
      <w:pPr>
        <w:pStyle w:val="3"/>
        <w:spacing w:line="540" w:lineRule="exact"/>
        <w:jc w:val="center"/>
        <w:rPr>
          <w:rFonts w:ascii="黑体" w:hAnsi="黑体"/>
          <w:b w:val="0"/>
        </w:rPr>
      </w:pPr>
      <w:bookmarkStart w:id="0" w:name="_Toc25184"/>
      <w:r>
        <w:rPr>
          <w:rFonts w:hint="eastAsia" w:ascii="黑体" w:hAnsi="黑体"/>
          <w:b w:val="0"/>
        </w:rPr>
        <w:t>第一部分   摘  要</w:t>
      </w:r>
      <w:bookmarkEnd w:id="0"/>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为深入贯彻落实中共中央国务院《关于全面实施预算绩效管理的意见》、中共河北省委河北省人民政府《关于全面实施预算绩效管理的实施意见》、河北省财政厅《全面实施预算绩效管理推进工作方案》的精神，进一步加强和规范预算绩效运行监控工作，确保绩效目标如期保质保量实现，提高预算执行效率和财政资金使用效益，我单位对</w:t>
      </w:r>
      <w:r>
        <w:rPr>
          <w:rFonts w:ascii="仿宋_GB2312" w:eastAsia="仿宋_GB2312" w:cs="DengXian-Regular"/>
          <w:sz w:val="32"/>
          <w:szCs w:val="32"/>
        </w:rPr>
        <w:t>2021</w:t>
      </w:r>
      <w:r>
        <w:rPr>
          <w:rFonts w:hint="eastAsia" w:ascii="仿宋_GB2312" w:eastAsia="仿宋_GB2312" w:cs="DengXian-Regular"/>
          <w:sz w:val="32"/>
          <w:szCs w:val="32"/>
        </w:rPr>
        <w:t>年部门整体支出情况开展了绩效自评价工作。</w:t>
      </w:r>
    </w:p>
    <w:p>
      <w:pPr>
        <w:spacing w:line="500" w:lineRule="exact"/>
        <w:ind w:firstLine="560"/>
        <w:rPr>
          <w:rFonts w:ascii="仿宋_GB2312" w:eastAsia="仿宋_GB2312" w:cs="DengXian-Regular"/>
          <w:sz w:val="32"/>
          <w:szCs w:val="32"/>
        </w:rPr>
      </w:pPr>
      <w:r>
        <w:rPr>
          <w:rFonts w:hint="eastAsia" w:ascii="仿宋_GB2312" w:eastAsia="仿宋_GB2312" w:cs="DengXian-Regular"/>
          <w:sz w:val="32"/>
          <w:szCs w:val="32"/>
        </w:rPr>
        <w:t>保定市徐水区文化广电和旅游局为正科级行政单位，经费保障形式为财政拨款，下设</w:t>
      </w:r>
      <w:r>
        <w:rPr>
          <w:rFonts w:ascii="仿宋_GB2312" w:eastAsia="仿宋_GB2312" w:cs="DengXian-Regular"/>
          <w:sz w:val="32"/>
          <w:szCs w:val="32"/>
        </w:rPr>
        <w:t>3</w:t>
      </w:r>
      <w:r>
        <w:rPr>
          <w:rFonts w:hint="eastAsia" w:ascii="仿宋_GB2312" w:eastAsia="仿宋_GB2312" w:cs="DengXian-Regular"/>
          <w:sz w:val="32"/>
          <w:szCs w:val="32"/>
        </w:rPr>
        <w:t>个股室，综合股、业务股、</w:t>
      </w:r>
      <w:r>
        <w:rPr>
          <w:rFonts w:ascii="仿宋_GB2312" w:eastAsia="仿宋_GB2312" w:cs="DengXian-Regular"/>
          <w:sz w:val="32"/>
          <w:szCs w:val="32"/>
        </w:rPr>
        <w:t>市场</w:t>
      </w:r>
      <w:r>
        <w:rPr>
          <w:rFonts w:hint="eastAsia" w:ascii="仿宋_GB2312" w:eastAsia="仿宋_GB2312" w:cs="DengXian-Regular"/>
          <w:sz w:val="32"/>
          <w:szCs w:val="32"/>
        </w:rPr>
        <w:t>管理</w:t>
      </w:r>
      <w:r>
        <w:rPr>
          <w:rFonts w:ascii="仿宋_GB2312" w:eastAsia="仿宋_GB2312" w:cs="DengXian-Regular"/>
          <w:sz w:val="32"/>
          <w:szCs w:val="32"/>
        </w:rPr>
        <w:t>和应急安全股</w:t>
      </w:r>
      <w:r>
        <w:rPr>
          <w:rFonts w:hint="eastAsia" w:ascii="仿宋_GB2312" w:eastAsia="仿宋_GB2312" w:cs="DengXian-Regular"/>
          <w:sz w:val="32"/>
          <w:szCs w:val="32"/>
        </w:rPr>
        <w:t>，主要职责</w:t>
      </w:r>
      <w:r>
        <w:rPr>
          <w:rFonts w:ascii="仿宋_GB2312" w:eastAsia="仿宋_GB2312" w:cs="DengXian-Regular"/>
          <w:sz w:val="32"/>
          <w:szCs w:val="32"/>
        </w:rPr>
        <w:t>：（一）贯彻执行党和国家文化、旅游、广播电视、文物和博物馆工作方针政策和法律法规。拟订全区文化、旅游、广播电视政策措施，起草全区文化和旅游、广播电视和文物保护方面的地方性规章、管理办法并组织实施。</w:t>
      </w:r>
    </w:p>
    <w:p>
      <w:pPr>
        <w:pStyle w:val="74"/>
        <w:rPr>
          <w:rFonts w:ascii="仿宋_GB2312" w:hAnsi="Tahoma" w:eastAsia="仿宋_GB2312" w:cs="DengXian-Regular"/>
          <w:sz w:val="32"/>
          <w:szCs w:val="32"/>
          <w:lang w:eastAsia="zh-CN"/>
        </w:rPr>
      </w:pPr>
      <w:r>
        <w:rPr>
          <w:rFonts w:ascii="仿宋_GB2312" w:hAnsi="Tahoma" w:eastAsia="仿宋_GB2312" w:cs="DengXian-Regular"/>
          <w:sz w:val="32"/>
          <w:szCs w:val="32"/>
          <w:lang w:eastAsia="zh-CN"/>
        </w:rPr>
        <w:t>（二）拟订全区文化和旅游事业、文化和旅游产业、广播电视、文物和博物馆事业发展规划并组织实施，推进文化、旅游、广播电视融合发展，推进文化和旅游、广播电视领域体制机制改革。</w:t>
      </w:r>
    </w:p>
    <w:p>
      <w:pPr>
        <w:pStyle w:val="74"/>
        <w:rPr>
          <w:rFonts w:ascii="仿宋_GB2312" w:hAnsi="Tahoma" w:eastAsia="仿宋_GB2312" w:cs="DengXian-Regular"/>
          <w:sz w:val="32"/>
          <w:szCs w:val="32"/>
          <w:lang w:eastAsia="zh-CN"/>
        </w:rPr>
      </w:pPr>
      <w:r>
        <w:rPr>
          <w:rFonts w:ascii="仿宋_GB2312" w:hAnsi="Tahoma" w:eastAsia="仿宋_GB2312" w:cs="DengXian-Regular"/>
          <w:sz w:val="32"/>
          <w:szCs w:val="32"/>
          <w:lang w:eastAsia="zh-CN"/>
        </w:rPr>
        <w:t>（三）管理全区性重大文化和旅游活动，指导、协调广播电视全区性重大宣传活动。组织全区文化、旅游和广播电视整体形象推广，促进文化产业和旅游产业对外合作，制定全区文化、旅游市场开发营销战略并组织实施，指导、推进全域旅游。</w:t>
      </w:r>
    </w:p>
    <w:p>
      <w:pPr>
        <w:pStyle w:val="74"/>
        <w:rPr>
          <w:rFonts w:ascii="仿宋_GB2312" w:hAnsi="Tahoma" w:eastAsia="仿宋_GB2312" w:cs="DengXian-Regular"/>
          <w:sz w:val="32"/>
          <w:szCs w:val="32"/>
          <w:lang w:eastAsia="zh-CN"/>
        </w:rPr>
      </w:pPr>
      <w:r>
        <w:rPr>
          <w:rFonts w:ascii="仿宋_GB2312" w:hAnsi="Tahoma" w:eastAsia="仿宋_GB2312" w:cs="DengXian-Regular"/>
          <w:sz w:val="32"/>
          <w:szCs w:val="32"/>
          <w:lang w:eastAsia="zh-CN"/>
        </w:rPr>
        <w:t>（四）指导、管理全区文艺事业。指导艺术创作生产，扶持体现中国梦和社会主义核心价值观，具有导向性、代表性、示范性的文艺作品，推动全区各门类艺术、各艺术品种发展。</w:t>
      </w:r>
    </w:p>
    <w:p>
      <w:pPr>
        <w:pStyle w:val="74"/>
        <w:rPr>
          <w:rFonts w:ascii="仿宋_GB2312" w:hAnsi="Tahoma" w:eastAsia="仿宋_GB2312" w:cs="DengXian-Regular"/>
          <w:sz w:val="32"/>
          <w:szCs w:val="32"/>
          <w:lang w:eastAsia="zh-CN"/>
        </w:rPr>
      </w:pPr>
      <w:r>
        <w:rPr>
          <w:rFonts w:ascii="仿宋_GB2312" w:hAnsi="Tahoma" w:eastAsia="仿宋_GB2312" w:cs="DengXian-Regular"/>
          <w:sz w:val="32"/>
          <w:szCs w:val="32"/>
          <w:lang w:eastAsia="zh-CN"/>
        </w:rPr>
        <w:t>（五）负责全区公共文化、旅游和广播电视事业发展。推进全区旅游、文物和博物馆公共文化服务体系建设，深入实施文化和旅游惠民工程，统筹推进全区基本公共文化、旅游和广播电视服务标准化、均等化。</w:t>
      </w:r>
    </w:p>
    <w:p>
      <w:pPr>
        <w:pStyle w:val="74"/>
        <w:rPr>
          <w:rFonts w:ascii="仿宋_GB2312" w:hAnsi="Tahoma" w:eastAsia="仿宋_GB2312" w:cs="DengXian-Regular"/>
          <w:sz w:val="32"/>
          <w:szCs w:val="32"/>
          <w:lang w:eastAsia="zh-CN"/>
        </w:rPr>
      </w:pPr>
      <w:r>
        <w:rPr>
          <w:rFonts w:ascii="仿宋_GB2312" w:hAnsi="Tahoma" w:eastAsia="仿宋_GB2312" w:cs="DengXian-Regular"/>
          <w:sz w:val="32"/>
          <w:szCs w:val="32"/>
          <w:lang w:eastAsia="zh-CN"/>
        </w:rPr>
        <w:t>（六）指导、推进全区文化、旅游和广播电视科技创新发展，推进文化和旅游行业信息化、标准化建设。</w:t>
      </w:r>
    </w:p>
    <w:p>
      <w:pPr>
        <w:pStyle w:val="74"/>
        <w:rPr>
          <w:rFonts w:ascii="仿宋_GB2312" w:hAnsi="Tahoma" w:eastAsia="仿宋_GB2312" w:cs="DengXian-Regular"/>
          <w:sz w:val="32"/>
          <w:szCs w:val="32"/>
          <w:lang w:eastAsia="zh-CN"/>
        </w:rPr>
      </w:pPr>
      <w:r>
        <w:rPr>
          <w:rFonts w:ascii="仿宋_GB2312" w:hAnsi="Tahoma" w:eastAsia="仿宋_GB2312" w:cs="DengXian-Regular"/>
          <w:sz w:val="32"/>
          <w:szCs w:val="32"/>
          <w:lang w:eastAsia="zh-CN"/>
        </w:rPr>
        <w:t>（七）负责对全区各类广播电视机构进行业务指导和行业监管，会同有关部门对全区网络试听节目服务机构进行管理，推进广播电视与新媒体新技术新业态融合发展。</w:t>
      </w:r>
    </w:p>
    <w:p>
      <w:pPr>
        <w:pStyle w:val="74"/>
        <w:rPr>
          <w:rFonts w:ascii="仿宋_GB2312" w:hAnsi="Tahoma" w:eastAsia="仿宋_GB2312" w:cs="DengXian-Regular"/>
          <w:sz w:val="32"/>
          <w:szCs w:val="32"/>
          <w:lang w:eastAsia="zh-CN"/>
        </w:rPr>
      </w:pPr>
      <w:r>
        <w:rPr>
          <w:rFonts w:ascii="仿宋_GB2312" w:hAnsi="Tahoma" w:eastAsia="仿宋_GB2312" w:cs="DengXian-Regular"/>
          <w:sz w:val="32"/>
          <w:szCs w:val="32"/>
          <w:lang w:eastAsia="zh-CN"/>
        </w:rPr>
        <w:t>（八</w:t>
      </w:r>
      <w:r>
        <w:rPr>
          <w:rFonts w:hint="eastAsia" w:ascii="仿宋_GB2312" w:hAnsi="Tahoma" w:eastAsia="仿宋_GB2312" w:cs="DengXian-Regular"/>
          <w:sz w:val="32"/>
          <w:szCs w:val="32"/>
          <w:lang w:eastAsia="zh-CN"/>
        </w:rPr>
        <w:t>）</w:t>
      </w:r>
      <w:r>
        <w:rPr>
          <w:rFonts w:ascii="仿宋_GB2312" w:hAnsi="Tahoma" w:eastAsia="仿宋_GB2312" w:cs="DengXian-Regular"/>
          <w:sz w:val="32"/>
          <w:szCs w:val="32"/>
          <w:lang w:eastAsia="zh-CN"/>
        </w:rPr>
        <w:t>组织协调文化遗产的管理和保护，指导和管理文物事业，组织指导文物的保护抢救、考古发掘和开发利用工作。负责全区非物质文化遗产保护，推动非物质文化遗产的保护、传承、普及、弘扬和振兴。</w:t>
      </w:r>
    </w:p>
    <w:p>
      <w:pPr>
        <w:pStyle w:val="74"/>
        <w:rPr>
          <w:rFonts w:ascii="仿宋_GB2312" w:hAnsi="Tahoma" w:eastAsia="仿宋_GB2312" w:cs="DengXian-Regular"/>
          <w:sz w:val="32"/>
          <w:szCs w:val="32"/>
          <w:lang w:eastAsia="zh-CN"/>
        </w:rPr>
      </w:pPr>
      <w:r>
        <w:rPr>
          <w:rFonts w:ascii="仿宋_GB2312" w:hAnsi="Tahoma" w:eastAsia="仿宋_GB2312" w:cs="DengXian-Regular"/>
          <w:sz w:val="32"/>
          <w:szCs w:val="32"/>
          <w:lang w:eastAsia="zh-CN"/>
        </w:rPr>
        <w:t>（九）统筹规划全区文化产业、旅游产业、广播电视、文物利用及相关产业。组织实施文化、旅游和文物资源普查、挖掘、保护和开发利用工作。</w:t>
      </w:r>
    </w:p>
    <w:p>
      <w:pPr>
        <w:pStyle w:val="74"/>
        <w:rPr>
          <w:rFonts w:ascii="仿宋_GB2312" w:hAnsi="Tahoma" w:eastAsia="仿宋_GB2312" w:cs="DengXian-Regular"/>
          <w:sz w:val="32"/>
          <w:szCs w:val="32"/>
          <w:lang w:eastAsia="zh-CN"/>
        </w:rPr>
      </w:pPr>
      <w:r>
        <w:rPr>
          <w:rFonts w:ascii="仿宋_GB2312" w:hAnsi="Tahoma" w:eastAsia="仿宋_GB2312" w:cs="DengXian-Regular"/>
          <w:sz w:val="32"/>
          <w:szCs w:val="32"/>
          <w:lang w:eastAsia="zh-CN"/>
        </w:rPr>
        <w:t>（十）指导全区文化、旅游和广播电视市场发展。对文化、旅游和广播电视市场经营进行行业监管，推进全区文化、旅游、和广播电视行业信用体系建设，依法规范文化、旅游和广播电视市场。</w:t>
      </w:r>
    </w:p>
    <w:p>
      <w:pPr>
        <w:pStyle w:val="74"/>
        <w:rPr>
          <w:rFonts w:ascii="仿宋_GB2312" w:hAnsi="Tahoma" w:eastAsia="仿宋_GB2312" w:cs="DengXian-Regular"/>
          <w:sz w:val="32"/>
          <w:szCs w:val="32"/>
          <w:lang w:eastAsia="zh-CN"/>
        </w:rPr>
      </w:pPr>
      <w:r>
        <w:rPr>
          <w:rFonts w:ascii="仿宋_GB2312" w:hAnsi="Tahoma" w:eastAsia="仿宋_GB2312" w:cs="DengXian-Regular"/>
          <w:sz w:val="32"/>
          <w:szCs w:val="32"/>
          <w:lang w:eastAsia="zh-CN"/>
        </w:rPr>
        <w:t>（十一）指导、监督全区文化、旅游、广播电视和文物等市场综合执法。督查督办大案要案，维护市场秩序。承担全区文化、旅游和广播电视行业安全综合协调和监督管理工作，负责全区文化、旅游和广播电视行业突发应急事件的处理工作。</w:t>
      </w:r>
    </w:p>
    <w:p>
      <w:pPr>
        <w:spacing w:line="360" w:lineRule="auto"/>
        <w:ind w:firstLine="640" w:firstLineChars="200"/>
        <w:rPr>
          <w:rFonts w:ascii="仿宋_GB2312" w:eastAsia="仿宋_GB2312" w:cs="DengXian-Regular"/>
          <w:sz w:val="32"/>
          <w:szCs w:val="32"/>
        </w:rPr>
      </w:pPr>
      <w:r>
        <w:rPr>
          <w:rFonts w:ascii="仿宋_GB2312" w:eastAsia="仿宋_GB2312" w:cs="DengXian-Regular"/>
          <w:sz w:val="32"/>
          <w:szCs w:val="32"/>
        </w:rPr>
        <w:t>（十二）完成区委、区政府交办的其他任务</w:t>
      </w:r>
      <w:r>
        <w:rPr>
          <w:rFonts w:hint="eastAsia" w:ascii="仿宋_GB2312" w:eastAsia="仿宋_GB2312" w:cs="DengXian-Regular"/>
          <w:sz w:val="32"/>
          <w:szCs w:val="32"/>
        </w:rPr>
        <w:t>。</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绩效评价是制定科学合理的评价方法、评价标准和指标体系，对财政资金的使用及产生的效益进行客观、公正的评价。通过部门整体支出绩效评价工作了解部门绩效目标和指标的设置及完成情况；部门整体资金预算情况、实际收支及结转结余情况；部门履职对社会发展所带来的直接或间接影响及服务对象对部门履职效果的满意程度，促使相关部门根据绩效评价过程中发现的问题，及时整改并总结经验，提高部门管理水平，牢固树立预算绩效理念，强化部门支出责任，提高预算执行效率和财政资金使用效益。</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评价工作经过了前期准备、绩效评价实施方案和指标体系制定、组织实施、绩效评价报告撰写四个阶段。</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按照中共河北省委河北省人民政府《关于全面实施预算绩效管理的实施意见》的相关规定，以河北省财政厅《全面实施预算绩效管理推进工作方案》、《保定市徐水区部门预算绩效运行监控工作规程》中的相关工作要求作为评价标准，采取定量和定性评价相结合的方法，对资料进行审核、分析，实事求是、客观公正地完成了保定市徐水区文化广电和旅游局单位202</w:t>
      </w:r>
      <w:r>
        <w:rPr>
          <w:rFonts w:ascii="仿宋_GB2312" w:eastAsia="仿宋_GB2312" w:cs="DengXian-Regular"/>
          <w:sz w:val="32"/>
          <w:szCs w:val="32"/>
        </w:rPr>
        <w:t>1</w:t>
      </w:r>
      <w:r>
        <w:rPr>
          <w:rFonts w:hint="eastAsia" w:ascii="仿宋_GB2312" w:eastAsia="仿宋_GB2312" w:cs="DengXian-Regular"/>
          <w:sz w:val="32"/>
          <w:szCs w:val="32"/>
        </w:rPr>
        <w:t>年部门整体支出绩效评价工作。</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区文广旅游局单位202</w:t>
      </w:r>
      <w:r>
        <w:rPr>
          <w:rFonts w:ascii="仿宋_GB2312" w:eastAsia="仿宋_GB2312" w:cs="DengXian-Regular"/>
          <w:sz w:val="32"/>
          <w:szCs w:val="32"/>
        </w:rPr>
        <w:t>1</w:t>
      </w:r>
      <w:r>
        <w:rPr>
          <w:rFonts w:hint="eastAsia" w:ascii="仿宋_GB2312" w:eastAsia="仿宋_GB2312" w:cs="DengXian-Regular"/>
          <w:sz w:val="32"/>
          <w:szCs w:val="32"/>
        </w:rPr>
        <w:t>年部门整体支出绩效评价指标体系共设置4个一级指标、7个二级指标、27个三级指标，从投入、过程、产出、效果四个方面对区文广旅游局单位部门整体支出情况评分定级。指标体系设定满分为100分，绩效评价分值≥90为“优”；80≤分值＜90为“良”；60≤分值＜80为“合格”；60分以下为“差”。</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区文广旅游局单位202</w:t>
      </w:r>
      <w:r>
        <w:rPr>
          <w:rFonts w:ascii="仿宋_GB2312" w:eastAsia="仿宋_GB2312" w:cs="DengXian-Regular"/>
          <w:sz w:val="32"/>
          <w:szCs w:val="32"/>
        </w:rPr>
        <w:t>1</w:t>
      </w:r>
      <w:r>
        <w:rPr>
          <w:rFonts w:hint="eastAsia" w:ascii="仿宋_GB2312" w:eastAsia="仿宋_GB2312" w:cs="DengXian-Regular"/>
          <w:sz w:val="32"/>
          <w:szCs w:val="32"/>
        </w:rPr>
        <w:t>年部门整体支出综合评价得分为</w:t>
      </w:r>
      <w:r>
        <w:rPr>
          <w:rFonts w:ascii="仿宋_GB2312" w:eastAsia="仿宋_GB2312" w:cs="DengXian-Regular"/>
          <w:sz w:val="32"/>
          <w:szCs w:val="32"/>
        </w:rPr>
        <w:t>94.2</w:t>
      </w:r>
      <w:r>
        <w:rPr>
          <w:rFonts w:hint="eastAsia" w:ascii="仿宋_GB2312" w:eastAsia="仿宋_GB2312" w:cs="DengXian-Regular"/>
          <w:sz w:val="32"/>
          <w:szCs w:val="32"/>
        </w:rPr>
        <w:t>分，评价等级为“优”。</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经评价，区文广旅局单位202</w:t>
      </w:r>
      <w:r>
        <w:rPr>
          <w:rFonts w:ascii="仿宋_GB2312" w:eastAsia="仿宋_GB2312" w:cs="DengXian-Regular"/>
          <w:sz w:val="32"/>
          <w:szCs w:val="32"/>
        </w:rPr>
        <w:t>1</w:t>
      </w:r>
      <w:r>
        <w:rPr>
          <w:rFonts w:hint="eastAsia" w:ascii="仿宋_GB2312" w:eastAsia="仿宋_GB2312" w:cs="DengXian-Regular"/>
          <w:sz w:val="32"/>
          <w:szCs w:val="32"/>
        </w:rPr>
        <w:t>年部门预算编制完整性、项目预算细化率、在职人员控制率、收入完成率、财政拨款支出完成率、“三公经费”控制率、资金使用合规性、决算真实性、管理制度健全性、预决算信息公开、资产管理规范性、绩效自评覆盖率、绩效评价优等率、结转结余率、部门整体效益等指标完成情况较好。</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通过本次绩效评价工作，发现我单位在以下几个方面存在一些不足之处，具体如下：</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1.绩效指标方面：资金</w:t>
      </w:r>
      <w:r>
        <w:rPr>
          <w:rFonts w:ascii="仿宋_GB2312" w:eastAsia="仿宋_GB2312" w:cs="DengXian-Regular"/>
          <w:sz w:val="32"/>
          <w:szCs w:val="32"/>
        </w:rPr>
        <w:t>结余比较</w:t>
      </w:r>
      <w:r>
        <w:rPr>
          <w:rFonts w:hint="eastAsia" w:ascii="仿宋_GB2312" w:eastAsia="仿宋_GB2312" w:cs="DengXian-Regular"/>
          <w:sz w:val="32"/>
          <w:szCs w:val="32"/>
        </w:rPr>
        <w:t>多，项目</w:t>
      </w:r>
      <w:r>
        <w:rPr>
          <w:rFonts w:ascii="仿宋_GB2312" w:eastAsia="仿宋_GB2312" w:cs="DengXian-Regular"/>
          <w:sz w:val="32"/>
          <w:szCs w:val="32"/>
        </w:rPr>
        <w:t>资金使用率低。</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2.预算决算比较：决算</w:t>
      </w:r>
      <w:r>
        <w:rPr>
          <w:rFonts w:ascii="仿宋_GB2312" w:eastAsia="仿宋_GB2312" w:cs="DengXian-Regular"/>
          <w:sz w:val="32"/>
          <w:szCs w:val="32"/>
        </w:rPr>
        <w:t>收入支出较年初预算相差较多</w:t>
      </w:r>
      <w:r>
        <w:rPr>
          <w:rFonts w:hint="eastAsia" w:ascii="仿宋_GB2312" w:eastAsia="仿宋_GB2312" w:cs="DengXian-Regular"/>
          <w:sz w:val="32"/>
          <w:szCs w:val="32"/>
        </w:rPr>
        <w:t>。</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3.预算追加方面：预算</w:t>
      </w:r>
      <w:r>
        <w:rPr>
          <w:rFonts w:ascii="仿宋_GB2312" w:eastAsia="仿宋_GB2312" w:cs="DengXian-Regular"/>
          <w:sz w:val="32"/>
          <w:szCs w:val="32"/>
        </w:rPr>
        <w:t>较年</w:t>
      </w:r>
      <w:r>
        <w:rPr>
          <w:rFonts w:hint="eastAsia" w:ascii="仿宋_GB2312" w:eastAsia="仿宋_GB2312" w:cs="DengXian-Regular"/>
          <w:sz w:val="32"/>
          <w:szCs w:val="32"/>
        </w:rPr>
        <w:t>追加较</w:t>
      </w:r>
      <w:r>
        <w:rPr>
          <w:rFonts w:ascii="仿宋_GB2312" w:eastAsia="仿宋_GB2312" w:cs="DengXian-Regular"/>
          <w:sz w:val="32"/>
          <w:szCs w:val="32"/>
        </w:rPr>
        <w:t>多</w:t>
      </w:r>
      <w:r>
        <w:rPr>
          <w:rFonts w:hint="eastAsia" w:ascii="仿宋_GB2312" w:eastAsia="仿宋_GB2312" w:cs="DengXian-Regular"/>
          <w:sz w:val="32"/>
          <w:szCs w:val="32"/>
        </w:rPr>
        <w:t>，造成</w:t>
      </w:r>
      <w:r>
        <w:rPr>
          <w:rFonts w:ascii="仿宋_GB2312" w:eastAsia="仿宋_GB2312" w:cs="DengXian-Regular"/>
          <w:sz w:val="32"/>
          <w:szCs w:val="32"/>
        </w:rPr>
        <w:t>资金结余</w:t>
      </w:r>
      <w:r>
        <w:rPr>
          <w:rFonts w:hint="eastAsia" w:ascii="仿宋_GB2312" w:eastAsia="仿宋_GB2312" w:cs="DengXian-Regular"/>
          <w:sz w:val="32"/>
          <w:szCs w:val="32"/>
        </w:rPr>
        <w:t>。</w:t>
      </w:r>
    </w:p>
    <w:p>
      <w:pPr>
        <w:spacing w:after="0" w:line="360" w:lineRule="auto"/>
        <w:ind w:firstLine="640" w:firstLineChars="200"/>
        <w:jc w:val="both"/>
        <w:textAlignment w:val="baseline"/>
        <w:rPr>
          <w:rFonts w:ascii="仿宋_GB2312" w:eastAsia="仿宋_GB2312" w:cs="DengXian-Regular"/>
          <w:sz w:val="32"/>
          <w:szCs w:val="32"/>
        </w:rPr>
      </w:pPr>
      <w:r>
        <w:rPr>
          <w:rFonts w:ascii="仿宋_GB2312" w:eastAsia="仿宋_GB2312" w:cs="DengXian-Regular"/>
          <w:sz w:val="32"/>
          <w:szCs w:val="32"/>
        </w:rPr>
        <w:t>4</w:t>
      </w:r>
      <w:r>
        <w:rPr>
          <w:rFonts w:hint="eastAsia" w:ascii="仿宋_GB2312" w:eastAsia="仿宋_GB2312" w:cs="DengXian-Regular"/>
          <w:sz w:val="32"/>
          <w:szCs w:val="32"/>
        </w:rPr>
        <w:t>.项目资金使用率：项目</w:t>
      </w:r>
      <w:r>
        <w:rPr>
          <w:rFonts w:ascii="仿宋_GB2312" w:eastAsia="仿宋_GB2312" w:cs="DengXian-Regular"/>
          <w:sz w:val="32"/>
          <w:szCs w:val="32"/>
        </w:rPr>
        <w:t>资金使用率不高</w:t>
      </w:r>
      <w:r>
        <w:rPr>
          <w:rFonts w:hint="eastAsia" w:ascii="仿宋_GB2312" w:eastAsia="仿宋_GB2312" w:cs="DengXian-Regular"/>
          <w:sz w:val="32"/>
          <w:szCs w:val="32"/>
        </w:rPr>
        <w:t>。</w:t>
      </w:r>
    </w:p>
    <w:p>
      <w:pPr>
        <w:spacing w:after="0" w:line="360" w:lineRule="auto"/>
        <w:ind w:firstLine="640" w:firstLineChars="200"/>
        <w:jc w:val="both"/>
        <w:textAlignment w:val="baseline"/>
        <w:rPr>
          <w:rFonts w:ascii="仿宋_GB2312" w:eastAsia="仿宋_GB2312" w:cs="DengXian-Regular"/>
          <w:sz w:val="32"/>
          <w:szCs w:val="32"/>
        </w:rPr>
      </w:pPr>
      <w:r>
        <w:rPr>
          <w:rFonts w:ascii="仿宋_GB2312" w:eastAsia="仿宋_GB2312" w:cs="DengXian-Regular"/>
          <w:sz w:val="32"/>
          <w:szCs w:val="32"/>
        </w:rPr>
        <w:t>5</w:t>
      </w:r>
      <w:r>
        <w:rPr>
          <w:rFonts w:hint="eastAsia" w:ascii="仿宋_GB2312" w:eastAsia="仿宋_GB2312" w:cs="DengXian-Regular"/>
          <w:sz w:val="32"/>
          <w:szCs w:val="32"/>
        </w:rPr>
        <w:t>.部分基础数据信息方面：部分</w:t>
      </w:r>
      <w:r>
        <w:rPr>
          <w:rFonts w:ascii="仿宋_GB2312" w:eastAsia="仿宋_GB2312" w:cs="DengXian-Regular"/>
          <w:sz w:val="32"/>
          <w:szCs w:val="32"/>
        </w:rPr>
        <w:t>基础数据信息</w:t>
      </w:r>
      <w:r>
        <w:rPr>
          <w:rFonts w:hint="eastAsia" w:ascii="仿宋_GB2312" w:eastAsia="仿宋_GB2312" w:cs="DengXian-Regular"/>
          <w:sz w:val="32"/>
          <w:szCs w:val="32"/>
        </w:rPr>
        <w:t>保存</w:t>
      </w:r>
      <w:r>
        <w:rPr>
          <w:rFonts w:ascii="仿宋_GB2312" w:eastAsia="仿宋_GB2312" w:cs="DengXian-Regular"/>
          <w:sz w:val="32"/>
          <w:szCs w:val="32"/>
        </w:rPr>
        <w:t>不当</w:t>
      </w:r>
      <w:r>
        <w:rPr>
          <w:rFonts w:hint="eastAsia" w:ascii="仿宋_GB2312" w:eastAsia="仿宋_GB2312" w:cs="DengXian-Regular"/>
          <w:sz w:val="32"/>
          <w:szCs w:val="32"/>
        </w:rPr>
        <w:t>。</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针对此次绩效评价过程中发现的问题，我们建议：</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1.增强绩效指标设置的明确性</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工作活动、预算项目绩效指标应当清晰、可评价、可衡量。建议在设置职责活动绩效指标时，将绩效目标细化分解为具体的工作任务数，从而使绩效目标可量化，便于对目标实现情况进行考核。</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2.提高预算编制质量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部门预算编制工作要全面反映和体现部门职责，根据具体情况及时调整预算的编制，缩小预算与决算差额，减少中期预算追加，提高预算编制质量，发挥预算约束作用。</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3.强化政府采购执行</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建议严格按照《中华人民共和国政府采购法》及河北省2017年《政府采购集中采购目录和限额标准》的相关规定，执行政府采购，加快预算执行进度，提高政府采购效率。</w:t>
      </w:r>
      <w:bookmarkStart w:id="1" w:name="_Toc4346"/>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4.提高项目资金使用率</w:t>
      </w:r>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建议区文广旅局单位对项目资金进行梳理，督促项目进度和资金拨付进度，应拨付的资金及时拨付，不具备条件的资金及时收回，同时，对于按规定可以结转至下年的中央及省级项目资金，在下年的项目安排时优先考虑。</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5</w:t>
      </w:r>
      <w:r>
        <w:rPr>
          <w:rFonts w:ascii="仿宋_GB2312" w:eastAsia="仿宋_GB2312" w:cs="DengXian-Regular"/>
          <w:sz w:val="32"/>
          <w:szCs w:val="32"/>
        </w:rPr>
        <w:t>.完善基础信息管理</w:t>
      </w:r>
    </w:p>
    <w:p>
      <w:pPr>
        <w:spacing w:after="0" w:line="360" w:lineRule="auto"/>
        <w:ind w:firstLine="640" w:firstLineChars="200"/>
        <w:jc w:val="both"/>
        <w:textAlignment w:val="baseline"/>
        <w:rPr>
          <w:rFonts w:ascii="仿宋_GB2312" w:eastAsia="仿宋_GB2312" w:cs="DengXian-Regular"/>
          <w:sz w:val="32"/>
          <w:szCs w:val="32"/>
        </w:rPr>
      </w:pPr>
      <w:r>
        <w:rPr>
          <w:rFonts w:ascii="仿宋_GB2312" w:eastAsia="仿宋_GB2312" w:cs="DengXian-Regular"/>
          <w:sz w:val="32"/>
          <w:szCs w:val="32"/>
        </w:rPr>
        <w:t>建议严格按照档案管理的相关规定对基础数据信息档案资料及时归档保存，保证项目资料的完整性和可查阅性。</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6.预算安排建议</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人员经费方面：</w:t>
      </w:r>
      <w:r>
        <w:rPr>
          <w:rFonts w:ascii="仿宋_GB2312" w:eastAsia="仿宋_GB2312" w:cs="DengXian-Regular"/>
          <w:sz w:val="32"/>
          <w:szCs w:val="32"/>
        </w:rPr>
        <w:t>2022年基本支出决算数较预算数增加比例较大，主要原因为基层司法所招录公务员增加人员经费支出，建议2022年预算根据</w:t>
      </w:r>
      <w:r>
        <w:rPr>
          <w:rFonts w:hint="eastAsia" w:ascii="仿宋_GB2312" w:eastAsia="仿宋_GB2312" w:cs="DengXian-Regular"/>
          <w:sz w:val="32"/>
          <w:szCs w:val="32"/>
        </w:rPr>
        <w:t>202</w:t>
      </w:r>
      <w:r>
        <w:rPr>
          <w:rFonts w:ascii="仿宋_GB2312" w:eastAsia="仿宋_GB2312" w:cs="DengXian-Regular"/>
          <w:sz w:val="32"/>
          <w:szCs w:val="32"/>
        </w:rPr>
        <w:t>2</w:t>
      </w:r>
      <w:r>
        <w:rPr>
          <w:rFonts w:hint="eastAsia" w:ascii="仿宋_GB2312" w:eastAsia="仿宋_GB2312" w:cs="DengXian-Regular"/>
          <w:sz w:val="32"/>
          <w:szCs w:val="32"/>
        </w:rPr>
        <w:t>年实际发生人员经费支出、人员数量和工资标准适当安排人员经费预算。</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项目资金方面：</w:t>
      </w:r>
      <w:r>
        <w:rPr>
          <w:rFonts w:ascii="仿宋_GB2312" w:eastAsia="仿宋_GB2312" w:cs="DengXian-Regular"/>
          <w:sz w:val="32"/>
          <w:szCs w:val="32"/>
        </w:rPr>
        <w:t>2022年项目支出资金使用率较低，</w:t>
      </w:r>
      <w:r>
        <w:rPr>
          <w:rFonts w:hint="eastAsia" w:ascii="仿宋_GB2312" w:eastAsia="仿宋_GB2312" w:cs="DengXian-Regular"/>
          <w:sz w:val="32"/>
          <w:szCs w:val="32"/>
        </w:rPr>
        <w:t>针对</w:t>
      </w:r>
      <w:r>
        <w:rPr>
          <w:rFonts w:ascii="仿宋_GB2312" w:eastAsia="仿宋_GB2312" w:cs="DengXian-Regular"/>
          <w:sz w:val="32"/>
          <w:szCs w:val="32"/>
        </w:rPr>
        <w:t>部分未实施项目资金结转至下一年度</w:t>
      </w:r>
      <w:r>
        <w:rPr>
          <w:rFonts w:hint="eastAsia" w:ascii="仿宋_GB2312" w:eastAsia="仿宋_GB2312" w:cs="DengXian-Regular"/>
          <w:sz w:val="32"/>
          <w:szCs w:val="32"/>
        </w:rPr>
        <w:t>的，建议</w:t>
      </w:r>
      <w:r>
        <w:rPr>
          <w:rFonts w:ascii="仿宋_GB2312" w:eastAsia="仿宋_GB2312" w:cs="DengXian-Regular"/>
          <w:sz w:val="32"/>
          <w:szCs w:val="32"/>
        </w:rPr>
        <w:t>2022年预算不增加</w:t>
      </w:r>
      <w:r>
        <w:rPr>
          <w:rFonts w:hint="eastAsia" w:ascii="仿宋_GB2312" w:eastAsia="仿宋_GB2312" w:cs="DengXian-Regular"/>
          <w:sz w:val="32"/>
          <w:szCs w:val="32"/>
        </w:rPr>
        <w:t>该部分</w:t>
      </w:r>
      <w:r>
        <w:rPr>
          <w:rFonts w:ascii="仿宋_GB2312" w:eastAsia="仿宋_GB2312" w:cs="DengXian-Regular"/>
          <w:sz w:val="32"/>
          <w:szCs w:val="32"/>
        </w:rPr>
        <w:t>项目资金预算</w:t>
      </w:r>
      <w:r>
        <w:rPr>
          <w:rFonts w:hint="eastAsia" w:ascii="仿宋_GB2312" w:eastAsia="仿宋_GB2312" w:cs="DengXian-Regular"/>
          <w:sz w:val="32"/>
          <w:szCs w:val="32"/>
        </w:rPr>
        <w:t>；</w:t>
      </w:r>
      <w:r>
        <w:rPr>
          <w:rFonts w:ascii="仿宋_GB2312" w:eastAsia="仿宋_GB2312" w:cs="DengXian-Regular"/>
          <w:sz w:val="32"/>
          <w:szCs w:val="32"/>
        </w:rPr>
        <w:t>其他项目资金根据实际情况予以保持或适当</w:t>
      </w:r>
      <w:r>
        <w:rPr>
          <w:rFonts w:hint="eastAsia" w:ascii="仿宋_GB2312" w:eastAsia="仿宋_GB2312" w:cs="DengXian-Regular"/>
          <w:sz w:val="32"/>
          <w:szCs w:val="32"/>
        </w:rPr>
        <w:t>增减</w:t>
      </w:r>
      <w:r>
        <w:rPr>
          <w:rFonts w:ascii="仿宋_GB2312" w:eastAsia="仿宋_GB2312" w:cs="DengXian-Regular"/>
          <w:sz w:val="32"/>
          <w:szCs w:val="32"/>
        </w:rPr>
        <w:t>。</w:t>
      </w:r>
    </w:p>
    <w:p>
      <w:pPr>
        <w:pStyle w:val="3"/>
        <w:spacing w:line="540" w:lineRule="exact"/>
        <w:jc w:val="center"/>
        <w:rPr>
          <w:rFonts w:ascii="黑体" w:hAnsi="黑体"/>
          <w:b w:val="0"/>
        </w:rPr>
      </w:pPr>
      <w:r>
        <w:rPr>
          <w:rFonts w:hint="eastAsia" w:ascii="黑体" w:hAnsi="黑体"/>
          <w:b w:val="0"/>
        </w:rPr>
        <w:t>第二部分   绩效评价报告</w:t>
      </w:r>
      <w:bookmarkEnd w:id="1"/>
    </w:p>
    <w:p>
      <w:pPr>
        <w:pStyle w:val="3"/>
        <w:spacing w:before="0" w:after="0" w:line="360" w:lineRule="auto"/>
        <w:ind w:firstLine="643" w:firstLineChars="200"/>
        <w:rPr>
          <w:rFonts w:ascii="楷体" w:hAnsi="楷体" w:eastAsia="楷体" w:cs="楷体"/>
        </w:rPr>
      </w:pPr>
      <w:bookmarkStart w:id="2" w:name="_Toc492652763"/>
      <w:bookmarkStart w:id="3" w:name="_Toc427"/>
      <w:r>
        <w:rPr>
          <w:rFonts w:hint="eastAsia" w:ascii="楷体" w:hAnsi="楷体" w:eastAsia="楷体" w:cs="楷体"/>
        </w:rPr>
        <w:t>一、保定市徐水区文广旅游局单位基本情况</w:t>
      </w:r>
      <w:bookmarkEnd w:id="2"/>
      <w:bookmarkEnd w:id="3"/>
      <w:bookmarkStart w:id="4" w:name="_Toc492652764"/>
    </w:p>
    <w:p>
      <w:pPr>
        <w:pStyle w:val="4"/>
        <w:spacing w:before="0" w:after="0"/>
        <w:ind w:firstLine="643" w:firstLineChars="200"/>
        <w:jc w:val="both"/>
        <w:rPr>
          <w:rFonts w:ascii="仿宋_GB2312" w:hAnsi="Tahoma" w:cs="DengXian-Regular"/>
          <w:sz w:val="32"/>
        </w:rPr>
      </w:pPr>
      <w:bookmarkStart w:id="5" w:name="_Toc11473"/>
      <w:r>
        <w:rPr>
          <w:rFonts w:hint="eastAsia" w:ascii="仿宋_GB2312" w:hAnsi="Tahoma" w:cs="DengXian-Regular"/>
          <w:sz w:val="32"/>
        </w:rPr>
        <w:t>（一）部门职责和工作活动</w:t>
      </w:r>
      <w:bookmarkEnd w:id="4"/>
      <w:bookmarkEnd w:id="5"/>
    </w:p>
    <w:p>
      <w:pPr>
        <w:spacing w:line="500" w:lineRule="exact"/>
        <w:ind w:firstLine="560"/>
        <w:rPr>
          <w:rFonts w:ascii="仿宋_GB2312" w:eastAsia="仿宋_GB2312" w:cs="DengXian-Regular"/>
          <w:sz w:val="32"/>
          <w:szCs w:val="32"/>
        </w:rPr>
      </w:pPr>
      <w:r>
        <w:rPr>
          <w:rFonts w:hint="eastAsia" w:ascii="仿宋_GB2312" w:eastAsia="仿宋_GB2312" w:cs="DengXian-Regular"/>
          <w:sz w:val="32"/>
          <w:szCs w:val="32"/>
        </w:rPr>
        <w:t>根据中共保定市徐水区委办公室、保定市徐水区人民政府办公室关于印发《保定市徐水区文化广电和旅游局单位职能配置内设机构和人员编制规定》的通知，区文广旅游局单位为区政府工作部门，正科级单位，下设</w:t>
      </w:r>
      <w:r>
        <w:rPr>
          <w:rFonts w:ascii="仿宋_GB2312" w:eastAsia="仿宋_GB2312" w:cs="DengXian-Regular"/>
          <w:sz w:val="32"/>
          <w:szCs w:val="32"/>
        </w:rPr>
        <w:t>3</w:t>
      </w:r>
      <w:r>
        <w:rPr>
          <w:rFonts w:hint="eastAsia" w:ascii="仿宋_GB2312" w:eastAsia="仿宋_GB2312" w:cs="DengXian-Regular"/>
          <w:sz w:val="32"/>
          <w:szCs w:val="32"/>
        </w:rPr>
        <w:t>个股室。文广旅游局单位根据绩效预算管理改革的相关要求，按照“部门职责—工作活动绩效目标”的层级设立了绩效预算架构，职责活动包括</w:t>
      </w:r>
      <w:r>
        <w:rPr>
          <w:rFonts w:ascii="仿宋_GB2312" w:eastAsia="仿宋_GB2312" w:cs="DengXian-Regular"/>
          <w:sz w:val="32"/>
          <w:szCs w:val="32"/>
        </w:rPr>
        <w:t>（一）.贯彻执行党和国家文化、旅游、广播电视、文物和博物馆工作方针政策和法律法规。拟订全区文化、旅游、广播电视政策措施，起草全区文化和旅游、广播电视和文物保护方面的地方性规章、管理办法并组织实施。</w:t>
      </w:r>
    </w:p>
    <w:p>
      <w:pPr>
        <w:pStyle w:val="74"/>
        <w:rPr>
          <w:rFonts w:ascii="仿宋_GB2312" w:hAnsi="Tahoma" w:eastAsia="仿宋_GB2312" w:cs="DengXian-Regular"/>
          <w:sz w:val="32"/>
          <w:szCs w:val="32"/>
          <w:lang w:eastAsia="zh-CN"/>
        </w:rPr>
      </w:pPr>
      <w:r>
        <w:rPr>
          <w:rFonts w:ascii="仿宋_GB2312" w:hAnsi="Tahoma" w:eastAsia="仿宋_GB2312" w:cs="DengXian-Regular"/>
          <w:sz w:val="32"/>
          <w:szCs w:val="32"/>
          <w:lang w:eastAsia="zh-CN"/>
        </w:rPr>
        <w:t>（二）.拟订全区文化和旅游事业、文化和旅游产业、广播电视、文物和博物馆事业发展规划并组织实施，推进文化、旅游、广播电视融合发展，推进文化和旅游、广播电视领域体制机制改革。</w:t>
      </w:r>
    </w:p>
    <w:p>
      <w:pPr>
        <w:pStyle w:val="74"/>
        <w:rPr>
          <w:rFonts w:ascii="仿宋_GB2312" w:hAnsi="Tahoma" w:eastAsia="仿宋_GB2312" w:cs="DengXian-Regular"/>
          <w:sz w:val="32"/>
          <w:szCs w:val="32"/>
          <w:lang w:eastAsia="zh-CN"/>
        </w:rPr>
      </w:pPr>
      <w:r>
        <w:rPr>
          <w:rFonts w:ascii="仿宋_GB2312" w:hAnsi="Tahoma" w:eastAsia="仿宋_GB2312" w:cs="DengXian-Regular"/>
          <w:sz w:val="32"/>
          <w:szCs w:val="32"/>
          <w:lang w:eastAsia="zh-CN"/>
        </w:rPr>
        <w:t>（三）.管理全区性重大文化和旅游活动，指导、协调广播电视全区性重大宣传活动。组织全区文化、旅游和广播电视整体形象推广，促进文化产业和旅游产业对外合作，制定全区文化、旅游市场开发营销战略并组织实施，指导、推进全域旅游。</w:t>
      </w:r>
    </w:p>
    <w:p>
      <w:pPr>
        <w:pStyle w:val="74"/>
        <w:rPr>
          <w:rFonts w:ascii="仿宋_GB2312" w:hAnsi="Tahoma" w:eastAsia="仿宋_GB2312" w:cs="DengXian-Regular"/>
          <w:sz w:val="32"/>
          <w:szCs w:val="32"/>
          <w:lang w:eastAsia="zh-CN"/>
        </w:rPr>
      </w:pPr>
      <w:r>
        <w:rPr>
          <w:rFonts w:ascii="仿宋_GB2312" w:hAnsi="Tahoma" w:eastAsia="仿宋_GB2312" w:cs="DengXian-Regular"/>
          <w:sz w:val="32"/>
          <w:szCs w:val="32"/>
          <w:lang w:eastAsia="zh-CN"/>
        </w:rPr>
        <w:t>（四）.指导、管理全区文艺事业。指导艺术创作生产，扶持体现中国梦和社会主义核心价值观，具有导向性、代表性、示范性的文艺作品，推动全区各门类艺术、各艺术品种发展。</w:t>
      </w:r>
    </w:p>
    <w:p>
      <w:pPr>
        <w:pStyle w:val="74"/>
        <w:rPr>
          <w:rFonts w:ascii="仿宋_GB2312" w:hAnsi="Tahoma" w:eastAsia="仿宋_GB2312" w:cs="DengXian-Regular"/>
          <w:sz w:val="32"/>
          <w:szCs w:val="32"/>
          <w:lang w:eastAsia="zh-CN"/>
        </w:rPr>
      </w:pPr>
      <w:r>
        <w:rPr>
          <w:rFonts w:ascii="仿宋_GB2312" w:hAnsi="Tahoma" w:eastAsia="仿宋_GB2312" w:cs="DengXian-Regular"/>
          <w:sz w:val="32"/>
          <w:szCs w:val="32"/>
          <w:lang w:eastAsia="zh-CN"/>
        </w:rPr>
        <w:t>（五）.负责全区公共文化、旅游和广播电视事业发展。推进全区旅游、文物和博物馆公共文化服务体系建设，深入实施文化和旅游惠民工程，统筹推进全区基本公共文化、旅游和广播电视服务标准化、均等化。</w:t>
      </w:r>
    </w:p>
    <w:p>
      <w:pPr>
        <w:pStyle w:val="74"/>
        <w:rPr>
          <w:rFonts w:ascii="仿宋_GB2312" w:hAnsi="Tahoma" w:eastAsia="仿宋_GB2312" w:cs="DengXian-Regular"/>
          <w:sz w:val="32"/>
          <w:szCs w:val="32"/>
          <w:lang w:eastAsia="zh-CN"/>
        </w:rPr>
      </w:pPr>
      <w:r>
        <w:rPr>
          <w:rFonts w:ascii="仿宋_GB2312" w:hAnsi="Tahoma" w:eastAsia="仿宋_GB2312" w:cs="DengXian-Regular"/>
          <w:sz w:val="32"/>
          <w:szCs w:val="32"/>
          <w:lang w:eastAsia="zh-CN"/>
        </w:rPr>
        <w:t>（六）.指导、推进全区文化、旅游和广播电视科技创新发展，推进文化和旅游行业信息化、标准化建设。</w:t>
      </w:r>
    </w:p>
    <w:p>
      <w:pPr>
        <w:pStyle w:val="74"/>
        <w:rPr>
          <w:rFonts w:ascii="仿宋_GB2312" w:hAnsi="Tahoma" w:eastAsia="仿宋_GB2312" w:cs="DengXian-Regular"/>
          <w:sz w:val="32"/>
          <w:szCs w:val="32"/>
          <w:lang w:eastAsia="zh-CN"/>
        </w:rPr>
      </w:pPr>
      <w:r>
        <w:rPr>
          <w:rFonts w:ascii="仿宋_GB2312" w:hAnsi="Tahoma" w:eastAsia="仿宋_GB2312" w:cs="DengXian-Regular"/>
          <w:sz w:val="32"/>
          <w:szCs w:val="32"/>
          <w:lang w:eastAsia="zh-CN"/>
        </w:rPr>
        <w:t>（七）.负责对全区各类广播电视机构进行业务指导和行业监管，会同有关部门对全区网络试听节目服务机构进行管理，推进广播电视与新媒体新技术新业态融合发展。</w:t>
      </w:r>
    </w:p>
    <w:p>
      <w:pPr>
        <w:pStyle w:val="74"/>
        <w:rPr>
          <w:rFonts w:ascii="仿宋_GB2312" w:hAnsi="Tahoma" w:eastAsia="仿宋_GB2312" w:cs="DengXian-Regular"/>
          <w:sz w:val="32"/>
          <w:szCs w:val="32"/>
          <w:lang w:eastAsia="zh-CN"/>
        </w:rPr>
      </w:pPr>
      <w:r>
        <w:rPr>
          <w:rFonts w:ascii="仿宋_GB2312" w:hAnsi="Tahoma" w:eastAsia="仿宋_GB2312" w:cs="DengXian-Regular"/>
          <w:sz w:val="32"/>
          <w:szCs w:val="32"/>
          <w:lang w:eastAsia="zh-CN"/>
        </w:rPr>
        <w:t>（八）. 组织协调文化遗产的管理和保护，指导和管理文物事业，组织指导文物的保护抢救、考古发掘和开发利用工作。负责全区非物质文化遗产保护，推动非物质文化遗产的保护、传承、普及、弘扬和振兴。</w:t>
      </w:r>
    </w:p>
    <w:p>
      <w:pPr>
        <w:pStyle w:val="74"/>
        <w:rPr>
          <w:rFonts w:ascii="仿宋_GB2312" w:hAnsi="Tahoma" w:eastAsia="仿宋_GB2312" w:cs="DengXian-Regular"/>
          <w:sz w:val="32"/>
          <w:szCs w:val="32"/>
          <w:lang w:eastAsia="zh-CN"/>
        </w:rPr>
      </w:pPr>
      <w:r>
        <w:rPr>
          <w:rFonts w:ascii="仿宋_GB2312" w:hAnsi="Tahoma" w:eastAsia="仿宋_GB2312" w:cs="DengXian-Regular"/>
          <w:sz w:val="32"/>
          <w:szCs w:val="32"/>
          <w:lang w:eastAsia="zh-CN"/>
        </w:rPr>
        <w:t>（九）.统筹规划全区文化产业、旅游产业、广播电视、文物利用及相关产业。组织实施文化、旅游和文物资源普查、挖掘、保护和开发利用工作。</w:t>
      </w:r>
    </w:p>
    <w:p>
      <w:pPr>
        <w:pStyle w:val="74"/>
        <w:rPr>
          <w:rFonts w:ascii="仿宋_GB2312" w:hAnsi="Tahoma" w:eastAsia="仿宋_GB2312" w:cs="DengXian-Regular"/>
          <w:sz w:val="32"/>
          <w:szCs w:val="32"/>
          <w:lang w:eastAsia="zh-CN"/>
        </w:rPr>
      </w:pPr>
      <w:r>
        <w:rPr>
          <w:rFonts w:ascii="仿宋_GB2312" w:hAnsi="Tahoma" w:eastAsia="仿宋_GB2312" w:cs="DengXian-Regular"/>
          <w:sz w:val="32"/>
          <w:szCs w:val="32"/>
          <w:lang w:eastAsia="zh-CN"/>
        </w:rPr>
        <w:t>（十）.指导全区文化、旅游和广播电视市场发展。对文化、旅游和广播电视市场经营进行行业监管，推进全区文化、旅游、和广播电视行业信用体系建设，依法规范文化、旅游和广播电视市场。</w:t>
      </w:r>
    </w:p>
    <w:p>
      <w:pPr>
        <w:pStyle w:val="74"/>
        <w:rPr>
          <w:rFonts w:ascii="仿宋_GB2312" w:hAnsi="Tahoma" w:eastAsia="仿宋_GB2312" w:cs="DengXian-Regular"/>
          <w:sz w:val="32"/>
          <w:szCs w:val="32"/>
          <w:lang w:eastAsia="zh-CN"/>
        </w:rPr>
      </w:pPr>
      <w:r>
        <w:rPr>
          <w:rFonts w:ascii="仿宋_GB2312" w:hAnsi="Tahoma" w:eastAsia="仿宋_GB2312" w:cs="DengXian-Regular"/>
          <w:sz w:val="32"/>
          <w:szCs w:val="32"/>
          <w:lang w:eastAsia="zh-CN"/>
        </w:rPr>
        <w:t>（十一）.指导、监督全区文化、旅游、广播电视和文物等市场综合执法。督查督办大案要案，维护市场秩序。承担全区文化、旅游和广播电视行业安全综合协调和监督管理工作，负责全区文化、旅游和广播电视行业突发应急事件的处理工作。</w:t>
      </w:r>
    </w:p>
    <w:p>
      <w:pPr>
        <w:spacing w:line="360" w:lineRule="auto"/>
        <w:ind w:firstLine="640" w:firstLineChars="200"/>
        <w:rPr>
          <w:rFonts w:ascii="仿宋_GB2312" w:eastAsia="仿宋_GB2312" w:cs="DengXian-Regular"/>
          <w:sz w:val="32"/>
          <w:szCs w:val="32"/>
        </w:rPr>
      </w:pPr>
      <w:r>
        <w:rPr>
          <w:rFonts w:ascii="仿宋_GB2312" w:eastAsia="仿宋_GB2312" w:cs="DengXian-Regular"/>
          <w:sz w:val="32"/>
          <w:szCs w:val="32"/>
        </w:rPr>
        <w:t>（十二）.完成区委、区政府交办的其他任务</w:t>
      </w:r>
      <w:r>
        <w:rPr>
          <w:rFonts w:hint="eastAsia" w:ascii="仿宋_GB2312" w:eastAsia="仿宋_GB2312" w:cs="DengXian-Regular"/>
          <w:sz w:val="32"/>
          <w:szCs w:val="32"/>
        </w:rPr>
        <w:t>。</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共</w:t>
      </w:r>
      <w:r>
        <w:rPr>
          <w:rFonts w:ascii="仿宋_GB2312" w:eastAsia="仿宋_GB2312" w:cs="DengXian-Regular"/>
          <w:sz w:val="32"/>
          <w:szCs w:val="32"/>
        </w:rPr>
        <w:t>12</w:t>
      </w:r>
      <w:r>
        <w:rPr>
          <w:rFonts w:hint="eastAsia" w:ascii="仿宋_GB2312" w:eastAsia="仿宋_GB2312" w:cs="DengXian-Regular"/>
          <w:sz w:val="32"/>
          <w:szCs w:val="32"/>
        </w:rPr>
        <w:t>部分。</w:t>
      </w:r>
      <w:bookmarkStart w:id="6" w:name="_Toc465149499"/>
      <w:bookmarkStart w:id="7" w:name="_Toc492652765"/>
    </w:p>
    <w:p>
      <w:pPr>
        <w:pStyle w:val="4"/>
        <w:spacing w:before="0" w:after="0"/>
        <w:ind w:firstLine="643" w:firstLineChars="200"/>
        <w:jc w:val="both"/>
        <w:rPr>
          <w:rFonts w:ascii="仿宋_GB2312" w:hAnsi="Tahoma" w:cs="DengXian-Regular"/>
          <w:sz w:val="32"/>
        </w:rPr>
      </w:pPr>
      <w:bookmarkStart w:id="8" w:name="_Toc7075"/>
      <w:r>
        <w:rPr>
          <w:rFonts w:hint="eastAsia" w:ascii="仿宋_GB2312" w:hAnsi="Tahoma" w:cs="DengXian-Regular"/>
          <w:sz w:val="32"/>
        </w:rPr>
        <w:t>（二）</w:t>
      </w:r>
      <w:bookmarkEnd w:id="6"/>
      <w:r>
        <w:rPr>
          <w:rFonts w:hint="eastAsia" w:ascii="仿宋_GB2312" w:hAnsi="Tahoma" w:cs="DengXian-Regular"/>
          <w:sz w:val="32"/>
        </w:rPr>
        <w:t>部门年度发展规划总体目标和职责分类绩效目标</w:t>
      </w:r>
      <w:bookmarkEnd w:id="7"/>
      <w:bookmarkEnd w:id="8"/>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按照202</w:t>
      </w:r>
      <w:r>
        <w:rPr>
          <w:rFonts w:ascii="仿宋_GB2312" w:eastAsia="仿宋_GB2312" w:cs="DengXian-Regular"/>
          <w:sz w:val="32"/>
          <w:szCs w:val="32"/>
        </w:rPr>
        <w:t>1</w:t>
      </w:r>
      <w:r>
        <w:rPr>
          <w:rFonts w:hint="eastAsia" w:ascii="仿宋_GB2312" w:eastAsia="仿宋_GB2312" w:cs="DengXian-Regular"/>
          <w:sz w:val="32"/>
          <w:szCs w:val="32"/>
        </w:rPr>
        <w:t>年绩效预算编制要求，区文广旅游局单位设置的年度发展规划总体目标为：</w:t>
      </w:r>
    </w:p>
    <w:p>
      <w:pPr>
        <w:spacing w:after="0" w:line="360" w:lineRule="auto"/>
        <w:ind w:firstLine="640" w:firstLineChars="200"/>
        <w:jc w:val="both"/>
        <w:textAlignment w:val="baseline"/>
        <w:rPr>
          <w:rFonts w:ascii="仿宋" w:hAnsi="仿宋" w:eastAsia="仿宋"/>
          <w:sz w:val="32"/>
          <w:szCs w:val="32"/>
        </w:rPr>
      </w:pPr>
      <w:r>
        <w:rPr>
          <w:rFonts w:hint="eastAsia" w:ascii="仿宋_GB2312" w:eastAsia="仿宋_GB2312" w:cs="DengXian-Regular"/>
          <w:sz w:val="32"/>
          <w:szCs w:val="32"/>
        </w:rPr>
        <w:t>紧紧围绕</w:t>
      </w:r>
      <w:r>
        <w:rPr>
          <w:rFonts w:ascii="仿宋_GB2312" w:eastAsia="仿宋_GB2312" w:cs="DengXian-Regular"/>
          <w:sz w:val="32"/>
          <w:szCs w:val="32"/>
        </w:rPr>
        <w:t>全区中心工作和区委</w:t>
      </w:r>
      <w:r>
        <w:rPr>
          <w:rFonts w:hint="eastAsia" w:ascii="仿宋_GB2312" w:eastAsia="仿宋_GB2312" w:cs="DengXian-Regular"/>
          <w:sz w:val="32"/>
          <w:szCs w:val="32"/>
        </w:rPr>
        <w:t>区政府的</w:t>
      </w:r>
      <w:r>
        <w:rPr>
          <w:rFonts w:ascii="仿宋_GB2312" w:eastAsia="仿宋_GB2312" w:cs="DengXian-Regular"/>
          <w:sz w:val="32"/>
          <w:szCs w:val="32"/>
        </w:rPr>
        <w:t>重要部署</w:t>
      </w:r>
      <w:r>
        <w:rPr>
          <w:rFonts w:hint="eastAsia" w:ascii="仿宋_GB2312" w:eastAsia="仿宋_GB2312" w:cs="DengXian-Regular"/>
          <w:sz w:val="32"/>
          <w:szCs w:val="32"/>
        </w:rPr>
        <w:t>，</w:t>
      </w:r>
      <w:r>
        <w:rPr>
          <w:rFonts w:hint="eastAsia" w:ascii="仿宋" w:hAnsi="仿宋" w:eastAsia="仿宋"/>
          <w:sz w:val="32"/>
          <w:szCs w:val="32"/>
        </w:rPr>
        <w:t>以习近平新时代中国特色社会主义思想为指导，深入贯彻党的十九大和十九届三中、四中全会精神，全面贯彻省委“三六八九”工作思路，紧紧围绕区委二届五次全会部署的任务目标，坚持以人民为中心的发展思想，聚焦民生、突出重点、锐意进取、狠抓落实，统筹推进我区文化广电和旅游等各项事业和产业的发展。</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职责分类绩效目标为：2</w:t>
      </w:r>
      <w:r>
        <w:rPr>
          <w:rFonts w:ascii="仿宋_GB2312" w:eastAsia="仿宋_GB2312" w:cs="DengXian-Regular"/>
          <w:sz w:val="32"/>
          <w:szCs w:val="32"/>
        </w:rPr>
        <w:t>019</w:t>
      </w:r>
      <w:r>
        <w:rPr>
          <w:rFonts w:hint="eastAsia" w:ascii="仿宋_GB2312" w:eastAsia="仿宋_GB2312" w:cs="DengXian-Regular"/>
          <w:sz w:val="32"/>
          <w:szCs w:val="32"/>
        </w:rPr>
        <w:t>年文广旅局</w:t>
      </w:r>
      <w:r>
        <w:rPr>
          <w:rFonts w:ascii="仿宋_GB2312" w:eastAsia="仿宋_GB2312" w:cs="DengXian-Regular"/>
          <w:sz w:val="32"/>
          <w:szCs w:val="32"/>
        </w:rPr>
        <w:t>进一步围绕</w:t>
      </w:r>
      <w:r>
        <w:rPr>
          <w:rFonts w:hint="eastAsia" w:ascii="仿宋_GB2312" w:eastAsia="仿宋_GB2312" w:cs="DengXian-Regular"/>
          <w:sz w:val="32"/>
          <w:szCs w:val="32"/>
        </w:rPr>
        <w:t>全</w:t>
      </w:r>
      <w:r>
        <w:rPr>
          <w:rFonts w:ascii="仿宋_GB2312" w:eastAsia="仿宋_GB2312" w:cs="DengXian-Regular"/>
          <w:sz w:val="32"/>
          <w:szCs w:val="32"/>
        </w:rPr>
        <w:t>区中心工作和区委重要部署</w:t>
      </w:r>
      <w:r>
        <w:rPr>
          <w:rFonts w:hint="eastAsia" w:ascii="仿宋_GB2312" w:eastAsia="仿宋_GB2312" w:cs="DengXian-Regular"/>
          <w:sz w:val="32"/>
          <w:szCs w:val="32"/>
        </w:rPr>
        <w:t>，</w:t>
      </w:r>
      <w:r>
        <w:rPr>
          <w:rFonts w:hint="eastAsia" w:ascii="仿宋" w:hAnsi="仿宋" w:eastAsia="仿宋"/>
          <w:sz w:val="32"/>
          <w:szCs w:val="32"/>
        </w:rPr>
        <w:t>紧紧抓住文旅融合发展的历史发展机遇，聚焦人民对美好生活的向往，整合文化、广电和旅游公共资源，多向发力，全领域统筹推进公共服务体系和能力建设。</w:t>
      </w:r>
    </w:p>
    <w:p>
      <w:pPr>
        <w:spacing w:after="0" w:line="360" w:lineRule="auto"/>
        <w:ind w:firstLine="640" w:firstLineChars="200"/>
        <w:jc w:val="both"/>
        <w:textAlignment w:val="baseline"/>
        <w:rPr>
          <w:rFonts w:ascii="仿宋" w:hAnsi="仿宋" w:eastAsia="仿宋"/>
          <w:sz w:val="32"/>
          <w:szCs w:val="32"/>
        </w:rPr>
      </w:pPr>
      <w:r>
        <w:rPr>
          <w:rFonts w:hint="eastAsia" w:ascii="仿宋_GB2312" w:eastAsia="仿宋_GB2312" w:cs="DengXian-Regular"/>
          <w:sz w:val="32"/>
          <w:szCs w:val="32"/>
        </w:rPr>
        <w:t>1.</w:t>
      </w:r>
      <w:r>
        <w:rPr>
          <w:rFonts w:hint="eastAsia" w:ascii="楷体" w:hAnsi="楷体" w:eastAsia="楷体"/>
          <w:b/>
          <w:sz w:val="32"/>
          <w:szCs w:val="32"/>
        </w:rPr>
        <w:t xml:space="preserve"> </w:t>
      </w:r>
      <w:r>
        <w:rPr>
          <w:rFonts w:hint="eastAsia" w:ascii="仿宋" w:hAnsi="仿宋" w:eastAsia="仿宋"/>
          <w:sz w:val="32"/>
          <w:szCs w:val="32"/>
        </w:rPr>
        <w:t>做好普查，摸清基层公共文化服务体系底数。</w:t>
      </w:r>
    </w:p>
    <w:p>
      <w:pPr>
        <w:spacing w:after="0" w:line="360" w:lineRule="auto"/>
        <w:ind w:firstLine="640" w:firstLineChars="200"/>
        <w:jc w:val="both"/>
        <w:textAlignment w:val="baseline"/>
        <w:rPr>
          <w:rFonts w:ascii="仿宋" w:hAnsi="仿宋" w:eastAsia="仿宋"/>
          <w:sz w:val="32"/>
          <w:szCs w:val="32"/>
        </w:rPr>
      </w:pPr>
      <w:r>
        <w:rPr>
          <w:rFonts w:hint="eastAsia" w:ascii="仿宋" w:hAnsi="仿宋" w:eastAsia="仿宋"/>
          <w:sz w:val="32"/>
          <w:szCs w:val="32"/>
        </w:rPr>
        <w:t>2. 广泛开展形式多样的群众文化活动。</w:t>
      </w:r>
    </w:p>
    <w:p>
      <w:pPr>
        <w:spacing w:after="0" w:line="360" w:lineRule="auto"/>
        <w:ind w:firstLine="640" w:firstLineChars="200"/>
        <w:jc w:val="both"/>
        <w:textAlignment w:val="baseline"/>
        <w:rPr>
          <w:rFonts w:ascii="仿宋" w:hAnsi="仿宋" w:eastAsia="仿宋"/>
          <w:sz w:val="32"/>
          <w:szCs w:val="32"/>
        </w:rPr>
      </w:pPr>
      <w:r>
        <w:rPr>
          <w:rFonts w:hint="eastAsia" w:ascii="仿宋" w:hAnsi="仿宋" w:eastAsia="仿宋"/>
          <w:sz w:val="32"/>
          <w:szCs w:val="32"/>
        </w:rPr>
        <w:t>3. 加强公共文化服务队伍建设。</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职责分类绩效目标为：</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1.开展公共文化</w:t>
      </w:r>
      <w:r>
        <w:rPr>
          <w:rFonts w:ascii="仿宋_GB2312" w:eastAsia="仿宋_GB2312" w:cs="DengXian-Regular"/>
          <w:sz w:val="32"/>
          <w:szCs w:val="32"/>
        </w:rPr>
        <w:t>服务</w:t>
      </w:r>
      <w:r>
        <w:rPr>
          <w:rFonts w:hint="eastAsia" w:ascii="仿宋_GB2312" w:eastAsia="仿宋_GB2312" w:cs="DengXian-Regular"/>
          <w:sz w:val="32"/>
          <w:szCs w:val="32"/>
        </w:rPr>
        <w:t>工作。</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2.开展</w:t>
      </w:r>
      <w:r>
        <w:rPr>
          <w:rFonts w:hint="eastAsia" w:ascii="Times New Roman" w:hAnsi="微软雅黑" w:eastAsia="方正仿宋_GBK" w:cs="微软雅黑"/>
          <w:sz w:val="28"/>
        </w:rPr>
        <w:t>文化活动开展和文化艺术生产</w:t>
      </w:r>
      <w:r>
        <w:rPr>
          <w:rFonts w:hint="eastAsia" w:ascii="仿宋_GB2312" w:eastAsia="仿宋_GB2312" w:cs="DengXian-Regular"/>
          <w:sz w:val="32"/>
          <w:szCs w:val="32"/>
        </w:rPr>
        <w:t>工作。</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3.开展</w:t>
      </w:r>
      <w:r>
        <w:rPr>
          <w:rFonts w:hint="eastAsia" w:ascii="Times New Roman" w:hAnsi="微软雅黑" w:eastAsia="方正仿宋_GBK" w:cs="微软雅黑"/>
          <w:sz w:val="28"/>
        </w:rPr>
        <w:t>文化活动交流合作</w:t>
      </w:r>
      <w:r>
        <w:rPr>
          <w:rFonts w:hint="eastAsia" w:ascii="仿宋_GB2312" w:eastAsia="仿宋_GB2312" w:cs="DengXian-Regular"/>
          <w:sz w:val="32"/>
          <w:szCs w:val="32"/>
        </w:rPr>
        <w:t>工作。</w:t>
      </w:r>
      <w:bookmarkStart w:id="9" w:name="_Toc1678"/>
      <w:bookmarkStart w:id="10" w:name="_Toc465149500"/>
      <w:bookmarkStart w:id="11" w:name="_Toc492652766"/>
    </w:p>
    <w:p>
      <w:pPr>
        <w:spacing w:after="0" w:line="360" w:lineRule="auto"/>
        <w:ind w:firstLine="640" w:firstLineChars="200"/>
        <w:jc w:val="both"/>
        <w:textAlignment w:val="baseline"/>
        <w:rPr>
          <w:rFonts w:ascii="仿宋_GB2312" w:eastAsia="仿宋_GB2312" w:cs="DengXian-Regular"/>
          <w:sz w:val="32"/>
          <w:szCs w:val="32"/>
        </w:rPr>
      </w:pPr>
      <w:r>
        <w:rPr>
          <w:rFonts w:ascii="仿宋_GB2312" w:eastAsia="仿宋_GB2312" w:cs="DengXian-Regular"/>
          <w:sz w:val="32"/>
          <w:szCs w:val="32"/>
        </w:rPr>
        <w:t>4</w:t>
      </w:r>
      <w:r>
        <w:rPr>
          <w:rFonts w:hint="eastAsia" w:ascii="仿宋_GB2312" w:eastAsia="仿宋_GB2312" w:cs="DengXian-Regular"/>
          <w:sz w:val="32"/>
          <w:szCs w:val="32"/>
        </w:rPr>
        <w:t>.开展</w:t>
      </w:r>
      <w:r>
        <w:rPr>
          <w:rFonts w:hint="eastAsia" w:ascii="Times New Roman" w:hAnsi="微软雅黑" w:eastAsia="方正仿宋_GBK" w:cs="微软雅黑"/>
          <w:sz w:val="28"/>
        </w:rPr>
        <w:t>文化保护</w:t>
      </w:r>
      <w:r>
        <w:rPr>
          <w:rFonts w:hint="eastAsia" w:ascii="仿宋_GB2312" w:eastAsia="仿宋_GB2312" w:cs="DengXian-Regular"/>
          <w:sz w:val="32"/>
          <w:szCs w:val="32"/>
        </w:rPr>
        <w:t>工作。</w:t>
      </w:r>
    </w:p>
    <w:p>
      <w:pPr>
        <w:spacing w:after="0" w:line="360" w:lineRule="auto"/>
        <w:ind w:firstLine="640" w:firstLineChars="200"/>
        <w:jc w:val="both"/>
        <w:textAlignment w:val="baseline"/>
        <w:rPr>
          <w:rFonts w:ascii="仿宋_GB2312" w:eastAsia="仿宋_GB2312" w:cs="DengXian-Regular"/>
          <w:sz w:val="32"/>
          <w:szCs w:val="32"/>
        </w:rPr>
      </w:pPr>
      <w:r>
        <w:rPr>
          <w:rFonts w:ascii="仿宋_GB2312" w:eastAsia="仿宋_GB2312" w:cs="DengXian-Regular"/>
          <w:sz w:val="32"/>
          <w:szCs w:val="32"/>
        </w:rPr>
        <w:t>5</w:t>
      </w:r>
      <w:r>
        <w:rPr>
          <w:rFonts w:hint="eastAsia" w:ascii="仿宋_GB2312" w:eastAsia="仿宋_GB2312" w:cs="DengXian-Regular"/>
          <w:sz w:val="32"/>
          <w:szCs w:val="32"/>
        </w:rPr>
        <w:t>.开展</w:t>
      </w:r>
      <w:r>
        <w:rPr>
          <w:rFonts w:hint="eastAsia" w:ascii="Times New Roman" w:hAnsi="微软雅黑" w:eastAsia="方正仿宋_GBK" w:cs="微软雅黑"/>
          <w:sz w:val="28"/>
        </w:rPr>
        <w:t>旅游政务及形象宣传</w:t>
      </w:r>
      <w:r>
        <w:rPr>
          <w:rFonts w:hint="eastAsia" w:ascii="仿宋_GB2312" w:eastAsia="仿宋_GB2312" w:cs="DengXian-Regular"/>
          <w:sz w:val="32"/>
          <w:szCs w:val="32"/>
        </w:rPr>
        <w:t>工作。</w:t>
      </w:r>
    </w:p>
    <w:p>
      <w:pPr>
        <w:spacing w:line="500" w:lineRule="exact"/>
        <w:ind w:firstLine="640" w:firstLineChars="200"/>
        <w:rPr>
          <w:rFonts w:ascii="Times New Roman" w:eastAsia="方正仿宋_GBK"/>
          <w:sz w:val="28"/>
        </w:rPr>
      </w:pPr>
      <w:r>
        <w:rPr>
          <w:rFonts w:ascii="仿宋_GB2312" w:eastAsia="仿宋_GB2312" w:cs="DengXian-Regular"/>
          <w:sz w:val="32"/>
          <w:szCs w:val="32"/>
        </w:rPr>
        <w:t>6.</w:t>
      </w:r>
      <w:r>
        <w:rPr>
          <w:rFonts w:hint="eastAsia" w:ascii="仿宋_GB2312" w:eastAsia="仿宋_GB2312" w:cs="DengXian-Regular"/>
          <w:sz w:val="32"/>
          <w:szCs w:val="32"/>
        </w:rPr>
        <w:t>开展</w:t>
      </w:r>
      <w:r>
        <w:rPr>
          <w:rFonts w:hint="eastAsia" w:ascii="Times New Roman" w:hAnsi="微软雅黑" w:eastAsia="方正仿宋_GBK" w:cs="微软雅黑"/>
          <w:sz w:val="28"/>
        </w:rPr>
        <w:t>旅游规划及重点项目建设</w:t>
      </w:r>
      <w:r>
        <w:rPr>
          <w:rFonts w:hint="eastAsia" w:ascii="仿宋_GB2312" w:eastAsia="仿宋_GB2312" w:cs="DengXian-Regular"/>
          <w:sz w:val="32"/>
          <w:szCs w:val="32"/>
        </w:rPr>
        <w:t>工作。</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7.开展</w:t>
      </w:r>
      <w:r>
        <w:rPr>
          <w:rFonts w:hint="eastAsia" w:ascii="Times New Roman" w:hAnsi="微软雅黑" w:eastAsia="方正仿宋_GBK" w:cs="微软雅黑"/>
          <w:sz w:val="28"/>
        </w:rPr>
        <w:t>旅游市场开发推广及交流合作</w:t>
      </w:r>
      <w:r>
        <w:rPr>
          <w:rFonts w:hint="eastAsia" w:ascii="仿宋_GB2312" w:eastAsia="仿宋_GB2312" w:cs="DengXian-Regular"/>
          <w:sz w:val="32"/>
          <w:szCs w:val="32"/>
        </w:rPr>
        <w:t>工作。</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（三）部门预算收入及决算收入</w:t>
      </w:r>
      <w:bookmarkEnd w:id="9"/>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202</w:t>
      </w:r>
      <w:r>
        <w:rPr>
          <w:rFonts w:ascii="仿宋_GB2312" w:eastAsia="仿宋_GB2312" w:cs="DengXian-Regular"/>
          <w:sz w:val="32"/>
          <w:szCs w:val="32"/>
        </w:rPr>
        <w:t>1</w:t>
      </w:r>
      <w:r>
        <w:rPr>
          <w:rFonts w:hint="eastAsia" w:ascii="仿宋_GB2312" w:eastAsia="仿宋_GB2312" w:cs="DengXian-Regular"/>
          <w:sz w:val="32"/>
          <w:szCs w:val="32"/>
        </w:rPr>
        <w:t>年区文光旅游局单位预算收入</w:t>
      </w:r>
      <w:r>
        <w:rPr>
          <w:rFonts w:ascii="仿宋_GB2312" w:eastAsia="仿宋_GB2312" w:cs="DengXian-Regular"/>
          <w:sz w:val="32"/>
          <w:szCs w:val="32"/>
        </w:rPr>
        <w:t>2022.63</w:t>
      </w:r>
      <w:r>
        <w:rPr>
          <w:rFonts w:hint="eastAsia" w:ascii="仿宋_GB2312" w:eastAsia="仿宋_GB2312" w:cs="DengXian-Regular"/>
          <w:sz w:val="32"/>
          <w:szCs w:val="32"/>
        </w:rPr>
        <w:t>万元，均为一般公共预算拨款，其中：财政拨款</w:t>
      </w:r>
      <w:r>
        <w:rPr>
          <w:rFonts w:ascii="仿宋_GB2312" w:eastAsia="仿宋_GB2312" w:cs="DengXian-Regular"/>
          <w:sz w:val="32"/>
          <w:szCs w:val="32"/>
        </w:rPr>
        <w:t>2022.63</w:t>
      </w:r>
      <w:r>
        <w:rPr>
          <w:rFonts w:hint="eastAsia" w:ascii="仿宋_GB2312" w:eastAsia="仿宋_GB2312" w:cs="DengXian-Regular"/>
          <w:sz w:val="32"/>
          <w:szCs w:val="32"/>
        </w:rPr>
        <w:t>万元。预算收入按功能分类包含：社会保障和就业支出</w:t>
      </w:r>
      <w:r>
        <w:rPr>
          <w:rFonts w:ascii="仿宋_GB2312" w:eastAsia="仿宋_GB2312" w:cs="DengXian-Regular"/>
          <w:sz w:val="32"/>
          <w:szCs w:val="32"/>
        </w:rPr>
        <w:t>148.76</w:t>
      </w:r>
      <w:r>
        <w:rPr>
          <w:rFonts w:hint="eastAsia" w:ascii="仿宋_GB2312" w:eastAsia="仿宋_GB2312" w:cs="DengXian-Regular"/>
          <w:sz w:val="32"/>
          <w:szCs w:val="32"/>
        </w:rPr>
        <w:t>万元，医疗卫生与计划生育支出</w:t>
      </w:r>
      <w:r>
        <w:rPr>
          <w:rFonts w:ascii="仿宋_GB2312" w:eastAsia="仿宋_GB2312" w:cs="DengXian-Regular"/>
          <w:sz w:val="32"/>
          <w:szCs w:val="32"/>
        </w:rPr>
        <w:t>47.05</w:t>
      </w:r>
      <w:r>
        <w:rPr>
          <w:rFonts w:hint="eastAsia" w:ascii="仿宋_GB2312" w:eastAsia="仿宋_GB2312" w:cs="DengXian-Regular"/>
          <w:sz w:val="32"/>
          <w:szCs w:val="32"/>
        </w:rPr>
        <w:t>万元，住房保障支出</w:t>
      </w:r>
      <w:r>
        <w:rPr>
          <w:rFonts w:ascii="仿宋_GB2312" w:eastAsia="仿宋_GB2312" w:cs="DengXian-Regular"/>
          <w:sz w:val="32"/>
          <w:szCs w:val="32"/>
        </w:rPr>
        <w:t>57.16</w:t>
      </w:r>
      <w:r>
        <w:rPr>
          <w:rFonts w:hint="eastAsia" w:ascii="仿宋_GB2312" w:eastAsia="仿宋_GB2312" w:cs="DengXian-Regular"/>
          <w:sz w:val="32"/>
          <w:szCs w:val="32"/>
        </w:rPr>
        <w:t>万元。具体预算收入详见附件2。</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202</w:t>
      </w:r>
      <w:r>
        <w:rPr>
          <w:rFonts w:ascii="仿宋_GB2312" w:eastAsia="仿宋_GB2312" w:cs="DengXian-Regular"/>
          <w:sz w:val="32"/>
          <w:szCs w:val="32"/>
        </w:rPr>
        <w:t>1</w:t>
      </w:r>
      <w:r>
        <w:rPr>
          <w:rFonts w:hint="eastAsia" w:ascii="仿宋_GB2312" w:eastAsia="仿宋_GB2312" w:cs="DengXian-Regular"/>
          <w:sz w:val="32"/>
          <w:szCs w:val="32"/>
        </w:rPr>
        <w:t>年区文广旅游局单位决算收入</w:t>
      </w:r>
      <w:r>
        <w:rPr>
          <w:rFonts w:ascii="仿宋_GB2312" w:eastAsia="仿宋_GB2312" w:cs="DengXian-Regular"/>
          <w:sz w:val="32"/>
          <w:szCs w:val="32"/>
        </w:rPr>
        <w:t>1749.23</w:t>
      </w:r>
      <w:r>
        <w:rPr>
          <w:rFonts w:hint="eastAsia" w:ascii="仿宋_GB2312" w:eastAsia="仿宋_GB2312" w:cs="DengXian-Regular"/>
          <w:sz w:val="32"/>
          <w:szCs w:val="32"/>
        </w:rPr>
        <w:t>万元，其中：财政拨款收入</w:t>
      </w:r>
      <w:r>
        <w:rPr>
          <w:rFonts w:ascii="仿宋_GB2312" w:eastAsia="仿宋_GB2312" w:cs="DengXian-Regular"/>
          <w:sz w:val="32"/>
          <w:szCs w:val="32"/>
        </w:rPr>
        <w:t>1745.83</w:t>
      </w:r>
      <w:r>
        <w:rPr>
          <w:rFonts w:hint="eastAsia" w:ascii="仿宋_GB2312" w:eastAsia="仿宋_GB2312" w:cs="DengXian-Regular"/>
          <w:sz w:val="32"/>
          <w:szCs w:val="32"/>
        </w:rPr>
        <w:t>万元，其他收入</w:t>
      </w:r>
      <w:r>
        <w:rPr>
          <w:rFonts w:ascii="仿宋_GB2312" w:eastAsia="仿宋_GB2312" w:cs="DengXian-Regular"/>
          <w:sz w:val="32"/>
          <w:szCs w:val="32"/>
        </w:rPr>
        <w:t>3.4</w:t>
      </w:r>
      <w:r>
        <w:rPr>
          <w:rFonts w:hint="eastAsia" w:ascii="仿宋_GB2312" w:eastAsia="仿宋_GB2312" w:cs="DengXian-Regular"/>
          <w:sz w:val="32"/>
          <w:szCs w:val="32"/>
        </w:rPr>
        <w:t>万元（全部为市级非遗传承人补助）。决算收入按功能分类包含：文化旅游体育与传媒支出</w:t>
      </w:r>
      <w:r>
        <w:rPr>
          <w:rFonts w:ascii="仿宋_GB2312" w:eastAsia="仿宋_GB2312" w:cs="DengXian-Regular"/>
          <w:sz w:val="32"/>
          <w:szCs w:val="32"/>
        </w:rPr>
        <w:t>1662.94</w:t>
      </w:r>
      <w:r>
        <w:rPr>
          <w:rFonts w:hint="eastAsia" w:ascii="仿宋_GB2312" w:eastAsia="仿宋_GB2312" w:cs="DengXian-Regular"/>
          <w:sz w:val="32"/>
          <w:szCs w:val="32"/>
        </w:rPr>
        <w:t>万元，占</w:t>
      </w:r>
      <w:r>
        <w:rPr>
          <w:rFonts w:ascii="仿宋_GB2312" w:eastAsia="仿宋_GB2312" w:cs="DengXian-Regular"/>
          <w:sz w:val="32"/>
          <w:szCs w:val="32"/>
        </w:rPr>
        <w:t>84.97</w:t>
      </w:r>
      <w:r>
        <w:rPr>
          <w:rFonts w:hint="eastAsia" w:ascii="仿宋_GB2312" w:eastAsia="仿宋_GB2312" w:cs="DengXian-Regular"/>
          <w:sz w:val="32"/>
          <w:szCs w:val="32"/>
        </w:rPr>
        <w:t>%，主要用于</w:t>
      </w:r>
      <w:r>
        <w:rPr>
          <w:rFonts w:hint="eastAsia" w:ascii="仿宋_GB2312" w:hAnsi="Times New Roman" w:eastAsia="仿宋_GB2312" w:cs="DengXian-Regular"/>
          <w:sz w:val="32"/>
          <w:szCs w:val="32"/>
        </w:rPr>
        <w:t>开展旅游</w:t>
      </w:r>
      <w:r>
        <w:rPr>
          <w:rFonts w:ascii="仿宋_GB2312" w:hAnsi="Times New Roman" w:eastAsia="仿宋_GB2312" w:cs="DengXian-Regular"/>
          <w:sz w:val="32"/>
          <w:szCs w:val="32"/>
        </w:rPr>
        <w:t>文化活动</w:t>
      </w:r>
      <w:r>
        <w:rPr>
          <w:rFonts w:hint="eastAsia" w:ascii="仿宋_GB2312" w:hAnsi="Times New Roman" w:eastAsia="仿宋_GB2312" w:cs="DengXian-Regular"/>
          <w:sz w:val="32"/>
          <w:szCs w:val="32"/>
        </w:rPr>
        <w:t>等支出；</w:t>
      </w:r>
      <w:r>
        <w:rPr>
          <w:rFonts w:hint="eastAsia" w:ascii="仿宋_GB2312" w:hAnsi="Times New Roman" w:eastAsia="仿宋_GB2312" w:cs="Wingdings"/>
          <w:sz w:val="32"/>
          <w:szCs w:val="32"/>
        </w:rPr>
        <w:t>社会保障和就业（类）支出</w:t>
      </w:r>
      <w:r>
        <w:rPr>
          <w:rFonts w:ascii="仿宋_GB2312" w:hAnsi="Times New Roman" w:eastAsia="仿宋_GB2312" w:cs="Wingdings"/>
          <w:sz w:val="32"/>
          <w:szCs w:val="32"/>
        </w:rPr>
        <w:t>175.20</w:t>
      </w:r>
      <w:r>
        <w:rPr>
          <w:rFonts w:hint="eastAsia" w:ascii="仿宋_GB2312" w:hAnsi="Times New Roman" w:eastAsia="仿宋_GB2312" w:cs="Wingdings"/>
          <w:sz w:val="32"/>
          <w:szCs w:val="32"/>
        </w:rPr>
        <w:t>万元，占</w:t>
      </w:r>
      <w:r>
        <w:rPr>
          <w:rFonts w:ascii="仿宋_GB2312" w:hAnsi="Times New Roman" w:eastAsia="仿宋_GB2312" w:cs="Wingdings"/>
          <w:sz w:val="32"/>
          <w:szCs w:val="32"/>
        </w:rPr>
        <w:t>8.95</w:t>
      </w:r>
      <w:r>
        <w:rPr>
          <w:rFonts w:hint="eastAsia" w:ascii="仿宋_GB2312" w:hAnsi="Times New Roman" w:eastAsia="仿宋_GB2312" w:cs="Wingdings"/>
          <w:sz w:val="32"/>
          <w:szCs w:val="32"/>
        </w:rPr>
        <w:t>%；主要用于缴纳</w:t>
      </w:r>
      <w:r>
        <w:rPr>
          <w:rFonts w:ascii="仿宋_GB2312" w:hAnsi="Times New Roman" w:eastAsia="仿宋_GB2312" w:cs="Wingdings"/>
          <w:sz w:val="32"/>
          <w:szCs w:val="32"/>
        </w:rPr>
        <w:t>养老保险等；</w:t>
      </w:r>
      <w:r>
        <w:rPr>
          <w:rFonts w:hint="eastAsia" w:ascii="仿宋_GB2312" w:hAnsi="Times New Roman" w:eastAsia="仿宋_GB2312" w:cs="Wingdings"/>
          <w:sz w:val="32"/>
          <w:szCs w:val="32"/>
        </w:rPr>
        <w:t>卫生健康支出34.5</w:t>
      </w:r>
      <w:r>
        <w:rPr>
          <w:rFonts w:ascii="仿宋_GB2312" w:hAnsi="Times New Roman" w:eastAsia="仿宋_GB2312" w:cs="Wingdings"/>
          <w:sz w:val="32"/>
          <w:szCs w:val="32"/>
        </w:rPr>
        <w:t>0</w:t>
      </w:r>
      <w:r>
        <w:rPr>
          <w:rFonts w:hint="eastAsia" w:ascii="仿宋_GB2312" w:hAnsi="Times New Roman" w:eastAsia="仿宋_GB2312" w:cs="Wingdings"/>
          <w:sz w:val="32"/>
          <w:szCs w:val="32"/>
        </w:rPr>
        <w:t>万元</w:t>
      </w:r>
      <w:r>
        <w:rPr>
          <w:rFonts w:ascii="仿宋_GB2312" w:hAnsi="Times New Roman" w:eastAsia="仿宋_GB2312" w:cs="Wingdings"/>
          <w:sz w:val="32"/>
          <w:szCs w:val="32"/>
        </w:rPr>
        <w:t>，占1.76%</w:t>
      </w:r>
      <w:r>
        <w:rPr>
          <w:rFonts w:hint="eastAsia" w:ascii="仿宋_GB2312" w:hAnsi="Times New Roman" w:eastAsia="仿宋_GB2312" w:cs="Wingdings"/>
          <w:sz w:val="32"/>
          <w:szCs w:val="32"/>
        </w:rPr>
        <w:t>，</w:t>
      </w:r>
      <w:r>
        <w:rPr>
          <w:rFonts w:ascii="仿宋_GB2312" w:hAnsi="Times New Roman" w:eastAsia="仿宋_GB2312" w:cs="Wingdings"/>
          <w:sz w:val="32"/>
          <w:szCs w:val="32"/>
        </w:rPr>
        <w:t>主要用于缴纳</w:t>
      </w:r>
      <w:r>
        <w:rPr>
          <w:rFonts w:hint="eastAsia" w:ascii="仿宋_GB2312" w:hAnsi="Times New Roman" w:eastAsia="仿宋_GB2312" w:cs="Wingdings"/>
          <w:sz w:val="32"/>
          <w:szCs w:val="32"/>
        </w:rPr>
        <w:t>医疗</w:t>
      </w:r>
      <w:r>
        <w:rPr>
          <w:rFonts w:ascii="仿宋_GB2312" w:hAnsi="Times New Roman" w:eastAsia="仿宋_GB2312" w:cs="Wingdings"/>
          <w:sz w:val="32"/>
          <w:szCs w:val="32"/>
        </w:rPr>
        <w:t>保险</w:t>
      </w:r>
      <w:r>
        <w:rPr>
          <w:rFonts w:hint="eastAsia" w:ascii="仿宋_GB2312" w:hAnsi="Times New Roman" w:eastAsia="仿宋_GB2312" w:cs="Wingdings"/>
          <w:sz w:val="32"/>
          <w:szCs w:val="32"/>
        </w:rPr>
        <w:t>等；节能环保</w:t>
      </w:r>
      <w:r>
        <w:rPr>
          <w:rFonts w:ascii="仿宋_GB2312" w:hAnsi="Times New Roman" w:eastAsia="仿宋_GB2312" w:cs="Wingdings"/>
          <w:sz w:val="32"/>
          <w:szCs w:val="32"/>
        </w:rPr>
        <w:t>支出</w:t>
      </w:r>
      <w:r>
        <w:rPr>
          <w:rFonts w:hint="eastAsia" w:ascii="仿宋_GB2312" w:hAnsi="Times New Roman" w:eastAsia="仿宋_GB2312" w:cs="Wingdings"/>
          <w:sz w:val="32"/>
          <w:szCs w:val="32"/>
        </w:rPr>
        <w:t>18.35万元</w:t>
      </w:r>
      <w:r>
        <w:rPr>
          <w:rFonts w:ascii="仿宋_GB2312" w:hAnsi="Times New Roman" w:eastAsia="仿宋_GB2312" w:cs="Wingdings"/>
          <w:sz w:val="32"/>
          <w:szCs w:val="32"/>
        </w:rPr>
        <w:t>，</w:t>
      </w:r>
      <w:r>
        <w:rPr>
          <w:rFonts w:hint="eastAsia" w:ascii="仿宋_GB2312" w:hAnsi="Times New Roman" w:eastAsia="仿宋_GB2312" w:cs="Wingdings"/>
          <w:sz w:val="32"/>
          <w:szCs w:val="32"/>
        </w:rPr>
        <w:t>占</w:t>
      </w:r>
      <w:r>
        <w:rPr>
          <w:rFonts w:ascii="仿宋_GB2312" w:hAnsi="Times New Roman" w:eastAsia="仿宋_GB2312" w:cs="Wingdings"/>
          <w:sz w:val="32"/>
          <w:szCs w:val="32"/>
        </w:rPr>
        <w:t>0.94%主要用于锅炉改造。</w:t>
      </w:r>
      <w:r>
        <w:rPr>
          <w:rFonts w:hint="eastAsia" w:ascii="仿宋_GB2312" w:hAnsi="Times New Roman" w:eastAsia="仿宋_GB2312" w:cs="Wingdings"/>
          <w:sz w:val="32"/>
          <w:szCs w:val="32"/>
        </w:rPr>
        <w:t>住房保障（类）支出</w:t>
      </w:r>
      <w:r>
        <w:rPr>
          <w:rFonts w:ascii="仿宋_GB2312" w:hAnsi="Times New Roman" w:eastAsia="仿宋_GB2312" w:cs="Wingdings"/>
          <w:sz w:val="32"/>
          <w:szCs w:val="32"/>
        </w:rPr>
        <w:t>66.10</w:t>
      </w:r>
      <w:r>
        <w:rPr>
          <w:rFonts w:hint="eastAsia" w:ascii="仿宋_GB2312" w:hAnsi="Times New Roman" w:eastAsia="仿宋_GB2312" w:cs="Wingdings"/>
          <w:sz w:val="32"/>
          <w:szCs w:val="32"/>
        </w:rPr>
        <w:t xml:space="preserve">万元，占 </w:t>
      </w:r>
      <w:r>
        <w:rPr>
          <w:rFonts w:ascii="仿宋_GB2312" w:hAnsi="Times New Roman" w:eastAsia="仿宋_GB2312" w:cs="Wingdings"/>
          <w:sz w:val="32"/>
          <w:szCs w:val="32"/>
        </w:rPr>
        <w:t>3.38</w:t>
      </w:r>
      <w:r>
        <w:rPr>
          <w:rFonts w:hint="eastAsia" w:ascii="仿宋_GB2312" w:hAnsi="Times New Roman" w:eastAsia="仿宋_GB2312" w:cs="Wingdings"/>
          <w:sz w:val="32"/>
          <w:szCs w:val="32"/>
        </w:rPr>
        <w:t>%，</w:t>
      </w:r>
      <w:r>
        <w:rPr>
          <w:rFonts w:ascii="仿宋_GB2312" w:hAnsi="Times New Roman" w:eastAsia="仿宋_GB2312" w:cs="Wingdings"/>
          <w:sz w:val="32"/>
          <w:szCs w:val="32"/>
        </w:rPr>
        <w:t>主要用于</w:t>
      </w:r>
      <w:r>
        <w:rPr>
          <w:rFonts w:hint="eastAsia" w:ascii="仿宋_GB2312" w:hAnsi="Times New Roman" w:eastAsia="仿宋_GB2312" w:cs="Wingdings"/>
          <w:sz w:val="32"/>
          <w:szCs w:val="32"/>
        </w:rPr>
        <w:t>缴纳</w:t>
      </w:r>
      <w:r>
        <w:rPr>
          <w:rFonts w:ascii="仿宋_GB2312" w:hAnsi="Times New Roman" w:eastAsia="仿宋_GB2312" w:cs="Wingdings"/>
          <w:sz w:val="32"/>
          <w:szCs w:val="32"/>
        </w:rPr>
        <w:t>住房公积金</w:t>
      </w:r>
      <w:r>
        <w:rPr>
          <w:rFonts w:hint="eastAsia" w:ascii="仿宋_GB2312" w:eastAsia="仿宋_GB2312" w:cs="DengXian-Regular"/>
          <w:sz w:val="32"/>
          <w:szCs w:val="32"/>
        </w:rPr>
        <w:t>。具体决算收入详见附件</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2。决算收入结构如图1。</w:t>
      </w:r>
    </w:p>
    <w:p>
      <w:pPr>
        <w:spacing w:after="0" w:line="360" w:lineRule="auto"/>
        <w:jc w:val="center"/>
        <w:textAlignment w:val="baseline"/>
        <w:rPr>
          <w:rFonts w:ascii="仿宋_GB2312" w:eastAsia="仿宋_GB2312" w:cs="DengXian-Regular"/>
          <w:sz w:val="32"/>
          <w:szCs w:val="32"/>
        </w:rPr>
      </w:pPr>
      <w:r>
        <w:rPr>
          <w:rFonts w:hint="eastAsia" w:ascii="仿宋_GB2312" w:eastAsia="仿宋_GB2312" w:cs="DengXian-Regular"/>
          <w:sz w:val="32"/>
          <w:szCs w:val="32"/>
        </w:rPr>
        <w:t>图1  202</w:t>
      </w:r>
      <w:r>
        <w:rPr>
          <w:rFonts w:ascii="仿宋_GB2312" w:eastAsia="仿宋_GB2312" w:cs="DengXian-Regular"/>
          <w:sz w:val="32"/>
          <w:szCs w:val="32"/>
        </w:rPr>
        <w:t>1</w:t>
      </w:r>
      <w:r>
        <w:rPr>
          <w:rFonts w:hint="eastAsia" w:ascii="仿宋_GB2312" w:eastAsia="仿宋_GB2312" w:cs="DengXian-Regular"/>
          <w:sz w:val="32"/>
          <w:szCs w:val="32"/>
        </w:rPr>
        <w:t>年度区文广旅局单位决算收入结构图</w:t>
      </w:r>
    </w:p>
    <w:p>
      <w:pPr>
        <w:spacing w:after="0" w:line="540" w:lineRule="exact"/>
        <w:ind w:firstLine="440" w:firstLineChars="200"/>
        <w:jc w:val="both"/>
        <w:rPr>
          <w:rFonts w:ascii="仿宋_GB2312" w:eastAsia="仿宋_GB2312" w:cs="Times New Roman" w:hAnsiTheme="minorEastAsia"/>
          <w:sz w:val="32"/>
          <w:szCs w:val="32"/>
          <w:u w:color="000000"/>
        </w:rPr>
      </w:pPr>
      <w:r>
        <w:drawing>
          <wp:anchor distT="0" distB="0" distL="114300" distR="114300" simplePos="0" relativeHeight="251659264" behindDoc="0" locked="0" layoutInCell="1" allowOverlap="1">
            <wp:simplePos x="0" y="0"/>
            <wp:positionH relativeFrom="column">
              <wp:posOffset>971550</wp:posOffset>
            </wp:positionH>
            <wp:positionV relativeFrom="paragraph">
              <wp:posOffset>342265</wp:posOffset>
            </wp:positionV>
            <wp:extent cx="4128770" cy="3333750"/>
            <wp:effectExtent l="38100" t="0" r="24130" b="0"/>
            <wp:wrapSquare wrapText="bothSides"/>
            <wp:docPr id="19" name="图表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pPr>
        <w:spacing w:after="0" w:line="540" w:lineRule="exact"/>
        <w:ind w:firstLine="640" w:firstLineChars="200"/>
        <w:jc w:val="both"/>
        <w:rPr>
          <w:rFonts w:ascii="仿宋_GB2312" w:eastAsia="仿宋_GB2312" w:cs="Times New Roman" w:hAnsiTheme="minorEastAsia"/>
          <w:sz w:val="32"/>
          <w:szCs w:val="32"/>
          <w:u w:color="000000"/>
        </w:rPr>
      </w:pPr>
    </w:p>
    <w:p>
      <w:pPr>
        <w:spacing w:after="0" w:line="540" w:lineRule="exact"/>
        <w:ind w:firstLine="640" w:firstLineChars="200"/>
        <w:jc w:val="both"/>
        <w:rPr>
          <w:rFonts w:ascii="仿宋_GB2312" w:eastAsia="仿宋_GB2312" w:cs="DengXian-Regular"/>
          <w:sz w:val="32"/>
          <w:szCs w:val="32"/>
        </w:rPr>
      </w:pPr>
    </w:p>
    <w:p>
      <w:pPr>
        <w:spacing w:after="0" w:line="540" w:lineRule="exact"/>
        <w:ind w:firstLine="640" w:firstLineChars="200"/>
        <w:jc w:val="both"/>
        <w:rPr>
          <w:rFonts w:ascii="仿宋_GB2312" w:eastAsia="仿宋_GB2312" w:cs="DengXian-Regular"/>
          <w:sz w:val="32"/>
          <w:szCs w:val="32"/>
        </w:rPr>
      </w:pPr>
    </w:p>
    <w:p>
      <w:pPr>
        <w:spacing w:after="0" w:line="540" w:lineRule="exact"/>
        <w:ind w:firstLine="640" w:firstLineChars="200"/>
        <w:jc w:val="both"/>
        <w:rPr>
          <w:rFonts w:ascii="仿宋_GB2312" w:eastAsia="仿宋_GB2312" w:cs="DengXian-Regular"/>
          <w:sz w:val="32"/>
          <w:szCs w:val="32"/>
        </w:rPr>
      </w:pPr>
    </w:p>
    <w:p>
      <w:pPr>
        <w:spacing w:after="0" w:line="540" w:lineRule="exact"/>
        <w:ind w:firstLine="640" w:firstLineChars="200"/>
        <w:jc w:val="both"/>
        <w:rPr>
          <w:rFonts w:ascii="仿宋_GB2312" w:eastAsia="仿宋_GB2312" w:cs="DengXian-Regular"/>
          <w:sz w:val="32"/>
          <w:szCs w:val="32"/>
        </w:rPr>
      </w:pPr>
    </w:p>
    <w:p>
      <w:pPr>
        <w:spacing w:after="0" w:line="540" w:lineRule="exact"/>
        <w:ind w:firstLine="640" w:firstLineChars="200"/>
        <w:jc w:val="both"/>
        <w:rPr>
          <w:rFonts w:ascii="仿宋_GB2312" w:eastAsia="仿宋_GB2312" w:cs="DengXian-Regular"/>
          <w:sz w:val="32"/>
          <w:szCs w:val="32"/>
        </w:rPr>
      </w:pPr>
    </w:p>
    <w:p>
      <w:pPr>
        <w:spacing w:after="0" w:line="540" w:lineRule="exact"/>
        <w:ind w:firstLine="640" w:firstLineChars="200"/>
        <w:jc w:val="both"/>
        <w:rPr>
          <w:rFonts w:ascii="仿宋_GB2312" w:eastAsia="仿宋_GB2312" w:cs="DengXian-Regular"/>
          <w:sz w:val="32"/>
          <w:szCs w:val="32"/>
        </w:rPr>
      </w:pPr>
    </w:p>
    <w:p>
      <w:pPr>
        <w:spacing w:after="0" w:line="540" w:lineRule="exact"/>
        <w:jc w:val="both"/>
        <w:rPr>
          <w:rFonts w:ascii="仿宋_GB2312" w:eastAsia="仿宋_GB2312" w:cs="DengXian-Regular"/>
          <w:sz w:val="32"/>
          <w:szCs w:val="32"/>
        </w:rPr>
      </w:pPr>
      <w:r>
        <w:rPr>
          <w:rFonts w:hint="eastAsia" w:ascii="仿宋_GB2312" w:eastAsia="仿宋_GB2312" w:cs="DengXian-Regular"/>
          <w:sz w:val="32"/>
          <w:szCs w:val="32"/>
        </w:rPr>
        <w:t xml:space="preserve">    </w:t>
      </w:r>
    </w:p>
    <w:p>
      <w:pPr>
        <w:spacing w:after="0" w:line="360" w:lineRule="auto"/>
        <w:ind w:firstLine="640" w:firstLineChars="200"/>
        <w:jc w:val="both"/>
        <w:rPr>
          <w:rFonts w:ascii="仿宋_GB2312" w:eastAsia="仿宋_GB2312" w:cs="DengXian-Regular"/>
          <w:sz w:val="32"/>
          <w:szCs w:val="32"/>
        </w:rPr>
      </w:pPr>
    </w:p>
    <w:p>
      <w:pPr>
        <w:spacing w:after="0" w:line="360" w:lineRule="auto"/>
        <w:ind w:firstLine="640" w:firstLineChars="200"/>
        <w:jc w:val="both"/>
        <w:rPr>
          <w:rFonts w:ascii="仿宋_GB2312" w:eastAsia="仿宋_GB2312" w:cs="DengXian-Regular"/>
          <w:sz w:val="32"/>
          <w:szCs w:val="32"/>
        </w:rPr>
      </w:pPr>
    </w:p>
    <w:p>
      <w:pPr>
        <w:rPr>
          <w:rFonts w:ascii="仿宋_GB2312" w:eastAsia="仿宋_GB2312" w:cs="DengXian-Regular"/>
          <w:sz w:val="32"/>
          <w:szCs w:val="32"/>
        </w:rPr>
      </w:pPr>
      <w:r>
        <w:rPr>
          <w:rFonts w:hint="eastAsia" w:ascii="仿宋_GB2312" w:eastAsia="仿宋_GB2312" w:cs="DengXian-Regular"/>
          <w:sz w:val="32"/>
          <w:szCs w:val="32"/>
        </w:rPr>
        <w:t>区文广旅游局单位一般公共预算财政拨款决算收入比年初预算减少2</w:t>
      </w:r>
      <w:r>
        <w:rPr>
          <w:rFonts w:ascii="仿宋_GB2312" w:eastAsia="仿宋_GB2312" w:cs="DengXian-Regular"/>
          <w:sz w:val="32"/>
          <w:szCs w:val="32"/>
        </w:rPr>
        <w:t>76.8</w:t>
      </w:r>
      <w:r>
        <w:rPr>
          <w:rFonts w:hint="eastAsia" w:ascii="仿宋_GB2312" w:eastAsia="仿宋_GB2312" w:cs="DengXian-Regular"/>
          <w:sz w:val="32"/>
          <w:szCs w:val="32"/>
        </w:rPr>
        <w:t>万元，完成年初预算的</w:t>
      </w:r>
      <w:r>
        <w:rPr>
          <w:rFonts w:ascii="仿宋_GB2312" w:eastAsia="仿宋_GB2312" w:cs="DengXian-Regular"/>
          <w:sz w:val="32"/>
          <w:szCs w:val="32"/>
        </w:rPr>
        <w:t>86.31</w:t>
      </w:r>
      <w:r>
        <w:rPr>
          <w:rFonts w:hint="eastAsia" w:ascii="仿宋_GB2312" w:eastAsia="仿宋_GB2312" w:cs="DengXian-Regular"/>
          <w:sz w:val="32"/>
          <w:szCs w:val="32"/>
        </w:rPr>
        <w:t>%。决算收入</w:t>
      </w:r>
    </w:p>
    <w:p>
      <w:pPr>
        <w:rPr>
          <w:rFonts w:ascii="仿宋_GB2312" w:eastAsia="仿宋_GB2312" w:cs="DengXian-Regular"/>
          <w:sz w:val="32"/>
          <w:szCs w:val="32"/>
        </w:rPr>
      </w:pPr>
      <w:r>
        <w:rPr>
          <w:rFonts w:hint="eastAsia" w:ascii="仿宋_GB2312" w:eastAsia="仿宋_GB2312" w:cs="DengXian-Regular"/>
          <w:sz w:val="32"/>
          <w:szCs w:val="32"/>
        </w:rPr>
        <w:t>小于预算收入的主要</w:t>
      </w:r>
      <w:r>
        <w:rPr>
          <w:rFonts w:hint="eastAsia" w:ascii="仿宋_GB2312" w:eastAsia="仿宋_GB2312" w:cs="DengXian-Regular"/>
          <w:sz w:val="32"/>
          <w:szCs w:val="32"/>
          <w:lang w:eastAsia="zh-CN"/>
        </w:rPr>
        <w:t>原因在于</w:t>
      </w:r>
      <w:r>
        <w:rPr>
          <w:rFonts w:hint="eastAsia" w:ascii="仿宋_GB2312" w:eastAsia="仿宋_GB2312" w:cs="DengXian-Regular"/>
          <w:sz w:val="32"/>
          <w:szCs w:val="32"/>
        </w:rPr>
        <w:t>疫情</w:t>
      </w:r>
      <w:r>
        <w:rPr>
          <w:rFonts w:ascii="仿宋_GB2312" w:eastAsia="仿宋_GB2312" w:cs="DengXian-Regular"/>
          <w:sz w:val="32"/>
          <w:szCs w:val="32"/>
        </w:rPr>
        <w:t>原因业务开展减少，导致</w:t>
      </w:r>
      <w:r>
        <w:rPr>
          <w:rFonts w:hint="eastAsia" w:ascii="仿宋_GB2312" w:eastAsia="仿宋_GB2312" w:cs="DengXian-Regular"/>
          <w:sz w:val="32"/>
          <w:szCs w:val="32"/>
        </w:rPr>
        <w:t>收入</w:t>
      </w:r>
      <w:r>
        <w:rPr>
          <w:rFonts w:ascii="仿宋_GB2312" w:eastAsia="仿宋_GB2312" w:cs="DengXian-Regular"/>
          <w:sz w:val="32"/>
          <w:szCs w:val="32"/>
        </w:rPr>
        <w:t>减少</w:t>
      </w:r>
      <w:r>
        <w:rPr>
          <w:rFonts w:hint="eastAsia" w:ascii="仿宋_GB2312" w:eastAsia="仿宋_GB2312" w:cs="DengXian-Regular"/>
          <w:sz w:val="32"/>
          <w:szCs w:val="32"/>
        </w:rPr>
        <w:t>。</w:t>
      </w:r>
    </w:p>
    <w:p>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预算收入与决算收入对比情况见图2。</w:t>
      </w:r>
    </w:p>
    <w:p>
      <w:pPr>
        <w:spacing w:after="0" w:line="360" w:lineRule="auto"/>
        <w:jc w:val="center"/>
        <w:rPr>
          <w:rFonts w:ascii="仿宋_GB2312" w:eastAsia="仿宋_GB2312" w:cs="Times New Roman" w:hAnsiTheme="minorEastAsia"/>
          <w:bCs/>
          <w:sz w:val="30"/>
          <w:szCs w:val="30"/>
          <w:u w:color="000000"/>
        </w:rPr>
      </w:pPr>
      <w:r>
        <w:rPr>
          <w:rFonts w:hint="eastAsia" w:asciiTheme="minorEastAsia" w:hAnsiTheme="minorEastAsia" w:eastAsiaTheme="minorEastAsia" w:cstheme="minorEastAsia"/>
          <w:b/>
          <w:sz w:val="30"/>
          <w:szCs w:val="30"/>
          <w:u w:color="000000"/>
        </w:rPr>
        <w:t>图2</w:t>
      </w:r>
      <w:r>
        <w:rPr>
          <w:rFonts w:asciiTheme="minorEastAsia" w:hAnsiTheme="minorEastAsia" w:eastAsiaTheme="minorEastAsia" w:cstheme="minorEastAsia"/>
          <w:b/>
          <w:sz w:val="30"/>
          <w:szCs w:val="30"/>
          <w:u w:color="000000"/>
        </w:rPr>
        <w:t xml:space="preserve"> </w:t>
      </w:r>
      <w:r>
        <w:rPr>
          <w:rFonts w:hint="eastAsia" w:asciiTheme="minorEastAsia" w:hAnsiTheme="minorEastAsia" w:eastAsiaTheme="minorEastAsia" w:cstheme="minorEastAsia"/>
          <w:b/>
          <w:sz w:val="30"/>
          <w:szCs w:val="30"/>
          <w:u w:color="000000"/>
        </w:rPr>
        <w:t>202</w:t>
      </w:r>
      <w:r>
        <w:rPr>
          <w:rFonts w:asciiTheme="minorEastAsia" w:hAnsiTheme="minorEastAsia" w:eastAsiaTheme="minorEastAsia" w:cstheme="minorEastAsia"/>
          <w:b/>
          <w:sz w:val="30"/>
          <w:szCs w:val="30"/>
          <w:u w:color="000000"/>
        </w:rPr>
        <w:t>1</w:t>
      </w:r>
      <w:r>
        <w:rPr>
          <w:rFonts w:hint="eastAsia" w:asciiTheme="minorEastAsia" w:hAnsiTheme="minorEastAsia" w:eastAsiaTheme="minorEastAsia" w:cstheme="minorEastAsia"/>
          <w:b/>
          <w:sz w:val="30"/>
          <w:szCs w:val="30"/>
          <w:u w:color="000000"/>
        </w:rPr>
        <w:t>年度区文广旅游局单位预算收入与决算收入对比图</w:t>
      </w:r>
    </w:p>
    <w:p>
      <w:pPr>
        <w:pStyle w:val="4"/>
        <w:spacing w:before="0" w:after="0"/>
        <w:ind w:firstLine="643" w:firstLineChars="200"/>
        <w:jc w:val="both"/>
        <w:rPr>
          <w:rFonts w:ascii="仿宋_GB2312" w:hAnsiTheme="minorEastAsia"/>
          <w:sz w:val="32"/>
        </w:rPr>
      </w:pPr>
      <w:bookmarkStart w:id="12" w:name="_Toc18197"/>
      <w:r>
        <w:rPr>
          <w:rFonts w:hint="eastAsia" w:ascii="仿宋_GB2312" w:hAnsiTheme="minorEastAsia"/>
          <w:sz w:val="32"/>
        </w:rPr>
        <w:t>（四）预算支出及决算</w:t>
      </w:r>
      <w:bookmarkEnd w:id="10"/>
      <w:bookmarkEnd w:id="11"/>
      <w:r>
        <w:rPr>
          <w:rFonts w:hint="eastAsia" w:ascii="仿宋_GB2312" w:hAnsiTheme="minorEastAsia"/>
          <w:sz w:val="32"/>
        </w:rPr>
        <w:t>支出</w:t>
      </w:r>
      <w:bookmarkEnd w:id="12"/>
    </w:p>
    <w:p>
      <w:pPr>
        <w:spacing w:after="0" w:line="360" w:lineRule="auto"/>
        <w:ind w:firstLine="600" w:firstLineChars="200"/>
        <w:jc w:val="both"/>
        <w:rPr>
          <w:rFonts w:ascii="仿宋_GB2312" w:eastAsia="仿宋_GB2312" w:cs="DengXian-Regular"/>
          <w:sz w:val="32"/>
          <w:szCs w:val="32"/>
        </w:rPr>
      </w:pPr>
      <w:r>
        <w:rPr>
          <w:sz w:val="30"/>
          <w:szCs w:val="30"/>
        </w:rPr>
        <w:drawing>
          <wp:anchor distT="0" distB="0" distL="114300" distR="114300" simplePos="0" relativeHeight="251660288" behindDoc="0" locked="0" layoutInCell="1" allowOverlap="1">
            <wp:simplePos x="0" y="0"/>
            <wp:positionH relativeFrom="column">
              <wp:posOffset>733425</wp:posOffset>
            </wp:positionH>
            <wp:positionV relativeFrom="paragraph">
              <wp:posOffset>14605</wp:posOffset>
            </wp:positionV>
            <wp:extent cx="4578350" cy="2257425"/>
            <wp:effectExtent l="0" t="0" r="0" b="0"/>
            <wp:wrapSquare wrapText="bothSides"/>
            <wp:docPr id="4"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spacing w:after="0" w:line="360" w:lineRule="auto"/>
        <w:ind w:firstLine="640" w:firstLineChars="200"/>
        <w:jc w:val="both"/>
        <w:rPr>
          <w:rFonts w:ascii="仿宋_GB2312" w:eastAsia="仿宋_GB2312" w:cs="DengXian-Regular"/>
          <w:sz w:val="32"/>
          <w:szCs w:val="32"/>
        </w:rPr>
      </w:pPr>
    </w:p>
    <w:p>
      <w:pPr>
        <w:spacing w:after="0" w:line="360" w:lineRule="auto"/>
        <w:ind w:firstLine="640" w:firstLineChars="200"/>
        <w:jc w:val="both"/>
        <w:rPr>
          <w:rFonts w:ascii="仿宋_GB2312" w:eastAsia="仿宋_GB2312" w:cs="DengXian-Regular"/>
          <w:sz w:val="32"/>
          <w:szCs w:val="32"/>
        </w:rPr>
      </w:pPr>
    </w:p>
    <w:p>
      <w:pPr>
        <w:spacing w:after="0" w:line="360" w:lineRule="auto"/>
        <w:ind w:firstLine="640" w:firstLineChars="200"/>
        <w:jc w:val="both"/>
        <w:rPr>
          <w:rFonts w:ascii="仿宋_GB2312" w:eastAsia="仿宋_GB2312" w:cs="DengXian-Regular"/>
          <w:sz w:val="32"/>
          <w:szCs w:val="32"/>
        </w:rPr>
      </w:pPr>
    </w:p>
    <w:p>
      <w:pPr>
        <w:spacing w:after="0" w:line="360" w:lineRule="auto"/>
        <w:ind w:firstLine="640" w:firstLineChars="200"/>
        <w:jc w:val="both"/>
        <w:rPr>
          <w:rFonts w:ascii="仿宋_GB2312" w:eastAsia="仿宋_GB2312" w:cs="DengXian-Regular"/>
          <w:sz w:val="32"/>
          <w:szCs w:val="32"/>
        </w:rPr>
      </w:pPr>
    </w:p>
    <w:p>
      <w:pPr>
        <w:spacing w:after="0" w:line="360" w:lineRule="auto"/>
        <w:ind w:firstLine="640" w:firstLineChars="200"/>
        <w:jc w:val="both"/>
        <w:rPr>
          <w:rFonts w:ascii="仿宋_GB2312" w:eastAsia="仿宋_GB2312" w:cs="DengXian-Regular"/>
          <w:sz w:val="32"/>
          <w:szCs w:val="32"/>
        </w:rPr>
      </w:pPr>
    </w:p>
    <w:p>
      <w:pPr>
        <w:spacing w:after="0" w:line="360" w:lineRule="auto"/>
        <w:ind w:firstLine="640" w:firstLineChars="200"/>
        <w:jc w:val="both"/>
        <w:rPr>
          <w:rFonts w:ascii="仿宋_GB2312" w:eastAsia="仿宋_GB2312" w:cs="Times New Roman" w:hAnsiTheme="minorEastAsia"/>
          <w:sz w:val="32"/>
          <w:szCs w:val="32"/>
          <w:u w:color="000000"/>
        </w:rPr>
      </w:pPr>
      <w:r>
        <w:rPr>
          <w:rFonts w:hint="eastAsia" w:ascii="仿宋_GB2312" w:eastAsia="仿宋_GB2312" w:cs="DengXian-Regular"/>
          <w:sz w:val="32"/>
          <w:szCs w:val="32"/>
        </w:rPr>
        <w:t>202</w:t>
      </w:r>
      <w:r>
        <w:rPr>
          <w:rFonts w:ascii="仿宋_GB2312" w:eastAsia="仿宋_GB2312" w:cs="DengXian-Regular"/>
          <w:sz w:val="32"/>
          <w:szCs w:val="32"/>
        </w:rPr>
        <w:t>1</w:t>
      </w:r>
      <w:r>
        <w:rPr>
          <w:rFonts w:hint="eastAsia" w:ascii="仿宋_GB2312" w:eastAsia="仿宋_GB2312" w:cs="DengXian-Regular"/>
          <w:sz w:val="32"/>
          <w:szCs w:val="32"/>
        </w:rPr>
        <w:t>年度区文广旅游局单位</w:t>
      </w:r>
      <w:r>
        <w:rPr>
          <w:rFonts w:hint="eastAsia" w:ascii="仿宋_GB2312" w:eastAsia="仿宋_GB2312" w:cs="Times New Roman" w:hAnsiTheme="minorEastAsia"/>
          <w:sz w:val="32"/>
          <w:szCs w:val="32"/>
          <w:u w:color="000000"/>
        </w:rPr>
        <w:t>预算支出安排</w:t>
      </w:r>
      <w:r>
        <w:rPr>
          <w:rFonts w:ascii="仿宋_GB2312" w:eastAsia="仿宋_GB2312" w:cs="Times New Roman" w:hAnsiTheme="minorEastAsia"/>
          <w:sz w:val="32"/>
          <w:szCs w:val="32"/>
          <w:u w:color="000000"/>
        </w:rPr>
        <w:t>2022.63</w:t>
      </w:r>
      <w:r>
        <w:rPr>
          <w:rFonts w:hint="eastAsia" w:ascii="仿宋_GB2312" w:eastAsia="仿宋_GB2312" w:cs="Times New Roman" w:hAnsiTheme="minorEastAsia"/>
          <w:sz w:val="32"/>
          <w:szCs w:val="32"/>
          <w:u w:color="000000"/>
        </w:rPr>
        <w:t>万元，其中：基本支出</w:t>
      </w:r>
      <w:r>
        <w:rPr>
          <w:rFonts w:ascii="仿宋_GB2312" w:eastAsia="仿宋_GB2312" w:cs="Times New Roman" w:hAnsiTheme="minorEastAsia"/>
          <w:sz w:val="32"/>
          <w:szCs w:val="32"/>
          <w:u w:color="000000"/>
        </w:rPr>
        <w:t>1200.03</w:t>
      </w:r>
      <w:r>
        <w:rPr>
          <w:rFonts w:hint="eastAsia" w:ascii="仿宋_GB2312" w:eastAsia="仿宋_GB2312" w:cs="Times New Roman" w:hAnsiTheme="minorEastAsia"/>
          <w:sz w:val="32"/>
          <w:szCs w:val="32"/>
          <w:u w:color="000000"/>
        </w:rPr>
        <w:t>万元，项目支出</w:t>
      </w:r>
      <w:r>
        <w:rPr>
          <w:rFonts w:ascii="仿宋_GB2312" w:eastAsia="仿宋_GB2312" w:cs="Times New Roman" w:hAnsiTheme="minorEastAsia"/>
          <w:sz w:val="32"/>
          <w:szCs w:val="32"/>
          <w:u w:color="000000"/>
        </w:rPr>
        <w:t>822.6</w:t>
      </w:r>
      <w:r>
        <w:rPr>
          <w:rFonts w:hint="eastAsia" w:ascii="仿宋_GB2312" w:eastAsia="仿宋_GB2312" w:cs="Times New Roman" w:hAnsiTheme="minorEastAsia"/>
          <w:sz w:val="32"/>
          <w:szCs w:val="32"/>
          <w:u w:color="000000"/>
        </w:rPr>
        <w:t>万元。预算支出按功能分类包含：</w:t>
      </w:r>
      <w:r>
        <w:rPr>
          <w:rFonts w:hint="eastAsia" w:ascii="仿宋_GB2312" w:eastAsia="仿宋_GB2312" w:cs="DengXian-Regular"/>
          <w:sz w:val="32"/>
          <w:szCs w:val="32"/>
        </w:rPr>
        <w:t>社会保障和就业支出</w:t>
      </w:r>
      <w:r>
        <w:rPr>
          <w:rFonts w:ascii="仿宋_GB2312" w:eastAsia="仿宋_GB2312" w:cs="DengXian-Regular"/>
          <w:sz w:val="32"/>
          <w:szCs w:val="32"/>
        </w:rPr>
        <w:t>148.76</w:t>
      </w:r>
      <w:r>
        <w:rPr>
          <w:rFonts w:hint="eastAsia" w:ascii="仿宋_GB2312" w:eastAsia="仿宋_GB2312" w:cs="DengXian-Regular"/>
          <w:sz w:val="32"/>
          <w:szCs w:val="32"/>
        </w:rPr>
        <w:t>万元，医疗卫生与计划生育支出</w:t>
      </w:r>
      <w:r>
        <w:rPr>
          <w:rFonts w:ascii="仿宋_GB2312" w:eastAsia="仿宋_GB2312" w:cs="DengXian-Regular"/>
          <w:sz w:val="32"/>
          <w:szCs w:val="32"/>
        </w:rPr>
        <w:t>47.05</w:t>
      </w:r>
      <w:r>
        <w:rPr>
          <w:rFonts w:hint="eastAsia" w:ascii="仿宋_GB2312" w:eastAsia="仿宋_GB2312" w:cs="DengXian-Regular"/>
          <w:sz w:val="32"/>
          <w:szCs w:val="32"/>
        </w:rPr>
        <w:t>万元，住房保障支出</w:t>
      </w:r>
      <w:r>
        <w:rPr>
          <w:rFonts w:ascii="仿宋_GB2312" w:eastAsia="仿宋_GB2312" w:cs="DengXian-Regular"/>
          <w:sz w:val="32"/>
          <w:szCs w:val="32"/>
        </w:rPr>
        <w:t>57.16</w:t>
      </w:r>
      <w:r>
        <w:rPr>
          <w:rFonts w:hint="eastAsia" w:ascii="仿宋_GB2312" w:eastAsia="仿宋_GB2312" w:cs="DengXian-Regular"/>
          <w:sz w:val="32"/>
          <w:szCs w:val="32"/>
        </w:rPr>
        <w:t>万元</w:t>
      </w:r>
      <w:r>
        <w:rPr>
          <w:rFonts w:hint="eastAsia" w:ascii="仿宋_GB2312" w:eastAsia="仿宋_GB2312" w:cs="Times New Roman" w:hAnsiTheme="minorEastAsia"/>
          <w:sz w:val="32"/>
          <w:szCs w:val="32"/>
          <w:u w:color="000000"/>
        </w:rPr>
        <w:t>。具体预算支出详见附件2。</w:t>
      </w:r>
    </w:p>
    <w:p>
      <w:pPr>
        <w:spacing w:line="580" w:lineRule="exact"/>
        <w:ind w:firstLine="640" w:firstLineChars="200"/>
        <w:rPr>
          <w:rFonts w:ascii="仿宋_GB2312" w:hAnsi="Times New Roman" w:eastAsia="仿宋_GB2312" w:cs="Wingdings"/>
          <w:sz w:val="32"/>
          <w:szCs w:val="32"/>
        </w:rPr>
      </w:pPr>
      <w:r>
        <w:rPr>
          <w:rFonts w:hint="eastAsia" w:ascii="仿宋_GB2312" w:eastAsia="仿宋_GB2312" w:cs="DengXian-Regular"/>
          <w:sz w:val="32"/>
          <w:szCs w:val="32"/>
        </w:rPr>
        <w:t>202</w:t>
      </w:r>
      <w:r>
        <w:rPr>
          <w:rFonts w:ascii="仿宋_GB2312" w:eastAsia="仿宋_GB2312" w:cs="DengXian-Regular"/>
          <w:sz w:val="32"/>
          <w:szCs w:val="32"/>
        </w:rPr>
        <w:t>1</w:t>
      </w:r>
      <w:r>
        <w:rPr>
          <w:rFonts w:hint="eastAsia" w:ascii="仿宋_GB2312" w:eastAsia="仿宋_GB2312" w:cs="DengXian-Regular"/>
          <w:sz w:val="32"/>
          <w:szCs w:val="32"/>
        </w:rPr>
        <w:t>年度区文广旅游局单位</w:t>
      </w:r>
      <w:r>
        <w:rPr>
          <w:rFonts w:hint="eastAsia" w:ascii="仿宋_GB2312" w:eastAsia="仿宋_GB2312" w:cs="Times New Roman" w:hAnsiTheme="minorEastAsia"/>
          <w:sz w:val="32"/>
          <w:szCs w:val="32"/>
          <w:u w:color="000000"/>
        </w:rPr>
        <w:t>决算支出为</w:t>
      </w:r>
      <w:r>
        <w:rPr>
          <w:rFonts w:ascii="仿宋_GB2312" w:eastAsia="仿宋_GB2312" w:cs="Times New Roman" w:hAnsiTheme="minorEastAsia"/>
          <w:sz w:val="32"/>
          <w:szCs w:val="32"/>
          <w:u w:color="000000"/>
        </w:rPr>
        <w:t>1960.49</w:t>
      </w:r>
      <w:r>
        <w:rPr>
          <w:rFonts w:hint="eastAsia" w:ascii="仿宋_GB2312" w:eastAsia="仿宋_GB2312" w:cs="Times New Roman" w:hAnsiTheme="minorEastAsia"/>
          <w:sz w:val="32"/>
          <w:szCs w:val="32"/>
          <w:u w:color="000000"/>
        </w:rPr>
        <w:t>万元，其中：基本支出</w:t>
      </w:r>
      <w:r>
        <w:rPr>
          <w:rFonts w:ascii="仿宋_GB2312" w:eastAsia="仿宋_GB2312" w:cs="Times New Roman" w:hAnsiTheme="minorEastAsia"/>
          <w:sz w:val="32"/>
          <w:szCs w:val="32"/>
          <w:u w:color="000000"/>
        </w:rPr>
        <w:t>1115.84</w:t>
      </w:r>
      <w:r>
        <w:rPr>
          <w:rFonts w:hint="eastAsia" w:ascii="仿宋_GB2312" w:eastAsia="仿宋_GB2312" w:cs="Times New Roman" w:hAnsiTheme="minorEastAsia"/>
          <w:sz w:val="32"/>
          <w:szCs w:val="32"/>
          <w:u w:color="000000"/>
        </w:rPr>
        <w:t>万元，项目支出</w:t>
      </w:r>
      <w:r>
        <w:rPr>
          <w:rFonts w:ascii="仿宋_GB2312" w:eastAsia="仿宋_GB2312" w:cs="Times New Roman" w:hAnsiTheme="minorEastAsia"/>
          <w:sz w:val="32"/>
          <w:szCs w:val="32"/>
          <w:u w:color="000000"/>
        </w:rPr>
        <w:t>844.65</w:t>
      </w:r>
      <w:r>
        <w:rPr>
          <w:rFonts w:hint="eastAsia" w:ascii="仿宋_GB2312" w:eastAsia="仿宋_GB2312" w:cs="Times New Roman" w:hAnsiTheme="minorEastAsia"/>
          <w:sz w:val="32"/>
          <w:szCs w:val="32"/>
          <w:u w:color="000000"/>
        </w:rPr>
        <w:t>万元。决算支出按功能分类包含：</w:t>
      </w:r>
      <w:r>
        <w:rPr>
          <w:rFonts w:hint="eastAsia" w:ascii="仿宋_GB2312" w:hAnsi="Times New Roman" w:eastAsia="仿宋_GB2312" w:cs="DengXian-Regular"/>
          <w:sz w:val="32"/>
          <w:szCs w:val="32"/>
        </w:rPr>
        <w:t>文化旅游体育与传媒支出</w:t>
      </w:r>
      <w:r>
        <w:rPr>
          <w:rFonts w:ascii="仿宋_GB2312" w:hAnsi="Times New Roman" w:eastAsia="仿宋_GB2312" w:cs="DengXian-Regular"/>
          <w:sz w:val="32"/>
          <w:szCs w:val="32"/>
        </w:rPr>
        <w:t>1662.94</w:t>
      </w:r>
      <w:r>
        <w:rPr>
          <w:rFonts w:hint="eastAsia" w:ascii="仿宋_GB2312" w:hAnsi="Times New Roman" w:eastAsia="仿宋_GB2312" w:cs="DengXian-Regular"/>
          <w:sz w:val="32"/>
          <w:szCs w:val="32"/>
        </w:rPr>
        <w:t>万元，占</w:t>
      </w:r>
      <w:r>
        <w:rPr>
          <w:rFonts w:ascii="仿宋_GB2312" w:hAnsi="Times New Roman" w:eastAsia="仿宋_GB2312" w:cs="DengXian-Regular"/>
          <w:sz w:val="32"/>
          <w:szCs w:val="32"/>
        </w:rPr>
        <w:t>84.97</w:t>
      </w:r>
      <w:r>
        <w:rPr>
          <w:rFonts w:hint="eastAsia" w:ascii="仿宋_GB2312" w:hAnsi="Times New Roman" w:eastAsia="仿宋_GB2312" w:cs="DengXian-Regular"/>
          <w:sz w:val="32"/>
          <w:szCs w:val="32"/>
        </w:rPr>
        <w:t>%，主要用于开展旅游</w:t>
      </w:r>
      <w:r>
        <w:rPr>
          <w:rFonts w:ascii="仿宋_GB2312" w:hAnsi="Times New Roman" w:eastAsia="仿宋_GB2312" w:cs="DengXian-Regular"/>
          <w:sz w:val="32"/>
          <w:szCs w:val="32"/>
        </w:rPr>
        <w:t>文化活动</w:t>
      </w:r>
      <w:r>
        <w:rPr>
          <w:rFonts w:hint="eastAsia" w:ascii="仿宋_GB2312" w:hAnsi="Times New Roman" w:eastAsia="仿宋_GB2312" w:cs="DengXian-Regular"/>
          <w:sz w:val="32"/>
          <w:szCs w:val="32"/>
        </w:rPr>
        <w:t>等支出；</w:t>
      </w:r>
      <w:r>
        <w:rPr>
          <w:rFonts w:hint="eastAsia" w:ascii="仿宋_GB2312" w:hAnsi="Times New Roman" w:eastAsia="仿宋_GB2312" w:cs="Wingdings"/>
          <w:sz w:val="32"/>
          <w:szCs w:val="32"/>
        </w:rPr>
        <w:t>社会保障和就业（类）支出</w:t>
      </w:r>
      <w:r>
        <w:rPr>
          <w:rFonts w:ascii="仿宋_GB2312" w:hAnsi="Times New Roman" w:eastAsia="仿宋_GB2312" w:cs="Wingdings"/>
          <w:sz w:val="32"/>
          <w:szCs w:val="32"/>
        </w:rPr>
        <w:t>175.20</w:t>
      </w:r>
      <w:r>
        <w:rPr>
          <w:rFonts w:hint="eastAsia" w:ascii="仿宋_GB2312" w:hAnsi="Times New Roman" w:eastAsia="仿宋_GB2312" w:cs="Wingdings"/>
          <w:sz w:val="32"/>
          <w:szCs w:val="32"/>
        </w:rPr>
        <w:t>万元，占</w:t>
      </w:r>
      <w:r>
        <w:rPr>
          <w:rFonts w:ascii="仿宋_GB2312" w:hAnsi="Times New Roman" w:eastAsia="仿宋_GB2312" w:cs="Wingdings"/>
          <w:sz w:val="32"/>
          <w:szCs w:val="32"/>
        </w:rPr>
        <w:t>8.95</w:t>
      </w:r>
      <w:r>
        <w:rPr>
          <w:rFonts w:hint="eastAsia" w:ascii="仿宋_GB2312" w:hAnsi="Times New Roman" w:eastAsia="仿宋_GB2312" w:cs="Wingdings"/>
          <w:sz w:val="32"/>
          <w:szCs w:val="32"/>
        </w:rPr>
        <w:t>%；主要用于缴纳</w:t>
      </w:r>
      <w:r>
        <w:rPr>
          <w:rFonts w:ascii="仿宋_GB2312" w:hAnsi="Times New Roman" w:eastAsia="仿宋_GB2312" w:cs="Wingdings"/>
          <w:sz w:val="32"/>
          <w:szCs w:val="32"/>
        </w:rPr>
        <w:t>养老保险等；</w:t>
      </w:r>
      <w:r>
        <w:rPr>
          <w:rFonts w:hint="eastAsia" w:ascii="仿宋_GB2312" w:hAnsi="Times New Roman" w:eastAsia="仿宋_GB2312" w:cs="Wingdings"/>
          <w:sz w:val="32"/>
          <w:szCs w:val="32"/>
        </w:rPr>
        <w:t>卫生健康支出34.5</w:t>
      </w:r>
      <w:r>
        <w:rPr>
          <w:rFonts w:ascii="仿宋_GB2312" w:hAnsi="Times New Roman" w:eastAsia="仿宋_GB2312" w:cs="Wingdings"/>
          <w:sz w:val="32"/>
          <w:szCs w:val="32"/>
        </w:rPr>
        <w:t>0</w:t>
      </w:r>
      <w:r>
        <w:rPr>
          <w:rFonts w:hint="eastAsia" w:ascii="仿宋_GB2312" w:hAnsi="Times New Roman" w:eastAsia="仿宋_GB2312" w:cs="Wingdings"/>
          <w:sz w:val="32"/>
          <w:szCs w:val="32"/>
        </w:rPr>
        <w:t>万元</w:t>
      </w:r>
      <w:r>
        <w:rPr>
          <w:rFonts w:ascii="仿宋_GB2312" w:hAnsi="Times New Roman" w:eastAsia="仿宋_GB2312" w:cs="Wingdings"/>
          <w:sz w:val="32"/>
          <w:szCs w:val="32"/>
        </w:rPr>
        <w:t>，占1.76%</w:t>
      </w:r>
      <w:r>
        <w:rPr>
          <w:rFonts w:hint="eastAsia" w:ascii="仿宋_GB2312" w:hAnsi="Times New Roman" w:eastAsia="仿宋_GB2312" w:cs="Wingdings"/>
          <w:sz w:val="32"/>
          <w:szCs w:val="32"/>
        </w:rPr>
        <w:t>，</w:t>
      </w:r>
      <w:r>
        <w:rPr>
          <w:rFonts w:ascii="仿宋_GB2312" w:hAnsi="Times New Roman" w:eastAsia="仿宋_GB2312" w:cs="Wingdings"/>
          <w:sz w:val="32"/>
          <w:szCs w:val="32"/>
        </w:rPr>
        <w:t>主要用于缴纳</w:t>
      </w:r>
      <w:r>
        <w:rPr>
          <w:rFonts w:hint="eastAsia" w:ascii="仿宋_GB2312" w:hAnsi="Times New Roman" w:eastAsia="仿宋_GB2312" w:cs="Wingdings"/>
          <w:sz w:val="32"/>
          <w:szCs w:val="32"/>
        </w:rPr>
        <w:t>医疗</w:t>
      </w:r>
      <w:r>
        <w:rPr>
          <w:rFonts w:ascii="仿宋_GB2312" w:hAnsi="Times New Roman" w:eastAsia="仿宋_GB2312" w:cs="Wingdings"/>
          <w:sz w:val="32"/>
          <w:szCs w:val="32"/>
        </w:rPr>
        <w:t>保险</w:t>
      </w:r>
      <w:r>
        <w:rPr>
          <w:rFonts w:hint="eastAsia" w:ascii="仿宋_GB2312" w:hAnsi="Times New Roman" w:eastAsia="仿宋_GB2312" w:cs="Wingdings"/>
          <w:sz w:val="32"/>
          <w:szCs w:val="32"/>
        </w:rPr>
        <w:t>等；节能环保</w:t>
      </w:r>
      <w:r>
        <w:rPr>
          <w:rFonts w:ascii="仿宋_GB2312" w:hAnsi="Times New Roman" w:eastAsia="仿宋_GB2312" w:cs="Wingdings"/>
          <w:sz w:val="32"/>
          <w:szCs w:val="32"/>
        </w:rPr>
        <w:t>支出</w:t>
      </w:r>
      <w:r>
        <w:rPr>
          <w:rFonts w:hint="eastAsia" w:ascii="仿宋_GB2312" w:hAnsi="Times New Roman" w:eastAsia="仿宋_GB2312" w:cs="Wingdings"/>
          <w:sz w:val="32"/>
          <w:szCs w:val="32"/>
        </w:rPr>
        <w:t>18.35万元</w:t>
      </w:r>
      <w:r>
        <w:rPr>
          <w:rFonts w:ascii="仿宋_GB2312" w:hAnsi="Times New Roman" w:eastAsia="仿宋_GB2312" w:cs="Wingdings"/>
          <w:sz w:val="32"/>
          <w:szCs w:val="32"/>
        </w:rPr>
        <w:t>，</w:t>
      </w:r>
      <w:r>
        <w:rPr>
          <w:rFonts w:hint="eastAsia" w:ascii="仿宋_GB2312" w:hAnsi="Times New Roman" w:eastAsia="仿宋_GB2312" w:cs="Wingdings"/>
          <w:sz w:val="32"/>
          <w:szCs w:val="32"/>
        </w:rPr>
        <w:t>占</w:t>
      </w:r>
      <w:r>
        <w:rPr>
          <w:rFonts w:ascii="仿宋_GB2312" w:hAnsi="Times New Roman" w:eastAsia="仿宋_GB2312" w:cs="Wingdings"/>
          <w:sz w:val="32"/>
          <w:szCs w:val="32"/>
        </w:rPr>
        <w:t>0.94%主要用于锅炉改造。</w:t>
      </w:r>
      <w:r>
        <w:rPr>
          <w:rFonts w:hint="eastAsia" w:ascii="仿宋_GB2312" w:hAnsi="Times New Roman" w:eastAsia="仿宋_GB2312" w:cs="Wingdings"/>
          <w:sz w:val="32"/>
          <w:szCs w:val="32"/>
        </w:rPr>
        <w:t>住房保障（类）支出</w:t>
      </w:r>
      <w:r>
        <w:rPr>
          <w:rFonts w:ascii="仿宋_GB2312" w:hAnsi="Times New Roman" w:eastAsia="仿宋_GB2312" w:cs="Wingdings"/>
          <w:sz w:val="32"/>
          <w:szCs w:val="32"/>
        </w:rPr>
        <w:t>66.10</w:t>
      </w:r>
      <w:r>
        <w:rPr>
          <w:rFonts w:hint="eastAsia" w:ascii="仿宋_GB2312" w:hAnsi="Times New Roman" w:eastAsia="仿宋_GB2312" w:cs="Wingdings"/>
          <w:sz w:val="32"/>
          <w:szCs w:val="32"/>
        </w:rPr>
        <w:t xml:space="preserve">万元，占 </w:t>
      </w:r>
      <w:r>
        <w:rPr>
          <w:rFonts w:ascii="仿宋_GB2312" w:hAnsi="Times New Roman" w:eastAsia="仿宋_GB2312" w:cs="Wingdings"/>
          <w:sz w:val="32"/>
          <w:szCs w:val="32"/>
        </w:rPr>
        <w:t>3.38</w:t>
      </w:r>
      <w:r>
        <w:rPr>
          <w:rFonts w:hint="eastAsia" w:ascii="仿宋_GB2312" w:hAnsi="Times New Roman" w:eastAsia="仿宋_GB2312" w:cs="Wingdings"/>
          <w:sz w:val="32"/>
          <w:szCs w:val="32"/>
        </w:rPr>
        <w:t>%，</w:t>
      </w:r>
      <w:r>
        <w:rPr>
          <w:rFonts w:ascii="仿宋_GB2312" w:hAnsi="Times New Roman" w:eastAsia="仿宋_GB2312" w:cs="Wingdings"/>
          <w:sz w:val="32"/>
          <w:szCs w:val="32"/>
        </w:rPr>
        <w:t>主要用于</w:t>
      </w:r>
      <w:r>
        <w:rPr>
          <w:rFonts w:hint="eastAsia" w:ascii="仿宋_GB2312" w:hAnsi="Times New Roman" w:eastAsia="仿宋_GB2312" w:cs="Wingdings"/>
          <w:sz w:val="32"/>
          <w:szCs w:val="32"/>
        </w:rPr>
        <w:t>缴纳</w:t>
      </w:r>
      <w:r>
        <w:rPr>
          <w:rFonts w:ascii="仿宋_GB2312" w:hAnsi="Times New Roman" w:eastAsia="仿宋_GB2312" w:cs="Wingdings"/>
          <w:sz w:val="32"/>
          <w:szCs w:val="32"/>
        </w:rPr>
        <w:t>住房公积金</w:t>
      </w:r>
      <w:r>
        <w:rPr>
          <w:rFonts w:hint="eastAsia" w:ascii="仿宋_GB2312" w:eastAsia="仿宋_GB2312" w:cs="Times New Roman" w:hAnsiTheme="minorEastAsia"/>
          <w:sz w:val="32"/>
          <w:szCs w:val="32"/>
          <w:u w:color="000000"/>
        </w:rPr>
        <w:t>。具体决算支出详见附件2。</w:t>
      </w:r>
    </w:p>
    <w:p>
      <w:pPr>
        <w:spacing w:after="0" w:line="360" w:lineRule="auto"/>
        <w:ind w:firstLine="640" w:firstLineChars="200"/>
        <w:jc w:val="both"/>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决算支出结构如图3。</w:t>
      </w:r>
    </w:p>
    <w:p>
      <w:pPr>
        <w:spacing w:after="0" w:line="360" w:lineRule="auto"/>
        <w:jc w:val="center"/>
        <w:rPr>
          <w:rFonts w:ascii="仿宋_GB2312" w:eastAsia="仿宋_GB2312" w:cs="DengXian-Regular"/>
          <w:sz w:val="32"/>
          <w:szCs w:val="32"/>
        </w:rPr>
      </w:pPr>
      <w:r>
        <w:rPr>
          <w:rFonts w:hint="eastAsia" w:ascii="仿宋_GB2312" w:eastAsia="仿宋_GB2312" w:cs="DengXian-Regular"/>
          <w:sz w:val="32"/>
          <w:szCs w:val="32"/>
        </w:rPr>
        <w:t>图3  202</w:t>
      </w:r>
      <w:r>
        <w:rPr>
          <w:rFonts w:ascii="仿宋_GB2312" w:eastAsia="仿宋_GB2312" w:cs="DengXian-Regular"/>
          <w:sz w:val="32"/>
          <w:szCs w:val="32"/>
        </w:rPr>
        <w:t>1</w:t>
      </w:r>
      <w:r>
        <w:rPr>
          <w:rFonts w:hint="eastAsia" w:ascii="仿宋_GB2312" w:eastAsia="仿宋_GB2312" w:cs="DengXian-Regular"/>
          <w:sz w:val="32"/>
          <w:szCs w:val="32"/>
        </w:rPr>
        <w:t>年度区文广旅游局单位决算支出结构图</w:t>
      </w:r>
    </w:p>
    <w:p>
      <w:pPr>
        <w:spacing w:after="0" w:line="360" w:lineRule="auto"/>
        <w:ind w:firstLine="440" w:firstLineChars="200"/>
        <w:jc w:val="both"/>
      </w:pPr>
      <w:r>
        <w:drawing>
          <wp:anchor distT="0" distB="0" distL="114300" distR="114300" simplePos="0" relativeHeight="251661312" behindDoc="0" locked="0" layoutInCell="1" allowOverlap="1">
            <wp:simplePos x="0" y="0"/>
            <wp:positionH relativeFrom="column">
              <wp:posOffset>866775</wp:posOffset>
            </wp:positionH>
            <wp:positionV relativeFrom="paragraph">
              <wp:posOffset>247015</wp:posOffset>
            </wp:positionV>
            <wp:extent cx="4128770" cy="3333750"/>
            <wp:effectExtent l="38100" t="0" r="24130" b="0"/>
            <wp:wrapSquare wrapText="bothSides"/>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spacing w:after="0" w:line="360" w:lineRule="auto"/>
        <w:ind w:firstLine="440" w:firstLineChars="200"/>
        <w:jc w:val="both"/>
      </w:pPr>
    </w:p>
    <w:p>
      <w:pPr>
        <w:spacing w:after="0" w:line="360" w:lineRule="auto"/>
        <w:ind w:firstLine="640" w:firstLineChars="200"/>
        <w:jc w:val="both"/>
        <w:rPr>
          <w:rFonts w:ascii="仿宋_GB2312" w:eastAsia="仿宋_GB2312" w:cs="DengXian-Regular"/>
          <w:sz w:val="32"/>
          <w:szCs w:val="32"/>
        </w:rPr>
      </w:pPr>
    </w:p>
    <w:p>
      <w:pPr>
        <w:spacing w:after="0" w:line="360" w:lineRule="auto"/>
        <w:ind w:firstLine="640" w:firstLineChars="200"/>
        <w:jc w:val="both"/>
        <w:rPr>
          <w:rFonts w:ascii="仿宋_GB2312" w:eastAsia="仿宋_GB2312" w:cs="DengXian-Regular"/>
          <w:sz w:val="32"/>
          <w:szCs w:val="32"/>
        </w:rPr>
      </w:pPr>
    </w:p>
    <w:p>
      <w:pPr>
        <w:spacing w:after="0" w:line="360" w:lineRule="auto"/>
        <w:ind w:firstLine="640" w:firstLineChars="200"/>
        <w:jc w:val="both"/>
        <w:rPr>
          <w:rFonts w:ascii="仿宋_GB2312" w:eastAsia="仿宋_GB2312" w:cs="DengXian-Regular"/>
          <w:sz w:val="32"/>
          <w:szCs w:val="32"/>
        </w:rPr>
      </w:pPr>
    </w:p>
    <w:p>
      <w:pPr>
        <w:spacing w:after="0" w:line="360" w:lineRule="auto"/>
        <w:ind w:firstLine="640" w:firstLineChars="200"/>
        <w:jc w:val="both"/>
        <w:rPr>
          <w:rFonts w:ascii="仿宋_GB2312" w:eastAsia="仿宋_GB2312" w:cs="DengXian-Regular"/>
          <w:sz w:val="32"/>
          <w:szCs w:val="32"/>
        </w:rPr>
      </w:pPr>
    </w:p>
    <w:p>
      <w:pPr>
        <w:spacing w:after="0" w:line="360" w:lineRule="auto"/>
        <w:ind w:firstLine="640" w:firstLineChars="200"/>
        <w:jc w:val="both"/>
        <w:rPr>
          <w:rFonts w:ascii="仿宋_GB2312" w:eastAsia="仿宋_GB2312" w:cs="DengXian-Regular"/>
          <w:sz w:val="32"/>
          <w:szCs w:val="32"/>
        </w:rPr>
      </w:pPr>
    </w:p>
    <w:p>
      <w:pPr>
        <w:spacing w:after="0" w:line="360" w:lineRule="auto"/>
        <w:ind w:firstLine="640" w:firstLineChars="200"/>
        <w:jc w:val="both"/>
        <w:rPr>
          <w:rFonts w:ascii="仿宋_GB2312" w:eastAsia="仿宋_GB2312" w:cs="DengXian-Regular"/>
          <w:sz w:val="32"/>
          <w:szCs w:val="32"/>
        </w:rPr>
      </w:pPr>
    </w:p>
    <w:p>
      <w:pPr>
        <w:spacing w:after="0" w:line="360" w:lineRule="auto"/>
        <w:ind w:firstLine="640" w:firstLineChars="200"/>
        <w:jc w:val="both"/>
        <w:rPr>
          <w:rFonts w:ascii="仿宋_GB2312" w:eastAsia="仿宋_GB2312" w:cs="DengXian-Regular"/>
          <w:sz w:val="32"/>
          <w:szCs w:val="32"/>
        </w:rPr>
      </w:pPr>
    </w:p>
    <w:p>
      <w:pPr>
        <w:spacing w:after="0" w:line="360" w:lineRule="auto"/>
        <w:ind w:firstLine="640" w:firstLineChars="200"/>
        <w:jc w:val="both"/>
        <w:rPr>
          <w:rFonts w:ascii="仿宋_GB2312" w:eastAsia="仿宋_GB2312" w:cs="DengXian-Regular"/>
          <w:sz w:val="32"/>
          <w:szCs w:val="32"/>
        </w:rPr>
      </w:pPr>
    </w:p>
    <w:p>
      <w:pPr>
        <w:spacing w:after="0" w:line="360" w:lineRule="auto"/>
        <w:ind w:firstLine="640" w:firstLineChars="200"/>
        <w:jc w:val="both"/>
        <w:rPr>
          <w:rFonts w:ascii="仿宋" w:hAnsi="仿宋" w:eastAsia="仿宋"/>
          <w:snapToGrid w:val="0"/>
          <w:sz w:val="32"/>
          <w:szCs w:val="32"/>
        </w:rPr>
      </w:pPr>
      <w:r>
        <w:rPr>
          <w:rFonts w:hint="eastAsia" w:ascii="仿宋_GB2312" w:eastAsia="仿宋_GB2312" w:cs="DengXian-Regular"/>
          <w:sz w:val="32"/>
          <w:szCs w:val="32"/>
        </w:rPr>
        <w:t>财政拨款决算支出比年初预算减少273.40万元。决算支出完成年初预算的</w:t>
      </w:r>
      <w:r>
        <w:rPr>
          <w:rFonts w:ascii="仿宋_GB2312" w:eastAsia="仿宋_GB2312" w:cs="DengXian-Regular"/>
          <w:sz w:val="32"/>
          <w:szCs w:val="32"/>
        </w:rPr>
        <w:t>86.48</w:t>
      </w:r>
      <w:r>
        <w:rPr>
          <w:rFonts w:hint="eastAsia" w:ascii="仿宋_GB2312" w:eastAsia="仿宋_GB2312" w:cs="DengXian-Regular"/>
          <w:sz w:val="32"/>
          <w:szCs w:val="32"/>
        </w:rPr>
        <w:t>%。</w:t>
      </w:r>
      <w:r>
        <w:rPr>
          <w:rFonts w:hint="eastAsia" w:ascii="仿宋_GB2312" w:eastAsia="仿宋_GB2312" w:cs="Times New Roman" w:hAnsiTheme="minorEastAsia"/>
          <w:sz w:val="32"/>
          <w:szCs w:val="32"/>
          <w:u w:color="000000"/>
        </w:rPr>
        <w:t>决算支出小于预算支出的</w:t>
      </w:r>
      <w:r>
        <w:rPr>
          <w:rFonts w:hint="eastAsia" w:ascii="仿宋_GB2312" w:eastAsia="仿宋_GB2312" w:cs="DengXian-Regular"/>
          <w:sz w:val="32"/>
          <w:szCs w:val="32"/>
        </w:rPr>
        <w:t>主要原因为</w:t>
      </w:r>
      <w:r>
        <w:rPr>
          <w:rFonts w:hint="eastAsia" w:ascii="仿宋_GB2312" w:hAnsi="Times New Roman" w:eastAsia="仿宋_GB2312" w:cs="DengXian-Regular"/>
          <w:sz w:val="32"/>
          <w:szCs w:val="32"/>
        </w:rPr>
        <w:t>由于疫情</w:t>
      </w:r>
      <w:r>
        <w:rPr>
          <w:rFonts w:ascii="仿宋_GB2312" w:hAnsi="Times New Roman" w:eastAsia="仿宋_GB2312" w:cs="DengXian-Regular"/>
          <w:sz w:val="32"/>
          <w:szCs w:val="32"/>
        </w:rPr>
        <w:t>原因业务开展减少，导致</w:t>
      </w:r>
      <w:r>
        <w:rPr>
          <w:rFonts w:hint="eastAsia" w:ascii="仿宋_GB2312" w:hAnsi="Times New Roman" w:eastAsia="仿宋_GB2312" w:cs="DengXian-Regular"/>
          <w:sz w:val="32"/>
          <w:szCs w:val="32"/>
        </w:rPr>
        <w:t>收入</w:t>
      </w:r>
      <w:r>
        <w:rPr>
          <w:rFonts w:ascii="仿宋_GB2312" w:hAnsi="Times New Roman" w:eastAsia="仿宋_GB2312" w:cs="DengXian-Regular"/>
          <w:sz w:val="32"/>
          <w:szCs w:val="32"/>
        </w:rPr>
        <w:t>减少</w:t>
      </w:r>
      <w:r>
        <w:rPr>
          <w:rFonts w:hint="eastAsia" w:ascii="仿宋" w:hAnsi="仿宋" w:eastAsia="仿宋"/>
          <w:snapToGrid w:val="0"/>
          <w:sz w:val="32"/>
          <w:szCs w:val="32"/>
        </w:rPr>
        <w:t>。预算支出与决算支出对比情况如图4。</w:t>
      </w:r>
    </w:p>
    <w:p>
      <w:pPr>
        <w:spacing w:after="0" w:line="360" w:lineRule="auto"/>
        <w:jc w:val="center"/>
        <w:rPr>
          <w:rFonts w:ascii="仿宋_GB2312" w:eastAsia="仿宋_GB2312" w:cs="DengXian-Regular"/>
          <w:sz w:val="30"/>
          <w:szCs w:val="30"/>
        </w:rPr>
      </w:pPr>
      <w:r>
        <w:rPr>
          <w:rFonts w:hint="eastAsia" w:ascii="仿宋_GB2312" w:eastAsia="仿宋_GB2312" w:cs="DengXian-Regular"/>
          <w:sz w:val="30"/>
          <w:szCs w:val="30"/>
        </w:rPr>
        <w:t>图4  202</w:t>
      </w:r>
      <w:r>
        <w:rPr>
          <w:rFonts w:ascii="仿宋_GB2312" w:eastAsia="仿宋_GB2312" w:cs="DengXian-Regular"/>
          <w:sz w:val="30"/>
          <w:szCs w:val="30"/>
        </w:rPr>
        <w:t>1</w:t>
      </w:r>
      <w:r>
        <w:rPr>
          <w:rFonts w:hint="eastAsia" w:ascii="仿宋_GB2312" w:eastAsia="仿宋_GB2312" w:cs="DengXian-Regular"/>
          <w:sz w:val="30"/>
          <w:szCs w:val="30"/>
        </w:rPr>
        <w:t>年度区文广旅局单位预算支出与决算支出对比图</w:t>
      </w:r>
    </w:p>
    <w:p>
      <w:pPr>
        <w:spacing w:after="0" w:line="360" w:lineRule="auto"/>
        <w:jc w:val="center"/>
        <w:rPr>
          <w:rFonts w:ascii="仿宋_GB2312" w:eastAsia="仿宋_GB2312" w:cs="DengXian-Regular"/>
          <w:sz w:val="32"/>
          <w:szCs w:val="32"/>
        </w:rPr>
      </w:pPr>
      <w:r>
        <w:drawing>
          <wp:anchor distT="0" distB="0" distL="114300" distR="114300" simplePos="0" relativeHeight="251662336" behindDoc="0" locked="0" layoutInCell="1" allowOverlap="1">
            <wp:simplePos x="0" y="0"/>
            <wp:positionH relativeFrom="column">
              <wp:posOffset>352425</wp:posOffset>
            </wp:positionH>
            <wp:positionV relativeFrom="paragraph">
              <wp:posOffset>35560</wp:posOffset>
            </wp:positionV>
            <wp:extent cx="4578350" cy="2257425"/>
            <wp:effectExtent l="0" t="0" r="0" b="0"/>
            <wp:wrapSquare wrapText="bothSides"/>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区文广旅游局单位202</w:t>
      </w:r>
      <w:r>
        <w:rPr>
          <w:rFonts w:ascii="仿宋_GB2312" w:eastAsia="仿宋_GB2312" w:cs="DengXian-Regular"/>
          <w:sz w:val="32"/>
          <w:szCs w:val="32"/>
        </w:rPr>
        <w:t>1</w:t>
      </w:r>
      <w:r>
        <w:rPr>
          <w:rFonts w:hint="eastAsia" w:ascii="仿宋_GB2312" w:eastAsia="仿宋_GB2312" w:cs="DengXian-Regular"/>
          <w:sz w:val="32"/>
          <w:szCs w:val="32"/>
        </w:rPr>
        <w:t>年实际项目支出</w:t>
      </w:r>
      <w:r>
        <w:rPr>
          <w:rFonts w:ascii="仿宋_GB2312" w:eastAsia="仿宋_GB2312" w:cs="DengXian-Regular"/>
          <w:sz w:val="32"/>
          <w:szCs w:val="32"/>
        </w:rPr>
        <w:t>844.65</w:t>
      </w:r>
      <w:r>
        <w:rPr>
          <w:rFonts w:hint="eastAsia" w:ascii="仿宋_GB2312" w:eastAsia="仿宋_GB2312" w:cs="DengXian-Regular"/>
          <w:sz w:val="32"/>
          <w:szCs w:val="32"/>
        </w:rPr>
        <w:t>万元，决算报表中项目支出</w:t>
      </w:r>
      <w:r>
        <w:rPr>
          <w:rFonts w:ascii="仿宋_GB2312" w:eastAsia="仿宋_GB2312" w:cs="DengXian-Regular"/>
          <w:sz w:val="32"/>
          <w:szCs w:val="32"/>
        </w:rPr>
        <w:t>844.65</w:t>
      </w:r>
      <w:r>
        <w:rPr>
          <w:rFonts w:hint="eastAsia" w:ascii="仿宋_GB2312" w:eastAsia="仿宋_GB2312" w:cs="DengXian-Regular"/>
          <w:sz w:val="32"/>
          <w:szCs w:val="32"/>
        </w:rPr>
        <w:t>万元。</w:t>
      </w:r>
    </w:p>
    <w:p>
      <w:pPr>
        <w:pStyle w:val="4"/>
        <w:spacing w:before="0" w:after="0"/>
        <w:ind w:firstLine="643" w:firstLineChars="200"/>
        <w:jc w:val="both"/>
        <w:rPr>
          <w:rFonts w:ascii="仿宋_GB2312" w:hAnsi="Tahoma" w:cs="DengXian-Regular"/>
          <w:sz w:val="32"/>
        </w:rPr>
      </w:pPr>
      <w:bookmarkStart w:id="13" w:name="_Toc492652769"/>
      <w:bookmarkStart w:id="14" w:name="_Toc19291"/>
      <w:bookmarkStart w:id="15" w:name="_Toc465149503"/>
      <w:r>
        <w:rPr>
          <w:rFonts w:hint="eastAsia" w:ascii="仿宋_GB2312" w:hAnsi="Tahoma" w:cs="DengXian-Regular"/>
          <w:sz w:val="32"/>
        </w:rPr>
        <w:t>（五）“三公”经费预算安排及支出情况</w:t>
      </w:r>
      <w:bookmarkEnd w:id="13"/>
      <w:bookmarkEnd w:id="14"/>
      <w:bookmarkEnd w:id="15"/>
    </w:p>
    <w:p>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202</w:t>
      </w:r>
      <w:r>
        <w:rPr>
          <w:rFonts w:ascii="仿宋_GB2312" w:eastAsia="仿宋_GB2312" w:cs="DengXian-Regular"/>
          <w:sz w:val="32"/>
          <w:szCs w:val="32"/>
        </w:rPr>
        <w:t>1</w:t>
      </w:r>
      <w:r>
        <w:rPr>
          <w:rFonts w:hint="eastAsia" w:ascii="仿宋_GB2312" w:eastAsia="仿宋_GB2312" w:cs="DengXian-Regular"/>
          <w:sz w:val="32"/>
          <w:szCs w:val="32"/>
        </w:rPr>
        <w:t>年区文广旅游局单位“三公”经费预算</w:t>
      </w:r>
      <w:r>
        <w:rPr>
          <w:rFonts w:ascii="仿宋_GB2312" w:eastAsia="仿宋_GB2312" w:cs="DengXian-Regular"/>
          <w:sz w:val="32"/>
          <w:szCs w:val="32"/>
        </w:rPr>
        <w:t>18.00</w:t>
      </w:r>
      <w:r>
        <w:rPr>
          <w:rFonts w:hint="eastAsia" w:ascii="仿宋_GB2312" w:eastAsia="仿宋_GB2312" w:cs="DengXian-Regular"/>
          <w:sz w:val="32"/>
          <w:szCs w:val="32"/>
        </w:rPr>
        <w:t>万元（公务用车运行维护费</w:t>
      </w:r>
      <w:r>
        <w:rPr>
          <w:rFonts w:ascii="仿宋_GB2312" w:eastAsia="仿宋_GB2312" w:cs="DengXian-Regular"/>
          <w:sz w:val="32"/>
          <w:szCs w:val="32"/>
        </w:rPr>
        <w:t>15.00</w:t>
      </w:r>
      <w:r>
        <w:rPr>
          <w:rFonts w:hint="eastAsia" w:ascii="仿宋_GB2312" w:eastAsia="仿宋_GB2312" w:cs="DengXian-Regular"/>
          <w:sz w:val="32"/>
          <w:szCs w:val="32"/>
        </w:rPr>
        <w:t>万元，公务接待费</w:t>
      </w:r>
      <w:r>
        <w:rPr>
          <w:rFonts w:ascii="仿宋_GB2312" w:eastAsia="仿宋_GB2312" w:cs="DengXian-Regular"/>
          <w:sz w:val="32"/>
          <w:szCs w:val="32"/>
        </w:rPr>
        <w:t>3.00</w:t>
      </w:r>
      <w:r>
        <w:rPr>
          <w:rFonts w:hint="eastAsia" w:ascii="仿宋_GB2312" w:eastAsia="仿宋_GB2312" w:cs="DengXian-Regular"/>
          <w:sz w:val="32"/>
          <w:szCs w:val="32"/>
        </w:rPr>
        <w:t>万元），实际支出</w:t>
      </w:r>
      <w:r>
        <w:rPr>
          <w:rFonts w:ascii="仿宋_GB2312" w:eastAsia="仿宋_GB2312" w:cs="DengXian-Regular"/>
          <w:sz w:val="32"/>
          <w:szCs w:val="32"/>
        </w:rPr>
        <w:t>11.14</w:t>
      </w:r>
      <w:r>
        <w:rPr>
          <w:rFonts w:hint="eastAsia" w:ascii="仿宋_GB2312" w:eastAsia="仿宋_GB2312" w:cs="DengXian-Regular"/>
          <w:sz w:val="32"/>
          <w:szCs w:val="32"/>
        </w:rPr>
        <w:t>万元（公务用车运行维护费</w:t>
      </w:r>
      <w:r>
        <w:rPr>
          <w:rFonts w:ascii="仿宋_GB2312" w:eastAsia="仿宋_GB2312" w:cs="DengXian-Regular"/>
          <w:sz w:val="32"/>
          <w:szCs w:val="32"/>
        </w:rPr>
        <w:t>10.95</w:t>
      </w:r>
      <w:r>
        <w:rPr>
          <w:rFonts w:hint="eastAsia" w:ascii="仿宋_GB2312" w:eastAsia="仿宋_GB2312" w:cs="DengXian-Regular"/>
          <w:sz w:val="32"/>
          <w:szCs w:val="32"/>
        </w:rPr>
        <w:t>万元，公务接待费</w:t>
      </w:r>
      <w:r>
        <w:rPr>
          <w:rFonts w:ascii="仿宋_GB2312" w:eastAsia="仿宋_GB2312" w:cs="DengXian-Regular"/>
          <w:sz w:val="32"/>
          <w:szCs w:val="32"/>
        </w:rPr>
        <w:t>0.19</w:t>
      </w:r>
      <w:r>
        <w:rPr>
          <w:rFonts w:hint="eastAsia" w:ascii="仿宋_GB2312" w:eastAsia="仿宋_GB2312" w:cs="DengXian-Regular"/>
          <w:sz w:val="32"/>
          <w:szCs w:val="32"/>
        </w:rPr>
        <w:t>万元），比预算减少</w:t>
      </w:r>
      <w:r>
        <w:rPr>
          <w:rFonts w:ascii="仿宋_GB2312" w:eastAsia="仿宋_GB2312" w:cs="DengXian-Regular"/>
          <w:sz w:val="32"/>
          <w:szCs w:val="32"/>
        </w:rPr>
        <w:t>6.86</w:t>
      </w:r>
      <w:r>
        <w:rPr>
          <w:rFonts w:hint="eastAsia" w:ascii="仿宋_GB2312" w:eastAsia="仿宋_GB2312" w:cs="DengXian-Regular"/>
          <w:sz w:val="32"/>
          <w:szCs w:val="32"/>
        </w:rPr>
        <w:t>万元，节约率</w:t>
      </w:r>
      <w:r>
        <w:rPr>
          <w:rFonts w:ascii="仿宋_GB2312" w:eastAsia="仿宋_GB2312" w:cs="DengXian-Regular"/>
          <w:sz w:val="32"/>
          <w:szCs w:val="32"/>
        </w:rPr>
        <w:t>38.11</w:t>
      </w:r>
      <w:r>
        <w:rPr>
          <w:rFonts w:hint="eastAsia" w:ascii="仿宋_GB2312" w:eastAsia="仿宋_GB2312" w:cs="DengXian-Regular"/>
          <w:sz w:val="32"/>
          <w:szCs w:val="32"/>
        </w:rPr>
        <w:t>%。202</w:t>
      </w:r>
      <w:r>
        <w:rPr>
          <w:rFonts w:ascii="仿宋_GB2312" w:eastAsia="仿宋_GB2312" w:cs="DengXian-Regular"/>
          <w:sz w:val="32"/>
          <w:szCs w:val="32"/>
        </w:rPr>
        <w:t>1</w:t>
      </w:r>
      <w:r>
        <w:rPr>
          <w:rFonts w:hint="eastAsia" w:ascii="仿宋_GB2312" w:eastAsia="仿宋_GB2312" w:cs="DengXian-Regular"/>
          <w:sz w:val="32"/>
          <w:szCs w:val="32"/>
        </w:rPr>
        <w:t>年“三公”经费预算数与</w:t>
      </w:r>
      <w:r>
        <w:rPr>
          <w:rFonts w:ascii="仿宋_GB2312" w:eastAsia="仿宋_GB2312" w:cs="DengXian-Regular"/>
          <w:sz w:val="32"/>
          <w:szCs w:val="32"/>
        </w:rPr>
        <w:t>2020</w:t>
      </w:r>
      <w:r>
        <w:rPr>
          <w:rFonts w:hint="eastAsia" w:ascii="仿宋_GB2312" w:eastAsia="仿宋_GB2312" w:cs="DengXian-Regular"/>
          <w:sz w:val="32"/>
          <w:szCs w:val="32"/>
        </w:rPr>
        <w:t>年预算数相比无变化，决算数与</w:t>
      </w:r>
      <w:r>
        <w:rPr>
          <w:rFonts w:ascii="仿宋_GB2312" w:eastAsia="仿宋_GB2312" w:cs="DengXian-Regular"/>
          <w:sz w:val="32"/>
          <w:szCs w:val="32"/>
        </w:rPr>
        <w:t>2020</w:t>
      </w:r>
      <w:r>
        <w:rPr>
          <w:rFonts w:hint="eastAsia" w:ascii="仿宋_GB2312" w:eastAsia="仿宋_GB2312" w:cs="DengXian-Regular"/>
          <w:sz w:val="32"/>
          <w:szCs w:val="32"/>
        </w:rPr>
        <w:t>年实际支出相比，增加0.67万元。具体详见表1。</w:t>
      </w:r>
    </w:p>
    <w:p>
      <w:pPr>
        <w:spacing w:after="0" w:line="360" w:lineRule="auto"/>
        <w:ind w:firstLine="600" w:firstLineChars="200"/>
        <w:jc w:val="both"/>
        <w:rPr>
          <w:rFonts w:ascii="仿宋_GB2312" w:eastAsia="仿宋_GB2312" w:cs="DengXian-Regular"/>
          <w:sz w:val="30"/>
          <w:szCs w:val="30"/>
        </w:rPr>
      </w:pPr>
      <w:r>
        <w:rPr>
          <w:rFonts w:hint="eastAsia" w:ascii="仿宋_GB2312" w:eastAsia="仿宋_GB2312" w:cs="DengXian-Regular"/>
          <w:sz w:val="30"/>
          <w:szCs w:val="30"/>
        </w:rPr>
        <w:t>表1  区文广旅游局单位“三公”经费预算及决算明细表</w:t>
      </w:r>
    </w:p>
    <w:p>
      <w:pPr>
        <w:spacing w:after="0" w:line="540" w:lineRule="exact"/>
        <w:ind w:firstLine="640" w:firstLineChars="200"/>
        <w:jc w:val="both"/>
        <w:rPr>
          <w:rFonts w:asciiTheme="minorEastAsia" w:hAnsiTheme="minorEastAsia" w:eastAsiaTheme="minorEastAsia" w:cstheme="minorEastAsia"/>
          <w:sz w:val="21"/>
          <w:szCs w:val="21"/>
        </w:rPr>
      </w:pPr>
      <w:r>
        <w:rPr>
          <w:rFonts w:hint="eastAsia" w:ascii="仿宋_GB2312" w:eastAsia="仿宋_GB2312" w:cs="DengXian-Regular"/>
          <w:sz w:val="32"/>
          <w:szCs w:val="32"/>
        </w:rPr>
        <w:t xml:space="preserve">                                         </w:t>
      </w:r>
      <w:r>
        <w:rPr>
          <w:rFonts w:hint="eastAsia" w:asciiTheme="minorEastAsia" w:hAnsiTheme="minorEastAsia" w:eastAsiaTheme="minorEastAsia" w:cstheme="minorEastAsia"/>
          <w:sz w:val="21"/>
          <w:szCs w:val="21"/>
        </w:rPr>
        <w:t>单位：万元</w:t>
      </w:r>
    </w:p>
    <w:tbl>
      <w:tblPr>
        <w:tblStyle w:val="23"/>
        <w:tblW w:w="8565" w:type="dxa"/>
        <w:tblInd w:w="0" w:type="dxa"/>
        <w:tblLayout w:type="fixed"/>
        <w:tblCellMar>
          <w:top w:w="0" w:type="dxa"/>
          <w:left w:w="0" w:type="dxa"/>
          <w:bottom w:w="0" w:type="dxa"/>
          <w:right w:w="0" w:type="dxa"/>
        </w:tblCellMar>
      </w:tblPr>
      <w:tblGrid>
        <w:gridCol w:w="549"/>
        <w:gridCol w:w="1818"/>
        <w:gridCol w:w="993"/>
        <w:gridCol w:w="932"/>
        <w:gridCol w:w="1022"/>
        <w:gridCol w:w="947"/>
        <w:gridCol w:w="1149"/>
        <w:gridCol w:w="1155"/>
      </w:tblGrid>
      <w:tr>
        <w:tblPrEx>
          <w:tblCellMar>
            <w:top w:w="0" w:type="dxa"/>
            <w:left w:w="0" w:type="dxa"/>
            <w:bottom w:w="0" w:type="dxa"/>
            <w:right w:w="0" w:type="dxa"/>
          </w:tblCellMar>
        </w:tblPrEx>
        <w:trPr>
          <w:trHeight w:val="454" w:hRule="atLeast"/>
        </w:trPr>
        <w:tc>
          <w:tcPr>
            <w:tcW w:w="549" w:type="dxa"/>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序号</w:t>
            </w:r>
          </w:p>
        </w:tc>
        <w:tc>
          <w:tcPr>
            <w:tcW w:w="1818"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支出内容</w:t>
            </w:r>
          </w:p>
        </w:tc>
        <w:tc>
          <w:tcPr>
            <w:tcW w:w="1925"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after="0"/>
              <w:ind w:firstLine="422" w:firstLineChars="200"/>
              <w:jc w:val="center"/>
              <w:textAlignment w:val="center"/>
              <w:rPr>
                <w:rFonts w:ascii="宋体" w:hAnsi="宋体" w:eastAsia="宋体" w:cs="宋体"/>
                <w:b/>
                <w:bCs/>
                <w:color w:val="000000"/>
                <w:sz w:val="21"/>
                <w:szCs w:val="21"/>
              </w:rPr>
            </w:pPr>
            <w:r>
              <w:rPr>
                <w:rFonts w:ascii="宋体" w:hAnsi="宋体" w:eastAsia="宋体" w:cs="宋体"/>
                <w:b/>
                <w:bCs/>
                <w:color w:val="000000"/>
                <w:sz w:val="21"/>
                <w:szCs w:val="21"/>
              </w:rPr>
              <w:t>2020</w:t>
            </w:r>
            <w:r>
              <w:rPr>
                <w:rFonts w:hint="eastAsia" w:ascii="宋体" w:hAnsi="宋体" w:eastAsia="宋体" w:cs="宋体"/>
                <w:b/>
                <w:bCs/>
                <w:color w:val="000000"/>
                <w:sz w:val="21"/>
                <w:szCs w:val="21"/>
              </w:rPr>
              <w:t>年</w:t>
            </w:r>
          </w:p>
        </w:tc>
        <w:tc>
          <w:tcPr>
            <w:tcW w:w="1969" w:type="dxa"/>
            <w:gridSpan w:val="2"/>
            <w:tcBorders>
              <w:top w:val="single" w:color="000000" w:sz="4" w:space="0"/>
              <w:left w:val="single" w:color="auto" w:sz="4" w:space="0"/>
              <w:bottom w:val="single" w:color="000000" w:sz="4" w:space="0"/>
              <w:right w:val="nil"/>
            </w:tcBorders>
            <w:shd w:val="clear" w:color="auto" w:fill="auto"/>
            <w:tcMar>
              <w:top w:w="15" w:type="dxa"/>
              <w:left w:w="15" w:type="dxa"/>
              <w:right w:w="15" w:type="dxa"/>
            </w:tcMar>
            <w:vAlign w:val="center"/>
          </w:tcPr>
          <w:p>
            <w:pPr>
              <w:spacing w:after="0"/>
              <w:ind w:firstLine="422" w:firstLineChars="20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202</w:t>
            </w:r>
            <w:r>
              <w:rPr>
                <w:rFonts w:ascii="宋体" w:hAnsi="宋体" w:eastAsia="宋体" w:cs="宋体"/>
                <w:b/>
                <w:bCs/>
                <w:color w:val="000000"/>
                <w:sz w:val="21"/>
                <w:szCs w:val="21"/>
              </w:rPr>
              <w:t>1</w:t>
            </w:r>
            <w:r>
              <w:rPr>
                <w:rFonts w:hint="eastAsia" w:ascii="宋体" w:hAnsi="宋体" w:eastAsia="宋体" w:cs="宋体"/>
                <w:b/>
                <w:bCs/>
                <w:color w:val="000000"/>
                <w:sz w:val="21"/>
                <w:szCs w:val="21"/>
              </w:rPr>
              <w:t>年</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after="0"/>
              <w:ind w:firstLine="422" w:firstLineChars="20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环比情况</w:t>
            </w:r>
          </w:p>
        </w:tc>
      </w:tr>
      <w:tr>
        <w:tblPrEx>
          <w:tblCellMar>
            <w:top w:w="0" w:type="dxa"/>
            <w:left w:w="0" w:type="dxa"/>
            <w:bottom w:w="0" w:type="dxa"/>
            <w:right w:w="0" w:type="dxa"/>
          </w:tblCellMar>
        </w:tblPrEx>
        <w:trPr>
          <w:trHeight w:val="454" w:hRule="atLeast"/>
        </w:trPr>
        <w:tc>
          <w:tcPr>
            <w:tcW w:w="549"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after="0"/>
              <w:ind w:firstLine="422" w:firstLineChars="200"/>
              <w:jc w:val="center"/>
              <w:rPr>
                <w:rFonts w:ascii="宋体" w:hAnsi="宋体" w:eastAsia="宋体" w:cs="宋体"/>
                <w:b/>
                <w:bCs/>
                <w:color w:val="000000"/>
                <w:sz w:val="21"/>
                <w:szCs w:val="21"/>
              </w:rPr>
            </w:pPr>
          </w:p>
        </w:tc>
        <w:tc>
          <w:tcPr>
            <w:tcW w:w="181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after="0"/>
              <w:ind w:firstLine="422" w:firstLineChars="200"/>
              <w:jc w:val="center"/>
              <w:rPr>
                <w:rFonts w:ascii="宋体" w:hAnsi="宋体" w:eastAsia="宋体" w:cs="宋体"/>
                <w:b/>
                <w:bCs/>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预算安排</w:t>
            </w:r>
          </w:p>
        </w:tc>
        <w:tc>
          <w:tcPr>
            <w:tcW w:w="932" w:type="dxa"/>
            <w:tcBorders>
              <w:top w:val="nil"/>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实际支出</w:t>
            </w:r>
          </w:p>
        </w:tc>
        <w:tc>
          <w:tcPr>
            <w:tcW w:w="102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预算安排</w:t>
            </w:r>
          </w:p>
        </w:tc>
        <w:tc>
          <w:tcPr>
            <w:tcW w:w="94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实际支出</w:t>
            </w:r>
          </w:p>
        </w:tc>
        <w:tc>
          <w:tcPr>
            <w:tcW w:w="1149"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较上年预算增减金额</w:t>
            </w:r>
          </w:p>
        </w:tc>
        <w:tc>
          <w:tcPr>
            <w:tcW w:w="115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较上年支出增减金额</w:t>
            </w:r>
          </w:p>
        </w:tc>
      </w:tr>
      <w:tr>
        <w:tblPrEx>
          <w:tblCellMar>
            <w:top w:w="0" w:type="dxa"/>
            <w:left w:w="0" w:type="dxa"/>
            <w:bottom w:w="0" w:type="dxa"/>
            <w:right w:w="0" w:type="dxa"/>
          </w:tblCellMar>
        </w:tblPrEx>
        <w:trPr>
          <w:trHeight w:val="454" w:hRule="atLeast"/>
        </w:trPr>
        <w:tc>
          <w:tcPr>
            <w:tcW w:w="549"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w:t>
            </w:r>
          </w:p>
        </w:tc>
        <w:tc>
          <w:tcPr>
            <w:tcW w:w="1818" w:type="dxa"/>
            <w:tcBorders>
              <w:top w:val="single" w:color="auto" w:sz="4" w:space="0"/>
              <w:left w:val="single" w:color="000000" w:sz="4" w:space="0"/>
              <w:bottom w:val="single" w:color="000000" w:sz="4" w:space="0"/>
              <w:right w:val="nil"/>
            </w:tcBorders>
            <w:shd w:val="clear" w:color="auto" w:fill="auto"/>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因公出国（境）费</w:t>
            </w:r>
          </w:p>
        </w:tc>
        <w:tc>
          <w:tcPr>
            <w:tcW w:w="993"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ind w:firstLine="420" w:firstLineChars="200"/>
              <w:jc w:val="center"/>
              <w:textAlignment w:val="center"/>
              <w:rPr>
                <w:rFonts w:asciiTheme="minorEastAsia" w:hAnsiTheme="minorEastAsia" w:eastAsiaTheme="minorEastAsia" w:cstheme="minorEastAsia"/>
                <w:color w:val="000000"/>
                <w:sz w:val="21"/>
                <w:szCs w:val="21"/>
              </w:rPr>
            </w:pP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ind w:firstLine="420" w:firstLineChars="200"/>
              <w:jc w:val="center"/>
              <w:textAlignment w:val="center"/>
              <w:rPr>
                <w:rFonts w:asciiTheme="minorEastAsia" w:hAnsiTheme="minorEastAsia" w:eastAsiaTheme="minorEastAsia" w:cstheme="minorEastAsia"/>
                <w:color w:val="000000"/>
                <w:sz w:val="21"/>
                <w:szCs w:val="21"/>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ind w:firstLine="420" w:firstLineChars="200"/>
              <w:jc w:val="center"/>
              <w:textAlignment w:val="center"/>
              <w:rPr>
                <w:rFonts w:asciiTheme="minorEastAsia" w:hAnsiTheme="minorEastAsia" w:eastAsiaTheme="minorEastAsia" w:cstheme="minorEastAsia"/>
                <w:color w:val="000000"/>
                <w:sz w:val="21"/>
                <w:szCs w:val="21"/>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ind w:firstLine="420" w:firstLineChars="200"/>
              <w:jc w:val="center"/>
              <w:textAlignment w:val="center"/>
              <w:rPr>
                <w:rFonts w:asciiTheme="minorEastAsia" w:hAnsiTheme="minorEastAsia" w:eastAsiaTheme="minorEastAsia" w:cstheme="minorEastAsia"/>
                <w:color w:val="000000"/>
                <w:sz w:val="21"/>
                <w:szCs w:val="21"/>
              </w:rPr>
            </w:pP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ind w:firstLine="420" w:firstLineChars="200"/>
              <w:jc w:val="center"/>
              <w:textAlignment w:val="center"/>
              <w:rPr>
                <w:rFonts w:asciiTheme="minorEastAsia" w:hAnsiTheme="minorEastAsia" w:eastAsiaTheme="minorEastAsia" w:cstheme="minorEastAsia"/>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ind w:firstLine="420" w:firstLineChars="200"/>
              <w:jc w:val="center"/>
              <w:textAlignment w:val="center"/>
              <w:rPr>
                <w:rFonts w:asciiTheme="minorEastAsia" w:hAnsiTheme="minorEastAsia" w:eastAsiaTheme="minorEastAsia" w:cstheme="minorEastAsia"/>
                <w:color w:val="000000"/>
                <w:sz w:val="21"/>
                <w:szCs w:val="21"/>
              </w:rPr>
            </w:pPr>
          </w:p>
        </w:tc>
      </w:tr>
      <w:tr>
        <w:tblPrEx>
          <w:tblCellMar>
            <w:top w:w="0" w:type="dxa"/>
            <w:left w:w="0" w:type="dxa"/>
            <w:bottom w:w="0" w:type="dxa"/>
            <w:right w:w="0" w:type="dxa"/>
          </w:tblCellMar>
        </w:tblPrEx>
        <w:trPr>
          <w:trHeight w:val="454"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w:t>
            </w:r>
          </w:p>
        </w:tc>
        <w:tc>
          <w:tcPr>
            <w:tcW w:w="181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公务用车购置及运维费</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15.00</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w:t>
            </w:r>
            <w:r>
              <w:rPr>
                <w:rFonts w:asciiTheme="minorEastAsia" w:hAnsiTheme="minorEastAsia" w:eastAsiaTheme="minorEastAsia" w:cstheme="minorEastAsia"/>
                <w:color w:val="000000"/>
                <w:sz w:val="21"/>
                <w:szCs w:val="21"/>
              </w:rPr>
              <w:t>0.38</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15.00</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10.95</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ind w:firstLine="420" w:firstLineChars="20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r>
              <w:rPr>
                <w:rFonts w:asciiTheme="minorEastAsia" w:hAnsiTheme="minorEastAsia" w:eastAsiaTheme="minorEastAsia" w:cstheme="minorEastAsia"/>
                <w:color w:val="000000"/>
                <w:sz w:val="21"/>
                <w:szCs w:val="21"/>
              </w:rPr>
              <w:t>5</w:t>
            </w:r>
            <w:r>
              <w:rPr>
                <w:rFonts w:hint="eastAsia" w:asciiTheme="minorEastAsia" w:hAnsiTheme="minorEastAsia" w:eastAsiaTheme="minorEastAsia" w:cstheme="minorEastAsia"/>
                <w:color w:val="000000"/>
                <w:sz w:val="21"/>
                <w:szCs w:val="21"/>
              </w:rPr>
              <w:t>7</w:t>
            </w:r>
          </w:p>
        </w:tc>
      </w:tr>
      <w:tr>
        <w:tblPrEx>
          <w:tblCellMar>
            <w:top w:w="0" w:type="dxa"/>
            <w:left w:w="0" w:type="dxa"/>
            <w:bottom w:w="0" w:type="dxa"/>
            <w:right w:w="0" w:type="dxa"/>
          </w:tblCellMar>
        </w:tblPrEx>
        <w:trPr>
          <w:trHeight w:val="454"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w:t>
            </w:r>
          </w:p>
        </w:tc>
        <w:tc>
          <w:tcPr>
            <w:tcW w:w="1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公务接待费</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3.00</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ind w:firstLine="210" w:firstLineChars="100"/>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0.08</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3.00</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0.19</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ind w:firstLine="420" w:firstLineChars="20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0.11</w:t>
            </w:r>
          </w:p>
        </w:tc>
      </w:tr>
      <w:tr>
        <w:tblPrEx>
          <w:tblCellMar>
            <w:top w:w="0" w:type="dxa"/>
            <w:left w:w="0" w:type="dxa"/>
            <w:bottom w:w="0" w:type="dxa"/>
            <w:right w:w="0" w:type="dxa"/>
          </w:tblCellMar>
        </w:tblPrEx>
        <w:trPr>
          <w:trHeight w:val="454"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w:t>
            </w:r>
          </w:p>
        </w:tc>
        <w:tc>
          <w:tcPr>
            <w:tcW w:w="181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合计</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18.00</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10.46</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18</w:t>
            </w:r>
            <w:r>
              <w:rPr>
                <w:rFonts w:hint="eastAsia" w:asciiTheme="minorEastAsia" w:hAnsiTheme="minorEastAsia" w:eastAsiaTheme="minorEastAsia" w:cstheme="minorEastAsia"/>
                <w:color w:val="000000"/>
                <w:sz w:val="21"/>
                <w:szCs w:val="21"/>
              </w:rPr>
              <w:t>.00</w:t>
            </w:r>
          </w:p>
        </w:tc>
        <w:tc>
          <w:tcPr>
            <w:tcW w:w="9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11.14</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ind w:firstLine="420" w:firstLineChars="20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0.68</w:t>
            </w:r>
          </w:p>
        </w:tc>
      </w:tr>
    </w:tbl>
    <w:p>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1、公务用车：202</w:t>
      </w:r>
      <w:r>
        <w:rPr>
          <w:rFonts w:ascii="仿宋_GB2312" w:eastAsia="仿宋_GB2312" w:cs="DengXian-Regular"/>
          <w:sz w:val="32"/>
          <w:szCs w:val="32"/>
        </w:rPr>
        <w:t>1</w:t>
      </w:r>
      <w:r>
        <w:rPr>
          <w:rFonts w:hint="eastAsia" w:ascii="仿宋_GB2312" w:eastAsia="仿宋_GB2312" w:cs="DengXian-Regular"/>
          <w:sz w:val="32"/>
          <w:szCs w:val="32"/>
        </w:rPr>
        <w:t>年底区文广旅游局单位车辆合计</w:t>
      </w:r>
      <w:r>
        <w:rPr>
          <w:rFonts w:ascii="仿宋_GB2312" w:eastAsia="仿宋_GB2312" w:cs="DengXian-Regular"/>
          <w:sz w:val="32"/>
          <w:szCs w:val="32"/>
        </w:rPr>
        <w:t>5</w:t>
      </w:r>
      <w:r>
        <w:rPr>
          <w:rFonts w:hint="eastAsia" w:ascii="仿宋_GB2312" w:eastAsia="仿宋_GB2312" w:cs="DengXian-Regular"/>
          <w:sz w:val="32"/>
          <w:szCs w:val="32"/>
        </w:rPr>
        <w:t>辆，其中公务用车用车</w:t>
      </w:r>
      <w:r>
        <w:rPr>
          <w:rFonts w:ascii="仿宋_GB2312" w:eastAsia="仿宋_GB2312" w:cs="DengXian-Regular"/>
          <w:sz w:val="32"/>
          <w:szCs w:val="32"/>
        </w:rPr>
        <w:t>5</w:t>
      </w:r>
      <w:r>
        <w:rPr>
          <w:rFonts w:hint="eastAsia" w:ascii="仿宋_GB2312" w:eastAsia="仿宋_GB2312" w:cs="DengXian-Regular"/>
          <w:sz w:val="32"/>
          <w:szCs w:val="32"/>
        </w:rPr>
        <w:t>辆，其他用车</w:t>
      </w:r>
      <w:r>
        <w:rPr>
          <w:rFonts w:ascii="仿宋_GB2312" w:eastAsia="仿宋_GB2312" w:cs="DengXian-Regular"/>
          <w:sz w:val="32"/>
          <w:szCs w:val="32"/>
        </w:rPr>
        <w:t>0</w:t>
      </w:r>
      <w:r>
        <w:rPr>
          <w:rFonts w:hint="eastAsia" w:ascii="仿宋_GB2312" w:eastAsia="仿宋_GB2312" w:cs="DengXian-Regular"/>
          <w:sz w:val="32"/>
          <w:szCs w:val="32"/>
        </w:rPr>
        <w:t>辆。202</w:t>
      </w:r>
      <w:r>
        <w:rPr>
          <w:rFonts w:ascii="仿宋_GB2312" w:eastAsia="仿宋_GB2312" w:cs="DengXian-Regular"/>
          <w:sz w:val="32"/>
          <w:szCs w:val="32"/>
        </w:rPr>
        <w:t>1</w:t>
      </w:r>
      <w:r>
        <w:rPr>
          <w:rFonts w:hint="eastAsia" w:ascii="仿宋_GB2312" w:eastAsia="仿宋_GB2312" w:cs="DengXian-Regular"/>
          <w:sz w:val="32"/>
          <w:szCs w:val="32"/>
        </w:rPr>
        <w:t>年公务用车购置及运维费年初预算</w:t>
      </w:r>
      <w:r>
        <w:rPr>
          <w:rFonts w:ascii="仿宋_GB2312" w:eastAsia="仿宋_GB2312" w:cs="DengXian-Regular"/>
          <w:sz w:val="32"/>
          <w:szCs w:val="32"/>
        </w:rPr>
        <w:t>15.00</w:t>
      </w:r>
      <w:r>
        <w:rPr>
          <w:rFonts w:hint="eastAsia" w:ascii="仿宋_GB2312" w:eastAsia="仿宋_GB2312" w:cs="DengXian-Regular"/>
          <w:sz w:val="32"/>
          <w:szCs w:val="32"/>
        </w:rPr>
        <w:t>万元，全部为公务用车运行维护费，实际支出</w:t>
      </w:r>
      <w:r>
        <w:rPr>
          <w:rFonts w:ascii="仿宋_GB2312" w:eastAsia="仿宋_GB2312" w:cs="DengXian-Regular"/>
          <w:sz w:val="32"/>
          <w:szCs w:val="32"/>
        </w:rPr>
        <w:t>10.95</w:t>
      </w:r>
      <w:r>
        <w:rPr>
          <w:rFonts w:hint="eastAsia" w:ascii="仿宋_GB2312" w:eastAsia="仿宋_GB2312" w:cs="DengXian-Regular"/>
          <w:sz w:val="32"/>
          <w:szCs w:val="32"/>
        </w:rPr>
        <w:t>万元，比预算减少</w:t>
      </w:r>
      <w:r>
        <w:rPr>
          <w:rFonts w:ascii="仿宋_GB2312" w:eastAsia="仿宋_GB2312" w:cs="DengXian-Regular"/>
          <w:sz w:val="32"/>
          <w:szCs w:val="32"/>
        </w:rPr>
        <w:t>4.05</w:t>
      </w:r>
      <w:r>
        <w:rPr>
          <w:rFonts w:hint="eastAsia" w:ascii="仿宋_GB2312" w:eastAsia="仿宋_GB2312" w:cs="DengXian-Regular"/>
          <w:sz w:val="32"/>
          <w:szCs w:val="32"/>
        </w:rPr>
        <w:t>万元，节约率</w:t>
      </w:r>
      <w:r>
        <w:rPr>
          <w:rFonts w:ascii="仿宋_GB2312" w:eastAsia="仿宋_GB2312" w:cs="DengXian-Regular"/>
          <w:sz w:val="32"/>
          <w:szCs w:val="32"/>
        </w:rPr>
        <w:t>27.00</w:t>
      </w:r>
      <w:r>
        <w:rPr>
          <w:rFonts w:hint="eastAsia" w:ascii="仿宋_GB2312" w:eastAsia="仿宋_GB2312" w:cs="DengXian-Regular"/>
          <w:sz w:val="32"/>
          <w:szCs w:val="32"/>
        </w:rPr>
        <w:t>%。202</w:t>
      </w:r>
      <w:r>
        <w:rPr>
          <w:rFonts w:ascii="仿宋_GB2312" w:eastAsia="仿宋_GB2312" w:cs="DengXian-Regular"/>
          <w:sz w:val="32"/>
          <w:szCs w:val="32"/>
        </w:rPr>
        <w:t>1</w:t>
      </w:r>
      <w:r>
        <w:rPr>
          <w:rFonts w:hint="eastAsia" w:ascii="仿宋_GB2312" w:eastAsia="仿宋_GB2312" w:cs="DengXian-Regular"/>
          <w:sz w:val="32"/>
          <w:szCs w:val="32"/>
        </w:rPr>
        <w:t>年预算数与</w:t>
      </w:r>
      <w:r>
        <w:rPr>
          <w:rFonts w:ascii="仿宋_GB2312" w:eastAsia="仿宋_GB2312" w:cs="DengXian-Regular"/>
          <w:sz w:val="32"/>
          <w:szCs w:val="32"/>
        </w:rPr>
        <w:t>2020</w:t>
      </w:r>
      <w:r>
        <w:rPr>
          <w:rFonts w:hint="eastAsia" w:ascii="仿宋_GB2312" w:eastAsia="仿宋_GB2312" w:cs="DengXian-Regular"/>
          <w:sz w:val="32"/>
          <w:szCs w:val="32"/>
        </w:rPr>
        <w:t>年预算相比无变化，决算数与</w:t>
      </w:r>
      <w:r>
        <w:rPr>
          <w:rFonts w:ascii="仿宋_GB2312" w:eastAsia="仿宋_GB2312" w:cs="DengXian-Regular"/>
          <w:sz w:val="32"/>
          <w:szCs w:val="32"/>
        </w:rPr>
        <w:t>2020</w:t>
      </w:r>
      <w:r>
        <w:rPr>
          <w:rFonts w:hint="eastAsia" w:ascii="仿宋_GB2312" w:eastAsia="仿宋_GB2312" w:cs="DengXian-Regular"/>
          <w:sz w:val="32"/>
          <w:szCs w:val="32"/>
        </w:rPr>
        <w:t>年实际支出相比，减少</w:t>
      </w:r>
      <w:r>
        <w:rPr>
          <w:rFonts w:ascii="仿宋_GB2312" w:eastAsia="仿宋_GB2312" w:cs="DengXian-Regular"/>
          <w:sz w:val="32"/>
          <w:szCs w:val="32"/>
        </w:rPr>
        <w:t>0.0.57</w:t>
      </w:r>
      <w:r>
        <w:rPr>
          <w:rFonts w:hint="eastAsia" w:ascii="仿宋_GB2312" w:eastAsia="仿宋_GB2312" w:cs="DengXian-Regular"/>
          <w:sz w:val="32"/>
          <w:szCs w:val="32"/>
        </w:rPr>
        <w:t>万元。</w:t>
      </w:r>
    </w:p>
    <w:p>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2、公务接待：202</w:t>
      </w:r>
      <w:r>
        <w:rPr>
          <w:rFonts w:ascii="仿宋_GB2312" w:eastAsia="仿宋_GB2312" w:cs="DengXian-Regular"/>
          <w:sz w:val="32"/>
          <w:szCs w:val="32"/>
        </w:rPr>
        <w:t>1</w:t>
      </w:r>
      <w:r>
        <w:rPr>
          <w:rFonts w:hint="eastAsia" w:ascii="仿宋_GB2312" w:eastAsia="仿宋_GB2312" w:cs="DengXian-Regular"/>
          <w:sz w:val="32"/>
          <w:szCs w:val="32"/>
        </w:rPr>
        <w:t>年区文广旅局单位公务接待费年初预算</w:t>
      </w:r>
      <w:r>
        <w:rPr>
          <w:rFonts w:ascii="仿宋_GB2312" w:eastAsia="仿宋_GB2312" w:cs="DengXian-Regular"/>
          <w:sz w:val="32"/>
          <w:szCs w:val="32"/>
        </w:rPr>
        <w:t>3.00</w:t>
      </w:r>
      <w:r>
        <w:rPr>
          <w:rFonts w:hint="eastAsia" w:ascii="仿宋_GB2312" w:eastAsia="仿宋_GB2312" w:cs="DengXian-Regular"/>
          <w:sz w:val="32"/>
          <w:szCs w:val="32"/>
        </w:rPr>
        <w:t>万元，实际支出</w:t>
      </w:r>
      <w:r>
        <w:rPr>
          <w:rFonts w:ascii="仿宋_GB2312" w:eastAsia="仿宋_GB2312" w:cs="DengXian-Regular"/>
          <w:sz w:val="32"/>
          <w:szCs w:val="32"/>
        </w:rPr>
        <w:t>0.19</w:t>
      </w:r>
      <w:r>
        <w:rPr>
          <w:rFonts w:hint="eastAsia" w:ascii="仿宋_GB2312" w:eastAsia="仿宋_GB2312" w:cs="DengXian-Regular"/>
          <w:sz w:val="32"/>
          <w:szCs w:val="32"/>
        </w:rPr>
        <w:t>万元，比预算减少了</w:t>
      </w:r>
      <w:r>
        <w:rPr>
          <w:rFonts w:ascii="仿宋_GB2312" w:eastAsia="仿宋_GB2312" w:cs="DengXian-Regular"/>
          <w:sz w:val="32"/>
          <w:szCs w:val="32"/>
        </w:rPr>
        <w:t>2.81</w:t>
      </w:r>
      <w:r>
        <w:rPr>
          <w:rFonts w:hint="eastAsia" w:ascii="仿宋_GB2312" w:eastAsia="仿宋_GB2312" w:cs="DengXian-Regular"/>
          <w:sz w:val="32"/>
          <w:szCs w:val="32"/>
        </w:rPr>
        <w:t>万元，节约率</w:t>
      </w:r>
      <w:r>
        <w:rPr>
          <w:rFonts w:ascii="仿宋_GB2312" w:eastAsia="仿宋_GB2312" w:cs="DengXian-Regular"/>
          <w:sz w:val="32"/>
          <w:szCs w:val="32"/>
        </w:rPr>
        <w:t>93.66</w:t>
      </w:r>
      <w:r>
        <w:rPr>
          <w:rFonts w:hint="eastAsia" w:ascii="仿宋_GB2312" w:eastAsia="仿宋_GB2312" w:cs="DengXian-Regular"/>
          <w:sz w:val="32"/>
          <w:szCs w:val="32"/>
        </w:rPr>
        <w:t>%。202</w:t>
      </w:r>
      <w:r>
        <w:rPr>
          <w:rFonts w:ascii="仿宋_GB2312" w:eastAsia="仿宋_GB2312" w:cs="DengXian-Regular"/>
          <w:sz w:val="32"/>
          <w:szCs w:val="32"/>
        </w:rPr>
        <w:t>1</w:t>
      </w:r>
      <w:r>
        <w:rPr>
          <w:rFonts w:hint="eastAsia" w:ascii="仿宋_GB2312" w:eastAsia="仿宋_GB2312" w:cs="DengXian-Regular"/>
          <w:sz w:val="32"/>
          <w:szCs w:val="32"/>
        </w:rPr>
        <w:t>年预算数与</w:t>
      </w:r>
      <w:r>
        <w:rPr>
          <w:rFonts w:ascii="仿宋_GB2312" w:eastAsia="仿宋_GB2312" w:cs="DengXian-Regular"/>
          <w:sz w:val="32"/>
          <w:szCs w:val="32"/>
        </w:rPr>
        <w:t>2020</w:t>
      </w:r>
      <w:r>
        <w:rPr>
          <w:rFonts w:hint="eastAsia" w:ascii="仿宋_GB2312" w:eastAsia="仿宋_GB2312" w:cs="DengXian-Regular"/>
          <w:sz w:val="32"/>
          <w:szCs w:val="32"/>
        </w:rPr>
        <w:t>年预算相比无变化，决算数与</w:t>
      </w:r>
      <w:r>
        <w:rPr>
          <w:rFonts w:ascii="仿宋_GB2312" w:eastAsia="仿宋_GB2312" w:cs="DengXian-Regular"/>
          <w:sz w:val="32"/>
          <w:szCs w:val="32"/>
        </w:rPr>
        <w:t>2020</w:t>
      </w:r>
      <w:r>
        <w:rPr>
          <w:rFonts w:hint="eastAsia" w:ascii="仿宋_GB2312" w:eastAsia="仿宋_GB2312" w:cs="DengXian-Regular"/>
          <w:sz w:val="32"/>
          <w:szCs w:val="32"/>
        </w:rPr>
        <w:t>年实际支出相比，增加</w:t>
      </w:r>
      <w:r>
        <w:rPr>
          <w:rFonts w:ascii="仿宋_GB2312" w:eastAsia="仿宋_GB2312" w:cs="DengXian-Regular"/>
          <w:sz w:val="32"/>
          <w:szCs w:val="32"/>
        </w:rPr>
        <w:t>0.68</w:t>
      </w:r>
      <w:r>
        <w:rPr>
          <w:rFonts w:hint="eastAsia" w:ascii="仿宋_GB2312" w:eastAsia="仿宋_GB2312" w:cs="DengXian-Regular"/>
          <w:sz w:val="32"/>
          <w:szCs w:val="32"/>
        </w:rPr>
        <w:t>万元。</w:t>
      </w:r>
    </w:p>
    <w:p>
      <w:pPr>
        <w:pStyle w:val="3"/>
        <w:spacing w:before="0" w:after="0" w:line="360" w:lineRule="auto"/>
        <w:ind w:firstLine="643" w:firstLineChars="200"/>
        <w:rPr>
          <w:rFonts w:ascii="黑体" w:hAnsiTheme="minorEastAsia"/>
          <w:u w:color="000000"/>
        </w:rPr>
      </w:pPr>
      <w:bookmarkStart w:id="16" w:name="_Toc20454"/>
      <w:bookmarkStart w:id="17" w:name="_Toc492652770"/>
      <w:bookmarkStart w:id="18" w:name="_Toc465149504"/>
      <w:r>
        <w:rPr>
          <w:rFonts w:hint="eastAsia" w:ascii="黑体"/>
        </w:rPr>
        <w:t>二、部门整体支出绩效评价指标体系设定情况</w:t>
      </w:r>
      <w:bookmarkEnd w:id="16"/>
      <w:bookmarkEnd w:id="17"/>
    </w:p>
    <w:p>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根据绩效预算管理改革的有关政策和文件规定，并与区文广旅局单位沟通，绩效评价工作组以绩效预算架构为指导，以部门预算文本及相关资料为基础，制定了部门整体支出绩效评价指标体系。</w:t>
      </w:r>
    </w:p>
    <w:p>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部门整体支出绩效评价指标体系设置一级指标4个，二级指标7个，三级指标27个（详见附件3）。指标体系设定满分100分，绩效评价分值≥90为“优”；80≤分值＜90为“良”；60≤分值＜80为“中”；60分以下为“差”。评价指标体系具体构成如下：</w:t>
      </w:r>
      <w:bookmarkStart w:id="19" w:name="_Toc492652771"/>
      <w:bookmarkStart w:id="20" w:name="_Toc9569"/>
    </w:p>
    <w:p>
      <w:pPr>
        <w:spacing w:after="0" w:line="360" w:lineRule="auto"/>
        <w:ind w:firstLine="643" w:firstLineChars="200"/>
        <w:jc w:val="both"/>
        <w:rPr>
          <w:rFonts w:ascii="楷体_GB2312" w:eastAsia="楷体_GB2312" w:cs="Times New Roman" w:hAnsiTheme="minorEastAsia"/>
          <w:b/>
          <w:bCs/>
          <w:kern w:val="2"/>
          <w:sz w:val="32"/>
          <w:szCs w:val="32"/>
          <w:u w:color="000000"/>
        </w:rPr>
      </w:pPr>
      <w:r>
        <w:rPr>
          <w:rFonts w:hint="eastAsia" w:ascii="楷体_GB2312" w:eastAsia="楷体_GB2312" w:cs="Times New Roman" w:hAnsiTheme="minorEastAsia"/>
          <w:b/>
          <w:bCs/>
          <w:kern w:val="2"/>
          <w:sz w:val="32"/>
          <w:szCs w:val="32"/>
          <w:u w:color="000000"/>
        </w:rPr>
        <w:t>（一）投入（12分）</w:t>
      </w:r>
      <w:bookmarkEnd w:id="19"/>
      <w:bookmarkEnd w:id="20"/>
    </w:p>
    <w:p>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主要反映绩效目标设定是否合理、科学，绩效指标的制定是否清晰、可衡量，预算编制是否完整，项目预算是否细化及在职人员控制情况。</w:t>
      </w:r>
    </w:p>
    <w:p>
      <w:pPr>
        <w:keepNext/>
        <w:widowControl w:val="0"/>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投入指标指标分值为12分，下设2个二级指标：绩效目标设定和预算配置，6个三级指标：绩效目标合理性、绩效目标科学性、绩效指标明确性、预算编制完整性、项目预算细化率、在职人员控制率。</w:t>
      </w:r>
    </w:p>
    <w:p>
      <w:pPr>
        <w:pStyle w:val="4"/>
        <w:spacing w:before="0" w:after="0"/>
        <w:ind w:firstLine="643" w:firstLineChars="200"/>
        <w:jc w:val="both"/>
        <w:rPr>
          <w:rFonts w:ascii="楷体" w:hAnsi="楷体" w:eastAsia="楷体"/>
          <w:sz w:val="32"/>
        </w:rPr>
      </w:pPr>
      <w:bookmarkStart w:id="21" w:name="_Toc30221"/>
      <w:bookmarkStart w:id="22" w:name="_Toc492652772"/>
      <w:r>
        <w:rPr>
          <w:rFonts w:hint="eastAsia" w:ascii="楷体" w:hAnsi="楷体" w:eastAsia="楷体"/>
          <w:kern w:val="2"/>
          <w:sz w:val="32"/>
        </w:rPr>
        <w:t>（二）过程（48分）</w:t>
      </w:r>
      <w:bookmarkEnd w:id="21"/>
      <w:bookmarkEnd w:id="22"/>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主要反映预算调整、收入及支出完成情况，“三公”经费、政府采购执行情况，财务管理是否规范、资金使用是否合规，决算真实性。</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过程指标指标分值为48分，下设3个二级指标：预算执行、预算管理和绩效评价，14个三级指标：预算收入调整率、收入完成率、预算支出调整率、财政拨款支出完成率、“三公”经费控制率、政府采购执行率、资金使用合规性、决算真实性、管理制度健全性、预决算信息公开性、基础信息完整性、资产管理规范性、绩效自评覆盖率、绩效评价优等率。</w:t>
      </w:r>
    </w:p>
    <w:p>
      <w:pPr>
        <w:pStyle w:val="4"/>
        <w:spacing w:before="0" w:after="0"/>
        <w:ind w:firstLine="643" w:firstLineChars="200"/>
        <w:jc w:val="both"/>
        <w:rPr>
          <w:rFonts w:ascii="楷体" w:hAnsi="楷体" w:eastAsia="楷体"/>
          <w:kern w:val="2"/>
          <w:sz w:val="32"/>
        </w:rPr>
      </w:pPr>
      <w:bookmarkStart w:id="23" w:name="_Toc492652773"/>
      <w:bookmarkStart w:id="24" w:name="_Toc24932"/>
      <w:r>
        <w:rPr>
          <w:rFonts w:hint="eastAsia" w:ascii="楷体" w:hAnsi="楷体" w:eastAsia="楷体"/>
          <w:kern w:val="2"/>
          <w:sz w:val="32"/>
        </w:rPr>
        <w:t>（三）产出（25分）</w:t>
      </w:r>
      <w:bookmarkEnd w:id="23"/>
      <w:bookmarkEnd w:id="24"/>
    </w:p>
    <w:p>
      <w:pPr>
        <w:spacing w:after="0" w:line="360" w:lineRule="auto"/>
        <w:ind w:firstLine="640" w:firstLineChars="200"/>
        <w:jc w:val="both"/>
        <w:textAlignment w:val="baseline"/>
        <w:rPr>
          <w:rFonts w:ascii="仿宋_GB2312" w:eastAsia="仿宋_GB2312" w:cs="DengXian-Regular"/>
          <w:sz w:val="32"/>
          <w:szCs w:val="32"/>
        </w:rPr>
      </w:pPr>
      <w:bookmarkStart w:id="25" w:name="_Toc492652774"/>
      <w:r>
        <w:rPr>
          <w:rFonts w:hint="eastAsia" w:ascii="仿宋_GB2312" w:eastAsia="仿宋_GB2312" w:cs="DengXian-Regular"/>
          <w:sz w:val="32"/>
          <w:szCs w:val="32"/>
        </w:rPr>
        <w:t>主要反映结转结余率，项目资金使用率</w:t>
      </w:r>
      <w:bookmarkStart w:id="80" w:name="_GoBack"/>
      <w:bookmarkEnd w:id="80"/>
      <w:r>
        <w:rPr>
          <w:rFonts w:hint="eastAsia" w:ascii="仿宋_GB2312" w:eastAsia="仿宋_GB2312" w:cs="DengXian-Regular"/>
          <w:sz w:val="32"/>
          <w:szCs w:val="32"/>
        </w:rPr>
        <w:t>。</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产出指标指标分值为25分，下设1个二级指标：责任履行，5个三级指标：结转结余率、项目资金使用率。</w:t>
      </w:r>
    </w:p>
    <w:p>
      <w:pPr>
        <w:pStyle w:val="4"/>
        <w:spacing w:before="0" w:after="0"/>
        <w:ind w:firstLine="643" w:firstLineChars="200"/>
        <w:jc w:val="both"/>
        <w:rPr>
          <w:rFonts w:ascii="楷体_GB2312" w:eastAsia="楷体_GB2312" w:hAnsiTheme="minorEastAsia"/>
          <w:sz w:val="32"/>
        </w:rPr>
      </w:pPr>
      <w:bookmarkStart w:id="26" w:name="_Toc21821"/>
      <w:r>
        <w:rPr>
          <w:rFonts w:hint="eastAsia" w:ascii="楷体_GB2312" w:eastAsia="楷体_GB2312" w:hAnsiTheme="minorEastAsia"/>
          <w:kern w:val="2"/>
          <w:sz w:val="32"/>
        </w:rPr>
        <w:t>（四）效果（15分）</w:t>
      </w:r>
      <w:bookmarkEnd w:id="25"/>
      <w:bookmarkEnd w:id="26"/>
    </w:p>
    <w:p>
      <w:pPr>
        <w:spacing w:after="0" w:line="360" w:lineRule="auto"/>
        <w:ind w:firstLine="640" w:firstLineChars="200"/>
        <w:jc w:val="both"/>
        <w:textAlignment w:val="baseline"/>
        <w:rPr>
          <w:rFonts w:ascii="仿宋_GB2312" w:eastAsia="仿宋_GB2312" w:cs="DengXian-Regular"/>
          <w:sz w:val="32"/>
          <w:szCs w:val="32"/>
        </w:rPr>
      </w:pPr>
      <w:bookmarkStart w:id="27" w:name="_Toc492652775"/>
      <w:r>
        <w:rPr>
          <w:rFonts w:hint="eastAsia" w:ascii="仿宋_GB2312" w:eastAsia="仿宋_GB2312" w:cs="DengXian-Regular"/>
          <w:sz w:val="32"/>
          <w:szCs w:val="32"/>
        </w:rPr>
        <w:t>主要反映部门履行职责对社会发展所带来的直接或间接效益及社会公众或部门的服务对象对部门履职效果的满意程度。</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效果指标指标分值15分，下设1个二级指标：履职效率，2个三级指标：部门整体效益和考核满意度。</w:t>
      </w:r>
    </w:p>
    <w:p>
      <w:pPr>
        <w:pStyle w:val="3"/>
        <w:spacing w:before="0" w:after="0" w:line="360" w:lineRule="auto"/>
        <w:ind w:firstLine="643" w:firstLineChars="200"/>
        <w:rPr>
          <w:rFonts w:ascii="黑体"/>
        </w:rPr>
      </w:pPr>
      <w:bookmarkStart w:id="28" w:name="_Toc11842"/>
      <w:r>
        <w:rPr>
          <w:rFonts w:hint="eastAsia" w:ascii="黑体"/>
        </w:rPr>
        <w:t>三、综合绩效评价工作情况</w:t>
      </w:r>
      <w:bookmarkEnd w:id="18"/>
      <w:bookmarkEnd w:id="27"/>
      <w:bookmarkEnd w:id="28"/>
      <w:bookmarkStart w:id="29" w:name="_Toc465149505"/>
      <w:bookmarkStart w:id="30" w:name="_Toc492652776"/>
    </w:p>
    <w:p>
      <w:pPr>
        <w:pStyle w:val="4"/>
        <w:spacing w:before="0" w:after="0"/>
        <w:ind w:firstLine="643" w:firstLineChars="200"/>
        <w:jc w:val="both"/>
        <w:rPr>
          <w:rFonts w:ascii="楷体_GB2312" w:eastAsia="楷体_GB2312" w:hAnsiTheme="minorEastAsia"/>
          <w:sz w:val="32"/>
        </w:rPr>
      </w:pPr>
      <w:bookmarkStart w:id="31" w:name="_Toc17138"/>
      <w:r>
        <w:rPr>
          <w:rFonts w:hint="eastAsia" w:ascii="楷体_GB2312" w:eastAsia="楷体_GB2312" w:hAnsiTheme="minorEastAsia"/>
          <w:kern w:val="2"/>
          <w:sz w:val="32"/>
        </w:rPr>
        <w:t>（一）绩效评价目的</w:t>
      </w:r>
      <w:bookmarkEnd w:id="29"/>
      <w:bookmarkEnd w:id="30"/>
      <w:bookmarkEnd w:id="31"/>
    </w:p>
    <w:p>
      <w:pPr>
        <w:spacing w:after="0" w:line="360" w:lineRule="auto"/>
        <w:ind w:firstLine="640" w:firstLineChars="200"/>
        <w:jc w:val="both"/>
        <w:textAlignment w:val="baseline"/>
        <w:rPr>
          <w:rFonts w:ascii="仿宋_GB2312" w:eastAsia="仿宋_GB2312" w:cs="DengXian-Regular"/>
          <w:sz w:val="32"/>
          <w:szCs w:val="32"/>
        </w:rPr>
      </w:pPr>
      <w:bookmarkStart w:id="32" w:name="_Toc465149506"/>
      <w:bookmarkStart w:id="33" w:name="_Toc492652777"/>
      <w:r>
        <w:rPr>
          <w:rFonts w:hint="eastAsia" w:ascii="仿宋_GB2312" w:eastAsia="仿宋_GB2312" w:cs="DengXian-Regular"/>
          <w:sz w:val="32"/>
          <w:szCs w:val="32"/>
        </w:rPr>
        <w:t>通过对区文广旅局单位202</w:t>
      </w:r>
      <w:r>
        <w:rPr>
          <w:rFonts w:ascii="仿宋_GB2312" w:eastAsia="仿宋_GB2312" w:cs="DengXian-Regular"/>
          <w:sz w:val="32"/>
          <w:szCs w:val="32"/>
        </w:rPr>
        <w:t>1</w:t>
      </w:r>
      <w:r>
        <w:rPr>
          <w:rFonts w:hint="eastAsia" w:ascii="仿宋_GB2312" w:eastAsia="仿宋_GB2312" w:cs="DengXian-Regular"/>
          <w:sz w:val="32"/>
          <w:szCs w:val="32"/>
        </w:rPr>
        <w:t>年部门整体支出绩效评价，了解部门整体资金预算情况、实际收支情况及结转结余情况；绩效目标和指标的设置及完成情况；部门履职对社会发展所带来的直接或间接影响及服务对象对部门履职效果的满意程度。</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部门整体支出绩效评价工作促使相关部门根据绩效评价过程中发现的问题，及时整改并总结经验，提高部门管理水平，牢固树立预算绩效理念，强化部门支出责任，提高预算执行效率和财政资金使用效益。</w:t>
      </w:r>
    </w:p>
    <w:p>
      <w:pPr>
        <w:pStyle w:val="4"/>
        <w:spacing w:before="0" w:after="0"/>
        <w:ind w:firstLine="643" w:firstLineChars="200"/>
        <w:jc w:val="both"/>
        <w:rPr>
          <w:rFonts w:ascii="楷体_GB2312" w:eastAsia="楷体_GB2312" w:hAnsiTheme="minorEastAsia"/>
          <w:kern w:val="2"/>
          <w:sz w:val="32"/>
        </w:rPr>
      </w:pPr>
      <w:bookmarkStart w:id="34" w:name="_Toc11607"/>
      <w:r>
        <w:rPr>
          <w:rFonts w:hint="eastAsia" w:ascii="楷体_GB2312" w:eastAsia="楷体_GB2312" w:hAnsiTheme="minorEastAsia"/>
          <w:kern w:val="2"/>
          <w:sz w:val="32"/>
        </w:rPr>
        <w:t>（二）绩效评价依据</w:t>
      </w:r>
      <w:bookmarkEnd w:id="32"/>
      <w:bookmarkEnd w:id="33"/>
      <w:bookmarkEnd w:id="34"/>
    </w:p>
    <w:p>
      <w:pPr>
        <w:spacing w:after="0" w:line="360" w:lineRule="auto"/>
        <w:ind w:firstLine="640" w:firstLineChars="200"/>
        <w:jc w:val="both"/>
        <w:textAlignment w:val="baseline"/>
        <w:rPr>
          <w:rFonts w:ascii="仿宋_GB2312" w:eastAsia="仿宋_GB2312" w:cs="DengXian-Regular"/>
          <w:sz w:val="32"/>
          <w:szCs w:val="32"/>
        </w:rPr>
      </w:pPr>
      <w:bookmarkStart w:id="35" w:name="_Toc465149507"/>
      <w:r>
        <w:rPr>
          <w:rFonts w:hint="eastAsia" w:ascii="仿宋_GB2312" w:eastAsia="仿宋_GB2312" w:cs="DengXian-Regular"/>
          <w:sz w:val="32"/>
          <w:szCs w:val="32"/>
        </w:rPr>
        <w:t>1.</w:t>
      </w:r>
      <w:r>
        <w:rPr>
          <w:rFonts w:ascii="仿宋_GB2312" w:eastAsia="仿宋_GB2312" w:cs="DengXian-Regular"/>
          <w:sz w:val="32"/>
          <w:szCs w:val="32"/>
        </w:rPr>
        <w:t>《中华人民共和国预算法》；</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2.中共中央国务院《关于全面实施预算绩效管理的意见》（中发〔2018〕34号）；</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w:t>
      </w:r>
      <w:r>
        <w:rPr>
          <w:rFonts w:ascii="仿宋_GB2312" w:eastAsia="仿宋_GB2312" w:cs="DengXian-Regular"/>
          <w:sz w:val="32"/>
          <w:szCs w:val="32"/>
        </w:rPr>
        <w:t>《河北省财政支出绩效评价管理办法》（冀财预</w:t>
      </w:r>
      <w:r>
        <w:rPr>
          <w:rFonts w:hint="eastAsia" w:ascii="仿宋_GB2312" w:eastAsia="仿宋_GB2312" w:cs="DengXian-Regular"/>
          <w:sz w:val="32"/>
          <w:szCs w:val="32"/>
        </w:rPr>
        <w:t xml:space="preserve">〔2011〕68号）； </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4.中共河北省委河北省人民政府</w:t>
      </w:r>
      <w:r>
        <w:rPr>
          <w:rFonts w:ascii="仿宋_GB2312" w:eastAsia="仿宋_GB2312" w:cs="DengXian-Regular"/>
          <w:sz w:val="32"/>
          <w:szCs w:val="32"/>
        </w:rPr>
        <w:t>《</w:t>
      </w:r>
      <w:r>
        <w:rPr>
          <w:rFonts w:hint="eastAsia" w:ascii="仿宋_GB2312" w:eastAsia="仿宋_GB2312" w:cs="DengXian-Regular"/>
          <w:sz w:val="32"/>
          <w:szCs w:val="32"/>
        </w:rPr>
        <w:t>关于全面实施预算绩效管理的实施意见</w:t>
      </w:r>
      <w:r>
        <w:rPr>
          <w:rFonts w:ascii="仿宋_GB2312" w:eastAsia="仿宋_GB2312" w:cs="DengXian-Regular"/>
          <w:sz w:val="32"/>
          <w:szCs w:val="32"/>
        </w:rPr>
        <w:t>》（冀</w:t>
      </w:r>
      <w:r>
        <w:rPr>
          <w:rFonts w:hint="eastAsia" w:ascii="仿宋_GB2312" w:eastAsia="仿宋_GB2312" w:cs="DengXian-Regular"/>
          <w:sz w:val="32"/>
          <w:szCs w:val="32"/>
        </w:rPr>
        <w:t>发〔2018〕54</w:t>
      </w:r>
      <w:r>
        <w:rPr>
          <w:rFonts w:ascii="仿宋_GB2312" w:eastAsia="仿宋_GB2312" w:cs="DengXian-Regular"/>
          <w:sz w:val="32"/>
          <w:szCs w:val="32"/>
        </w:rPr>
        <w:t>号）</w:t>
      </w:r>
      <w:r>
        <w:rPr>
          <w:rFonts w:hint="eastAsia" w:ascii="仿宋_GB2312" w:eastAsia="仿宋_GB2312" w:cs="DengXian-Regular"/>
          <w:sz w:val="32"/>
          <w:szCs w:val="32"/>
        </w:rPr>
        <w:t>；</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5.保定市徐水区财政局《关于印发绩效评价工作规划（2016-2020年）的通知》（徐政财字〔2016〕45号）；</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6.保定市徐水区财政局《关于印发&lt;全面实施预算绩效管理推进工作方案&gt;的通知》（徐政财字〔2019〕33号）；</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7</w:t>
      </w:r>
      <w:r>
        <w:rPr>
          <w:rFonts w:ascii="仿宋_GB2312" w:eastAsia="仿宋_GB2312" w:cs="DengXian-Regular"/>
          <w:sz w:val="32"/>
          <w:szCs w:val="32"/>
        </w:rPr>
        <w:t>.</w:t>
      </w:r>
      <w:r>
        <w:rPr>
          <w:rFonts w:hint="eastAsia"/>
        </w:rPr>
        <w:t xml:space="preserve"> </w:t>
      </w:r>
      <w:r>
        <w:rPr>
          <w:rFonts w:hint="eastAsia" w:ascii="仿宋_GB2312" w:eastAsia="仿宋_GB2312" w:cs="DengXian-Regular"/>
          <w:sz w:val="32"/>
          <w:szCs w:val="32"/>
        </w:rPr>
        <w:t>保定市徐水区财政局《关于印发保定市徐水区区级部门预算项目绩效自评管理办法的通知》（徐政财字〔2020〕9号）</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8.其他与部门绩效评价工作相关的文件。</w:t>
      </w:r>
      <w:bookmarkStart w:id="36" w:name="_Toc492652778"/>
    </w:p>
    <w:p>
      <w:pPr>
        <w:pStyle w:val="4"/>
        <w:spacing w:before="0" w:after="0"/>
        <w:ind w:firstLine="643" w:firstLineChars="200"/>
        <w:jc w:val="both"/>
        <w:rPr>
          <w:rFonts w:ascii="楷体_GB2312" w:eastAsia="楷体_GB2312" w:hAnsiTheme="minorEastAsia"/>
          <w:kern w:val="2"/>
          <w:sz w:val="32"/>
        </w:rPr>
      </w:pPr>
      <w:bookmarkStart w:id="37" w:name="_Toc7609"/>
      <w:r>
        <w:rPr>
          <w:rFonts w:hint="eastAsia" w:ascii="楷体_GB2312" w:eastAsia="楷体_GB2312" w:hAnsiTheme="minorEastAsia"/>
          <w:kern w:val="2"/>
          <w:sz w:val="32"/>
        </w:rPr>
        <w:t>（三）绩效评价</w:t>
      </w:r>
      <w:bookmarkEnd w:id="36"/>
      <w:r>
        <w:rPr>
          <w:rFonts w:hint="eastAsia" w:ascii="楷体_GB2312" w:eastAsia="楷体_GB2312" w:hAnsiTheme="minorEastAsia"/>
          <w:kern w:val="2"/>
          <w:sz w:val="32"/>
        </w:rPr>
        <w:t>内容</w:t>
      </w:r>
      <w:bookmarkEnd w:id="37"/>
    </w:p>
    <w:bookmarkEnd w:id="35"/>
    <w:p>
      <w:pPr>
        <w:spacing w:after="0" w:line="360" w:lineRule="auto"/>
        <w:ind w:firstLine="640" w:firstLineChars="200"/>
        <w:jc w:val="both"/>
        <w:textAlignment w:val="baseline"/>
        <w:rPr>
          <w:rFonts w:ascii="仿宋_GB2312" w:eastAsia="仿宋_GB2312" w:cs="DengXian-Regular"/>
          <w:sz w:val="32"/>
          <w:szCs w:val="32"/>
        </w:rPr>
      </w:pPr>
      <w:bookmarkStart w:id="38" w:name="_Toc465149508"/>
      <w:bookmarkStart w:id="39" w:name="_Toc492652779"/>
      <w:r>
        <w:rPr>
          <w:rFonts w:hint="eastAsia" w:ascii="仿宋_GB2312" w:eastAsia="仿宋_GB2312" w:cs="DengXian-Regular"/>
          <w:sz w:val="32"/>
          <w:szCs w:val="32"/>
        </w:rPr>
        <w:t>区文广旅游局单位202</w:t>
      </w:r>
      <w:r>
        <w:rPr>
          <w:rFonts w:ascii="仿宋_GB2312" w:eastAsia="仿宋_GB2312" w:cs="DengXian-Regular"/>
          <w:sz w:val="32"/>
          <w:szCs w:val="32"/>
        </w:rPr>
        <w:t>1</w:t>
      </w:r>
      <w:r>
        <w:rPr>
          <w:rFonts w:hint="eastAsia" w:ascii="仿宋_GB2312" w:eastAsia="仿宋_GB2312" w:cs="DengXian-Regular"/>
          <w:sz w:val="32"/>
          <w:szCs w:val="32"/>
        </w:rPr>
        <w:t>年部门整体支出绩效目标和指标的设置及完成情况；资金预算情况、实际收支情况及结转结余情况；部门履职对社会发展所带来的直接或间接影响及服务对象对部门履职效果的满意程度。</w:t>
      </w:r>
    </w:p>
    <w:p>
      <w:pPr>
        <w:pStyle w:val="4"/>
        <w:spacing w:before="0" w:after="0"/>
        <w:ind w:firstLine="643" w:firstLineChars="200"/>
        <w:jc w:val="both"/>
        <w:rPr>
          <w:rFonts w:ascii="楷体_GB2312" w:eastAsia="楷体_GB2312" w:hAnsiTheme="minorEastAsia"/>
          <w:kern w:val="2"/>
          <w:sz w:val="32"/>
        </w:rPr>
      </w:pPr>
      <w:bookmarkStart w:id="40" w:name="_Toc789"/>
      <w:r>
        <w:rPr>
          <w:rFonts w:hint="eastAsia" w:ascii="楷体_GB2312" w:eastAsia="楷体_GB2312" w:hAnsiTheme="minorEastAsia"/>
          <w:kern w:val="2"/>
          <w:sz w:val="32"/>
        </w:rPr>
        <w:t>（四）绩效评价原则</w:t>
      </w:r>
      <w:bookmarkEnd w:id="40"/>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1.价值导向原则：财政支出绩效评价体系应能够反映财政支出的经济性、效益性、有效性原则，体现财政部门和项目主管部门的价值导向。</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2.重要性原则：根据指标在整个指标体系中的地位和作用进行筛选，选择最具代表性、最能反映评价要求的指标。</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3.综合性原则：将定性指标和定量指标相结合，定性分析是定量分析的基础，定量分析是定性分析的深化，两者相结合系统反映财政支出所产生的社会效益。</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4.经济性原则：指标的选取要考虑现实条件及可操作性，数据的获得应符合成本效益原则，在合理成本的基础上收集信息。</w:t>
      </w:r>
    </w:p>
    <w:p>
      <w:pPr>
        <w:pStyle w:val="4"/>
        <w:spacing w:before="0" w:after="0"/>
        <w:ind w:firstLine="643" w:firstLineChars="200"/>
        <w:jc w:val="both"/>
        <w:rPr>
          <w:rFonts w:ascii="楷体_GB2312" w:eastAsia="楷体_GB2312" w:hAnsiTheme="minorEastAsia"/>
          <w:kern w:val="2"/>
          <w:sz w:val="32"/>
        </w:rPr>
      </w:pPr>
      <w:bookmarkStart w:id="41" w:name="_Toc8171"/>
      <w:r>
        <w:rPr>
          <w:rFonts w:hint="eastAsia" w:ascii="楷体_GB2312" w:eastAsia="楷体_GB2312" w:hAnsiTheme="minorEastAsia"/>
          <w:kern w:val="2"/>
          <w:sz w:val="32"/>
        </w:rPr>
        <w:t>（五）</w:t>
      </w:r>
      <w:bookmarkEnd w:id="38"/>
      <w:bookmarkStart w:id="42" w:name="_Toc465149509"/>
      <w:r>
        <w:rPr>
          <w:rFonts w:hint="eastAsia" w:ascii="楷体_GB2312" w:eastAsia="楷体_GB2312" w:hAnsiTheme="minorEastAsia"/>
          <w:kern w:val="2"/>
          <w:sz w:val="32"/>
        </w:rPr>
        <w:t>绩效评价方法</w:t>
      </w:r>
      <w:bookmarkEnd w:id="39"/>
      <w:bookmarkEnd w:id="41"/>
      <w:bookmarkEnd w:id="42"/>
    </w:p>
    <w:p>
      <w:pPr>
        <w:spacing w:after="0" w:line="360" w:lineRule="auto"/>
        <w:ind w:firstLine="640" w:firstLineChars="200"/>
        <w:jc w:val="both"/>
        <w:textAlignment w:val="baseline"/>
        <w:rPr>
          <w:rFonts w:ascii="仿宋_GB2312" w:eastAsia="仿宋_GB2312" w:cs="DengXian-Regular"/>
          <w:sz w:val="32"/>
          <w:szCs w:val="32"/>
        </w:rPr>
      </w:pPr>
      <w:bookmarkStart w:id="43" w:name="_Toc422314152"/>
      <w:bookmarkStart w:id="44" w:name="_Toc421623217"/>
      <w:bookmarkStart w:id="45" w:name="_Toc465149510"/>
      <w:bookmarkStart w:id="46" w:name="_Toc492652780"/>
      <w:r>
        <w:rPr>
          <w:rFonts w:ascii="仿宋_GB2312" w:eastAsia="仿宋_GB2312" w:cs="DengXian-Regular"/>
          <w:sz w:val="32"/>
          <w:szCs w:val="32"/>
        </w:rPr>
        <w:t>本次评价采取</w:t>
      </w:r>
      <w:r>
        <w:rPr>
          <w:rFonts w:hint="eastAsia" w:ascii="仿宋_GB2312" w:eastAsia="仿宋_GB2312" w:cs="DengXian-Regular"/>
          <w:sz w:val="32"/>
          <w:szCs w:val="32"/>
        </w:rPr>
        <w:t>目标比较法、</w:t>
      </w:r>
      <w:r>
        <w:rPr>
          <w:rFonts w:ascii="仿宋_GB2312" w:eastAsia="仿宋_GB2312" w:cs="DengXian-Regular"/>
          <w:sz w:val="32"/>
          <w:szCs w:val="32"/>
        </w:rPr>
        <w:t>定量和定性评价相结合和综合评价相结合</w:t>
      </w:r>
      <w:r>
        <w:rPr>
          <w:rFonts w:hint="eastAsia" w:ascii="仿宋_GB2312" w:eastAsia="仿宋_GB2312" w:cs="DengXian-Regular"/>
          <w:sz w:val="32"/>
          <w:szCs w:val="32"/>
        </w:rPr>
        <w:t>的方式</w:t>
      </w:r>
      <w:r>
        <w:rPr>
          <w:rFonts w:ascii="仿宋_GB2312" w:eastAsia="仿宋_GB2312" w:cs="DengXian-Regular"/>
          <w:sz w:val="32"/>
          <w:szCs w:val="32"/>
        </w:rPr>
        <w:t>，运用审查、</w:t>
      </w:r>
      <w:r>
        <w:rPr>
          <w:rFonts w:hint="eastAsia" w:ascii="仿宋_GB2312" w:eastAsia="仿宋_GB2312" w:cs="DengXian-Regular"/>
          <w:sz w:val="32"/>
          <w:szCs w:val="32"/>
        </w:rPr>
        <w:t>询问查证和问卷调查</w:t>
      </w:r>
      <w:r>
        <w:rPr>
          <w:rFonts w:ascii="仿宋_GB2312" w:eastAsia="仿宋_GB2312" w:cs="DengXian-Regular"/>
          <w:sz w:val="32"/>
          <w:szCs w:val="32"/>
        </w:rPr>
        <w:t>等方法开展</w:t>
      </w:r>
      <w:r>
        <w:rPr>
          <w:rFonts w:hint="eastAsia" w:ascii="仿宋_GB2312" w:eastAsia="仿宋_GB2312" w:cs="DengXian-Regular"/>
          <w:sz w:val="32"/>
          <w:szCs w:val="32"/>
        </w:rPr>
        <w:t>绩效</w:t>
      </w:r>
      <w:r>
        <w:rPr>
          <w:rFonts w:ascii="仿宋_GB2312" w:eastAsia="仿宋_GB2312" w:cs="DengXian-Regular"/>
          <w:sz w:val="32"/>
          <w:szCs w:val="32"/>
        </w:rPr>
        <w:t>评价工作。</w:t>
      </w:r>
      <w:bookmarkEnd w:id="43"/>
      <w:bookmarkEnd w:id="44"/>
    </w:p>
    <w:p>
      <w:pPr>
        <w:spacing w:after="0" w:line="360" w:lineRule="auto"/>
        <w:ind w:firstLine="640" w:firstLineChars="200"/>
        <w:jc w:val="both"/>
        <w:textAlignment w:val="baseline"/>
        <w:rPr>
          <w:rFonts w:ascii="仿宋_GB2312" w:eastAsia="仿宋_GB2312" w:cs="DengXian-Regular"/>
          <w:sz w:val="32"/>
          <w:szCs w:val="32"/>
        </w:rPr>
      </w:pPr>
      <w:bookmarkStart w:id="47" w:name="_Toc421623218"/>
      <w:bookmarkStart w:id="48" w:name="_Toc422314153"/>
      <w:r>
        <w:rPr>
          <w:rFonts w:ascii="仿宋_GB2312" w:eastAsia="仿宋_GB2312" w:cs="DengXian-Regular"/>
          <w:sz w:val="32"/>
          <w:szCs w:val="32"/>
        </w:rPr>
        <w:t>1</w:t>
      </w:r>
      <w:r>
        <w:rPr>
          <w:rFonts w:hint="eastAsia" w:ascii="仿宋_GB2312" w:eastAsia="仿宋_GB2312" w:cs="DengXian-Regular"/>
          <w:sz w:val="32"/>
          <w:szCs w:val="32"/>
        </w:rPr>
        <w:t>.</w:t>
      </w:r>
      <w:r>
        <w:rPr>
          <w:rFonts w:ascii="仿宋_GB2312" w:eastAsia="仿宋_GB2312" w:cs="DengXian-Regular"/>
          <w:sz w:val="32"/>
          <w:szCs w:val="32"/>
        </w:rPr>
        <w:t>审查法：通过审查被评价单位的</w:t>
      </w:r>
      <w:r>
        <w:rPr>
          <w:rFonts w:hint="eastAsia" w:ascii="仿宋_GB2312" w:eastAsia="仿宋_GB2312" w:cs="DengXian-Regular"/>
          <w:sz w:val="32"/>
          <w:szCs w:val="32"/>
        </w:rPr>
        <w:t>预算文本</w:t>
      </w:r>
      <w:r>
        <w:rPr>
          <w:rFonts w:ascii="仿宋_GB2312" w:eastAsia="仿宋_GB2312" w:cs="DengXian-Regular"/>
          <w:sz w:val="32"/>
          <w:szCs w:val="32"/>
        </w:rPr>
        <w:t>、</w:t>
      </w:r>
      <w:r>
        <w:rPr>
          <w:rFonts w:hint="eastAsia" w:ascii="仿宋_GB2312" w:eastAsia="仿宋_GB2312" w:cs="DengXian-Regular"/>
          <w:sz w:val="32"/>
          <w:szCs w:val="32"/>
        </w:rPr>
        <w:t>决算文本</w:t>
      </w:r>
      <w:r>
        <w:rPr>
          <w:rFonts w:ascii="仿宋_GB2312" w:eastAsia="仿宋_GB2312" w:cs="DengXian-Regular"/>
          <w:sz w:val="32"/>
          <w:szCs w:val="32"/>
        </w:rPr>
        <w:t>、</w:t>
      </w:r>
      <w:r>
        <w:rPr>
          <w:rFonts w:hint="eastAsia" w:ascii="仿宋_GB2312" w:eastAsia="仿宋_GB2312" w:cs="DengXian-Regular"/>
          <w:sz w:val="32"/>
          <w:szCs w:val="32"/>
        </w:rPr>
        <w:t>会计账簿、支出凭证、项目完成情况</w:t>
      </w:r>
      <w:r>
        <w:rPr>
          <w:rFonts w:ascii="仿宋_GB2312" w:eastAsia="仿宋_GB2312" w:cs="DengXian-Regular"/>
          <w:sz w:val="32"/>
          <w:szCs w:val="32"/>
        </w:rPr>
        <w:t>等</w:t>
      </w:r>
      <w:r>
        <w:rPr>
          <w:rFonts w:hint="eastAsia" w:ascii="仿宋_GB2312" w:eastAsia="仿宋_GB2312" w:cs="DengXian-Regular"/>
          <w:sz w:val="32"/>
          <w:szCs w:val="32"/>
        </w:rPr>
        <w:t>相关</w:t>
      </w:r>
      <w:r>
        <w:rPr>
          <w:rFonts w:ascii="仿宋_GB2312" w:eastAsia="仿宋_GB2312" w:cs="DengXian-Regular"/>
          <w:sz w:val="32"/>
          <w:szCs w:val="32"/>
        </w:rPr>
        <w:t>资料，分析资金</w:t>
      </w:r>
      <w:r>
        <w:rPr>
          <w:rFonts w:hint="eastAsia" w:ascii="仿宋_GB2312" w:eastAsia="仿宋_GB2312" w:cs="DengXian-Regular"/>
          <w:sz w:val="32"/>
          <w:szCs w:val="32"/>
        </w:rPr>
        <w:t>收</w:t>
      </w:r>
      <w:r>
        <w:rPr>
          <w:rFonts w:ascii="仿宋_GB2312" w:eastAsia="仿宋_GB2312" w:cs="DengXian-Regular"/>
          <w:sz w:val="32"/>
          <w:szCs w:val="32"/>
        </w:rPr>
        <w:t>支的合理性</w:t>
      </w:r>
      <w:r>
        <w:rPr>
          <w:rFonts w:hint="eastAsia" w:ascii="仿宋_GB2312" w:eastAsia="仿宋_GB2312" w:cs="DengXian-Regular"/>
          <w:sz w:val="32"/>
          <w:szCs w:val="32"/>
        </w:rPr>
        <w:t>和</w:t>
      </w:r>
      <w:r>
        <w:rPr>
          <w:rFonts w:ascii="仿宋_GB2312" w:eastAsia="仿宋_GB2312" w:cs="DengXian-Regular"/>
          <w:sz w:val="32"/>
          <w:szCs w:val="32"/>
        </w:rPr>
        <w:t>合规性</w:t>
      </w:r>
      <w:r>
        <w:rPr>
          <w:rFonts w:hint="eastAsia" w:ascii="仿宋_GB2312" w:eastAsia="仿宋_GB2312" w:cs="DengXian-Regular"/>
          <w:sz w:val="32"/>
          <w:szCs w:val="32"/>
        </w:rPr>
        <w:t>、预算执行及管理情况、绩效目标和指标的设置及完成情况、部门整体效益</w:t>
      </w:r>
      <w:r>
        <w:rPr>
          <w:rFonts w:ascii="仿宋_GB2312" w:eastAsia="仿宋_GB2312" w:cs="DengXian-Regular"/>
          <w:sz w:val="32"/>
          <w:szCs w:val="32"/>
        </w:rPr>
        <w:t>。</w:t>
      </w:r>
      <w:bookmarkEnd w:id="47"/>
      <w:bookmarkEnd w:id="48"/>
    </w:p>
    <w:p>
      <w:pPr>
        <w:spacing w:after="0" w:line="360" w:lineRule="auto"/>
        <w:ind w:firstLine="640" w:firstLineChars="200"/>
        <w:jc w:val="both"/>
        <w:textAlignment w:val="baseline"/>
        <w:rPr>
          <w:rFonts w:ascii="仿宋_GB2312" w:eastAsia="仿宋_GB2312" w:cs="DengXian-Regular"/>
          <w:sz w:val="32"/>
          <w:szCs w:val="32"/>
        </w:rPr>
      </w:pPr>
      <w:bookmarkStart w:id="49" w:name="_Toc422314155"/>
      <w:bookmarkStart w:id="50" w:name="_Toc421623220"/>
      <w:r>
        <w:rPr>
          <w:rFonts w:hint="eastAsia" w:ascii="仿宋_GB2312" w:eastAsia="仿宋_GB2312" w:cs="DengXian-Regular"/>
          <w:sz w:val="32"/>
          <w:szCs w:val="32"/>
        </w:rPr>
        <w:t>2.询问查证</w:t>
      </w:r>
      <w:r>
        <w:rPr>
          <w:rFonts w:ascii="仿宋_GB2312" w:eastAsia="仿宋_GB2312" w:cs="DengXian-Regular"/>
          <w:sz w:val="32"/>
          <w:szCs w:val="32"/>
        </w:rPr>
        <w:t>法：</w:t>
      </w:r>
      <w:r>
        <w:rPr>
          <w:rFonts w:hint="eastAsia" w:ascii="仿宋_GB2312" w:eastAsia="仿宋_GB2312" w:cs="DengXian-Regular"/>
          <w:sz w:val="32"/>
          <w:szCs w:val="32"/>
        </w:rPr>
        <w:t>在比较分析相关资料的基础上，通过询问的形式，核查项目资料是否真实、合理，从而对部门整体支出情况作出初步的判断和评价</w:t>
      </w:r>
      <w:r>
        <w:rPr>
          <w:rFonts w:ascii="仿宋_GB2312" w:eastAsia="仿宋_GB2312" w:cs="DengXian-Regular"/>
          <w:sz w:val="32"/>
          <w:szCs w:val="32"/>
        </w:rPr>
        <w:t>。</w:t>
      </w:r>
      <w:bookmarkEnd w:id="49"/>
      <w:bookmarkEnd w:id="50"/>
    </w:p>
    <w:p>
      <w:pPr>
        <w:spacing w:after="0" w:line="360" w:lineRule="auto"/>
        <w:ind w:firstLine="640" w:firstLineChars="200"/>
        <w:jc w:val="both"/>
        <w:textAlignment w:val="baseline"/>
        <w:rPr>
          <w:rFonts w:ascii="仿宋_GB2312" w:eastAsia="仿宋_GB2312" w:cs="DengXian-Regular"/>
          <w:sz w:val="32"/>
          <w:szCs w:val="32"/>
        </w:rPr>
      </w:pPr>
      <w:bookmarkStart w:id="51" w:name="_Toc421623221"/>
      <w:bookmarkStart w:id="52" w:name="_Toc422314156"/>
      <w:r>
        <w:rPr>
          <w:rFonts w:hint="eastAsia" w:ascii="仿宋_GB2312" w:eastAsia="仿宋_GB2312" w:cs="DengXian-Regular"/>
          <w:sz w:val="32"/>
          <w:szCs w:val="32"/>
        </w:rPr>
        <w:t>3.问卷调查</w:t>
      </w:r>
      <w:r>
        <w:rPr>
          <w:rFonts w:ascii="仿宋_GB2312" w:eastAsia="仿宋_GB2312" w:cs="DengXian-Regular"/>
          <w:sz w:val="32"/>
          <w:szCs w:val="32"/>
        </w:rPr>
        <w:t>法：通过</w:t>
      </w:r>
      <w:r>
        <w:rPr>
          <w:rFonts w:hint="eastAsia" w:ascii="仿宋_GB2312" w:eastAsia="仿宋_GB2312" w:cs="DengXian-Regular"/>
          <w:sz w:val="32"/>
          <w:szCs w:val="32"/>
        </w:rPr>
        <w:t>设计调查问卷，在一定范围内随机发放，并收集分析调查问卷，</w:t>
      </w:r>
      <w:r>
        <w:rPr>
          <w:rFonts w:ascii="仿宋_GB2312" w:eastAsia="仿宋_GB2312" w:cs="DengXian-Regular"/>
          <w:sz w:val="32"/>
          <w:szCs w:val="32"/>
        </w:rPr>
        <w:t>对财政支出的效果进行</w:t>
      </w:r>
      <w:r>
        <w:rPr>
          <w:rFonts w:hint="eastAsia" w:ascii="仿宋_GB2312" w:eastAsia="仿宋_GB2312" w:cs="DengXian-Regular"/>
          <w:sz w:val="32"/>
          <w:szCs w:val="32"/>
        </w:rPr>
        <w:t>评价</w:t>
      </w:r>
      <w:r>
        <w:rPr>
          <w:rFonts w:ascii="仿宋_GB2312" w:eastAsia="仿宋_GB2312" w:cs="DengXian-Regular"/>
          <w:sz w:val="32"/>
          <w:szCs w:val="32"/>
        </w:rPr>
        <w:t>，</w:t>
      </w:r>
      <w:r>
        <w:rPr>
          <w:rFonts w:hint="eastAsia" w:ascii="仿宋_GB2312" w:eastAsia="仿宋_GB2312" w:cs="DengXian-Regular"/>
          <w:sz w:val="32"/>
          <w:szCs w:val="32"/>
        </w:rPr>
        <w:t>了解服务对象对部门履职效果</w:t>
      </w:r>
      <w:r>
        <w:rPr>
          <w:rFonts w:ascii="仿宋_GB2312" w:eastAsia="仿宋_GB2312" w:cs="DengXian-Regular"/>
          <w:sz w:val="32"/>
          <w:szCs w:val="32"/>
        </w:rPr>
        <w:t>的满意</w:t>
      </w:r>
      <w:r>
        <w:rPr>
          <w:rFonts w:hint="eastAsia" w:ascii="仿宋_GB2312" w:eastAsia="仿宋_GB2312" w:cs="DengXian-Regular"/>
          <w:sz w:val="32"/>
          <w:szCs w:val="32"/>
        </w:rPr>
        <w:t>程</w:t>
      </w:r>
      <w:r>
        <w:rPr>
          <w:rFonts w:ascii="仿宋_GB2312" w:eastAsia="仿宋_GB2312" w:cs="DengXian-Regular"/>
          <w:sz w:val="32"/>
          <w:szCs w:val="32"/>
        </w:rPr>
        <w:t>度。</w:t>
      </w:r>
      <w:bookmarkEnd w:id="51"/>
      <w:bookmarkEnd w:id="52"/>
      <w:bookmarkStart w:id="53" w:name="_Toc20821"/>
    </w:p>
    <w:p>
      <w:pPr>
        <w:spacing w:after="0" w:line="360" w:lineRule="auto"/>
        <w:ind w:firstLine="643" w:firstLineChars="200"/>
        <w:jc w:val="both"/>
        <w:textAlignment w:val="baseline"/>
        <w:rPr>
          <w:rFonts w:ascii="楷体_GB2312" w:eastAsia="楷体_GB2312" w:hAnsiTheme="minorEastAsia"/>
          <w:b/>
          <w:bCs/>
          <w:kern w:val="2"/>
          <w:sz w:val="32"/>
        </w:rPr>
      </w:pPr>
      <w:r>
        <w:rPr>
          <w:rFonts w:hint="eastAsia" w:ascii="楷体_GB2312" w:eastAsia="楷体_GB2312" w:hAnsiTheme="minorEastAsia"/>
          <w:b/>
          <w:bCs/>
          <w:kern w:val="2"/>
          <w:sz w:val="32"/>
        </w:rPr>
        <w:t>（六）绩效评价工作过程</w:t>
      </w:r>
      <w:bookmarkEnd w:id="45"/>
      <w:bookmarkEnd w:id="46"/>
      <w:bookmarkEnd w:id="53"/>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本次绩效评价工作经过了前期准备、绩效评价实施方案和指标体系制定、组织实施、绩效评价报告撰写四个阶段。</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1.前期准备阶段</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经与区文广旅游局单位充分沟通，并充分收集相关资料，主要包括部门职责、工作活动、预决算文本、相关管理制度、资金使用等相关资料，为制定绩效评价实施方案和指标体系奠定了基础。</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2.制定绩效评价实施方案和体系</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基于对区文广旅游局单位相关资料的收集，制定绩效评价实施方案和体系,确定最终方案。</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3.组织实施阶段</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绩效评价实施方案和指标体系，对区文广旅游局单位开展评价工作，包括查看预决算文本及部门工作活动绩效目标和指标；比对预决算的调整及执行情况；核查固定资产管理的规范性；核查明细账与决算报表项目的一致性；对项目产出情况进行了解查看；随机选取服务对象进行满意度调查；对一些专业的问题咨询相关专家等。根据收集的数据、资料进行核对、比较、计算，对部门整体支出进行评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4.撰写绩效评价报告</w:t>
      </w:r>
      <w:bookmarkStart w:id="54" w:name="_Toc492652781"/>
      <w:bookmarkStart w:id="55" w:name="_Toc465149511"/>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在完成对各评价指标评分定级的基础上，开始进行报告撰写工作。</w:t>
      </w:r>
    </w:p>
    <w:p>
      <w:pPr>
        <w:pStyle w:val="3"/>
        <w:spacing w:before="0" w:after="0" w:line="360" w:lineRule="auto"/>
        <w:ind w:firstLine="643" w:firstLineChars="200"/>
        <w:rPr>
          <w:rFonts w:ascii="黑体"/>
        </w:rPr>
      </w:pPr>
      <w:bookmarkStart w:id="56" w:name="_Toc6467"/>
      <w:r>
        <w:rPr>
          <w:rFonts w:hint="eastAsia" w:ascii="黑体"/>
        </w:rPr>
        <w:t>四、</w:t>
      </w:r>
      <w:bookmarkEnd w:id="54"/>
      <w:bookmarkEnd w:id="55"/>
      <w:bookmarkStart w:id="57" w:name="_Toc492652782"/>
      <w:r>
        <w:rPr>
          <w:rFonts w:hint="eastAsia" w:ascii="黑体"/>
        </w:rPr>
        <w:t>绩效评价评分情况</w:t>
      </w:r>
      <w:bookmarkEnd w:id="56"/>
    </w:p>
    <w:bookmarkEnd w:id="57"/>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DengXian-Regular"/>
          <w:sz w:val="32"/>
          <w:szCs w:val="32"/>
        </w:rPr>
        <w:t>区全国旅游局单位部门整体支出绩效评价总得分为</w:t>
      </w:r>
      <w:r>
        <w:rPr>
          <w:rFonts w:ascii="仿宋_GB2312" w:eastAsia="仿宋_GB2312" w:cs="DengXian-Regular"/>
          <w:sz w:val="32"/>
          <w:szCs w:val="32"/>
        </w:rPr>
        <w:t>94.2</w:t>
      </w:r>
      <w:r>
        <w:rPr>
          <w:rFonts w:hint="eastAsia" w:ascii="仿宋_GB2312" w:eastAsia="仿宋_GB2312" w:cs="DengXian-Regular"/>
          <w:sz w:val="32"/>
          <w:szCs w:val="32"/>
        </w:rPr>
        <w:t>分，综合绩效评价等级为“优”。各项得分情况如下</w:t>
      </w:r>
      <w:r>
        <w:rPr>
          <w:rFonts w:hint="eastAsia" w:ascii="仿宋_GB2312" w:eastAsia="仿宋_GB2312" w:cs="Times New Roman" w:hAnsiTheme="minorEastAsia"/>
          <w:sz w:val="32"/>
          <w:szCs w:val="32"/>
          <w:u w:color="000000"/>
        </w:rPr>
        <w:t>：</w:t>
      </w:r>
      <w:r>
        <w:rPr>
          <w:rFonts w:ascii="仿宋_GB2312" w:eastAsia="仿宋_GB2312" w:cs="Times New Roman" w:hAnsiTheme="minorEastAsia"/>
          <w:sz w:val="32"/>
          <w:szCs w:val="32"/>
          <w:u w:color="000000"/>
        </w:rPr>
        <w:t xml:space="preserve"> </w:t>
      </w:r>
    </w:p>
    <w:p>
      <w:pPr>
        <w:pStyle w:val="4"/>
        <w:spacing w:before="0" w:after="0"/>
        <w:ind w:firstLine="643" w:firstLineChars="200"/>
        <w:jc w:val="both"/>
        <w:rPr>
          <w:rFonts w:ascii="楷体_GB2312" w:eastAsia="楷体_GB2312" w:hAnsiTheme="minorEastAsia"/>
          <w:kern w:val="2"/>
          <w:sz w:val="32"/>
        </w:rPr>
      </w:pPr>
      <w:bookmarkStart w:id="58" w:name="_Toc492652783"/>
      <w:bookmarkStart w:id="59" w:name="_Toc4390"/>
      <w:r>
        <w:rPr>
          <w:rFonts w:hint="eastAsia" w:ascii="楷体_GB2312" w:eastAsia="楷体_GB2312" w:hAnsiTheme="minorEastAsia"/>
          <w:kern w:val="2"/>
          <w:sz w:val="32"/>
        </w:rPr>
        <w:t>（一）</w:t>
      </w:r>
      <w:bookmarkEnd w:id="58"/>
      <w:r>
        <w:rPr>
          <w:rFonts w:hint="eastAsia" w:ascii="楷体_GB2312" w:eastAsia="楷体_GB2312" w:hAnsiTheme="minorEastAsia"/>
          <w:kern w:val="2"/>
          <w:sz w:val="32"/>
        </w:rPr>
        <w:t>投入（12分）</w:t>
      </w:r>
      <w:bookmarkEnd w:id="59"/>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DengXian-Regular"/>
          <w:sz w:val="32"/>
          <w:szCs w:val="32"/>
        </w:rPr>
        <w:t>该一级指标包含绩效目标设定和预算配置两个二级指标，主要反映绩效目标设定是否合理、科学，绩效指标的制定是否清晰、可衡量，预算编制是否完整，项目预算是否细化及在职人员控制情况。</w:t>
      </w:r>
      <w:r>
        <w:rPr>
          <w:rFonts w:hint="eastAsia" w:ascii="仿宋_GB2312" w:eastAsia="仿宋_GB2312" w:cs="Times New Roman" w:hAnsiTheme="minorEastAsia"/>
          <w:sz w:val="32"/>
          <w:szCs w:val="32"/>
          <w:u w:color="000000"/>
        </w:rPr>
        <w:tab/>
      </w:r>
    </w:p>
    <w:p>
      <w:pPr>
        <w:spacing w:after="0" w:line="360" w:lineRule="auto"/>
        <w:jc w:val="center"/>
        <w:textAlignment w:val="baseline"/>
        <w:rPr>
          <w:rFonts w:asciiTheme="minorEastAsia" w:hAnsiTheme="minorEastAsia" w:eastAsiaTheme="minorEastAsia" w:cstheme="minorEastAsia"/>
          <w:b/>
          <w:bCs/>
          <w:sz w:val="32"/>
          <w:szCs w:val="32"/>
          <w:u w:color="000000"/>
        </w:rPr>
      </w:pPr>
      <w:r>
        <w:rPr>
          <w:rFonts w:hint="eastAsia" w:asciiTheme="minorEastAsia" w:hAnsiTheme="minorEastAsia" w:eastAsiaTheme="minorEastAsia" w:cstheme="minorEastAsia"/>
          <w:b/>
          <w:bCs/>
          <w:sz w:val="32"/>
          <w:szCs w:val="32"/>
          <w:u w:color="000000"/>
        </w:rPr>
        <w:t>表2  投入指标及得分情况表</w:t>
      </w:r>
    </w:p>
    <w:tbl>
      <w:tblPr>
        <w:tblStyle w:val="23"/>
        <w:tblW w:w="0" w:type="auto"/>
        <w:tblInd w:w="7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59"/>
        <w:gridCol w:w="1418"/>
        <w:gridCol w:w="1701"/>
        <w:gridCol w:w="1276"/>
        <w:gridCol w:w="11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exact"/>
        </w:trPr>
        <w:tc>
          <w:tcPr>
            <w:tcW w:w="1559" w:type="dxa"/>
            <w:vAlign w:val="center"/>
          </w:tcPr>
          <w:p>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一级指标</w:t>
            </w:r>
          </w:p>
        </w:tc>
        <w:tc>
          <w:tcPr>
            <w:tcW w:w="1418" w:type="dxa"/>
            <w:vAlign w:val="center"/>
          </w:tcPr>
          <w:p>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二级指标</w:t>
            </w:r>
          </w:p>
        </w:tc>
        <w:tc>
          <w:tcPr>
            <w:tcW w:w="1701" w:type="dxa"/>
            <w:vAlign w:val="center"/>
          </w:tcPr>
          <w:p>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三级指标</w:t>
            </w:r>
          </w:p>
        </w:tc>
        <w:tc>
          <w:tcPr>
            <w:tcW w:w="1276" w:type="dxa"/>
            <w:vAlign w:val="center"/>
          </w:tcPr>
          <w:p>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分值权重</w:t>
            </w:r>
          </w:p>
        </w:tc>
        <w:tc>
          <w:tcPr>
            <w:tcW w:w="1134" w:type="dxa"/>
            <w:vAlign w:val="center"/>
          </w:tcPr>
          <w:p>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restart"/>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投入</w:t>
            </w:r>
          </w:p>
          <w:p>
            <w:pPr>
              <w:spacing w:line="420" w:lineRule="exact"/>
              <w:jc w:val="center"/>
              <w:rPr>
                <w:rFonts w:cs="宋体" w:asciiTheme="minorEastAsia" w:hAnsiTheme="minorEastAsia" w:eastAsiaTheme="minorEastAsia"/>
                <w:sz w:val="21"/>
                <w:szCs w:val="21"/>
                <w:highlight w:val="yellow"/>
              </w:rPr>
            </w:pPr>
            <w:r>
              <w:rPr>
                <w:rFonts w:hint="eastAsia" w:cs="宋体" w:asciiTheme="minorEastAsia" w:hAnsiTheme="minorEastAsia" w:eastAsiaTheme="minorEastAsia"/>
                <w:sz w:val="21"/>
                <w:szCs w:val="21"/>
              </w:rPr>
              <w:t>（12分）</w:t>
            </w:r>
          </w:p>
        </w:tc>
        <w:tc>
          <w:tcPr>
            <w:tcW w:w="1418" w:type="dxa"/>
            <w:vMerge w:val="restart"/>
            <w:vAlign w:val="center"/>
          </w:tcPr>
          <w:p>
            <w:pPr>
              <w:spacing w:line="420" w:lineRule="exact"/>
              <w:jc w:val="center"/>
              <w:rPr>
                <w:rFonts w:cs="宋体" w:asciiTheme="minorEastAsia" w:hAnsiTheme="minorEastAsia" w:eastAsiaTheme="minorEastAsia"/>
                <w:sz w:val="21"/>
                <w:szCs w:val="21"/>
                <w:highlight w:val="yellow"/>
              </w:rPr>
            </w:pPr>
            <w:r>
              <w:rPr>
                <w:rFonts w:hint="eastAsia" w:cs="宋体" w:asciiTheme="minorEastAsia" w:hAnsiTheme="minorEastAsia" w:eastAsiaTheme="minorEastAsia"/>
                <w:sz w:val="21"/>
                <w:szCs w:val="21"/>
              </w:rPr>
              <w:t>绩效目标设定（6分）</w:t>
            </w:r>
          </w:p>
        </w:tc>
        <w:tc>
          <w:tcPr>
            <w:tcW w:w="1701"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绩效目标合理性</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continue"/>
            <w:vAlign w:val="center"/>
          </w:tcPr>
          <w:p>
            <w:pPr>
              <w:spacing w:line="420" w:lineRule="exact"/>
              <w:ind w:firstLine="420" w:firstLineChars="200"/>
              <w:jc w:val="center"/>
              <w:rPr>
                <w:rFonts w:cs="宋体" w:asciiTheme="minorEastAsia" w:hAnsiTheme="minorEastAsia" w:eastAsiaTheme="minorEastAsia"/>
                <w:sz w:val="21"/>
                <w:szCs w:val="21"/>
                <w:highlight w:val="yellow"/>
              </w:rPr>
            </w:pPr>
          </w:p>
        </w:tc>
        <w:tc>
          <w:tcPr>
            <w:tcW w:w="1701"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绩效目标科学性</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continue"/>
            <w:vAlign w:val="center"/>
          </w:tcPr>
          <w:p>
            <w:pPr>
              <w:spacing w:line="420" w:lineRule="exact"/>
              <w:ind w:firstLine="420" w:firstLineChars="200"/>
              <w:jc w:val="center"/>
              <w:rPr>
                <w:rFonts w:cs="宋体" w:asciiTheme="minorEastAsia" w:hAnsiTheme="minorEastAsia" w:eastAsiaTheme="minorEastAsia"/>
                <w:sz w:val="21"/>
                <w:szCs w:val="21"/>
                <w:highlight w:val="yellow"/>
              </w:rPr>
            </w:pPr>
          </w:p>
        </w:tc>
        <w:tc>
          <w:tcPr>
            <w:tcW w:w="1701"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绩效指标明确性</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restart"/>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预算配置</w:t>
            </w:r>
          </w:p>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（6分）</w:t>
            </w:r>
          </w:p>
        </w:tc>
        <w:tc>
          <w:tcPr>
            <w:tcW w:w="1701"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预算编制完整性</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continue"/>
            <w:vAlign w:val="center"/>
          </w:tcPr>
          <w:p>
            <w:pPr>
              <w:spacing w:line="420" w:lineRule="exact"/>
              <w:ind w:firstLine="420" w:firstLineChars="200"/>
              <w:jc w:val="center"/>
              <w:rPr>
                <w:rFonts w:cs="宋体" w:asciiTheme="minorEastAsia" w:hAnsiTheme="minorEastAsia" w:eastAsiaTheme="minorEastAsia"/>
                <w:sz w:val="21"/>
                <w:szCs w:val="21"/>
                <w:highlight w:val="yellow"/>
              </w:rPr>
            </w:pPr>
          </w:p>
        </w:tc>
        <w:tc>
          <w:tcPr>
            <w:tcW w:w="1701"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项目预算细化率</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continue"/>
            <w:vAlign w:val="center"/>
          </w:tcPr>
          <w:p>
            <w:pPr>
              <w:spacing w:line="420" w:lineRule="exact"/>
              <w:ind w:firstLine="420" w:firstLineChars="200"/>
              <w:jc w:val="center"/>
              <w:rPr>
                <w:rFonts w:cs="宋体" w:asciiTheme="minorEastAsia" w:hAnsiTheme="minorEastAsia" w:eastAsiaTheme="minorEastAsia"/>
                <w:sz w:val="21"/>
                <w:szCs w:val="21"/>
                <w:highlight w:val="yellow"/>
              </w:rPr>
            </w:pPr>
          </w:p>
        </w:tc>
        <w:tc>
          <w:tcPr>
            <w:tcW w:w="1701"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在职人员控制率</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2977" w:type="dxa"/>
            <w:gridSpan w:val="2"/>
            <w:vAlign w:val="center"/>
          </w:tcPr>
          <w:p>
            <w:pPr>
              <w:spacing w:line="420" w:lineRule="exact"/>
              <w:ind w:firstLine="420" w:firstLineChars="200"/>
              <w:jc w:val="center"/>
              <w:rPr>
                <w:rFonts w:cs="宋体" w:asciiTheme="minorEastAsia" w:hAnsiTheme="minorEastAsia" w:eastAsiaTheme="minorEastAsia"/>
                <w:sz w:val="21"/>
                <w:szCs w:val="21"/>
                <w:highlight w:val="yellow"/>
              </w:rPr>
            </w:pPr>
            <w:r>
              <w:rPr>
                <w:rFonts w:hint="eastAsia" w:cs="宋体" w:asciiTheme="minorEastAsia" w:hAnsiTheme="minorEastAsia" w:eastAsiaTheme="minorEastAsia"/>
                <w:sz w:val="21"/>
                <w:szCs w:val="21"/>
              </w:rPr>
              <w:t>合计</w:t>
            </w:r>
          </w:p>
        </w:tc>
        <w:tc>
          <w:tcPr>
            <w:tcW w:w="1701" w:type="dxa"/>
            <w:vAlign w:val="center"/>
          </w:tcPr>
          <w:p>
            <w:pPr>
              <w:spacing w:line="420" w:lineRule="exact"/>
              <w:ind w:firstLine="420" w:firstLineChars="200"/>
              <w:jc w:val="center"/>
              <w:rPr>
                <w:rFonts w:cs="宋体" w:asciiTheme="minorEastAsia" w:hAnsiTheme="minorEastAsia" w:eastAsiaTheme="minorEastAsia"/>
                <w:sz w:val="21"/>
                <w:szCs w:val="21"/>
                <w:highlight w:val="yellow"/>
              </w:rPr>
            </w:pP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12</w:t>
            </w:r>
          </w:p>
        </w:tc>
        <w:tc>
          <w:tcPr>
            <w:tcW w:w="1134"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12</w:t>
            </w:r>
          </w:p>
        </w:tc>
      </w:tr>
    </w:tbl>
    <w:p>
      <w:pPr>
        <w:spacing w:after="0" w:line="360" w:lineRule="auto"/>
        <w:ind w:firstLine="640" w:firstLineChars="200"/>
        <w:jc w:val="both"/>
        <w:textAlignment w:val="baseline"/>
        <w:rPr>
          <w:rFonts w:ascii="仿宋_GB2312" w:eastAsia="仿宋_GB2312" w:cs="DengXian-Regular"/>
          <w:sz w:val="32"/>
          <w:szCs w:val="32"/>
        </w:rPr>
      </w:pPr>
      <w:bookmarkStart w:id="60" w:name="_Toc465149513"/>
      <w:bookmarkStart w:id="61" w:name="_Toc464638478"/>
      <w:r>
        <w:rPr>
          <w:rFonts w:hint="eastAsia" w:ascii="仿宋_GB2312" w:eastAsia="仿宋_GB2312" w:cs="DengXian-Regular"/>
          <w:sz w:val="32"/>
          <w:szCs w:val="32"/>
        </w:rPr>
        <w:t>1.绩效目标设定（6分）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（1）绩效目标合理性(2分)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的职责设定是否符合“三定”方案中所赋予的职责；工作活动是否与部门职责、工作规划和重点工作相关；工作活动项下确定的预算项目是否合理，是否与工作活动密切相关；工作活动和项目预算安排是否合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通过对比保定市徐水区委办公室及保定市徐水区人民政府办公室印发的《保定市徐水区文化广电和旅游局单位职能配置内设机构和人员编制规定》和徐水区文广旅游局单位202</w:t>
      </w:r>
      <w:r>
        <w:rPr>
          <w:rFonts w:ascii="仿宋_GB2312" w:eastAsia="仿宋_GB2312" w:cs="DengXian-Regular"/>
          <w:sz w:val="32"/>
          <w:szCs w:val="32"/>
        </w:rPr>
        <w:t>1</w:t>
      </w:r>
      <w:r>
        <w:rPr>
          <w:rFonts w:hint="eastAsia" w:ascii="仿宋_GB2312" w:eastAsia="仿宋_GB2312" w:cs="DengXian-Regular"/>
          <w:sz w:val="32"/>
          <w:szCs w:val="32"/>
        </w:rPr>
        <w:t>年预算文本—部门职责工作活动绩效目标，评价工作组认为区文广旅游局单位部门职责符合“三定”方案中所赋予的职责，绩效目标设立依据充分，符合客观实际，与部门职责、工作规划和重点工作相关，工作活动和项目预算安排合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（2）绩效目标科学性（2分）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预算批复的部门年度发展规划目标和部门职责分类绩效目标是否充分，是否与部门履职、年度工作任务相符；工作活动是否有明确的绩效目标，绩效目标是否与部门职责目标、部门年度工作目标一致，是否能体现工作活动的产出和效果。</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根据区文广旅游局单位202</w:t>
      </w:r>
      <w:r>
        <w:rPr>
          <w:rFonts w:ascii="仿宋_GB2312" w:eastAsia="仿宋_GB2312" w:cs="DengXian-Regular"/>
          <w:sz w:val="32"/>
          <w:szCs w:val="32"/>
        </w:rPr>
        <w:t>1</w:t>
      </w:r>
      <w:r>
        <w:rPr>
          <w:rFonts w:hint="eastAsia" w:ascii="仿宋_GB2312" w:eastAsia="仿宋_GB2312" w:cs="DengXian-Regular"/>
          <w:sz w:val="32"/>
          <w:szCs w:val="32"/>
        </w:rPr>
        <w:t>年预算文本—部门职责工作活动绩效目标（详见附件4），绩效目标与部门履职、年度工作任务相符；工作活动有明确的绩效目标，绩效目标与部门职责目标、部门年度工作目标一致。</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（3）绩效目标明确性（2分）</w:t>
      </w:r>
    </w:p>
    <w:p>
      <w:pPr>
        <w:spacing w:after="0" w:line="360" w:lineRule="auto"/>
        <w:ind w:firstLine="640" w:firstLineChars="200"/>
        <w:jc w:val="both"/>
        <w:textAlignment w:val="baseline"/>
        <w:rPr>
          <w:rFonts w:ascii="仿宋_GB2312" w:eastAsia="仿宋_GB2312" w:cs="DengXian-Regular"/>
          <w:sz w:val="32"/>
          <w:szCs w:val="32"/>
          <w:highlight w:val="yellow"/>
        </w:rPr>
      </w:pPr>
      <w:r>
        <w:rPr>
          <w:rFonts w:hint="eastAsia" w:ascii="仿宋_GB2312" w:eastAsia="仿宋_GB2312" w:cs="DengXian-Regular"/>
          <w:sz w:val="32"/>
          <w:szCs w:val="32"/>
        </w:rPr>
        <w:t>该指标主要评价是否将部门整体的绩效目标细化分解为具体的工作任务，工作活动、预算项目绩效指标是否清晰、细化、可评价、可衡量；工作活动、预算项目绩效指标的评价标准是否清晰、可衡量；是否与部门年度的任务数或计划数相对应。</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根据区文广旅游局单位202</w:t>
      </w:r>
      <w:r>
        <w:rPr>
          <w:rFonts w:ascii="仿宋_GB2312" w:eastAsia="仿宋_GB2312" w:cs="DengXian-Regular"/>
          <w:sz w:val="32"/>
          <w:szCs w:val="32"/>
        </w:rPr>
        <w:t>1</w:t>
      </w:r>
      <w:r>
        <w:rPr>
          <w:rFonts w:hint="eastAsia" w:ascii="仿宋_GB2312" w:eastAsia="仿宋_GB2312" w:cs="DengXian-Regular"/>
          <w:sz w:val="32"/>
          <w:szCs w:val="32"/>
        </w:rPr>
        <w:t>年预算文本—部门职责工作活动绩效目标,该指标实际得分</w:t>
      </w:r>
      <w:r>
        <w:rPr>
          <w:rFonts w:ascii="仿宋_GB2312" w:eastAsia="仿宋_GB2312" w:cs="DengXian-Regular"/>
          <w:sz w:val="32"/>
          <w:szCs w:val="32"/>
        </w:rPr>
        <w:t>2</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2.预算配置（6分）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（1）预算编制完整性（2分）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该指标主要评价部门所有收入是否全部纳入部门预算，部门支出预算是否统筹各类支出，按基本支出、项目支出分别编制。</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根据区文广旅游局单位202</w:t>
      </w:r>
      <w:r>
        <w:rPr>
          <w:rFonts w:ascii="仿宋_GB2312" w:eastAsia="仿宋_GB2312" w:cs="DengXian-Regular"/>
          <w:sz w:val="32"/>
          <w:szCs w:val="32"/>
        </w:rPr>
        <w:t>1</w:t>
      </w:r>
      <w:r>
        <w:rPr>
          <w:rFonts w:hint="eastAsia" w:ascii="仿宋_GB2312" w:eastAsia="仿宋_GB2312" w:cs="DengXian-Regular"/>
          <w:sz w:val="32"/>
          <w:szCs w:val="32"/>
        </w:rPr>
        <w:t>年预算文本及相关会计资料，区文广旅游局单位所有收入均已纳入部门预算，部门支出按基本支出、项目支出分别编制。</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2</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（2）项目预算细化率（2分）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该指标主要评价编报的项目支出是否细化到具体用款单位和项目的资金额度，通过项目预算细化率衡量。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项目预算细化率=细化的项目金额/实际编报的项目金额×100%。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根据区文广旅游局单位202</w:t>
      </w:r>
      <w:r>
        <w:rPr>
          <w:rFonts w:ascii="仿宋_GB2312" w:eastAsia="仿宋_GB2312" w:cs="DengXian-Regular"/>
          <w:sz w:val="32"/>
          <w:szCs w:val="32"/>
        </w:rPr>
        <w:t>1</w:t>
      </w:r>
      <w:r>
        <w:rPr>
          <w:rFonts w:hint="eastAsia" w:ascii="仿宋_GB2312" w:eastAsia="仿宋_GB2312" w:cs="DengXian-Regular"/>
          <w:sz w:val="32"/>
          <w:szCs w:val="32"/>
        </w:rPr>
        <w:t>年预算文本—部门项目支出预算表，文广旅游局部门2020年预算项目共</w:t>
      </w:r>
      <w:r>
        <w:rPr>
          <w:rFonts w:ascii="仿宋_GB2312" w:eastAsia="仿宋_GB2312" w:cs="DengXian-Regular"/>
          <w:sz w:val="32"/>
          <w:szCs w:val="32"/>
        </w:rPr>
        <w:t>27</w:t>
      </w:r>
      <w:r>
        <w:rPr>
          <w:rFonts w:hint="eastAsia" w:ascii="仿宋_GB2312" w:eastAsia="仿宋_GB2312" w:cs="DengXian-Regular"/>
          <w:sz w:val="32"/>
          <w:szCs w:val="32"/>
        </w:rPr>
        <w:t>个（详见附件2-2-2），涉及资金</w:t>
      </w:r>
      <w:r>
        <w:rPr>
          <w:rFonts w:ascii="仿宋_GB2312" w:eastAsia="仿宋_GB2312" w:cs="DengXian-Regular"/>
          <w:sz w:val="32"/>
          <w:szCs w:val="32"/>
        </w:rPr>
        <w:t>747.20</w:t>
      </w:r>
      <w:r>
        <w:rPr>
          <w:rFonts w:hint="eastAsia" w:ascii="仿宋_GB2312" w:eastAsia="仿宋_GB2312" w:cs="DengXian-Regular"/>
          <w:sz w:val="32"/>
          <w:szCs w:val="32"/>
        </w:rPr>
        <w:t>万元，所有项目均细化到具体用款单位及项目资金额度。项目预算细化率=（</w:t>
      </w:r>
      <w:r>
        <w:rPr>
          <w:rFonts w:ascii="仿宋_GB2312" w:eastAsia="仿宋_GB2312" w:cs="DengXian-Regular"/>
          <w:sz w:val="32"/>
          <w:szCs w:val="32"/>
        </w:rPr>
        <w:t>747.20</w:t>
      </w:r>
      <w:r>
        <w:rPr>
          <w:rFonts w:hint="eastAsia" w:ascii="仿宋_GB2312" w:eastAsia="仿宋_GB2312" w:cs="DengXian-Regular"/>
          <w:sz w:val="32"/>
          <w:szCs w:val="32"/>
        </w:rPr>
        <w:t>/</w:t>
      </w:r>
      <w:r>
        <w:rPr>
          <w:rFonts w:ascii="仿宋_GB2312" w:eastAsia="仿宋_GB2312" w:cs="DengXian-Regular"/>
          <w:sz w:val="32"/>
          <w:szCs w:val="32"/>
        </w:rPr>
        <w:t>747.20</w:t>
      </w:r>
      <w:r>
        <w:rPr>
          <w:rFonts w:hint="eastAsia" w:ascii="仿宋_GB2312" w:eastAsia="仿宋_GB2312" w:cs="DengXian-Regular"/>
          <w:sz w:val="32"/>
          <w:szCs w:val="32"/>
        </w:rPr>
        <w:t>）*100%=100%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2</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（3）在职人员控制率（2分）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该指标主要考核截至202</w:t>
      </w:r>
      <w:r>
        <w:rPr>
          <w:rFonts w:ascii="仿宋_GB2312" w:eastAsia="仿宋_GB2312" w:cs="DengXian-Regular"/>
          <w:sz w:val="32"/>
          <w:szCs w:val="32"/>
        </w:rPr>
        <w:t>1</w:t>
      </w:r>
      <w:r>
        <w:rPr>
          <w:rFonts w:hint="eastAsia" w:ascii="仿宋_GB2312" w:eastAsia="仿宋_GB2312" w:cs="DengXian-Regular"/>
          <w:sz w:val="32"/>
          <w:szCs w:val="32"/>
        </w:rPr>
        <w:t>年底区文广旅局单位在职人员控制情况，通过在职人员控制率衡量。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在职人员控制率=决算在职人员/编制数×100%。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根据保定市徐水区委办公室及保定市徐水区人民政府办公室关于印发《保定市徐水区文化</w:t>
      </w:r>
      <w:r>
        <w:rPr>
          <w:rFonts w:ascii="仿宋_GB2312" w:eastAsia="仿宋_GB2312" w:cs="DengXian-Regular"/>
          <w:sz w:val="32"/>
          <w:szCs w:val="32"/>
        </w:rPr>
        <w:t>广</w:t>
      </w:r>
      <w:r>
        <w:rPr>
          <w:rFonts w:hint="eastAsia" w:ascii="仿宋_GB2312" w:eastAsia="仿宋_GB2312" w:cs="DengXian-Regular"/>
          <w:sz w:val="32"/>
          <w:szCs w:val="32"/>
        </w:rPr>
        <w:t>电</w:t>
      </w:r>
      <w:r>
        <w:rPr>
          <w:rFonts w:ascii="仿宋_GB2312" w:eastAsia="仿宋_GB2312" w:cs="DengXian-Regular"/>
          <w:sz w:val="32"/>
          <w:szCs w:val="32"/>
        </w:rPr>
        <w:t>和旅游局</w:t>
      </w:r>
      <w:r>
        <w:rPr>
          <w:rFonts w:hint="eastAsia" w:ascii="仿宋_GB2312" w:eastAsia="仿宋_GB2312" w:cs="DengXian-Regular"/>
          <w:sz w:val="32"/>
          <w:szCs w:val="32"/>
        </w:rPr>
        <w:t>单位职能配置内设机构和人员编制规定》的通知，文广旅游局部门人员编制为</w:t>
      </w:r>
      <w:r>
        <w:rPr>
          <w:rFonts w:ascii="仿宋_GB2312" w:eastAsia="仿宋_GB2312" w:cs="DengXian-Regular"/>
          <w:sz w:val="32"/>
          <w:szCs w:val="32"/>
        </w:rPr>
        <w:t>83</w:t>
      </w:r>
      <w:r>
        <w:rPr>
          <w:rFonts w:hint="eastAsia" w:ascii="仿宋_GB2312" w:eastAsia="仿宋_GB2312" w:cs="DengXian-Regular"/>
          <w:sz w:val="32"/>
          <w:szCs w:val="32"/>
        </w:rPr>
        <w:t>人，根据区文广旅游局单位202</w:t>
      </w:r>
      <w:r>
        <w:rPr>
          <w:rFonts w:ascii="仿宋_GB2312" w:eastAsia="仿宋_GB2312" w:cs="DengXian-Regular"/>
          <w:sz w:val="32"/>
          <w:szCs w:val="32"/>
        </w:rPr>
        <w:t>1</w:t>
      </w:r>
      <w:r>
        <w:rPr>
          <w:rFonts w:hint="eastAsia" w:ascii="仿宋_GB2312" w:eastAsia="仿宋_GB2312" w:cs="DengXian-Regular"/>
          <w:sz w:val="32"/>
          <w:szCs w:val="32"/>
        </w:rPr>
        <w:t>年决算文本-部门基本情况表，截至202</w:t>
      </w:r>
      <w:r>
        <w:rPr>
          <w:rFonts w:ascii="仿宋_GB2312" w:eastAsia="仿宋_GB2312" w:cs="DengXian-Regular"/>
          <w:sz w:val="32"/>
          <w:szCs w:val="32"/>
        </w:rPr>
        <w:t>1</w:t>
      </w:r>
      <w:r>
        <w:rPr>
          <w:rFonts w:hint="eastAsia" w:ascii="仿宋_GB2312" w:eastAsia="仿宋_GB2312" w:cs="DengXian-Regular"/>
          <w:sz w:val="32"/>
          <w:szCs w:val="32"/>
        </w:rPr>
        <w:t>年底，在职人员</w:t>
      </w:r>
      <w:r>
        <w:rPr>
          <w:rFonts w:ascii="仿宋_GB2312" w:eastAsia="仿宋_GB2312" w:cs="DengXian-Regular"/>
          <w:sz w:val="32"/>
          <w:szCs w:val="32"/>
        </w:rPr>
        <w:t>73</w:t>
      </w:r>
      <w:r>
        <w:rPr>
          <w:rFonts w:hint="eastAsia" w:ascii="仿宋_GB2312" w:eastAsia="仿宋_GB2312" w:cs="DengXian-Regular"/>
          <w:sz w:val="32"/>
          <w:szCs w:val="32"/>
        </w:rPr>
        <w:t>人，在职人员控制率=（</w:t>
      </w:r>
      <w:r>
        <w:rPr>
          <w:rFonts w:ascii="仿宋_GB2312" w:eastAsia="仿宋_GB2312" w:cs="DengXian-Regular"/>
          <w:sz w:val="32"/>
          <w:szCs w:val="32"/>
        </w:rPr>
        <w:t>73</w:t>
      </w:r>
      <w:r>
        <w:rPr>
          <w:rFonts w:hint="eastAsia" w:ascii="仿宋_GB2312" w:eastAsia="仿宋_GB2312" w:cs="DengXian-Regular"/>
          <w:sz w:val="32"/>
          <w:szCs w:val="32"/>
        </w:rPr>
        <w:t>/</w:t>
      </w:r>
      <w:r>
        <w:rPr>
          <w:rFonts w:ascii="仿宋_GB2312" w:eastAsia="仿宋_GB2312" w:cs="DengXian-Regular"/>
          <w:sz w:val="32"/>
          <w:szCs w:val="32"/>
        </w:rPr>
        <w:t>73</w:t>
      </w:r>
      <w:r>
        <w:rPr>
          <w:rFonts w:hint="eastAsia" w:ascii="仿宋_GB2312" w:eastAsia="仿宋_GB2312" w:cs="DengXian-Regular"/>
          <w:sz w:val="32"/>
          <w:szCs w:val="32"/>
        </w:rPr>
        <w:t>）*100%=100%。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2</w:t>
      </w:r>
      <w:r>
        <w:rPr>
          <w:rFonts w:hint="eastAsia" w:ascii="仿宋_GB2312" w:eastAsia="仿宋_GB2312" w:cs="DengXian-Regular"/>
          <w:sz w:val="32"/>
          <w:szCs w:val="32"/>
        </w:rPr>
        <w:t>分。</w:t>
      </w:r>
    </w:p>
    <w:bookmarkEnd w:id="60"/>
    <w:bookmarkEnd w:id="61"/>
    <w:p>
      <w:pPr>
        <w:pStyle w:val="4"/>
        <w:spacing w:before="0" w:after="0"/>
        <w:ind w:firstLine="643" w:firstLineChars="200"/>
        <w:jc w:val="both"/>
        <w:rPr>
          <w:rFonts w:ascii="楷体" w:hAnsi="楷体" w:eastAsia="楷体"/>
          <w:sz w:val="32"/>
        </w:rPr>
      </w:pPr>
      <w:bookmarkStart w:id="62" w:name="_Toc19940"/>
      <w:r>
        <w:rPr>
          <w:rFonts w:hint="eastAsia" w:ascii="楷体" w:hAnsi="楷体" w:eastAsia="楷体"/>
          <w:sz w:val="32"/>
        </w:rPr>
        <w:t>（二）过程（48分）</w:t>
      </w:r>
      <w:bookmarkEnd w:id="62"/>
    </w:p>
    <w:p>
      <w:pPr>
        <w:spacing w:after="0" w:line="360" w:lineRule="auto"/>
        <w:ind w:firstLine="640" w:firstLineChars="200"/>
        <w:jc w:val="both"/>
        <w:textAlignment w:val="baseline"/>
        <w:rPr>
          <w:rFonts w:ascii="仿宋_GB2312" w:eastAsia="仿宋_GB2312" w:cs="DengXian-Regular"/>
          <w:sz w:val="32"/>
          <w:szCs w:val="32"/>
        </w:rPr>
      </w:pPr>
      <w:bookmarkStart w:id="63" w:name="_Toc464638480"/>
      <w:r>
        <w:rPr>
          <w:rFonts w:hint="eastAsia" w:ascii="仿宋_GB2312" w:eastAsia="仿宋_GB2312" w:cs="DengXian-Regular"/>
          <w:sz w:val="32"/>
          <w:szCs w:val="32"/>
        </w:rPr>
        <w:t>该一级指标包含预算执行、预算管理和绩效评价三个二级指标，主要反映预算调整、收入支出完成情况，“三公”经费、政府采购执行情况，财务管理是否规范、资金使用是否合规，决算真实性。</w:t>
      </w:r>
    </w:p>
    <w:p>
      <w:pPr>
        <w:spacing w:after="0" w:line="360" w:lineRule="auto"/>
        <w:jc w:val="center"/>
        <w:textAlignment w:val="baseline"/>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表3  过程指标及得分情况表</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557"/>
        <w:gridCol w:w="1388"/>
        <w:gridCol w:w="2277"/>
        <w:gridCol w:w="1155"/>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一级指标</w:t>
            </w:r>
          </w:p>
        </w:tc>
        <w:tc>
          <w:tcPr>
            <w:tcW w:w="1388" w:type="dxa"/>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二级指标</w:t>
            </w:r>
          </w:p>
        </w:tc>
        <w:tc>
          <w:tcPr>
            <w:tcW w:w="2277" w:type="dxa"/>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三级指标</w:t>
            </w:r>
          </w:p>
        </w:tc>
        <w:tc>
          <w:tcPr>
            <w:tcW w:w="1155" w:type="dxa"/>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分数权重</w:t>
            </w:r>
          </w:p>
        </w:tc>
        <w:tc>
          <w:tcPr>
            <w:tcW w:w="1276" w:type="dxa"/>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restart"/>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过程（48分）</w:t>
            </w:r>
          </w:p>
        </w:tc>
        <w:tc>
          <w:tcPr>
            <w:tcW w:w="1388" w:type="dxa"/>
            <w:vMerge w:val="restart"/>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预算执行</w:t>
            </w:r>
          </w:p>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（24分）</w:t>
            </w: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预算收入调整率</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收入完成率</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预算支出调整率</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财政拨款支出完成率</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pPr>
              <w:spacing w:line="420" w:lineRule="exact"/>
              <w:jc w:val="center"/>
              <w:rPr>
                <w:rFonts w:cs="宋体" w:asciiTheme="minorEastAsia" w:hAnsiTheme="minorEastAsia" w:eastAsiaTheme="minorEastAsia"/>
                <w:sz w:val="21"/>
                <w:szCs w:val="21"/>
              </w:rPr>
            </w:pPr>
            <w:r>
              <w:rPr>
                <w:rFonts w:cs="宋体" w:asciiTheme="minorEastAsia" w:hAnsiTheme="minorEastAsia" w:eastAsiaTheme="minorEastAsia"/>
                <w:sz w:val="21"/>
                <w:szCs w:val="21"/>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“三公经费”控制率</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政府采购执行率</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pPr>
              <w:spacing w:line="420" w:lineRule="exact"/>
              <w:jc w:val="center"/>
              <w:rPr>
                <w:rFonts w:cs="宋体" w:asciiTheme="minorEastAsia" w:hAnsiTheme="minorEastAsia" w:eastAsiaTheme="minorEastAsia"/>
                <w:sz w:val="21"/>
                <w:szCs w:val="21"/>
              </w:rPr>
            </w:pPr>
            <w:r>
              <w:rPr>
                <w:rFonts w:cs="宋体" w:asciiTheme="minorEastAsia" w:hAnsiTheme="minorEastAsia" w:eastAsiaTheme="minorEastAsia"/>
                <w:sz w:val="21"/>
                <w:szCs w:val="21"/>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资金使用合规性</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决算真实性</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restart"/>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预算管理</w:t>
            </w:r>
          </w:p>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（16分）</w:t>
            </w: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管理制度健全性</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预决算信息公开</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基础信息完善性</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资产管理规范性</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restart"/>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绩效评价</w:t>
            </w:r>
          </w:p>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（8分）</w:t>
            </w: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绩效自评覆盖率</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pPr>
              <w:spacing w:line="420" w:lineRule="exact"/>
              <w:jc w:val="center"/>
              <w:rPr>
                <w:rFonts w:cs="宋体" w:asciiTheme="minorEastAsia" w:hAnsiTheme="minorEastAsia" w:eastAsiaTheme="minorEastAsia"/>
                <w:sz w:val="21"/>
                <w:szCs w:val="21"/>
              </w:rPr>
            </w:pPr>
            <w:r>
              <w:rPr>
                <w:rFonts w:cs="宋体" w:asciiTheme="minorEastAsia" w:hAnsiTheme="minorEastAsia" w:eastAsiaTheme="minorEastAsia"/>
                <w:sz w:val="21"/>
                <w:szCs w:val="21"/>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41"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绩效评价优等率</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5" w:hRule="exact"/>
          <w:jc w:val="center"/>
        </w:trPr>
        <w:tc>
          <w:tcPr>
            <w:tcW w:w="2945" w:type="dxa"/>
            <w:gridSpan w:val="2"/>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合计</w:t>
            </w:r>
          </w:p>
        </w:tc>
        <w:tc>
          <w:tcPr>
            <w:tcW w:w="2277" w:type="dxa"/>
            <w:vAlign w:val="center"/>
          </w:tcPr>
          <w:p>
            <w:pPr>
              <w:spacing w:line="420" w:lineRule="exact"/>
              <w:jc w:val="center"/>
              <w:rPr>
                <w:rFonts w:cs="宋体" w:asciiTheme="minorEastAsia" w:hAnsiTheme="minorEastAsia" w:eastAsiaTheme="minorEastAsia"/>
                <w:sz w:val="21"/>
                <w:szCs w:val="21"/>
              </w:rPr>
            </w:pP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48</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47.2</w:t>
            </w:r>
          </w:p>
        </w:tc>
      </w:tr>
      <w:bookmarkEnd w:id="63"/>
    </w:tbl>
    <w:p>
      <w:pPr>
        <w:spacing w:after="0" w:line="360" w:lineRule="auto"/>
        <w:ind w:firstLine="640" w:firstLineChars="200"/>
        <w:jc w:val="both"/>
        <w:textAlignment w:val="baseline"/>
        <w:rPr>
          <w:rFonts w:ascii="仿宋_GB2312" w:eastAsia="仿宋_GB2312" w:cs="DengXian-Regular"/>
          <w:sz w:val="32"/>
          <w:szCs w:val="32"/>
        </w:rPr>
      </w:pPr>
      <w:bookmarkStart w:id="64" w:name="_Toc465149514"/>
      <w:bookmarkStart w:id="65" w:name="_Toc464638487"/>
      <w:r>
        <w:rPr>
          <w:rFonts w:hint="eastAsia" w:ascii="仿宋_GB2312" w:eastAsia="仿宋_GB2312" w:cs="DengXian-Regular"/>
          <w:sz w:val="32"/>
          <w:szCs w:val="32"/>
        </w:rPr>
        <w:t>1.预算执行（24分）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（1）收入完成率（</w:t>
      </w:r>
      <w:r>
        <w:rPr>
          <w:rFonts w:ascii="仿宋_GB2312" w:eastAsia="仿宋_GB2312" w:cs="DengXian-Regular"/>
          <w:sz w:val="32"/>
          <w:szCs w:val="32"/>
        </w:rPr>
        <w:t>6</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该指标主要评价部门预算收入的完成情况，用以反映部门预算收入的完成程度，通过收入完成率衡量。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收入完成率=（决算收入/预算收入）×100%。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根据区文广旅局单位202</w:t>
      </w:r>
      <w:r>
        <w:rPr>
          <w:rFonts w:ascii="仿宋_GB2312" w:eastAsia="仿宋_GB2312" w:cs="DengXian-Regular"/>
          <w:sz w:val="32"/>
          <w:szCs w:val="32"/>
        </w:rPr>
        <w:t>1</w:t>
      </w:r>
      <w:r>
        <w:rPr>
          <w:rFonts w:hint="eastAsia" w:ascii="仿宋_GB2312" w:eastAsia="仿宋_GB2312" w:cs="DengXian-Regular"/>
          <w:sz w:val="32"/>
          <w:szCs w:val="32"/>
        </w:rPr>
        <w:t>年预算文本、决算文本，202</w:t>
      </w:r>
      <w:r>
        <w:rPr>
          <w:rFonts w:ascii="仿宋_GB2312" w:eastAsia="仿宋_GB2312" w:cs="DengXian-Regular"/>
          <w:sz w:val="32"/>
          <w:szCs w:val="32"/>
        </w:rPr>
        <w:t>1</w:t>
      </w:r>
      <w:r>
        <w:rPr>
          <w:rFonts w:hint="eastAsia" w:ascii="仿宋_GB2312" w:eastAsia="仿宋_GB2312" w:cs="DengXian-Regular"/>
          <w:sz w:val="32"/>
          <w:szCs w:val="32"/>
        </w:rPr>
        <w:t>年收入预算数</w:t>
      </w:r>
      <w:r>
        <w:rPr>
          <w:rFonts w:ascii="仿宋_GB2312" w:eastAsia="仿宋_GB2312" w:cs="DengXian-Regular"/>
          <w:sz w:val="32"/>
          <w:szCs w:val="32"/>
        </w:rPr>
        <w:t>2022.63</w:t>
      </w:r>
      <w:r>
        <w:rPr>
          <w:rFonts w:hint="eastAsia" w:ascii="仿宋_GB2312" w:eastAsia="仿宋_GB2312" w:cs="DengXian-Regular"/>
          <w:sz w:val="32"/>
          <w:szCs w:val="32"/>
        </w:rPr>
        <w:t>万元，收入决算数</w:t>
      </w:r>
      <w:r>
        <w:rPr>
          <w:rFonts w:ascii="仿宋_GB2312" w:eastAsia="仿宋_GB2312" w:cs="DengXian-Regular"/>
          <w:sz w:val="32"/>
          <w:szCs w:val="32"/>
        </w:rPr>
        <w:t>1749.23</w:t>
      </w:r>
      <w:r>
        <w:rPr>
          <w:rFonts w:hint="eastAsia" w:ascii="仿宋_GB2312" w:eastAsia="仿宋_GB2312" w:cs="DengXian-Regular"/>
          <w:sz w:val="32"/>
          <w:szCs w:val="32"/>
        </w:rPr>
        <w:t>万元，收入完成率=（1</w:t>
      </w:r>
      <w:r>
        <w:rPr>
          <w:rFonts w:ascii="仿宋_GB2312" w:eastAsia="仿宋_GB2312" w:cs="DengXian-Regular"/>
          <w:sz w:val="32"/>
          <w:szCs w:val="32"/>
        </w:rPr>
        <w:t>749.23</w:t>
      </w:r>
      <w:r>
        <w:rPr>
          <w:rFonts w:hint="eastAsia" w:ascii="仿宋_GB2312" w:eastAsia="仿宋_GB2312" w:cs="DengXian-Regular"/>
          <w:sz w:val="32"/>
          <w:szCs w:val="32"/>
        </w:rPr>
        <w:t>/2</w:t>
      </w:r>
      <w:r>
        <w:rPr>
          <w:rFonts w:ascii="仿宋_GB2312" w:eastAsia="仿宋_GB2312" w:cs="DengXian-Regular"/>
          <w:sz w:val="32"/>
          <w:szCs w:val="32"/>
        </w:rPr>
        <w:t>022.63</w:t>
      </w:r>
      <w:r>
        <w:rPr>
          <w:rFonts w:hint="eastAsia" w:ascii="仿宋_GB2312" w:eastAsia="仿宋_GB2312" w:cs="DengXian-Regular"/>
          <w:sz w:val="32"/>
          <w:szCs w:val="32"/>
        </w:rPr>
        <w:t>）*100%=</w:t>
      </w:r>
      <w:r>
        <w:rPr>
          <w:rFonts w:ascii="仿宋_GB2312" w:eastAsia="仿宋_GB2312" w:cs="DengXian-Regular"/>
          <w:sz w:val="32"/>
          <w:szCs w:val="32"/>
        </w:rPr>
        <w:t>86.48</w:t>
      </w:r>
      <w:r>
        <w:rPr>
          <w:rFonts w:hint="eastAsia" w:ascii="仿宋_GB2312" w:eastAsia="仿宋_GB2312" w:cs="DengXian-Regular"/>
          <w:sz w:val="32"/>
          <w:szCs w:val="32"/>
        </w:rPr>
        <w:t>%。</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6</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（2）财政拨款支出完成率（</w:t>
      </w:r>
      <w:r>
        <w:rPr>
          <w:rFonts w:ascii="仿宋_GB2312" w:eastAsia="仿宋_GB2312" w:cs="DengXian-Regular"/>
          <w:sz w:val="32"/>
          <w:szCs w:val="32"/>
        </w:rPr>
        <w:t>6</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该指标主要评价部门财政拨款的支出进度，通过财政拨款支出完成率来衡量。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财政拨款支出完成率=（部门决算财政拨款支出/部门决算财政拨款收入）*100%。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区文广旅局单位提供的202</w:t>
      </w:r>
      <w:r>
        <w:rPr>
          <w:rFonts w:ascii="仿宋_GB2312" w:eastAsia="仿宋_GB2312" w:cs="DengXian-Regular"/>
          <w:sz w:val="32"/>
          <w:szCs w:val="32"/>
        </w:rPr>
        <w:t>1</w:t>
      </w:r>
      <w:r>
        <w:rPr>
          <w:rFonts w:hint="eastAsia" w:ascii="仿宋_GB2312" w:eastAsia="仿宋_GB2312" w:cs="DengXian-Regular"/>
          <w:sz w:val="32"/>
          <w:szCs w:val="32"/>
        </w:rPr>
        <w:t>年决算文本，部门决算财政拨款支出数</w:t>
      </w:r>
      <w:r>
        <w:rPr>
          <w:rFonts w:ascii="仿宋_GB2312" w:eastAsia="仿宋_GB2312" w:cs="DengXian-Regular"/>
          <w:sz w:val="32"/>
          <w:szCs w:val="32"/>
        </w:rPr>
        <w:t>1960.49</w:t>
      </w:r>
      <w:r>
        <w:rPr>
          <w:rFonts w:hint="eastAsia" w:ascii="仿宋_GB2312" w:eastAsia="仿宋_GB2312" w:cs="DengXian-Regular"/>
          <w:sz w:val="32"/>
          <w:szCs w:val="32"/>
        </w:rPr>
        <w:t>万元，财政拨款收入数</w:t>
      </w:r>
      <w:r>
        <w:rPr>
          <w:rFonts w:ascii="仿宋_GB2312" w:eastAsia="仿宋_GB2312" w:cs="DengXian-Regular"/>
          <w:sz w:val="32"/>
          <w:szCs w:val="32"/>
        </w:rPr>
        <w:t>1745.83</w:t>
      </w:r>
      <w:r>
        <w:rPr>
          <w:rFonts w:hint="eastAsia" w:ascii="仿宋_GB2312" w:eastAsia="仿宋_GB2312" w:cs="DengXian-Regular"/>
          <w:sz w:val="32"/>
          <w:szCs w:val="32"/>
        </w:rPr>
        <w:t>万元，财政拨款支出率=（1</w:t>
      </w:r>
      <w:r>
        <w:rPr>
          <w:rFonts w:ascii="仿宋_GB2312" w:eastAsia="仿宋_GB2312" w:cs="DengXian-Regular"/>
          <w:sz w:val="32"/>
          <w:szCs w:val="32"/>
        </w:rPr>
        <w:t>960.49</w:t>
      </w:r>
      <w:r>
        <w:rPr>
          <w:rFonts w:hint="eastAsia" w:ascii="仿宋_GB2312" w:eastAsia="仿宋_GB2312" w:cs="DengXian-Regular"/>
          <w:sz w:val="32"/>
          <w:szCs w:val="32"/>
        </w:rPr>
        <w:t>/1</w:t>
      </w:r>
      <w:r>
        <w:rPr>
          <w:rFonts w:ascii="仿宋_GB2312" w:eastAsia="仿宋_GB2312" w:cs="DengXian-Regular"/>
          <w:sz w:val="32"/>
          <w:szCs w:val="32"/>
        </w:rPr>
        <w:t>745.83</w:t>
      </w:r>
      <w:r>
        <w:rPr>
          <w:rFonts w:hint="eastAsia" w:ascii="仿宋_GB2312" w:eastAsia="仿宋_GB2312" w:cs="DengXian-Regular"/>
          <w:sz w:val="32"/>
          <w:szCs w:val="32"/>
        </w:rPr>
        <w:t>）*100%=</w:t>
      </w:r>
      <w:r>
        <w:rPr>
          <w:rFonts w:ascii="仿宋_GB2312" w:eastAsia="仿宋_GB2312" w:cs="DengXian-Regular"/>
          <w:sz w:val="32"/>
          <w:szCs w:val="32"/>
        </w:rPr>
        <w:t>112.29</w:t>
      </w:r>
      <w:r>
        <w:rPr>
          <w:rFonts w:hint="eastAsia" w:ascii="仿宋_GB2312" w:eastAsia="仿宋_GB2312" w:cs="DengXian-Regular"/>
          <w:sz w:val="32"/>
          <w:szCs w:val="32"/>
        </w:rPr>
        <w:t>%</w:t>
      </w:r>
      <w:r>
        <w:rPr>
          <w:rFonts w:ascii="Arial" w:hAnsi="Arial" w:eastAsia="仿宋_GB2312" w:cs="Arial"/>
          <w:sz w:val="32"/>
          <w:szCs w:val="32"/>
        </w:rPr>
        <w:t xml:space="preserve">≥ </w:t>
      </w:r>
      <w:r>
        <w:rPr>
          <w:rFonts w:hint="eastAsia" w:ascii="仿宋_GB2312" w:eastAsia="仿宋_GB2312" w:cs="DengXian-Regular"/>
          <w:sz w:val="32"/>
          <w:szCs w:val="32"/>
        </w:rPr>
        <w:t>90%。区文化旅游局单位202</w:t>
      </w:r>
      <w:r>
        <w:rPr>
          <w:rFonts w:ascii="仿宋_GB2312" w:eastAsia="仿宋_GB2312" w:cs="DengXian-Regular"/>
          <w:sz w:val="32"/>
          <w:szCs w:val="32"/>
        </w:rPr>
        <w:t>1</w:t>
      </w:r>
      <w:r>
        <w:rPr>
          <w:rFonts w:hint="eastAsia" w:ascii="仿宋_GB2312" w:eastAsia="仿宋_GB2312" w:cs="DengXian-Regular"/>
          <w:sz w:val="32"/>
          <w:szCs w:val="32"/>
        </w:rPr>
        <w:t>年年初结转和结余</w:t>
      </w:r>
      <w:r>
        <w:rPr>
          <w:rFonts w:ascii="仿宋_GB2312" w:eastAsia="仿宋_GB2312" w:cs="DengXian-Regular"/>
          <w:sz w:val="32"/>
          <w:szCs w:val="32"/>
        </w:rPr>
        <w:t>211.27</w:t>
      </w:r>
      <w:r>
        <w:rPr>
          <w:rFonts w:hint="eastAsia" w:ascii="仿宋_GB2312" w:eastAsia="仿宋_GB2312" w:cs="DengXian-Regular"/>
          <w:sz w:val="32"/>
          <w:szCs w:val="32"/>
        </w:rPr>
        <w:t>万元，故支出数大于收入数。</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5.8</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（5）“三公”经费控制率（3分）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该指标主要评价“三公”经费是否得到有效控制，通过“三公”经费控制率来衡量。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“三公”经费控制率=（实际支出数/预算数）*100%。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根据区文广旅游局单位202</w:t>
      </w:r>
      <w:r>
        <w:rPr>
          <w:rFonts w:ascii="仿宋_GB2312" w:eastAsia="仿宋_GB2312" w:cs="DengXian-Regular"/>
          <w:sz w:val="32"/>
          <w:szCs w:val="32"/>
        </w:rPr>
        <w:t>1</w:t>
      </w:r>
      <w:r>
        <w:rPr>
          <w:rFonts w:hint="eastAsia" w:ascii="仿宋_GB2312" w:eastAsia="仿宋_GB2312" w:cs="DengXian-Regular"/>
          <w:sz w:val="32"/>
          <w:szCs w:val="32"/>
        </w:rPr>
        <w:t>年预算文本及决算文本，“三公”经费年初预算数</w:t>
      </w:r>
      <w:r>
        <w:rPr>
          <w:rFonts w:ascii="仿宋_GB2312" w:eastAsia="仿宋_GB2312" w:cs="DengXian-Regular"/>
          <w:sz w:val="32"/>
          <w:szCs w:val="32"/>
        </w:rPr>
        <w:t>18.00</w:t>
      </w:r>
      <w:r>
        <w:rPr>
          <w:rFonts w:hint="eastAsia" w:ascii="仿宋_GB2312" w:eastAsia="仿宋_GB2312" w:cs="DengXian-Regular"/>
          <w:sz w:val="32"/>
          <w:szCs w:val="32"/>
        </w:rPr>
        <w:t>万元，年末决算数</w:t>
      </w:r>
      <w:r>
        <w:rPr>
          <w:rFonts w:ascii="仿宋_GB2312" w:eastAsia="仿宋_GB2312" w:cs="DengXian-Regular"/>
          <w:sz w:val="32"/>
          <w:szCs w:val="32"/>
        </w:rPr>
        <w:t>11.14</w:t>
      </w:r>
      <w:r>
        <w:rPr>
          <w:rFonts w:hint="eastAsia" w:ascii="仿宋_GB2312" w:eastAsia="仿宋_GB2312" w:cs="DengXian-Regular"/>
          <w:sz w:val="32"/>
          <w:szCs w:val="32"/>
        </w:rPr>
        <w:t>万元，“三公”经费控制率=（1</w:t>
      </w:r>
      <w:r>
        <w:rPr>
          <w:rFonts w:ascii="仿宋_GB2312" w:eastAsia="仿宋_GB2312" w:cs="DengXian-Regular"/>
          <w:sz w:val="32"/>
          <w:szCs w:val="32"/>
        </w:rPr>
        <w:t>1.14</w:t>
      </w:r>
      <w:r>
        <w:rPr>
          <w:rFonts w:hint="eastAsia" w:ascii="仿宋_GB2312" w:eastAsia="仿宋_GB2312" w:cs="DengXian-Regular"/>
          <w:sz w:val="32"/>
          <w:szCs w:val="32"/>
        </w:rPr>
        <w:t>/1</w:t>
      </w:r>
      <w:r>
        <w:rPr>
          <w:rFonts w:ascii="仿宋_GB2312" w:eastAsia="仿宋_GB2312" w:cs="DengXian-Regular"/>
          <w:sz w:val="32"/>
          <w:szCs w:val="32"/>
        </w:rPr>
        <w:t>8.00</w:t>
      </w:r>
      <w:r>
        <w:rPr>
          <w:rFonts w:hint="eastAsia" w:ascii="仿宋_GB2312" w:eastAsia="仿宋_GB2312" w:cs="DengXian-Regular"/>
          <w:sz w:val="32"/>
          <w:szCs w:val="32"/>
        </w:rPr>
        <w:t>）*100%=</w:t>
      </w:r>
      <w:r>
        <w:rPr>
          <w:rFonts w:ascii="仿宋_GB2312" w:eastAsia="仿宋_GB2312" w:cs="DengXian-Regular"/>
          <w:sz w:val="32"/>
          <w:szCs w:val="32"/>
        </w:rPr>
        <w:t>61.89</w:t>
      </w:r>
      <w:r>
        <w:rPr>
          <w:rFonts w:hint="eastAsia" w:ascii="仿宋_GB2312" w:eastAsia="仿宋_GB2312" w:cs="DengXian-Regular"/>
          <w:sz w:val="32"/>
          <w:szCs w:val="32"/>
        </w:rPr>
        <w:t>%</w:t>
      </w:r>
      <w:r>
        <w:rPr>
          <w:rFonts w:ascii="Arial" w:hAnsi="Arial" w:eastAsia="仿宋_GB2312" w:cs="Arial"/>
          <w:sz w:val="32"/>
          <w:szCs w:val="32"/>
        </w:rPr>
        <w:t xml:space="preserve">≤  </w:t>
      </w:r>
      <w:r>
        <w:rPr>
          <w:rFonts w:hint="eastAsia" w:ascii="仿宋_GB2312" w:eastAsia="仿宋_GB2312" w:cs="DengXian-Regular"/>
          <w:sz w:val="32"/>
          <w:szCs w:val="32"/>
        </w:rPr>
        <w:t>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3</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w:t>
      </w:r>
      <w:r>
        <w:rPr>
          <w:rFonts w:ascii="仿宋_GB2312" w:eastAsia="仿宋_GB2312" w:cs="DengXian-Regular"/>
          <w:sz w:val="32"/>
          <w:szCs w:val="32"/>
        </w:rPr>
        <w:t>4</w:t>
      </w:r>
      <w:r>
        <w:rPr>
          <w:rFonts w:hint="eastAsia" w:ascii="仿宋_GB2312" w:eastAsia="仿宋_GB2312" w:cs="DengXian-Regular"/>
          <w:sz w:val="32"/>
          <w:szCs w:val="32"/>
        </w:rPr>
        <w:t>）政府采购执行率（3分）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该指标主要评价部门是否有效执行政府采购政策，通过政府采购执行率来衡量。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政府采购执行率=（实际政府采购金额/政府采购预算金额）*100%。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根据区文广旅游局单位202</w:t>
      </w:r>
      <w:r>
        <w:rPr>
          <w:rFonts w:ascii="仿宋_GB2312" w:eastAsia="仿宋_GB2312" w:cs="DengXian-Regular"/>
          <w:sz w:val="32"/>
          <w:szCs w:val="32"/>
        </w:rPr>
        <w:t>1</w:t>
      </w:r>
      <w:r>
        <w:rPr>
          <w:rFonts w:hint="eastAsia" w:ascii="仿宋_GB2312" w:eastAsia="仿宋_GB2312" w:cs="DengXian-Regular"/>
          <w:sz w:val="32"/>
          <w:szCs w:val="32"/>
        </w:rPr>
        <w:t>年预算文本及决算文本，政府采购年初预算数</w:t>
      </w:r>
      <w:r>
        <w:rPr>
          <w:rFonts w:ascii="仿宋_GB2312" w:eastAsia="仿宋_GB2312" w:cs="DengXian-Regular"/>
          <w:sz w:val="32"/>
          <w:szCs w:val="32"/>
        </w:rPr>
        <w:t>0</w:t>
      </w:r>
      <w:r>
        <w:rPr>
          <w:rFonts w:hint="eastAsia" w:ascii="仿宋_GB2312" w:eastAsia="仿宋_GB2312" w:cs="DengXian-Regular"/>
          <w:sz w:val="32"/>
          <w:szCs w:val="32"/>
        </w:rPr>
        <w:t>万元，年末决算数</w:t>
      </w:r>
      <w:r>
        <w:rPr>
          <w:rFonts w:ascii="仿宋_GB2312" w:eastAsia="仿宋_GB2312" w:cs="DengXian-Regular"/>
          <w:sz w:val="32"/>
          <w:szCs w:val="32"/>
        </w:rPr>
        <w:t>203.64</w:t>
      </w:r>
      <w:r>
        <w:rPr>
          <w:rFonts w:hint="eastAsia" w:ascii="仿宋_GB2312" w:eastAsia="仿宋_GB2312" w:cs="DengXian-Regular"/>
          <w:sz w:val="32"/>
          <w:szCs w:val="32"/>
        </w:rPr>
        <w:t>万元，政府采购执行率为100</w:t>
      </w:r>
      <w:r>
        <w:rPr>
          <w:rFonts w:ascii="仿宋_GB2312" w:eastAsia="仿宋_GB2312" w:cs="DengXian-Regular"/>
          <w:sz w:val="32"/>
          <w:szCs w:val="32"/>
        </w:rPr>
        <w:t>%</w:t>
      </w:r>
      <w:r>
        <w:rPr>
          <w:rFonts w:hint="eastAsia" w:ascii="仿宋_GB2312" w:eastAsia="仿宋_GB2312" w:cs="DengXian-Regular"/>
          <w:sz w:val="32"/>
          <w:szCs w:val="32"/>
        </w:rPr>
        <w:t>。</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该指标实际得分为</w:t>
      </w:r>
      <w:r>
        <w:rPr>
          <w:rFonts w:ascii="仿宋_GB2312" w:eastAsia="仿宋_GB2312" w:cs="DengXian-Regular"/>
          <w:sz w:val="32"/>
          <w:szCs w:val="32"/>
        </w:rPr>
        <w:t>3</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（7）资金使用合规性（3分）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该指标主要评价资金使用是否按照相关法律法规和资金管理办法规定的用途使用，财务管理是否符合相关会计准则和财务制度。</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根据区文广旅游局单位202</w:t>
      </w:r>
      <w:r>
        <w:rPr>
          <w:rFonts w:ascii="仿宋_GB2312" w:eastAsia="仿宋_GB2312" w:cs="DengXian-Regular"/>
          <w:sz w:val="32"/>
          <w:szCs w:val="32"/>
        </w:rPr>
        <w:t>1</w:t>
      </w:r>
      <w:r>
        <w:rPr>
          <w:rFonts w:hint="eastAsia" w:ascii="仿宋_GB2312" w:eastAsia="仿宋_GB2312" w:cs="DengXian-Regular"/>
          <w:sz w:val="32"/>
          <w:szCs w:val="32"/>
        </w:rPr>
        <w:t>年明细账、会计凭证等相关资料，区文广旅游局单位资金使用符合相关会计准则和财务制度，资金拨付有完备的审批程序和手续，资金使用符合部门预算批复的用途，未发现截留、挤占、挪用财政资金的情况。</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3</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（8）决算真实性（3分）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该指标主要评价决算编制数据是否与账表一致，即决算报表数据与会计账簿数据是否一致。</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经核查区文广旅游局单位202</w:t>
      </w:r>
      <w:r>
        <w:rPr>
          <w:rFonts w:ascii="仿宋_GB2312" w:eastAsia="仿宋_GB2312" w:cs="DengXian-Regular"/>
          <w:sz w:val="32"/>
          <w:szCs w:val="32"/>
        </w:rPr>
        <w:t>1</w:t>
      </w:r>
      <w:r>
        <w:rPr>
          <w:rFonts w:hint="eastAsia" w:ascii="仿宋_GB2312" w:eastAsia="仿宋_GB2312" w:cs="DengXian-Regular"/>
          <w:sz w:val="32"/>
          <w:szCs w:val="32"/>
        </w:rPr>
        <w:t>年决算文本、明细账及总账，区文广旅游局单位决算文本数据均与明细账、总账一致。</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3</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2.预算管理（16分）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（1）管理制度健全性（4分）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该指标主要评价部门是否制定资金管理办法、财务管理制度、会计核算制度等相关内部控制制度，制度执行是否得到有效执行。</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区文广旅游局单位工作制度涵盖了财务制度、网络安全制度、公务用车制度等相关制度，经检查区文广旅游局单位付款流程审批单、资产盘点表等资料，区文广旅游局单位已按照相关管理制度的规定执行。</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w:t>
      </w:r>
      <w:r>
        <w:rPr>
          <w:rFonts w:ascii="仿宋_GB2312" w:eastAsia="仿宋_GB2312" w:cs="DengXian-Regular"/>
          <w:sz w:val="32"/>
          <w:szCs w:val="32"/>
        </w:rPr>
        <w:t>4</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（2）预决算信息公开性（4分）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该指标主要评价部门是否按照政府信息公开的有关要求在相关网站公开部门预算、预算执行情况、年度工作任务等相关信息。</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区文广旅游局单位202</w:t>
      </w:r>
      <w:r>
        <w:rPr>
          <w:rFonts w:ascii="仿宋_GB2312" w:eastAsia="仿宋_GB2312" w:cs="DengXian-Regular"/>
          <w:sz w:val="32"/>
          <w:szCs w:val="32"/>
        </w:rPr>
        <w:t>1</w:t>
      </w:r>
      <w:r>
        <w:rPr>
          <w:rFonts w:hint="eastAsia" w:ascii="仿宋_GB2312" w:eastAsia="仿宋_GB2312" w:cs="DengXian-Regular"/>
          <w:sz w:val="32"/>
          <w:szCs w:val="32"/>
        </w:rPr>
        <w:t>年按政府信息公开的有关要求在保定市徐水区人民政府网公开了202</w:t>
      </w:r>
      <w:r>
        <w:rPr>
          <w:rFonts w:ascii="仿宋_GB2312" w:eastAsia="仿宋_GB2312" w:cs="DengXian-Regular"/>
          <w:sz w:val="32"/>
          <w:szCs w:val="32"/>
        </w:rPr>
        <w:t>1</w:t>
      </w:r>
      <w:r>
        <w:rPr>
          <w:rFonts w:hint="eastAsia" w:ascii="仿宋_GB2312" w:eastAsia="仿宋_GB2312" w:cs="DengXian-Regular"/>
          <w:sz w:val="32"/>
          <w:szCs w:val="32"/>
        </w:rPr>
        <w:t>年的预决算情况、部门责任清单、行政监督清单等相关信息。</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4</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（3）基础信息完善性（4分）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该指标主要评价基础数据信息和财务信息资料是否真实、完整。</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根据区文广旅游局单位提供的会计账簿、凭证及其他相关资料，区文广旅游局单位会计信息资料真实完整，</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4</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（4）资产管理规范性（4分）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该指标主要评价资产管理是否规范，是否建立资产台账，新增资产是否符合规定程序和规定标准，资产的配置是否合规，资产保存是否完整。</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区文广旅游局单位建立了固定资产台账、无形资产台账，资产保存完整，202</w:t>
      </w:r>
      <w:r>
        <w:rPr>
          <w:rFonts w:ascii="仿宋_GB2312" w:eastAsia="仿宋_GB2312" w:cs="DengXian-Regular"/>
          <w:sz w:val="32"/>
          <w:szCs w:val="32"/>
        </w:rPr>
        <w:t>1</w:t>
      </w:r>
      <w:r>
        <w:rPr>
          <w:rFonts w:hint="eastAsia" w:ascii="仿宋_GB2312" w:eastAsia="仿宋_GB2312" w:cs="DengXian-Regular"/>
          <w:sz w:val="32"/>
          <w:szCs w:val="32"/>
        </w:rPr>
        <w:t>年新增资产</w:t>
      </w:r>
      <w:r>
        <w:rPr>
          <w:rFonts w:ascii="仿宋_GB2312" w:eastAsia="仿宋_GB2312" w:cs="DengXian-Regular"/>
          <w:sz w:val="32"/>
          <w:szCs w:val="32"/>
        </w:rPr>
        <w:t>6.71</w:t>
      </w:r>
      <w:r>
        <w:rPr>
          <w:rFonts w:hint="eastAsia" w:ascii="仿宋_GB2312" w:eastAsia="仿宋_GB2312" w:cs="DengXian-Regular"/>
          <w:sz w:val="32"/>
          <w:szCs w:val="32"/>
        </w:rPr>
        <w:t>万元，包含：电脑及计算机设备（</w:t>
      </w:r>
      <w:r>
        <w:rPr>
          <w:rFonts w:ascii="仿宋_GB2312" w:eastAsia="仿宋_GB2312" w:cs="DengXian-Regular"/>
          <w:sz w:val="32"/>
          <w:szCs w:val="32"/>
        </w:rPr>
        <w:t>3.70</w:t>
      </w:r>
      <w:r>
        <w:rPr>
          <w:rFonts w:hint="eastAsia" w:ascii="仿宋_GB2312" w:eastAsia="仿宋_GB2312" w:cs="DengXian-Regular"/>
          <w:sz w:val="32"/>
          <w:szCs w:val="32"/>
        </w:rPr>
        <w:t>万元）、专用设备（</w:t>
      </w:r>
      <w:r>
        <w:rPr>
          <w:rFonts w:ascii="仿宋_GB2312" w:eastAsia="仿宋_GB2312" w:cs="DengXian-Regular"/>
          <w:sz w:val="32"/>
          <w:szCs w:val="32"/>
        </w:rPr>
        <w:t>3.01</w:t>
      </w:r>
      <w:r>
        <w:rPr>
          <w:rFonts w:hint="eastAsia" w:ascii="仿宋_GB2312" w:eastAsia="仿宋_GB2312" w:cs="DengXian-Regular"/>
          <w:sz w:val="32"/>
          <w:szCs w:val="32"/>
        </w:rPr>
        <w:t>万元），资产购置手续完备，配置符合要求，资产管理整体较规范。</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w:t>
      </w:r>
      <w:r>
        <w:rPr>
          <w:rFonts w:ascii="仿宋_GB2312" w:eastAsia="仿宋_GB2312" w:cs="DengXian-Regular"/>
          <w:sz w:val="32"/>
          <w:szCs w:val="32"/>
        </w:rPr>
        <w:t>4</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3.绩效评价（8分）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（1）绩效自评覆盖率（4分）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该指标主要评价部门是否按相关要求实施绩效自评，通过绩效自评覆盖率来衡量。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绩效自评覆盖率=（报送相关自评材料的数量/应实施项目绩效自评数量）*100%。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根据徐水区财政局《关于开展202</w:t>
      </w:r>
      <w:r>
        <w:rPr>
          <w:rFonts w:ascii="仿宋_GB2312" w:eastAsia="仿宋_GB2312" w:cs="DengXian-Regular"/>
          <w:sz w:val="32"/>
          <w:szCs w:val="32"/>
        </w:rPr>
        <w:t>1</w:t>
      </w:r>
      <w:r>
        <w:rPr>
          <w:rFonts w:hint="eastAsia" w:ascii="仿宋_GB2312" w:eastAsia="仿宋_GB2312" w:cs="DengXian-Regular"/>
          <w:sz w:val="32"/>
          <w:szCs w:val="32"/>
        </w:rPr>
        <w:t>年度财政专项资金部门绩效自评价工作的通知》及徐水区文广旅游局单位202</w:t>
      </w:r>
      <w:r>
        <w:rPr>
          <w:rFonts w:ascii="仿宋_GB2312" w:eastAsia="仿宋_GB2312" w:cs="DengXian-Regular"/>
          <w:sz w:val="32"/>
          <w:szCs w:val="32"/>
        </w:rPr>
        <w:t>1</w:t>
      </w:r>
      <w:r>
        <w:rPr>
          <w:rFonts w:hint="eastAsia" w:ascii="仿宋_GB2312" w:eastAsia="仿宋_GB2312" w:cs="DengXian-Regular"/>
          <w:sz w:val="32"/>
          <w:szCs w:val="32"/>
        </w:rPr>
        <w:t>年一般项目部门绩效自评表，区文广旅游局单位202</w:t>
      </w:r>
      <w:r>
        <w:rPr>
          <w:rFonts w:ascii="仿宋_GB2312" w:eastAsia="仿宋_GB2312" w:cs="DengXian-Regular"/>
          <w:sz w:val="32"/>
          <w:szCs w:val="32"/>
        </w:rPr>
        <w:t>1</w:t>
      </w:r>
      <w:r>
        <w:rPr>
          <w:rFonts w:hint="eastAsia" w:ascii="仿宋_GB2312" w:eastAsia="仿宋_GB2312" w:cs="DengXian-Regular"/>
          <w:sz w:val="32"/>
          <w:szCs w:val="32"/>
        </w:rPr>
        <w:t>年开展绩效自评的项目数为</w:t>
      </w:r>
      <w:r>
        <w:rPr>
          <w:rFonts w:ascii="仿宋_GB2312" w:eastAsia="仿宋_GB2312" w:cs="DengXian-Regular"/>
          <w:sz w:val="32"/>
          <w:szCs w:val="32"/>
        </w:rPr>
        <w:t>23</w:t>
      </w:r>
      <w:r>
        <w:rPr>
          <w:rFonts w:hint="eastAsia" w:ascii="仿宋_GB2312" w:eastAsia="仿宋_GB2312" w:cs="DengXian-Regular"/>
          <w:sz w:val="32"/>
          <w:szCs w:val="32"/>
        </w:rPr>
        <w:t>个，年初预算文本项目数</w:t>
      </w:r>
      <w:r>
        <w:rPr>
          <w:rFonts w:ascii="仿宋_GB2312" w:eastAsia="仿宋_GB2312" w:cs="DengXian-Regular"/>
          <w:sz w:val="32"/>
          <w:szCs w:val="32"/>
        </w:rPr>
        <w:t>27</w:t>
      </w:r>
      <w:r>
        <w:rPr>
          <w:rFonts w:hint="eastAsia" w:ascii="仿宋_GB2312" w:eastAsia="仿宋_GB2312" w:cs="DengXian-Regular"/>
          <w:sz w:val="32"/>
          <w:szCs w:val="32"/>
        </w:rPr>
        <w:t>个，要求自评项目个数</w:t>
      </w:r>
      <w:r>
        <w:rPr>
          <w:rFonts w:ascii="仿宋_GB2312" w:eastAsia="仿宋_GB2312" w:cs="DengXian-Regular"/>
          <w:sz w:val="32"/>
          <w:szCs w:val="32"/>
        </w:rPr>
        <w:t>27</w:t>
      </w:r>
      <w:r>
        <w:rPr>
          <w:rFonts w:hint="eastAsia" w:ascii="仿宋_GB2312" w:eastAsia="仿宋_GB2312" w:cs="DengXian-Regular"/>
          <w:sz w:val="32"/>
          <w:szCs w:val="32"/>
        </w:rPr>
        <w:t>个，自评覆盖率为</w:t>
      </w:r>
      <w:r>
        <w:rPr>
          <w:rFonts w:ascii="仿宋_GB2312" w:eastAsia="仿宋_GB2312" w:cs="DengXian-Regular"/>
          <w:sz w:val="32"/>
          <w:szCs w:val="32"/>
        </w:rPr>
        <w:t>85.19</w:t>
      </w:r>
      <w:r>
        <w:rPr>
          <w:rFonts w:hint="eastAsia" w:ascii="仿宋_GB2312" w:eastAsia="仿宋_GB2312" w:cs="DengXian-Regular"/>
          <w:sz w:val="32"/>
          <w:szCs w:val="32"/>
        </w:rPr>
        <w:t>%。</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3.60</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（2）绩效评价优等率（4分）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该指标主要评价部门开展的绩效评价项目的完成质量，通过绩效评价优等率来衡量。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绩效评价优等率=（结果达到优等的数量/参评数量）*100%。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区文广旅游局单位202</w:t>
      </w:r>
      <w:r>
        <w:rPr>
          <w:rFonts w:ascii="仿宋_GB2312" w:eastAsia="仿宋_GB2312" w:cs="DengXian-Regular"/>
          <w:sz w:val="32"/>
          <w:szCs w:val="32"/>
        </w:rPr>
        <w:t>1</w:t>
      </w:r>
      <w:r>
        <w:rPr>
          <w:rFonts w:hint="eastAsia" w:ascii="仿宋_GB2312" w:eastAsia="仿宋_GB2312" w:cs="DengXian-Regular"/>
          <w:sz w:val="32"/>
          <w:szCs w:val="32"/>
        </w:rPr>
        <w:t>年参评数量</w:t>
      </w:r>
      <w:r>
        <w:rPr>
          <w:rFonts w:ascii="仿宋_GB2312" w:eastAsia="仿宋_GB2312" w:cs="DengXian-Regular"/>
          <w:sz w:val="32"/>
          <w:szCs w:val="32"/>
        </w:rPr>
        <w:t>23</w:t>
      </w:r>
      <w:r>
        <w:rPr>
          <w:rFonts w:hint="eastAsia" w:ascii="仿宋_GB2312" w:eastAsia="仿宋_GB2312" w:cs="DengXian-Regular"/>
          <w:sz w:val="32"/>
          <w:szCs w:val="32"/>
        </w:rPr>
        <w:t>个，绩效评价结果达到优等的数量</w:t>
      </w:r>
      <w:r>
        <w:rPr>
          <w:rFonts w:ascii="仿宋_GB2312" w:eastAsia="仿宋_GB2312" w:cs="DengXian-Regular"/>
          <w:sz w:val="32"/>
          <w:szCs w:val="32"/>
        </w:rPr>
        <w:t>18</w:t>
      </w:r>
      <w:r>
        <w:rPr>
          <w:rFonts w:hint="eastAsia" w:ascii="仿宋_GB2312" w:eastAsia="仿宋_GB2312" w:cs="DengXian-Regular"/>
          <w:sz w:val="32"/>
          <w:szCs w:val="32"/>
        </w:rPr>
        <w:t>个，绩效评价优等率为</w:t>
      </w:r>
      <w:r>
        <w:rPr>
          <w:rFonts w:ascii="仿宋_GB2312" w:eastAsia="仿宋_GB2312" w:cs="DengXian-Regular"/>
          <w:sz w:val="32"/>
          <w:szCs w:val="32"/>
        </w:rPr>
        <w:t>78.26</w:t>
      </w:r>
      <w:r>
        <w:rPr>
          <w:rFonts w:hint="eastAsia" w:ascii="仿宋_GB2312" w:eastAsia="仿宋_GB2312" w:cs="DengXian-Regular"/>
          <w:sz w:val="32"/>
          <w:szCs w:val="32"/>
        </w:rPr>
        <w:t>%。</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3.8</w:t>
      </w:r>
      <w:r>
        <w:rPr>
          <w:rFonts w:hint="eastAsia" w:ascii="仿宋_GB2312" w:eastAsia="仿宋_GB2312" w:cs="DengXian-Regular"/>
          <w:sz w:val="32"/>
          <w:szCs w:val="32"/>
        </w:rPr>
        <w:t>分。</w:t>
      </w:r>
      <w:bookmarkEnd w:id="64"/>
      <w:bookmarkEnd w:id="65"/>
    </w:p>
    <w:p>
      <w:pPr>
        <w:pStyle w:val="4"/>
        <w:spacing w:before="0" w:after="0"/>
        <w:ind w:firstLine="643" w:firstLineChars="200"/>
        <w:jc w:val="both"/>
        <w:rPr>
          <w:rFonts w:ascii="楷体" w:hAnsi="楷体" w:eastAsia="楷体"/>
          <w:sz w:val="32"/>
        </w:rPr>
      </w:pPr>
      <w:bookmarkStart w:id="66" w:name="_Toc12330"/>
      <w:r>
        <w:rPr>
          <w:rFonts w:hint="eastAsia" w:ascii="楷体" w:hAnsi="楷体" w:eastAsia="楷体"/>
          <w:sz w:val="32"/>
        </w:rPr>
        <w:t>（三）产出（25分）</w:t>
      </w:r>
      <w:bookmarkEnd w:id="66"/>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该一级指标包含责任履行一个二级指标，主要反映结转结余率，项目资金使用率，社区矫正人数，社区服刑人员再次犯罪率，法律援助案件办结率。</w:t>
      </w:r>
    </w:p>
    <w:p>
      <w:pPr>
        <w:spacing w:after="0" w:line="360" w:lineRule="auto"/>
        <w:jc w:val="center"/>
        <w:textAlignment w:val="baseline"/>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表4  产出指标及得分情况表</w:t>
      </w:r>
    </w:p>
    <w:tbl>
      <w:tblPr>
        <w:tblStyle w:val="23"/>
        <w:tblW w:w="0" w:type="auto"/>
        <w:jc w:val="center"/>
        <w:tblLayout w:type="fixed"/>
        <w:tblCellMar>
          <w:top w:w="15" w:type="dxa"/>
          <w:left w:w="15" w:type="dxa"/>
          <w:bottom w:w="15" w:type="dxa"/>
          <w:right w:w="15" w:type="dxa"/>
        </w:tblCellMar>
      </w:tblPr>
      <w:tblGrid>
        <w:gridCol w:w="1577"/>
        <w:gridCol w:w="1004"/>
        <w:gridCol w:w="2536"/>
        <w:gridCol w:w="1125"/>
        <w:gridCol w:w="853"/>
      </w:tblGrid>
      <w:tr>
        <w:tblPrEx>
          <w:tblCellMar>
            <w:top w:w="15" w:type="dxa"/>
            <w:left w:w="15" w:type="dxa"/>
            <w:bottom w:w="15" w:type="dxa"/>
            <w:right w:w="15" w:type="dxa"/>
          </w:tblCellMar>
        </w:tblPrEx>
        <w:trPr>
          <w:trHeight w:val="397" w:hRule="exact"/>
          <w:jc w:val="center"/>
        </w:trPr>
        <w:tc>
          <w:tcPr>
            <w:tcW w:w="1577"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一级指标</w:t>
            </w:r>
          </w:p>
        </w:tc>
        <w:tc>
          <w:tcPr>
            <w:tcW w:w="1004"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二级指标</w:t>
            </w:r>
          </w:p>
        </w:tc>
        <w:tc>
          <w:tcPr>
            <w:tcW w:w="2536"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三级指标</w:t>
            </w:r>
          </w:p>
        </w:tc>
        <w:tc>
          <w:tcPr>
            <w:tcW w:w="1125"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分数权重</w:t>
            </w:r>
          </w:p>
        </w:tc>
        <w:tc>
          <w:tcPr>
            <w:tcW w:w="853"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得分</w:t>
            </w:r>
          </w:p>
        </w:tc>
      </w:tr>
      <w:tr>
        <w:tblPrEx>
          <w:tblCellMar>
            <w:top w:w="15" w:type="dxa"/>
            <w:left w:w="15" w:type="dxa"/>
            <w:bottom w:w="15" w:type="dxa"/>
            <w:right w:w="15" w:type="dxa"/>
          </w:tblCellMar>
        </w:tblPrEx>
        <w:trPr>
          <w:trHeight w:val="397" w:hRule="exact"/>
          <w:jc w:val="center"/>
        </w:trPr>
        <w:tc>
          <w:tcPr>
            <w:tcW w:w="1577" w:type="dxa"/>
            <w:vMerge w:val="restart"/>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产出</w:t>
            </w:r>
          </w:p>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（25分）</w:t>
            </w:r>
          </w:p>
        </w:tc>
        <w:tc>
          <w:tcPr>
            <w:tcW w:w="1004" w:type="dxa"/>
            <w:vMerge w:val="restart"/>
            <w:tcBorders>
              <w:top w:val="single" w:color="000000" w:sz="4" w:space="0"/>
              <w:left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责任履行（25分）</w:t>
            </w:r>
          </w:p>
        </w:tc>
        <w:tc>
          <w:tcPr>
            <w:tcW w:w="2536"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结转结余率</w:t>
            </w:r>
          </w:p>
        </w:tc>
        <w:tc>
          <w:tcPr>
            <w:tcW w:w="112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cs="宋体" w:asciiTheme="minorEastAsia" w:hAnsiTheme="minorEastAsia" w:eastAsiaTheme="minorEastAsia"/>
                <w:sz w:val="21"/>
                <w:szCs w:val="21"/>
              </w:rPr>
              <w:t>2.5</w:t>
            </w:r>
          </w:p>
        </w:tc>
      </w:tr>
      <w:tr>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1004" w:type="dxa"/>
            <w:vMerge w:val="continue"/>
            <w:tcBorders>
              <w:left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2536"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项目资金使用率</w:t>
            </w:r>
          </w:p>
        </w:tc>
        <w:tc>
          <w:tcPr>
            <w:tcW w:w="112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cs="宋体" w:asciiTheme="minorEastAsia" w:hAnsiTheme="minorEastAsia" w:eastAsiaTheme="minorEastAsia"/>
                <w:sz w:val="21"/>
                <w:szCs w:val="21"/>
              </w:rPr>
              <w:t>2.5</w:t>
            </w:r>
          </w:p>
        </w:tc>
      </w:tr>
      <w:tr>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1004" w:type="dxa"/>
            <w:vMerge w:val="continue"/>
            <w:tcBorders>
              <w:left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2536"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社区矫正人数</w:t>
            </w:r>
          </w:p>
        </w:tc>
        <w:tc>
          <w:tcPr>
            <w:tcW w:w="112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r>
      <w:tr>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1004" w:type="dxa"/>
            <w:vMerge w:val="continue"/>
            <w:tcBorders>
              <w:left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2536"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社区服刑人员再次犯罪率</w:t>
            </w:r>
          </w:p>
        </w:tc>
        <w:tc>
          <w:tcPr>
            <w:tcW w:w="112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r>
      <w:tr>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1004" w:type="dxa"/>
            <w:vMerge w:val="continue"/>
            <w:tcBorders>
              <w:left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2536"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法律援助办结率</w:t>
            </w:r>
          </w:p>
        </w:tc>
        <w:tc>
          <w:tcPr>
            <w:tcW w:w="112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r>
      <w:tr>
        <w:tblPrEx>
          <w:tblCellMar>
            <w:top w:w="15" w:type="dxa"/>
            <w:left w:w="15" w:type="dxa"/>
            <w:bottom w:w="15" w:type="dxa"/>
            <w:right w:w="15" w:type="dxa"/>
          </w:tblCellMar>
        </w:tblPrEx>
        <w:trPr>
          <w:trHeight w:val="397" w:hRule="exact"/>
          <w:jc w:val="center"/>
        </w:trPr>
        <w:tc>
          <w:tcPr>
            <w:tcW w:w="2581" w:type="dxa"/>
            <w:gridSpan w:val="2"/>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合计</w:t>
            </w:r>
          </w:p>
        </w:tc>
        <w:tc>
          <w:tcPr>
            <w:tcW w:w="2536"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112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25</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20" w:lineRule="exact"/>
              <w:jc w:val="center"/>
              <w:rPr>
                <w:rFonts w:cs="宋体" w:asciiTheme="minorEastAsia" w:hAnsiTheme="minorEastAsia" w:eastAsiaTheme="minorEastAsia"/>
                <w:sz w:val="21"/>
                <w:szCs w:val="21"/>
              </w:rPr>
            </w:pPr>
            <w:r>
              <w:rPr>
                <w:rFonts w:cs="宋体" w:asciiTheme="minorEastAsia" w:hAnsiTheme="minorEastAsia" w:eastAsiaTheme="minorEastAsia"/>
                <w:sz w:val="21"/>
                <w:szCs w:val="21"/>
              </w:rPr>
              <w:t>20</w:t>
            </w:r>
          </w:p>
        </w:tc>
      </w:tr>
    </w:tbl>
    <w:p>
      <w:pPr>
        <w:spacing w:after="0" w:line="360" w:lineRule="auto"/>
        <w:ind w:firstLine="640" w:firstLineChars="200"/>
        <w:jc w:val="both"/>
        <w:textAlignment w:val="baseline"/>
        <w:rPr>
          <w:rFonts w:ascii="仿宋_GB2312" w:eastAsia="仿宋_GB2312" w:cs="DengXian-Regular"/>
          <w:sz w:val="32"/>
          <w:szCs w:val="32"/>
        </w:rPr>
      </w:pPr>
      <w:bookmarkStart w:id="67" w:name="_Toc465149515"/>
      <w:bookmarkStart w:id="68" w:name="_Toc464638518"/>
      <w:r>
        <w:rPr>
          <w:rFonts w:hint="eastAsia" w:ascii="仿宋_GB2312" w:eastAsia="仿宋_GB2312" w:cs="DengXian-Regular"/>
          <w:sz w:val="32"/>
          <w:szCs w:val="32"/>
        </w:rPr>
        <w:t>1.结转结余率（5分）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该指标主要评价部门的结转结余情况，通过结转结余率衡量。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结转结余率=（本年结转结余数/决算收入数）*100%。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根据区文广旅游局单位202</w:t>
      </w:r>
      <w:r>
        <w:rPr>
          <w:rFonts w:ascii="仿宋_GB2312" w:eastAsia="仿宋_GB2312" w:cs="DengXian-Regular"/>
          <w:sz w:val="32"/>
          <w:szCs w:val="32"/>
        </w:rPr>
        <w:t>1</w:t>
      </w:r>
      <w:r>
        <w:rPr>
          <w:rFonts w:hint="eastAsia" w:ascii="仿宋_GB2312" w:eastAsia="仿宋_GB2312" w:cs="DengXian-Regular"/>
          <w:sz w:val="32"/>
          <w:szCs w:val="32"/>
        </w:rPr>
        <w:t>年决算文本及相关资料，区区文广旅游局单位202</w:t>
      </w:r>
      <w:r>
        <w:rPr>
          <w:rFonts w:ascii="仿宋_GB2312" w:eastAsia="仿宋_GB2312" w:cs="DengXian-Regular"/>
          <w:sz w:val="32"/>
          <w:szCs w:val="32"/>
        </w:rPr>
        <w:t>1</w:t>
      </w:r>
      <w:r>
        <w:rPr>
          <w:rFonts w:hint="eastAsia" w:ascii="仿宋_GB2312" w:eastAsia="仿宋_GB2312" w:cs="DengXian-Regular"/>
          <w:sz w:val="32"/>
          <w:szCs w:val="32"/>
        </w:rPr>
        <w:t>年结转结余资金</w:t>
      </w:r>
      <w:r>
        <w:rPr>
          <w:rFonts w:ascii="仿宋_GB2312" w:eastAsia="仿宋_GB2312" w:cs="DengXian-Regular"/>
          <w:sz w:val="32"/>
          <w:szCs w:val="32"/>
        </w:rPr>
        <w:t>211.27</w:t>
      </w:r>
      <w:r>
        <w:rPr>
          <w:rFonts w:hint="eastAsia" w:ascii="仿宋_GB2312" w:eastAsia="仿宋_GB2312" w:cs="DengXian-Regular"/>
          <w:sz w:val="32"/>
          <w:szCs w:val="32"/>
        </w:rPr>
        <w:t>万元，决算收入</w:t>
      </w:r>
      <w:r>
        <w:rPr>
          <w:rFonts w:ascii="仿宋_GB2312" w:eastAsia="仿宋_GB2312" w:cs="DengXian-Regular"/>
          <w:sz w:val="32"/>
          <w:szCs w:val="32"/>
        </w:rPr>
        <w:t>1749.23</w:t>
      </w:r>
      <w:r>
        <w:rPr>
          <w:rFonts w:hint="eastAsia" w:ascii="仿宋_GB2312" w:eastAsia="仿宋_GB2312" w:cs="DengXian-Regular"/>
          <w:sz w:val="32"/>
          <w:szCs w:val="32"/>
        </w:rPr>
        <w:t>万元，结转结余率</w:t>
      </w:r>
      <w:r>
        <w:rPr>
          <w:rFonts w:ascii="仿宋_GB2312" w:eastAsia="仿宋_GB2312" w:cs="DengXian-Regular"/>
          <w:sz w:val="32"/>
          <w:szCs w:val="32"/>
        </w:rPr>
        <w:t>12.08</w:t>
      </w:r>
      <w:r>
        <w:rPr>
          <w:rFonts w:hint="eastAsia" w:ascii="仿宋_GB2312" w:eastAsia="仿宋_GB2312" w:cs="DengXian-Regular"/>
          <w:sz w:val="32"/>
          <w:szCs w:val="32"/>
        </w:rPr>
        <w:t>%，大于5%。</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w:t>
      </w:r>
      <w:r>
        <w:rPr>
          <w:rFonts w:ascii="仿宋_GB2312" w:eastAsia="仿宋_GB2312" w:cs="DengXian-Regular"/>
          <w:sz w:val="32"/>
          <w:szCs w:val="32"/>
        </w:rPr>
        <w:t>2.5</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2.项目资金使用率（5分）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该指标主要评价项目资金的使用效率，通过项目资金使用率来衡量。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项目资金使用率=（实际支出项目资金总额/计划完整项目资金总数）*100%。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区文广旅游局单位202</w:t>
      </w:r>
      <w:r>
        <w:rPr>
          <w:rFonts w:ascii="仿宋_GB2312" w:eastAsia="仿宋_GB2312" w:cs="DengXian-Regular"/>
          <w:sz w:val="32"/>
          <w:szCs w:val="32"/>
        </w:rPr>
        <w:t>1</w:t>
      </w:r>
      <w:r>
        <w:rPr>
          <w:rFonts w:hint="eastAsia" w:ascii="仿宋_GB2312" w:eastAsia="仿宋_GB2312" w:cs="DengXian-Regular"/>
          <w:sz w:val="32"/>
          <w:szCs w:val="32"/>
        </w:rPr>
        <w:t>年实际支出项目资金总额</w:t>
      </w:r>
      <w:r>
        <w:rPr>
          <w:rFonts w:ascii="仿宋_GB2312" w:eastAsia="仿宋_GB2312" w:cs="DengXian-Regular"/>
          <w:sz w:val="32"/>
          <w:szCs w:val="32"/>
        </w:rPr>
        <w:t>844.65</w:t>
      </w:r>
      <w:r>
        <w:rPr>
          <w:rFonts w:hint="eastAsia" w:ascii="仿宋_GB2312" w:eastAsia="仿宋_GB2312" w:cs="DengXian-Regular"/>
          <w:sz w:val="32"/>
          <w:szCs w:val="32"/>
        </w:rPr>
        <w:t>万元，年初预算共</w:t>
      </w:r>
      <w:r>
        <w:rPr>
          <w:rFonts w:ascii="仿宋_GB2312" w:eastAsia="仿宋_GB2312" w:cs="DengXian-Regular"/>
          <w:sz w:val="32"/>
          <w:szCs w:val="32"/>
        </w:rPr>
        <w:t>27</w:t>
      </w:r>
      <w:r>
        <w:rPr>
          <w:rFonts w:hint="eastAsia" w:ascii="仿宋_GB2312" w:eastAsia="仿宋_GB2312" w:cs="DengXian-Regular"/>
          <w:sz w:val="32"/>
          <w:szCs w:val="32"/>
        </w:rPr>
        <w:t>个项目，预算数</w:t>
      </w:r>
      <w:r>
        <w:rPr>
          <w:rFonts w:ascii="仿宋_GB2312" w:eastAsia="仿宋_GB2312" w:cs="DengXian-Regular"/>
          <w:sz w:val="32"/>
          <w:szCs w:val="32"/>
        </w:rPr>
        <w:t>747.2</w:t>
      </w:r>
      <w:r>
        <w:rPr>
          <w:rFonts w:hint="eastAsia" w:ascii="仿宋_GB2312" w:eastAsia="仿宋_GB2312" w:cs="DengXian-Regular"/>
          <w:sz w:val="32"/>
          <w:szCs w:val="32"/>
        </w:rPr>
        <w:t>万元，年中追加项目资金</w:t>
      </w:r>
      <w:r>
        <w:rPr>
          <w:rFonts w:ascii="仿宋_GB2312" w:eastAsia="仿宋_GB2312" w:cs="DengXian-Regular"/>
          <w:sz w:val="32"/>
          <w:szCs w:val="32"/>
        </w:rPr>
        <w:t>218.23</w:t>
      </w:r>
      <w:r>
        <w:rPr>
          <w:rFonts w:hint="eastAsia" w:ascii="仿宋_GB2312" w:eastAsia="仿宋_GB2312" w:cs="DengXian-Regular"/>
          <w:sz w:val="32"/>
          <w:szCs w:val="32"/>
        </w:rPr>
        <w:t>万元，项目资金使用率为</w:t>
      </w:r>
      <w:r>
        <w:rPr>
          <w:rFonts w:ascii="仿宋_GB2312" w:eastAsia="仿宋_GB2312" w:cs="DengXian-Regular"/>
          <w:sz w:val="32"/>
          <w:szCs w:val="32"/>
        </w:rPr>
        <w:t>25.84</w:t>
      </w:r>
      <w:r>
        <w:rPr>
          <w:rFonts w:hint="eastAsia" w:ascii="仿宋_GB2312" w:eastAsia="仿宋_GB2312" w:cs="DengXian-Regular"/>
          <w:sz w:val="32"/>
          <w:szCs w:val="32"/>
        </w:rPr>
        <w:t>%。</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2.5</w:t>
      </w:r>
      <w:r>
        <w:rPr>
          <w:rFonts w:hint="eastAsia" w:ascii="仿宋_GB2312" w:eastAsia="仿宋_GB2312" w:cs="DengXian-Regular"/>
          <w:sz w:val="32"/>
          <w:szCs w:val="32"/>
        </w:rPr>
        <w:t>分。</w:t>
      </w:r>
    </w:p>
    <w:p>
      <w:pPr>
        <w:pStyle w:val="4"/>
        <w:spacing w:before="0" w:after="0"/>
        <w:ind w:firstLine="643" w:firstLineChars="200"/>
        <w:jc w:val="both"/>
        <w:rPr>
          <w:rFonts w:ascii="楷体" w:hAnsi="楷体" w:eastAsia="楷体"/>
          <w:sz w:val="32"/>
        </w:rPr>
      </w:pPr>
      <w:bookmarkStart w:id="69" w:name="_Toc28363"/>
      <w:r>
        <w:rPr>
          <w:rFonts w:hint="eastAsia" w:ascii="楷体" w:hAnsi="楷体" w:eastAsia="楷体"/>
          <w:sz w:val="32"/>
        </w:rPr>
        <w:t>（四）效果</w:t>
      </w:r>
      <w:bookmarkEnd w:id="67"/>
      <w:bookmarkEnd w:id="68"/>
      <w:r>
        <w:rPr>
          <w:rFonts w:hint="eastAsia" w:ascii="楷体" w:hAnsi="楷体" w:eastAsia="楷体"/>
          <w:sz w:val="32"/>
        </w:rPr>
        <w:t>（15分）</w:t>
      </w:r>
      <w:bookmarkEnd w:id="69"/>
    </w:p>
    <w:p>
      <w:pPr>
        <w:spacing w:after="0" w:line="360" w:lineRule="auto"/>
        <w:ind w:firstLine="640" w:firstLineChars="200"/>
        <w:jc w:val="both"/>
        <w:textAlignment w:val="baseline"/>
        <w:rPr>
          <w:rFonts w:ascii="仿宋_GB2312" w:eastAsia="仿宋_GB2312" w:cs="DengXian-Regular"/>
          <w:sz w:val="32"/>
          <w:szCs w:val="32"/>
        </w:rPr>
      </w:pPr>
      <w:bookmarkStart w:id="70" w:name="_Toc464638520"/>
      <w:r>
        <w:rPr>
          <w:rFonts w:hint="eastAsia" w:ascii="仿宋_GB2312" w:eastAsia="仿宋_GB2312" w:cs="DengXian-Regular"/>
          <w:sz w:val="32"/>
          <w:szCs w:val="32"/>
        </w:rPr>
        <w:t>该一级指标包含履职效益一个二级指标。主要反映部门履行职责对社会发展所带来的直接或间接效益及社会公众或部门的服务对象对部门履职效果的满意程度。</w:t>
      </w:r>
    </w:p>
    <w:p>
      <w:pPr>
        <w:spacing w:after="0" w:line="360" w:lineRule="auto"/>
        <w:jc w:val="center"/>
        <w:textAlignment w:val="baseline"/>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表5  效果指标及得分情况表</w:t>
      </w:r>
    </w:p>
    <w:tbl>
      <w:tblPr>
        <w:tblStyle w:val="23"/>
        <w:tblW w:w="0" w:type="auto"/>
        <w:jc w:val="center"/>
        <w:tblLayout w:type="fixed"/>
        <w:tblCellMar>
          <w:top w:w="15" w:type="dxa"/>
          <w:left w:w="15" w:type="dxa"/>
          <w:bottom w:w="15" w:type="dxa"/>
          <w:right w:w="15" w:type="dxa"/>
        </w:tblCellMar>
      </w:tblPr>
      <w:tblGrid>
        <w:gridCol w:w="1468"/>
        <w:gridCol w:w="1155"/>
        <w:gridCol w:w="2130"/>
        <w:gridCol w:w="1200"/>
        <w:gridCol w:w="1045"/>
      </w:tblGrid>
      <w:tr>
        <w:tblPrEx>
          <w:tblCellMar>
            <w:top w:w="15" w:type="dxa"/>
            <w:left w:w="15" w:type="dxa"/>
            <w:bottom w:w="15" w:type="dxa"/>
            <w:right w:w="15" w:type="dxa"/>
          </w:tblCellMar>
        </w:tblPrEx>
        <w:trPr>
          <w:trHeight w:val="397" w:hRule="exact"/>
          <w:jc w:val="center"/>
        </w:trPr>
        <w:tc>
          <w:tcPr>
            <w:tcW w:w="1468"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一级指标</w:t>
            </w:r>
          </w:p>
        </w:tc>
        <w:tc>
          <w:tcPr>
            <w:tcW w:w="1155"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二级指标</w:t>
            </w:r>
          </w:p>
        </w:tc>
        <w:tc>
          <w:tcPr>
            <w:tcW w:w="2130"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三级指标</w:t>
            </w:r>
          </w:p>
        </w:tc>
        <w:tc>
          <w:tcPr>
            <w:tcW w:w="1200"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分数权重</w:t>
            </w:r>
          </w:p>
        </w:tc>
        <w:tc>
          <w:tcPr>
            <w:tcW w:w="1045"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得分</w:t>
            </w:r>
          </w:p>
        </w:tc>
      </w:tr>
      <w:tr>
        <w:tblPrEx>
          <w:tblCellMar>
            <w:top w:w="15" w:type="dxa"/>
            <w:left w:w="15" w:type="dxa"/>
            <w:bottom w:w="15" w:type="dxa"/>
            <w:right w:w="15" w:type="dxa"/>
          </w:tblCellMar>
        </w:tblPrEx>
        <w:trPr>
          <w:trHeight w:val="397" w:hRule="exact"/>
          <w:jc w:val="center"/>
        </w:trPr>
        <w:tc>
          <w:tcPr>
            <w:tcW w:w="1468" w:type="dxa"/>
            <w:vMerge w:val="restart"/>
            <w:tcBorders>
              <w:top w:val="single" w:color="000000" w:sz="4" w:space="0"/>
              <w:left w:val="single" w:color="000000" w:sz="4" w:space="0"/>
              <w:bottom w:val="single" w:color="000000" w:sz="4" w:space="0"/>
              <w:right w:val="single" w:color="000000" w:sz="4" w:space="0"/>
            </w:tcBorders>
            <w:vAlign w:val="center"/>
          </w:tcPr>
          <w:p>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项目效果</w:t>
            </w:r>
          </w:p>
          <w:p>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（15分）</w:t>
            </w:r>
          </w:p>
        </w:tc>
        <w:tc>
          <w:tcPr>
            <w:tcW w:w="1155" w:type="dxa"/>
            <w:vMerge w:val="restart"/>
            <w:tcBorders>
              <w:top w:val="single" w:color="000000" w:sz="4" w:space="0"/>
              <w:left w:val="single" w:color="000000" w:sz="4" w:space="0"/>
              <w:bottom w:val="single" w:color="000000" w:sz="4" w:space="0"/>
              <w:right w:val="single" w:color="000000" w:sz="4" w:space="0"/>
            </w:tcBorders>
            <w:vAlign w:val="center"/>
          </w:tcPr>
          <w:p>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履职效益</w:t>
            </w:r>
          </w:p>
          <w:p>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（15分）</w:t>
            </w:r>
          </w:p>
        </w:tc>
        <w:tc>
          <w:tcPr>
            <w:tcW w:w="2130"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部门整体效益</w:t>
            </w:r>
          </w:p>
        </w:tc>
        <w:tc>
          <w:tcPr>
            <w:tcW w:w="1200"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10</w:t>
            </w:r>
          </w:p>
        </w:tc>
        <w:tc>
          <w:tcPr>
            <w:tcW w:w="104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10</w:t>
            </w:r>
          </w:p>
        </w:tc>
      </w:tr>
      <w:tr>
        <w:tblPrEx>
          <w:tblCellMar>
            <w:top w:w="15" w:type="dxa"/>
            <w:left w:w="15" w:type="dxa"/>
            <w:bottom w:w="15" w:type="dxa"/>
            <w:right w:w="15" w:type="dxa"/>
          </w:tblCellMar>
        </w:tblPrEx>
        <w:trPr>
          <w:trHeight w:val="397" w:hRule="exact"/>
          <w:jc w:val="center"/>
        </w:trPr>
        <w:tc>
          <w:tcPr>
            <w:tcW w:w="1468" w:type="dxa"/>
            <w:vMerge w:val="continue"/>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1155" w:type="dxa"/>
            <w:vMerge w:val="continue"/>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2130"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考评满意度</w:t>
            </w:r>
          </w:p>
        </w:tc>
        <w:tc>
          <w:tcPr>
            <w:tcW w:w="1200"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104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r>
      <w:tr>
        <w:tblPrEx>
          <w:tblCellMar>
            <w:top w:w="15" w:type="dxa"/>
            <w:left w:w="15" w:type="dxa"/>
            <w:bottom w:w="15" w:type="dxa"/>
            <w:right w:w="15" w:type="dxa"/>
          </w:tblCellMar>
        </w:tblPrEx>
        <w:trPr>
          <w:trHeight w:val="397" w:hRule="exact"/>
          <w:jc w:val="center"/>
        </w:trPr>
        <w:tc>
          <w:tcPr>
            <w:tcW w:w="2623" w:type="dxa"/>
            <w:gridSpan w:val="2"/>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合计</w:t>
            </w:r>
          </w:p>
        </w:tc>
        <w:tc>
          <w:tcPr>
            <w:tcW w:w="2130"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1200"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15</w:t>
            </w:r>
          </w:p>
        </w:tc>
        <w:tc>
          <w:tcPr>
            <w:tcW w:w="104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15</w:t>
            </w:r>
          </w:p>
        </w:tc>
      </w:tr>
      <w:bookmarkEnd w:id="70"/>
    </w:tbl>
    <w:p>
      <w:pPr>
        <w:spacing w:after="0" w:line="360" w:lineRule="auto"/>
        <w:ind w:firstLine="640" w:firstLineChars="200"/>
        <w:jc w:val="both"/>
        <w:textAlignment w:val="baseline"/>
        <w:rPr>
          <w:rFonts w:ascii="仿宋_GB2312" w:eastAsia="仿宋_GB2312" w:cs="DengXian-Regular"/>
          <w:sz w:val="32"/>
          <w:szCs w:val="32"/>
        </w:rPr>
      </w:pPr>
      <w:bookmarkStart w:id="71" w:name="_Toc492652784"/>
      <w:bookmarkStart w:id="72" w:name="_Toc465149516"/>
      <w:bookmarkStart w:id="73" w:name="_Toc464638561"/>
      <w:r>
        <w:rPr>
          <w:rFonts w:hint="eastAsia" w:ascii="仿宋_GB2312" w:eastAsia="仿宋_GB2312" w:cs="DengXian-Regular"/>
          <w:sz w:val="32"/>
          <w:szCs w:val="32"/>
        </w:rPr>
        <w:t>1.部门整体效益（10分）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该指标主要评价部门履行职责对社会发展所带来的直接或间接效益。</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经查看区文广旅游局单位提供的相关资料，区文广旅游局单位履行职责对社会发展所带来的社会效益较显著，有效的提高了社会公众对党</w:t>
      </w:r>
      <w:r>
        <w:rPr>
          <w:rFonts w:ascii="仿宋_GB2312" w:eastAsia="仿宋_GB2312" w:cs="DengXian-Regular"/>
          <w:sz w:val="32"/>
          <w:szCs w:val="32"/>
        </w:rPr>
        <w:t>及人民政府</w:t>
      </w:r>
      <w:r>
        <w:rPr>
          <w:rFonts w:hint="eastAsia" w:ascii="仿宋_GB2312" w:eastAsia="仿宋_GB2312" w:cs="DengXian-Regular"/>
          <w:sz w:val="32"/>
          <w:szCs w:val="32"/>
        </w:rPr>
        <w:t>工作</w:t>
      </w:r>
      <w:r>
        <w:rPr>
          <w:rFonts w:ascii="仿宋_GB2312" w:eastAsia="仿宋_GB2312" w:cs="DengXian-Regular"/>
          <w:sz w:val="32"/>
          <w:szCs w:val="32"/>
        </w:rPr>
        <w:t>的</w:t>
      </w:r>
      <w:r>
        <w:rPr>
          <w:rFonts w:hint="eastAsia" w:ascii="仿宋_GB2312" w:eastAsia="仿宋_GB2312" w:cs="DengXian-Regular"/>
          <w:sz w:val="32"/>
          <w:szCs w:val="32"/>
        </w:rPr>
        <w:t>认可</w:t>
      </w:r>
      <w:r>
        <w:rPr>
          <w:rFonts w:ascii="仿宋_GB2312" w:eastAsia="仿宋_GB2312" w:cs="DengXian-Regular"/>
          <w:sz w:val="32"/>
          <w:szCs w:val="32"/>
        </w:rPr>
        <w:t>和认知</w:t>
      </w:r>
      <w:r>
        <w:rPr>
          <w:rFonts w:hint="eastAsia" w:ascii="仿宋_GB2312" w:eastAsia="仿宋_GB2312" w:cs="DengXian-Regular"/>
          <w:sz w:val="32"/>
          <w:szCs w:val="32"/>
        </w:rPr>
        <w:t>，提高了</w:t>
      </w:r>
      <w:r>
        <w:rPr>
          <w:rFonts w:ascii="仿宋_GB2312" w:eastAsia="仿宋_GB2312" w:cs="DengXian-Regular"/>
          <w:sz w:val="32"/>
          <w:szCs w:val="32"/>
        </w:rPr>
        <w:t>人民当家作主的意识</w:t>
      </w:r>
      <w:r>
        <w:rPr>
          <w:rFonts w:hint="eastAsia" w:ascii="仿宋_GB2312" w:eastAsia="仿宋_GB2312" w:cs="DengXian-Regular"/>
          <w:sz w:val="32"/>
          <w:szCs w:val="32"/>
        </w:rPr>
        <w:t>，减少了社会不稳定因素。</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w:t>
      </w:r>
      <w:r>
        <w:rPr>
          <w:rFonts w:ascii="仿宋_GB2312" w:eastAsia="仿宋_GB2312" w:cs="DengXian-Regular"/>
          <w:sz w:val="32"/>
          <w:szCs w:val="32"/>
        </w:rPr>
        <w:t>10</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2.考评满意度（5分）</w:t>
      </w:r>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该指标主要评价社会公众或部门的服务对象对部门履职效果的满意程度。</w:t>
      </w:r>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针对该指标，我们随机选取了50个调查对象进行了问卷调查，具体调查情况如下：</w:t>
      </w:r>
    </w:p>
    <w:p>
      <w:pPr>
        <w:spacing w:after="0" w:line="360" w:lineRule="auto"/>
        <w:jc w:val="center"/>
        <w:textAlignment w:val="baseline"/>
        <w:rPr>
          <w:rFonts w:asciiTheme="minorEastAsia" w:hAnsiTheme="minorEastAsia" w:eastAsiaTheme="minorEastAsia" w:cstheme="minorEastAsia"/>
          <w:b/>
          <w:bCs/>
          <w:sz w:val="32"/>
          <w:szCs w:val="32"/>
          <w:u w:color="000000"/>
        </w:rPr>
      </w:pPr>
      <w:r>
        <w:rPr>
          <w:rFonts w:hint="eastAsia" w:asciiTheme="minorEastAsia" w:hAnsiTheme="minorEastAsia" w:eastAsiaTheme="minorEastAsia" w:cstheme="minorEastAsia"/>
          <w:b/>
          <w:bCs/>
          <w:sz w:val="32"/>
          <w:szCs w:val="32"/>
          <w:u w:color="000000"/>
        </w:rPr>
        <w:t>表6  服务对象满意度调查问卷汇总表</w:t>
      </w:r>
    </w:p>
    <w:p>
      <w:pPr>
        <w:spacing w:after="0" w:line="540" w:lineRule="exact"/>
        <w:ind w:firstLine="6930" w:firstLineChars="3300"/>
        <w:jc w:val="both"/>
        <w:textAlignment w:val="baseline"/>
        <w:rPr>
          <w:rFonts w:ascii="仿宋_GB2312" w:eastAsia="仿宋_GB2312" w:cs="Times New Roman" w:hAnsiTheme="minorEastAsia"/>
          <w:sz w:val="32"/>
          <w:szCs w:val="32"/>
          <w:u w:color="000000"/>
        </w:rPr>
      </w:pPr>
      <w:r>
        <w:rPr>
          <w:rFonts w:hint="eastAsia" w:asciiTheme="minorEastAsia" w:hAnsiTheme="minorEastAsia" w:eastAsiaTheme="minorEastAsia" w:cstheme="minorEastAsia"/>
          <w:sz w:val="21"/>
          <w:szCs w:val="21"/>
          <w:u w:color="000000"/>
        </w:rPr>
        <w:t>单位：人次</w:t>
      </w:r>
    </w:p>
    <w:tbl>
      <w:tblPr>
        <w:tblStyle w:val="23"/>
        <w:tblW w:w="7948" w:type="dxa"/>
        <w:jc w:val="center"/>
        <w:tblLayout w:type="fixed"/>
        <w:tblCellMar>
          <w:top w:w="15" w:type="dxa"/>
          <w:left w:w="15" w:type="dxa"/>
          <w:bottom w:w="15" w:type="dxa"/>
          <w:right w:w="15" w:type="dxa"/>
        </w:tblCellMar>
      </w:tblPr>
      <w:tblGrid>
        <w:gridCol w:w="2834"/>
        <w:gridCol w:w="1114"/>
        <w:gridCol w:w="1134"/>
        <w:gridCol w:w="1218"/>
        <w:gridCol w:w="767"/>
        <w:gridCol w:w="881"/>
      </w:tblGrid>
      <w:tr>
        <w:tblPrEx>
          <w:tblCellMar>
            <w:top w:w="15" w:type="dxa"/>
            <w:left w:w="15" w:type="dxa"/>
            <w:bottom w:w="15" w:type="dxa"/>
            <w:right w:w="15" w:type="dxa"/>
          </w:tblCellMar>
        </w:tblPrEx>
        <w:trPr>
          <w:trHeight w:val="525" w:hRule="atLeast"/>
          <w:jc w:val="center"/>
        </w:trPr>
        <w:tc>
          <w:tcPr>
            <w:tcW w:w="2834" w:type="dxa"/>
            <w:tcBorders>
              <w:top w:val="single" w:color="auto" w:sz="4" w:space="0"/>
              <w:left w:val="single" w:color="auto" w:sz="4" w:space="0"/>
              <w:bottom w:val="single" w:color="auto" w:sz="4" w:space="0"/>
              <w:right w:val="single" w:color="auto" w:sz="4" w:space="0"/>
            </w:tcBorders>
            <w:vAlign w:val="center"/>
          </w:tcPr>
          <w:p>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调查项目</w:t>
            </w:r>
          </w:p>
        </w:tc>
        <w:tc>
          <w:tcPr>
            <w:tcW w:w="1114" w:type="dxa"/>
            <w:tcBorders>
              <w:top w:val="single" w:color="auto" w:sz="4" w:space="0"/>
              <w:left w:val="single" w:color="auto" w:sz="4" w:space="0"/>
              <w:bottom w:val="single" w:color="auto" w:sz="4" w:space="0"/>
              <w:right w:val="single" w:color="auto" w:sz="4" w:space="0"/>
            </w:tcBorders>
            <w:vAlign w:val="center"/>
          </w:tcPr>
          <w:p>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满意</w:t>
            </w:r>
          </w:p>
        </w:tc>
        <w:tc>
          <w:tcPr>
            <w:tcW w:w="1134" w:type="dxa"/>
            <w:tcBorders>
              <w:top w:val="single" w:color="auto" w:sz="4" w:space="0"/>
              <w:left w:val="single" w:color="auto" w:sz="4" w:space="0"/>
              <w:bottom w:val="single" w:color="auto" w:sz="4" w:space="0"/>
              <w:right w:val="single" w:color="auto" w:sz="4" w:space="0"/>
            </w:tcBorders>
            <w:vAlign w:val="center"/>
          </w:tcPr>
          <w:p>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一般</w:t>
            </w:r>
          </w:p>
        </w:tc>
        <w:tc>
          <w:tcPr>
            <w:tcW w:w="1218" w:type="dxa"/>
            <w:tcBorders>
              <w:top w:val="single" w:color="auto" w:sz="4" w:space="0"/>
              <w:left w:val="single" w:color="auto" w:sz="4" w:space="0"/>
              <w:bottom w:val="single" w:color="auto" w:sz="4" w:space="0"/>
              <w:right w:val="single" w:color="auto" w:sz="4" w:space="0"/>
            </w:tcBorders>
            <w:vAlign w:val="center"/>
          </w:tcPr>
          <w:p>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不满意</w:t>
            </w:r>
          </w:p>
        </w:tc>
        <w:tc>
          <w:tcPr>
            <w:tcW w:w="767" w:type="dxa"/>
            <w:tcBorders>
              <w:top w:val="single" w:color="auto" w:sz="4" w:space="0"/>
              <w:left w:val="single" w:color="auto" w:sz="4" w:space="0"/>
              <w:bottom w:val="single" w:color="auto" w:sz="4" w:space="0"/>
              <w:right w:val="single" w:color="auto" w:sz="4" w:space="0"/>
            </w:tcBorders>
            <w:vAlign w:val="center"/>
          </w:tcPr>
          <w:p>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合计</w:t>
            </w:r>
          </w:p>
        </w:tc>
        <w:tc>
          <w:tcPr>
            <w:tcW w:w="881" w:type="dxa"/>
            <w:tcBorders>
              <w:top w:val="single" w:color="auto" w:sz="4" w:space="0"/>
              <w:left w:val="single" w:color="auto" w:sz="4" w:space="0"/>
              <w:bottom w:val="single" w:color="auto" w:sz="4" w:space="0"/>
              <w:right w:val="single" w:color="auto" w:sz="4" w:space="0"/>
            </w:tcBorders>
            <w:vAlign w:val="center"/>
          </w:tcPr>
          <w:p>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单项得分</w:t>
            </w:r>
          </w:p>
        </w:tc>
      </w:tr>
      <w:tr>
        <w:tblPrEx>
          <w:tblCellMar>
            <w:top w:w="15" w:type="dxa"/>
            <w:left w:w="15" w:type="dxa"/>
            <w:bottom w:w="15" w:type="dxa"/>
            <w:right w:w="15" w:type="dxa"/>
          </w:tblCellMar>
        </w:tblPrEx>
        <w:trPr>
          <w:trHeight w:val="590" w:hRule="atLeast"/>
          <w:jc w:val="center"/>
        </w:trPr>
        <w:tc>
          <w:tcPr>
            <w:tcW w:w="283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both"/>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对公共文化服务</w:t>
            </w:r>
            <w:r>
              <w:rPr>
                <w:rFonts w:cs="Times New Roman" w:asciiTheme="minorEastAsia" w:hAnsiTheme="minorEastAsia" w:eastAsiaTheme="minorEastAsia"/>
                <w:sz w:val="21"/>
                <w:szCs w:val="21"/>
                <w:u w:color="000000"/>
              </w:rPr>
              <w:t>是否满意</w:t>
            </w:r>
          </w:p>
        </w:tc>
        <w:tc>
          <w:tcPr>
            <w:tcW w:w="111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45</w:t>
            </w:r>
          </w:p>
        </w:tc>
        <w:tc>
          <w:tcPr>
            <w:tcW w:w="113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5</w:t>
            </w:r>
          </w:p>
        </w:tc>
        <w:tc>
          <w:tcPr>
            <w:tcW w:w="1218"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x</w:t>
            </w:r>
          </w:p>
        </w:tc>
        <w:tc>
          <w:tcPr>
            <w:tcW w:w="767"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50</w:t>
            </w:r>
          </w:p>
        </w:tc>
        <w:tc>
          <w:tcPr>
            <w:tcW w:w="881"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98</w:t>
            </w:r>
          </w:p>
        </w:tc>
      </w:tr>
      <w:tr>
        <w:tblPrEx>
          <w:tblCellMar>
            <w:top w:w="15" w:type="dxa"/>
            <w:left w:w="15" w:type="dxa"/>
            <w:bottom w:w="15" w:type="dxa"/>
            <w:right w:w="15" w:type="dxa"/>
          </w:tblCellMar>
        </w:tblPrEx>
        <w:trPr>
          <w:trHeight w:val="510" w:hRule="atLeast"/>
          <w:jc w:val="center"/>
        </w:trPr>
        <w:tc>
          <w:tcPr>
            <w:tcW w:w="283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both"/>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对文化保护</w:t>
            </w:r>
            <w:r>
              <w:rPr>
                <w:rFonts w:cs="Times New Roman" w:asciiTheme="minorEastAsia" w:hAnsiTheme="minorEastAsia" w:eastAsiaTheme="minorEastAsia"/>
                <w:sz w:val="21"/>
                <w:szCs w:val="21"/>
                <w:u w:color="000000"/>
              </w:rPr>
              <w:t>是否满意</w:t>
            </w:r>
          </w:p>
        </w:tc>
        <w:tc>
          <w:tcPr>
            <w:tcW w:w="111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44</w:t>
            </w:r>
          </w:p>
        </w:tc>
        <w:tc>
          <w:tcPr>
            <w:tcW w:w="113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6</w:t>
            </w:r>
          </w:p>
        </w:tc>
        <w:tc>
          <w:tcPr>
            <w:tcW w:w="1218"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x</w:t>
            </w:r>
          </w:p>
        </w:tc>
        <w:tc>
          <w:tcPr>
            <w:tcW w:w="767"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50</w:t>
            </w:r>
          </w:p>
        </w:tc>
        <w:tc>
          <w:tcPr>
            <w:tcW w:w="881"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98</w:t>
            </w:r>
          </w:p>
        </w:tc>
      </w:tr>
      <w:tr>
        <w:tblPrEx>
          <w:tblCellMar>
            <w:top w:w="15" w:type="dxa"/>
            <w:left w:w="15" w:type="dxa"/>
            <w:bottom w:w="15" w:type="dxa"/>
            <w:right w:w="15" w:type="dxa"/>
          </w:tblCellMar>
        </w:tblPrEx>
        <w:trPr>
          <w:trHeight w:val="585" w:hRule="atLeast"/>
          <w:jc w:val="center"/>
        </w:trPr>
        <w:tc>
          <w:tcPr>
            <w:tcW w:w="283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both"/>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对旅游</w:t>
            </w:r>
            <w:r>
              <w:rPr>
                <w:rFonts w:cs="Times New Roman" w:asciiTheme="minorEastAsia" w:hAnsiTheme="minorEastAsia" w:eastAsiaTheme="minorEastAsia"/>
                <w:sz w:val="21"/>
                <w:szCs w:val="21"/>
                <w:u w:color="000000"/>
              </w:rPr>
              <w:t>政府及新项目宣传是否满意</w:t>
            </w:r>
          </w:p>
        </w:tc>
        <w:tc>
          <w:tcPr>
            <w:tcW w:w="111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47</w:t>
            </w:r>
          </w:p>
        </w:tc>
        <w:tc>
          <w:tcPr>
            <w:tcW w:w="113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3</w:t>
            </w:r>
          </w:p>
        </w:tc>
        <w:tc>
          <w:tcPr>
            <w:tcW w:w="1218"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x</w:t>
            </w:r>
          </w:p>
        </w:tc>
        <w:tc>
          <w:tcPr>
            <w:tcW w:w="767"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50</w:t>
            </w:r>
          </w:p>
        </w:tc>
        <w:tc>
          <w:tcPr>
            <w:tcW w:w="881"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98</w:t>
            </w:r>
          </w:p>
        </w:tc>
      </w:tr>
    </w:tbl>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调查问卷共分为3个单项，每个单项满分为100分。其中：每一单项满分为100分：满意为100分，一般为50分，不满意为0分。</w:t>
      </w:r>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对公共文化服务</w:t>
      </w:r>
      <w:r>
        <w:rPr>
          <w:rFonts w:ascii="仿宋_GB2312" w:eastAsia="仿宋_GB2312" w:cs="Times New Roman" w:hAnsiTheme="minorEastAsia"/>
          <w:sz w:val="32"/>
          <w:szCs w:val="32"/>
          <w:u w:color="000000"/>
        </w:rPr>
        <w:t>是否满意</w:t>
      </w:r>
      <w:r>
        <w:rPr>
          <w:rFonts w:hint="eastAsia" w:ascii="仿宋_GB2312" w:eastAsia="仿宋_GB2312" w:cs="Times New Roman" w:hAnsiTheme="minorEastAsia"/>
          <w:sz w:val="32"/>
          <w:szCs w:val="32"/>
          <w:u w:color="000000"/>
        </w:rPr>
        <w:t>，</w:t>
      </w:r>
      <w:r>
        <w:rPr>
          <w:rFonts w:ascii="仿宋_GB2312" w:eastAsia="仿宋_GB2312" w:cs="Times New Roman" w:hAnsiTheme="minorEastAsia"/>
          <w:sz w:val="32"/>
          <w:szCs w:val="32"/>
          <w:u w:color="000000"/>
        </w:rPr>
        <w:t>得分</w:t>
      </w:r>
      <w:r>
        <w:rPr>
          <w:rFonts w:hint="eastAsia" w:ascii="仿宋_GB2312" w:eastAsia="仿宋_GB2312" w:cs="Times New Roman" w:hAnsiTheme="minorEastAsia"/>
          <w:sz w:val="32"/>
          <w:szCs w:val="32"/>
          <w:u w:color="000000"/>
        </w:rPr>
        <w:t>98分</w:t>
      </w:r>
      <w:r>
        <w:rPr>
          <w:rFonts w:ascii="仿宋_GB2312" w:eastAsia="仿宋_GB2312" w:cs="Times New Roman" w:hAnsiTheme="minorEastAsia"/>
          <w:sz w:val="32"/>
          <w:szCs w:val="32"/>
          <w:u w:color="000000"/>
        </w:rPr>
        <w:t>；</w:t>
      </w:r>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对文化保护</w:t>
      </w:r>
      <w:r>
        <w:rPr>
          <w:rFonts w:ascii="仿宋_GB2312" w:eastAsia="仿宋_GB2312" w:cs="Times New Roman" w:hAnsiTheme="minorEastAsia"/>
          <w:sz w:val="32"/>
          <w:szCs w:val="32"/>
          <w:u w:color="000000"/>
        </w:rPr>
        <w:t>是否满意</w:t>
      </w:r>
      <w:r>
        <w:rPr>
          <w:rFonts w:hint="eastAsia" w:ascii="仿宋_GB2312" w:eastAsia="仿宋_GB2312" w:cs="Times New Roman" w:hAnsiTheme="minorEastAsia"/>
          <w:sz w:val="32"/>
          <w:szCs w:val="32"/>
          <w:u w:color="000000"/>
        </w:rPr>
        <w:t>，</w:t>
      </w:r>
      <w:r>
        <w:rPr>
          <w:rFonts w:ascii="仿宋_GB2312" w:eastAsia="仿宋_GB2312" w:cs="Times New Roman" w:hAnsiTheme="minorEastAsia"/>
          <w:sz w:val="32"/>
          <w:szCs w:val="32"/>
          <w:u w:color="000000"/>
        </w:rPr>
        <w:t>得分</w:t>
      </w:r>
      <w:r>
        <w:rPr>
          <w:rFonts w:hint="eastAsia" w:ascii="仿宋_GB2312" w:eastAsia="仿宋_GB2312" w:cs="Times New Roman" w:hAnsiTheme="minorEastAsia"/>
          <w:sz w:val="32"/>
          <w:szCs w:val="32"/>
          <w:u w:color="000000"/>
        </w:rPr>
        <w:t>98分</w:t>
      </w:r>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对旅游</w:t>
      </w:r>
      <w:r>
        <w:rPr>
          <w:rFonts w:ascii="仿宋_GB2312" w:eastAsia="仿宋_GB2312" w:cs="Times New Roman" w:hAnsiTheme="minorEastAsia"/>
          <w:sz w:val="32"/>
          <w:szCs w:val="32"/>
          <w:u w:color="000000"/>
        </w:rPr>
        <w:t>政府及新项目宣传是否满意</w:t>
      </w:r>
      <w:r>
        <w:rPr>
          <w:rFonts w:hint="eastAsia" w:ascii="仿宋_GB2312" w:eastAsia="仿宋_GB2312" w:cs="Times New Roman" w:hAnsiTheme="minorEastAsia"/>
          <w:sz w:val="32"/>
          <w:szCs w:val="32"/>
          <w:u w:color="000000"/>
        </w:rPr>
        <w:t>，</w:t>
      </w:r>
      <w:r>
        <w:rPr>
          <w:rFonts w:ascii="仿宋_GB2312" w:eastAsia="仿宋_GB2312" w:cs="Times New Roman" w:hAnsiTheme="minorEastAsia"/>
          <w:sz w:val="32"/>
          <w:szCs w:val="32"/>
          <w:u w:color="000000"/>
        </w:rPr>
        <w:t>得分</w:t>
      </w:r>
      <w:r>
        <w:rPr>
          <w:rFonts w:hint="eastAsia" w:ascii="仿宋_GB2312" w:eastAsia="仿宋_GB2312" w:cs="Times New Roman" w:hAnsiTheme="minorEastAsia"/>
          <w:sz w:val="32"/>
          <w:szCs w:val="32"/>
          <w:u w:color="000000"/>
        </w:rPr>
        <w:t>98分</w:t>
      </w:r>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总体满意度得分=∑1/3各单项满意度得分，</w:t>
      </w:r>
      <w:r>
        <w:rPr>
          <w:rFonts w:ascii="仿宋_GB2312" w:eastAsia="仿宋_GB2312" w:cs="Times New Roman" w:hAnsiTheme="minorEastAsia"/>
          <w:sz w:val="32"/>
          <w:szCs w:val="32"/>
          <w:u w:color="000000"/>
        </w:rPr>
        <w:t>总体</w:t>
      </w:r>
      <w:r>
        <w:rPr>
          <w:rFonts w:hint="eastAsia" w:ascii="仿宋_GB2312" w:eastAsia="仿宋_GB2312" w:cs="Times New Roman" w:hAnsiTheme="minorEastAsia"/>
          <w:sz w:val="32"/>
          <w:szCs w:val="32"/>
          <w:u w:color="000000"/>
        </w:rPr>
        <w:t>得分98分</w:t>
      </w:r>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经计算，总体得分为</w:t>
      </w:r>
      <w:r>
        <w:rPr>
          <w:rFonts w:ascii="仿宋_GB2312" w:eastAsia="仿宋_GB2312" w:cs="Times New Roman" w:hAnsiTheme="minorEastAsia"/>
          <w:sz w:val="32"/>
          <w:szCs w:val="32"/>
          <w:u w:color="000000"/>
        </w:rPr>
        <w:t>98</w:t>
      </w:r>
      <w:r>
        <w:rPr>
          <w:rFonts w:hint="eastAsia" w:ascii="仿宋_GB2312" w:eastAsia="仿宋_GB2312" w:cs="Times New Roman" w:hAnsiTheme="minorEastAsia"/>
          <w:sz w:val="32"/>
          <w:szCs w:val="32"/>
          <w:u w:color="000000"/>
        </w:rPr>
        <w:t>分，小于(大于）90分，评价等级为“优秀”。</w:t>
      </w:r>
    </w:p>
    <w:p>
      <w:pPr>
        <w:spacing w:after="0" w:line="360" w:lineRule="auto"/>
        <w:ind w:firstLine="640" w:firstLineChars="200"/>
        <w:jc w:val="both"/>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该指标实际得分</w:t>
      </w:r>
      <w:r>
        <w:rPr>
          <w:rFonts w:ascii="仿宋_GB2312" w:eastAsia="仿宋_GB2312" w:cs="Times New Roman" w:hAnsiTheme="minorEastAsia"/>
          <w:sz w:val="32"/>
          <w:szCs w:val="32"/>
          <w:u w:color="000000"/>
        </w:rPr>
        <w:t>5</w:t>
      </w:r>
      <w:r>
        <w:rPr>
          <w:rFonts w:hint="eastAsia" w:ascii="仿宋_GB2312" w:eastAsia="仿宋_GB2312" w:cs="Times New Roman" w:hAnsiTheme="minorEastAsia"/>
          <w:sz w:val="32"/>
          <w:szCs w:val="32"/>
          <w:u w:color="000000"/>
        </w:rPr>
        <w:t>分。</w:t>
      </w:r>
    </w:p>
    <w:p>
      <w:pPr>
        <w:pStyle w:val="3"/>
        <w:keepNext w:val="0"/>
        <w:keepLines w:val="0"/>
        <w:suppressLineNumbers/>
        <w:spacing w:before="0" w:after="0" w:line="360" w:lineRule="auto"/>
        <w:ind w:firstLine="643" w:firstLineChars="200"/>
        <w:rPr>
          <w:rFonts w:ascii="黑体"/>
        </w:rPr>
      </w:pPr>
      <w:bookmarkStart w:id="74" w:name="_Toc13757"/>
      <w:r>
        <w:rPr>
          <w:rFonts w:hint="eastAsia" w:ascii="黑体"/>
        </w:rPr>
        <w:t>五、绩效评价发现的问题</w:t>
      </w:r>
      <w:bookmarkEnd w:id="71"/>
      <w:bookmarkEnd w:id="72"/>
      <w:bookmarkEnd w:id="73"/>
      <w:bookmarkEnd w:id="74"/>
      <w:bookmarkStart w:id="75" w:name="_Toc492652789"/>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通过对各指标得分及扣分原因的分析，</w:t>
      </w:r>
      <w:r>
        <w:rPr>
          <w:rFonts w:hint="eastAsia" w:ascii="仿宋_GB2312" w:eastAsia="仿宋_GB2312" w:cs="DengXian-Regular"/>
          <w:sz w:val="32"/>
          <w:szCs w:val="32"/>
        </w:rPr>
        <w:t>区文广旅游局单位</w:t>
      </w:r>
      <w:r>
        <w:rPr>
          <w:rFonts w:hint="eastAsia" w:ascii="仿宋_GB2312" w:eastAsia="仿宋_GB2312" w:cs="Times New Roman" w:hAnsiTheme="minorEastAsia"/>
          <w:sz w:val="32"/>
          <w:szCs w:val="32"/>
          <w:u w:color="000000"/>
        </w:rPr>
        <w:t>202</w:t>
      </w:r>
      <w:r>
        <w:rPr>
          <w:rFonts w:ascii="仿宋_GB2312" w:eastAsia="仿宋_GB2312" w:cs="Times New Roman" w:hAnsiTheme="minorEastAsia"/>
          <w:sz w:val="32"/>
          <w:szCs w:val="32"/>
          <w:u w:color="000000"/>
        </w:rPr>
        <w:t>1</w:t>
      </w:r>
      <w:r>
        <w:rPr>
          <w:rFonts w:hint="eastAsia" w:ascii="仿宋_GB2312" w:eastAsia="仿宋_GB2312" w:cs="Times New Roman" w:hAnsiTheme="minorEastAsia"/>
          <w:sz w:val="32"/>
          <w:szCs w:val="32"/>
          <w:u w:color="000000"/>
        </w:rPr>
        <w:t>年部门整体支出基本按相关要求执行预算、决算，完成了绩效目标，资金使用效益良好。通过评价，也发现一些不足之处，具体情况如下：</w:t>
      </w:r>
      <w:bookmarkStart w:id="76" w:name="_Toc20723"/>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1.部分绩效指标方面：结转</w:t>
      </w:r>
      <w:r>
        <w:rPr>
          <w:rFonts w:ascii="仿宋_GB2312" w:eastAsia="仿宋_GB2312" w:cs="Times New Roman" w:hAnsiTheme="minorEastAsia"/>
          <w:sz w:val="32"/>
          <w:szCs w:val="32"/>
          <w:u w:color="000000"/>
        </w:rPr>
        <w:t>结余较多</w:t>
      </w:r>
      <w:r>
        <w:rPr>
          <w:rFonts w:hint="eastAsia" w:ascii="仿宋_GB2312" w:eastAsia="仿宋_GB2312" w:cs="Times New Roman" w:hAnsiTheme="minorEastAsia"/>
          <w:sz w:val="32"/>
          <w:szCs w:val="32"/>
          <w:u w:color="000000"/>
        </w:rPr>
        <w:t>，资金</w:t>
      </w:r>
      <w:r>
        <w:rPr>
          <w:rFonts w:ascii="仿宋_GB2312" w:eastAsia="仿宋_GB2312" w:cs="Times New Roman" w:hAnsiTheme="minorEastAsia"/>
          <w:sz w:val="32"/>
          <w:szCs w:val="32"/>
          <w:u w:color="000000"/>
        </w:rPr>
        <w:t>使用</w:t>
      </w:r>
      <w:r>
        <w:rPr>
          <w:rFonts w:hint="eastAsia" w:ascii="仿宋_GB2312" w:eastAsia="仿宋_GB2312" w:cs="Times New Roman" w:hAnsiTheme="minorEastAsia"/>
          <w:sz w:val="32"/>
          <w:szCs w:val="32"/>
          <w:u w:color="000000"/>
        </w:rPr>
        <w:t>率不</w:t>
      </w:r>
      <w:r>
        <w:rPr>
          <w:rFonts w:ascii="仿宋_GB2312" w:eastAsia="仿宋_GB2312" w:cs="Times New Roman" w:hAnsiTheme="minorEastAsia"/>
          <w:sz w:val="32"/>
          <w:szCs w:val="32"/>
          <w:u w:color="000000"/>
        </w:rPr>
        <w:t>高</w:t>
      </w:r>
      <w:r>
        <w:rPr>
          <w:rFonts w:hint="eastAsia" w:ascii="仿宋_GB2312" w:eastAsia="仿宋_GB2312" w:cs="Times New Roman" w:hAnsiTheme="minorEastAsia"/>
          <w:sz w:val="32"/>
          <w:szCs w:val="32"/>
          <w:u w:color="000000"/>
        </w:rPr>
        <w:t>。</w:t>
      </w:r>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w:t>
      </w:r>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2.预算决算比较: 决算</w:t>
      </w:r>
      <w:r>
        <w:rPr>
          <w:rFonts w:ascii="仿宋_GB2312" w:eastAsia="仿宋_GB2312" w:cs="Times New Roman" w:hAnsiTheme="minorEastAsia"/>
          <w:sz w:val="32"/>
          <w:szCs w:val="32"/>
          <w:u w:color="000000"/>
        </w:rPr>
        <w:t>收入和支出较预算出入较大</w:t>
      </w:r>
      <w:r>
        <w:rPr>
          <w:rFonts w:hint="eastAsia" w:ascii="仿宋_GB2312" w:eastAsia="仿宋_GB2312" w:cs="Times New Roman" w:hAnsiTheme="minorEastAsia"/>
          <w:sz w:val="32"/>
          <w:szCs w:val="32"/>
          <w:u w:color="000000"/>
        </w:rPr>
        <w:t>，预算</w:t>
      </w:r>
      <w:r>
        <w:rPr>
          <w:rFonts w:ascii="仿宋_GB2312" w:eastAsia="仿宋_GB2312" w:cs="Times New Roman" w:hAnsiTheme="minorEastAsia"/>
          <w:sz w:val="32"/>
          <w:szCs w:val="32"/>
          <w:u w:color="000000"/>
        </w:rPr>
        <w:t>较年</w:t>
      </w:r>
      <w:r>
        <w:rPr>
          <w:rFonts w:hint="eastAsia" w:ascii="仿宋_GB2312" w:eastAsia="仿宋_GB2312" w:cs="Times New Roman" w:hAnsiTheme="minorEastAsia"/>
          <w:sz w:val="32"/>
          <w:szCs w:val="32"/>
          <w:u w:color="000000"/>
        </w:rPr>
        <w:t>初追加</w:t>
      </w:r>
      <w:r>
        <w:rPr>
          <w:rFonts w:ascii="仿宋_GB2312" w:eastAsia="仿宋_GB2312" w:cs="Times New Roman" w:hAnsiTheme="minorEastAsia"/>
          <w:sz w:val="32"/>
          <w:szCs w:val="32"/>
          <w:u w:color="000000"/>
        </w:rPr>
        <w:t>较多</w:t>
      </w:r>
      <w:r>
        <w:rPr>
          <w:rFonts w:hint="eastAsia" w:ascii="仿宋_GB2312" w:eastAsia="仿宋_GB2312" w:cs="Times New Roman" w:hAnsiTheme="minorEastAsia"/>
          <w:sz w:val="32"/>
          <w:szCs w:val="32"/>
          <w:u w:color="000000"/>
        </w:rPr>
        <w:t>。</w:t>
      </w:r>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3.预算追加方面：预算</w:t>
      </w:r>
      <w:r>
        <w:rPr>
          <w:rFonts w:ascii="仿宋_GB2312" w:eastAsia="仿宋_GB2312" w:cs="Times New Roman" w:hAnsiTheme="minorEastAsia"/>
          <w:sz w:val="32"/>
          <w:szCs w:val="32"/>
          <w:u w:color="000000"/>
        </w:rPr>
        <w:t>较年</w:t>
      </w:r>
      <w:r>
        <w:rPr>
          <w:rFonts w:hint="eastAsia" w:ascii="仿宋_GB2312" w:eastAsia="仿宋_GB2312" w:cs="Times New Roman" w:hAnsiTheme="minorEastAsia"/>
          <w:sz w:val="32"/>
          <w:szCs w:val="32"/>
          <w:u w:color="000000"/>
        </w:rPr>
        <w:t>初追加</w:t>
      </w:r>
      <w:r>
        <w:rPr>
          <w:rFonts w:ascii="仿宋_GB2312" w:eastAsia="仿宋_GB2312" w:cs="Times New Roman" w:hAnsiTheme="minorEastAsia"/>
          <w:sz w:val="32"/>
          <w:szCs w:val="32"/>
          <w:u w:color="000000"/>
        </w:rPr>
        <w:t>较多，造成了资金结转结余</w:t>
      </w:r>
      <w:r>
        <w:rPr>
          <w:rFonts w:hint="eastAsia" w:ascii="仿宋_GB2312" w:eastAsia="仿宋_GB2312" w:cs="Times New Roman" w:hAnsiTheme="minorEastAsia"/>
          <w:sz w:val="32"/>
          <w:szCs w:val="32"/>
          <w:u w:color="000000"/>
        </w:rPr>
        <w:t>。</w:t>
      </w:r>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4.政府采购方面</w:t>
      </w:r>
      <w:bookmarkEnd w:id="75"/>
      <w:bookmarkEnd w:id="76"/>
      <w:bookmarkStart w:id="77" w:name="_Toc465149521"/>
      <w:r>
        <w:rPr>
          <w:rFonts w:hint="eastAsia" w:ascii="仿宋_GB2312" w:eastAsia="仿宋_GB2312" w:cs="Times New Roman" w:hAnsiTheme="minorEastAsia"/>
          <w:sz w:val="32"/>
          <w:szCs w:val="32"/>
          <w:u w:color="000000"/>
        </w:rPr>
        <w:t>：政府采购</w:t>
      </w:r>
      <w:r>
        <w:rPr>
          <w:rFonts w:ascii="仿宋_GB2312" w:eastAsia="仿宋_GB2312" w:cs="Times New Roman" w:hAnsiTheme="minorEastAsia"/>
          <w:sz w:val="32"/>
          <w:szCs w:val="32"/>
          <w:u w:color="000000"/>
        </w:rPr>
        <w:t>较年初预算</w:t>
      </w:r>
      <w:r>
        <w:rPr>
          <w:rFonts w:hint="eastAsia" w:ascii="仿宋_GB2312" w:eastAsia="仿宋_GB2312" w:cs="Times New Roman" w:hAnsiTheme="minorEastAsia"/>
          <w:sz w:val="32"/>
          <w:szCs w:val="32"/>
          <w:u w:color="000000"/>
        </w:rPr>
        <w:t>增加较</w:t>
      </w:r>
      <w:r>
        <w:rPr>
          <w:rFonts w:ascii="仿宋_GB2312" w:eastAsia="仿宋_GB2312" w:cs="Times New Roman" w:hAnsiTheme="minorEastAsia"/>
          <w:sz w:val="32"/>
          <w:szCs w:val="32"/>
          <w:u w:color="000000"/>
        </w:rPr>
        <w:t>多</w:t>
      </w:r>
      <w:r>
        <w:rPr>
          <w:rFonts w:hint="eastAsia" w:ascii="仿宋_GB2312" w:eastAsia="仿宋_GB2312" w:cs="Times New Roman" w:hAnsiTheme="minorEastAsia"/>
          <w:sz w:val="32"/>
          <w:szCs w:val="32"/>
          <w:u w:color="000000"/>
        </w:rPr>
        <w:t>。</w:t>
      </w:r>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5.项目资金使用率方面：部分项目</w:t>
      </w:r>
      <w:r>
        <w:rPr>
          <w:rFonts w:ascii="仿宋_GB2312" w:eastAsia="仿宋_GB2312" w:cs="Times New Roman" w:hAnsiTheme="minorEastAsia"/>
          <w:sz w:val="32"/>
          <w:szCs w:val="32"/>
          <w:u w:color="000000"/>
        </w:rPr>
        <w:t>资金</w:t>
      </w:r>
      <w:r>
        <w:rPr>
          <w:rFonts w:hint="eastAsia" w:ascii="仿宋_GB2312" w:eastAsia="仿宋_GB2312" w:cs="Times New Roman" w:hAnsiTheme="minorEastAsia"/>
          <w:sz w:val="32"/>
          <w:szCs w:val="32"/>
          <w:u w:color="000000"/>
        </w:rPr>
        <w:t>没</w:t>
      </w:r>
      <w:r>
        <w:rPr>
          <w:rFonts w:ascii="仿宋_GB2312" w:eastAsia="仿宋_GB2312" w:cs="Times New Roman" w:hAnsiTheme="minorEastAsia"/>
          <w:sz w:val="32"/>
          <w:szCs w:val="32"/>
          <w:u w:color="000000"/>
        </w:rPr>
        <w:t>有及时支出</w:t>
      </w:r>
      <w:r>
        <w:rPr>
          <w:rFonts w:hint="eastAsia" w:ascii="仿宋_GB2312" w:eastAsia="仿宋_GB2312" w:cs="Times New Roman" w:hAnsiTheme="minorEastAsia"/>
          <w:sz w:val="32"/>
          <w:szCs w:val="32"/>
          <w:u w:color="000000"/>
        </w:rPr>
        <w:t>，造成</w:t>
      </w:r>
      <w:r>
        <w:rPr>
          <w:rFonts w:ascii="仿宋_GB2312" w:eastAsia="仿宋_GB2312" w:cs="Times New Roman" w:hAnsiTheme="minorEastAsia"/>
          <w:sz w:val="32"/>
          <w:szCs w:val="32"/>
          <w:u w:color="000000"/>
        </w:rPr>
        <w:t>结转</w:t>
      </w:r>
      <w:r>
        <w:rPr>
          <w:rFonts w:hint="eastAsia" w:ascii="仿宋_GB2312" w:eastAsia="仿宋_GB2312" w:cs="Times New Roman" w:hAnsiTheme="minorEastAsia"/>
          <w:sz w:val="32"/>
          <w:szCs w:val="32"/>
          <w:u w:color="000000"/>
        </w:rPr>
        <w:t>，影响</w:t>
      </w:r>
      <w:r>
        <w:rPr>
          <w:rFonts w:ascii="仿宋_GB2312" w:eastAsia="仿宋_GB2312" w:cs="Times New Roman" w:hAnsiTheme="minorEastAsia"/>
          <w:sz w:val="32"/>
          <w:szCs w:val="32"/>
          <w:u w:color="000000"/>
        </w:rPr>
        <w:t>了资金使用</w:t>
      </w:r>
      <w:r>
        <w:rPr>
          <w:rFonts w:hint="eastAsia" w:ascii="仿宋_GB2312" w:eastAsia="仿宋_GB2312" w:cs="Times New Roman" w:hAnsiTheme="minorEastAsia"/>
          <w:sz w:val="32"/>
          <w:szCs w:val="32"/>
          <w:u w:color="000000"/>
        </w:rPr>
        <w:t>率。</w:t>
      </w:r>
    </w:p>
    <w:p>
      <w:pPr>
        <w:pStyle w:val="3"/>
        <w:keepNext w:val="0"/>
        <w:keepLines w:val="0"/>
        <w:suppressLineNumbers/>
        <w:spacing w:before="0" w:after="0" w:line="360" w:lineRule="auto"/>
        <w:ind w:firstLine="643" w:firstLineChars="200"/>
        <w:rPr>
          <w:rFonts w:ascii="黑体"/>
        </w:rPr>
      </w:pPr>
      <w:r>
        <w:rPr>
          <w:rFonts w:hint="eastAsia" w:ascii="黑体"/>
        </w:rPr>
        <w:t>六</w:t>
      </w:r>
      <w:r>
        <w:rPr>
          <w:rFonts w:ascii="黑体"/>
        </w:rPr>
        <w:t>、绩效评价意见及建</w:t>
      </w:r>
      <w:r>
        <w:rPr>
          <w:rFonts w:hint="eastAsia" w:ascii="黑体"/>
        </w:rPr>
        <w:t>议</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通过部门整体支出绩效评价工作了解部门绩效目标和指标的设置及完成情况；部门整体资金预算情况、实际收支及结转结余情况；部门履职对社会发展所带来的直接或间接影响及服务对象对部门履职效果的满意程度，促使相关部门根据绩效评价过程中发现的问题，及时整改并总结经验，提高部门管理水平，牢固树立预算绩效理念，强化部门支出责任，提高预算执行效率和财政资金使用效益。</w:t>
      </w:r>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p>
    <w:p>
      <w:pPr>
        <w:spacing w:after="0" w:line="360" w:lineRule="auto"/>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附件：1.保定市徐水</w:t>
      </w:r>
      <w:r>
        <w:rPr>
          <w:rFonts w:hint="eastAsia" w:ascii="仿宋_GB2312" w:eastAsia="仿宋_GB2312" w:cs="DengXian-Regular"/>
          <w:sz w:val="32"/>
          <w:szCs w:val="32"/>
        </w:rPr>
        <w:t>区文化广电和旅游局单位</w:t>
      </w:r>
      <w:r>
        <w:rPr>
          <w:rFonts w:hint="eastAsia" w:ascii="仿宋_GB2312" w:eastAsia="仿宋_GB2312" w:cs="Times New Roman" w:hAnsiTheme="minorEastAsia"/>
          <w:sz w:val="32"/>
          <w:szCs w:val="32"/>
          <w:u w:color="000000"/>
        </w:rPr>
        <w:t>部门基本情况及主要职责</w:t>
      </w:r>
    </w:p>
    <w:p>
      <w:pPr>
        <w:spacing w:after="0" w:line="540" w:lineRule="exact"/>
        <w:ind w:firstLine="960" w:firstLineChars="3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2.</w:t>
      </w:r>
      <w:r>
        <w:rPr>
          <w:rFonts w:ascii="仿宋_GB2312" w:eastAsia="仿宋_GB2312" w:cs="Times New Roman" w:hAnsiTheme="minorEastAsia"/>
          <w:sz w:val="32"/>
          <w:szCs w:val="32"/>
          <w:u w:color="000000"/>
        </w:rPr>
        <w:t>2021</w:t>
      </w:r>
      <w:r>
        <w:rPr>
          <w:rFonts w:hint="eastAsia" w:ascii="仿宋_GB2312" w:eastAsia="仿宋_GB2312" w:cs="Times New Roman" w:hAnsiTheme="minorEastAsia"/>
          <w:sz w:val="32"/>
          <w:szCs w:val="32"/>
          <w:u w:color="000000"/>
        </w:rPr>
        <w:t>年度保定市徐水区</w:t>
      </w:r>
      <w:r>
        <w:rPr>
          <w:rFonts w:hint="eastAsia" w:ascii="仿宋_GB2312" w:eastAsia="仿宋_GB2312" w:cs="DengXian-Regular"/>
          <w:sz w:val="32"/>
          <w:szCs w:val="32"/>
        </w:rPr>
        <w:t>文化广电和旅游局单位</w:t>
      </w:r>
      <w:r>
        <w:rPr>
          <w:rFonts w:hint="eastAsia" w:ascii="仿宋_GB2312" w:eastAsia="仿宋_GB2312" w:cs="Times New Roman" w:hAnsiTheme="minorEastAsia"/>
          <w:sz w:val="32"/>
          <w:szCs w:val="32"/>
          <w:u w:color="000000"/>
        </w:rPr>
        <w:t>收支预算及决算明细表</w:t>
      </w:r>
    </w:p>
    <w:p>
      <w:pPr>
        <w:spacing w:after="0" w:line="540" w:lineRule="exact"/>
        <w:ind w:firstLine="960" w:firstLineChars="300"/>
        <w:jc w:val="both"/>
        <w:textAlignment w:val="baseline"/>
        <w:rPr>
          <w:rFonts w:ascii="仿宋_GB2312" w:eastAsia="仿宋_GB2312" w:cs="Times New Roman" w:hAnsiTheme="minorEastAsia"/>
          <w:sz w:val="32"/>
          <w:szCs w:val="32"/>
          <w:u w:color="000000"/>
        </w:rPr>
      </w:pPr>
      <w:bookmarkStart w:id="78" w:name="_Toc465149534"/>
      <w:r>
        <w:rPr>
          <w:rFonts w:hint="eastAsia" w:ascii="仿宋_GB2312" w:eastAsia="仿宋_GB2312" w:cs="Times New Roman" w:hAnsiTheme="minorEastAsia"/>
          <w:sz w:val="32"/>
          <w:szCs w:val="32"/>
          <w:u w:color="000000"/>
        </w:rPr>
        <w:t>3.</w:t>
      </w:r>
      <w:bookmarkEnd w:id="78"/>
      <w:r>
        <w:rPr>
          <w:rFonts w:hint="eastAsia" w:ascii="仿宋_GB2312" w:eastAsia="仿宋_GB2312" w:cs="Times New Roman" w:hAnsiTheme="minorEastAsia"/>
          <w:sz w:val="32"/>
          <w:szCs w:val="32"/>
          <w:u w:color="000000"/>
        </w:rPr>
        <w:t>部门整体支出绩效评价指标体系</w:t>
      </w:r>
    </w:p>
    <w:p>
      <w:pPr>
        <w:spacing w:after="0" w:line="540" w:lineRule="exact"/>
        <w:ind w:firstLine="960" w:firstLineChars="300"/>
        <w:jc w:val="both"/>
        <w:textAlignment w:val="baseline"/>
        <w:rPr>
          <w:rFonts w:ascii="仿宋_GB2312" w:eastAsia="仿宋_GB2312" w:cs="Times New Roman" w:hAnsiTheme="minorEastAsia"/>
          <w:sz w:val="32"/>
          <w:szCs w:val="32"/>
          <w:u w:color="000000"/>
        </w:rPr>
      </w:pPr>
      <w:bookmarkStart w:id="79" w:name="_Toc465149544"/>
      <w:r>
        <w:rPr>
          <w:rFonts w:hint="eastAsia" w:ascii="仿宋_GB2312" w:eastAsia="仿宋_GB2312" w:cs="Times New Roman" w:hAnsiTheme="minorEastAsia"/>
          <w:sz w:val="32"/>
          <w:szCs w:val="32"/>
          <w:u w:color="000000"/>
        </w:rPr>
        <w:t>4.</w:t>
      </w:r>
      <w:bookmarkEnd w:id="79"/>
      <w:r>
        <w:rPr>
          <w:rFonts w:ascii="仿宋_GB2312" w:eastAsia="仿宋_GB2312" w:cs="Times New Roman" w:hAnsiTheme="minorEastAsia"/>
          <w:sz w:val="32"/>
          <w:szCs w:val="32"/>
          <w:u w:color="000000"/>
        </w:rPr>
        <w:t>2021</w:t>
      </w:r>
      <w:r>
        <w:rPr>
          <w:rFonts w:hint="eastAsia" w:ascii="仿宋_GB2312" w:eastAsia="仿宋_GB2312" w:cs="Times New Roman" w:hAnsiTheme="minorEastAsia"/>
          <w:sz w:val="32"/>
          <w:szCs w:val="32"/>
          <w:u w:color="000000"/>
        </w:rPr>
        <w:t>年徐水区</w:t>
      </w:r>
      <w:r>
        <w:rPr>
          <w:rFonts w:hint="eastAsia" w:ascii="仿宋_GB2312" w:eastAsia="仿宋_GB2312" w:cs="DengXian-Regular"/>
          <w:sz w:val="32"/>
          <w:szCs w:val="32"/>
        </w:rPr>
        <w:t>文化广电和旅游局单位</w:t>
      </w:r>
      <w:r>
        <w:rPr>
          <w:rFonts w:hint="eastAsia" w:ascii="仿宋_GB2312" w:eastAsia="仿宋_GB2312" w:cs="Times New Roman" w:hAnsiTheme="minorEastAsia"/>
          <w:sz w:val="32"/>
          <w:szCs w:val="32"/>
          <w:u w:color="000000"/>
        </w:rPr>
        <w:t>工作活动绩效目标、绩效指标一览表</w:t>
      </w:r>
      <w:bookmarkEnd w:id="77"/>
    </w:p>
    <w:p>
      <w:pPr>
        <w:spacing w:line="540" w:lineRule="exact"/>
        <w:ind w:firstLine="640" w:firstLineChars="200"/>
        <w:jc w:val="both"/>
        <w:textAlignment w:val="baseline"/>
        <w:rPr>
          <w:rFonts w:ascii="仿宋_GB2312" w:eastAsia="仿宋_GB2312" w:cs="Times New Roman" w:hAnsiTheme="minorEastAsia"/>
          <w:sz w:val="32"/>
          <w:szCs w:val="32"/>
          <w:u w:color="000000"/>
        </w:rPr>
      </w:pPr>
    </w:p>
    <w:p>
      <w:pPr>
        <w:spacing w:line="540" w:lineRule="exact"/>
        <w:ind w:firstLine="640" w:firstLineChars="200"/>
        <w:jc w:val="both"/>
        <w:textAlignment w:val="baseline"/>
        <w:rPr>
          <w:rFonts w:ascii="仿宋_GB2312" w:eastAsia="仿宋_GB2312" w:cs="Times New Roman" w:hAnsiTheme="minorEastAsia"/>
          <w:sz w:val="32"/>
          <w:szCs w:val="32"/>
          <w:u w:color="000000"/>
        </w:rPr>
      </w:pPr>
    </w:p>
    <w:p>
      <w:pPr>
        <w:spacing w:line="540" w:lineRule="exact"/>
        <w:ind w:firstLine="640" w:firstLineChars="200"/>
        <w:jc w:val="both"/>
        <w:textAlignment w:val="baseline"/>
        <w:rPr>
          <w:rFonts w:ascii="仿宋_GB2312" w:eastAsia="仿宋_GB2312" w:cs="Times New Roman" w:hAnsiTheme="minorEastAsia"/>
          <w:sz w:val="32"/>
          <w:szCs w:val="32"/>
          <w:u w:color="000000"/>
        </w:rPr>
      </w:pPr>
    </w:p>
    <w:p>
      <w:pPr>
        <w:spacing w:line="540" w:lineRule="exact"/>
        <w:ind w:firstLine="640" w:firstLineChars="200"/>
        <w:jc w:val="both"/>
        <w:textAlignment w:val="baseline"/>
        <w:rPr>
          <w:rFonts w:ascii="仿宋_GB2312" w:eastAsia="仿宋_GB2312" w:cs="Times New Roman" w:hAnsiTheme="minorEastAsia"/>
          <w:sz w:val="32"/>
          <w:szCs w:val="32"/>
          <w:u w:color="000000"/>
        </w:rPr>
      </w:pPr>
    </w:p>
    <w:p>
      <w:pPr>
        <w:spacing w:line="540" w:lineRule="exact"/>
        <w:ind w:firstLine="640" w:firstLineChars="200"/>
        <w:jc w:val="both"/>
        <w:textAlignment w:val="baseline"/>
        <w:rPr>
          <w:rFonts w:ascii="仿宋_GB2312" w:eastAsia="仿宋_GB2312" w:cs="Times New Roman" w:hAnsiTheme="minorEastAsia"/>
          <w:sz w:val="32"/>
          <w:szCs w:val="32"/>
          <w:u w:color="000000"/>
        </w:rPr>
      </w:pPr>
    </w:p>
    <w:sectPr>
      <w:footerReference r:id="rId5" w:type="default"/>
      <w:pgSz w:w="11906" w:h="16838"/>
      <w:pgMar w:top="1440" w:right="1797" w:bottom="1191" w:left="1797" w:header="709" w:footer="709" w:gutter="0"/>
      <w:pgNumType w:start="1"/>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方正仿宋_GBK">
    <w:altName w:val="宋体"/>
    <w:panose1 w:val="00000000000000000000"/>
    <w:charset w:val="86"/>
    <w:family w:val="roman"/>
    <w:pitch w:val="default"/>
    <w:sig w:usb0="00000000" w:usb1="00000000" w:usb2="00000000" w:usb3="00000000" w:csb0="00000000" w:csb1="00000000"/>
  </w:font>
  <w:font w:name="DengXian-Regular">
    <w:altName w:val="宋体"/>
    <w:panose1 w:val="00000000000000000000"/>
    <w:charset w:val="86"/>
    <w:family w:val="auto"/>
    <w:pitch w:val="default"/>
    <w:sig w:usb0="00000000" w:usb1="00000000" w:usb2="00000010"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fldChar w:fldCharType="begin"/>
    </w:r>
    <w:r>
      <w:instrText xml:space="preserve"> PAGE   \* MERGEFORMAT </w:instrText>
    </w:r>
    <w:r>
      <w:fldChar w:fldCharType="separate"/>
    </w:r>
    <w:r>
      <w:rPr>
        <w:lang w:val="zh-CN"/>
      </w:rPr>
      <w:t>21</w:t>
    </w:r>
    <w:r>
      <w:rPr>
        <w:lang w:val="zh-CN"/>
      </w:rPr>
      <w:fldChar w:fldCharType="end"/>
    </w:r>
  </w:p>
  <w:p>
    <w:pPr>
      <w:pStyle w:val="1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hideSpellingErrors/>
  <w:hideGrammaticalErrors/>
  <w:documentProtection w:enforcement="0"/>
  <w:defaultTabStop w:val="720"/>
  <w:noPunctuationKerning w:val="1"/>
  <w:characterSpacingControl w:val="doNotCompress"/>
  <w:footnotePr>
    <w:footnote w:id="0"/>
    <w:footnote w:id="1"/>
  </w:foot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04179"/>
    <w:rsid w:val="0000439F"/>
    <w:rsid w:val="00007CA0"/>
    <w:rsid w:val="00015C39"/>
    <w:rsid w:val="000174D3"/>
    <w:rsid w:val="0002415F"/>
    <w:rsid w:val="00025620"/>
    <w:rsid w:val="00026F83"/>
    <w:rsid w:val="0002705B"/>
    <w:rsid w:val="000317D7"/>
    <w:rsid w:val="00032B03"/>
    <w:rsid w:val="000334C2"/>
    <w:rsid w:val="0003450B"/>
    <w:rsid w:val="0003465E"/>
    <w:rsid w:val="00034910"/>
    <w:rsid w:val="0003506D"/>
    <w:rsid w:val="000409C0"/>
    <w:rsid w:val="0004123E"/>
    <w:rsid w:val="00044599"/>
    <w:rsid w:val="000446E5"/>
    <w:rsid w:val="00044A25"/>
    <w:rsid w:val="00047D7B"/>
    <w:rsid w:val="000509B6"/>
    <w:rsid w:val="00050A62"/>
    <w:rsid w:val="000516BA"/>
    <w:rsid w:val="00051DBC"/>
    <w:rsid w:val="00052010"/>
    <w:rsid w:val="00061096"/>
    <w:rsid w:val="000612A2"/>
    <w:rsid w:val="00063117"/>
    <w:rsid w:val="00072BF5"/>
    <w:rsid w:val="000752C6"/>
    <w:rsid w:val="00075B78"/>
    <w:rsid w:val="00077648"/>
    <w:rsid w:val="00080E48"/>
    <w:rsid w:val="00091D50"/>
    <w:rsid w:val="000935D5"/>
    <w:rsid w:val="0009618D"/>
    <w:rsid w:val="00096195"/>
    <w:rsid w:val="0009756F"/>
    <w:rsid w:val="000A1F67"/>
    <w:rsid w:val="000A2079"/>
    <w:rsid w:val="000A5467"/>
    <w:rsid w:val="000B09F3"/>
    <w:rsid w:val="000B0C4A"/>
    <w:rsid w:val="000B23E8"/>
    <w:rsid w:val="000B62FE"/>
    <w:rsid w:val="000B72BC"/>
    <w:rsid w:val="000B78D7"/>
    <w:rsid w:val="000C1EA5"/>
    <w:rsid w:val="000C52FB"/>
    <w:rsid w:val="000C55E6"/>
    <w:rsid w:val="000C6D5A"/>
    <w:rsid w:val="000D09B2"/>
    <w:rsid w:val="000D7C38"/>
    <w:rsid w:val="000E0902"/>
    <w:rsid w:val="000E3830"/>
    <w:rsid w:val="000F070B"/>
    <w:rsid w:val="000F3158"/>
    <w:rsid w:val="000F364D"/>
    <w:rsid w:val="000F4432"/>
    <w:rsid w:val="000F465E"/>
    <w:rsid w:val="000F5E8C"/>
    <w:rsid w:val="000F6D36"/>
    <w:rsid w:val="001000B2"/>
    <w:rsid w:val="00104C6C"/>
    <w:rsid w:val="001054AB"/>
    <w:rsid w:val="0010560E"/>
    <w:rsid w:val="0010612A"/>
    <w:rsid w:val="00106FF7"/>
    <w:rsid w:val="00107111"/>
    <w:rsid w:val="001073D6"/>
    <w:rsid w:val="00107819"/>
    <w:rsid w:val="0011574B"/>
    <w:rsid w:val="00116132"/>
    <w:rsid w:val="00117B9C"/>
    <w:rsid w:val="00117E7D"/>
    <w:rsid w:val="00120EA6"/>
    <w:rsid w:val="001213E5"/>
    <w:rsid w:val="00122196"/>
    <w:rsid w:val="0012439D"/>
    <w:rsid w:val="0012587C"/>
    <w:rsid w:val="0013591D"/>
    <w:rsid w:val="00141DE8"/>
    <w:rsid w:val="00144105"/>
    <w:rsid w:val="00145B4E"/>
    <w:rsid w:val="001544E1"/>
    <w:rsid w:val="001551CE"/>
    <w:rsid w:val="00164732"/>
    <w:rsid w:val="00164FE1"/>
    <w:rsid w:val="001703D7"/>
    <w:rsid w:val="001719D0"/>
    <w:rsid w:val="00172245"/>
    <w:rsid w:val="0017403C"/>
    <w:rsid w:val="00174241"/>
    <w:rsid w:val="00176E7D"/>
    <w:rsid w:val="001804B7"/>
    <w:rsid w:val="001827F5"/>
    <w:rsid w:val="00183C43"/>
    <w:rsid w:val="00185652"/>
    <w:rsid w:val="00187750"/>
    <w:rsid w:val="00190292"/>
    <w:rsid w:val="001926B8"/>
    <w:rsid w:val="0019341A"/>
    <w:rsid w:val="001952EC"/>
    <w:rsid w:val="001A0F7A"/>
    <w:rsid w:val="001A1677"/>
    <w:rsid w:val="001A5FD3"/>
    <w:rsid w:val="001B0380"/>
    <w:rsid w:val="001B04A4"/>
    <w:rsid w:val="001B30D5"/>
    <w:rsid w:val="001B382A"/>
    <w:rsid w:val="001B5C88"/>
    <w:rsid w:val="001B6CE6"/>
    <w:rsid w:val="001C046D"/>
    <w:rsid w:val="001C1412"/>
    <w:rsid w:val="001C391F"/>
    <w:rsid w:val="001C5135"/>
    <w:rsid w:val="001C796E"/>
    <w:rsid w:val="001D1367"/>
    <w:rsid w:val="001D5041"/>
    <w:rsid w:val="001D5A7C"/>
    <w:rsid w:val="001D76AA"/>
    <w:rsid w:val="001E21EA"/>
    <w:rsid w:val="001E288A"/>
    <w:rsid w:val="001E3ABB"/>
    <w:rsid w:val="001E4C24"/>
    <w:rsid w:val="001E5C43"/>
    <w:rsid w:val="001F07B6"/>
    <w:rsid w:val="001F0B92"/>
    <w:rsid w:val="001F1094"/>
    <w:rsid w:val="001F2F0E"/>
    <w:rsid w:val="001F33AA"/>
    <w:rsid w:val="001F6236"/>
    <w:rsid w:val="00200051"/>
    <w:rsid w:val="00202D5A"/>
    <w:rsid w:val="00205F02"/>
    <w:rsid w:val="0021307B"/>
    <w:rsid w:val="002142B8"/>
    <w:rsid w:val="002161F4"/>
    <w:rsid w:val="00216E75"/>
    <w:rsid w:val="00221907"/>
    <w:rsid w:val="00222FA8"/>
    <w:rsid w:val="0022532A"/>
    <w:rsid w:val="00227AFB"/>
    <w:rsid w:val="00235741"/>
    <w:rsid w:val="00236B18"/>
    <w:rsid w:val="002401EA"/>
    <w:rsid w:val="00241B9D"/>
    <w:rsid w:val="002439D4"/>
    <w:rsid w:val="00245CB2"/>
    <w:rsid w:val="00246A44"/>
    <w:rsid w:val="00250BAC"/>
    <w:rsid w:val="00260245"/>
    <w:rsid w:val="0026252A"/>
    <w:rsid w:val="00262BB1"/>
    <w:rsid w:val="00263D3A"/>
    <w:rsid w:val="002643BE"/>
    <w:rsid w:val="00265325"/>
    <w:rsid w:val="002656BB"/>
    <w:rsid w:val="00266E84"/>
    <w:rsid w:val="002715FC"/>
    <w:rsid w:val="00271ACA"/>
    <w:rsid w:val="002736FD"/>
    <w:rsid w:val="00274CFA"/>
    <w:rsid w:val="00275677"/>
    <w:rsid w:val="00275A3F"/>
    <w:rsid w:val="0028068C"/>
    <w:rsid w:val="00280F6C"/>
    <w:rsid w:val="00282A89"/>
    <w:rsid w:val="00283F8F"/>
    <w:rsid w:val="002869F9"/>
    <w:rsid w:val="00292F98"/>
    <w:rsid w:val="002939A0"/>
    <w:rsid w:val="002959A3"/>
    <w:rsid w:val="0029626E"/>
    <w:rsid w:val="00296E59"/>
    <w:rsid w:val="00297CEF"/>
    <w:rsid w:val="002A0364"/>
    <w:rsid w:val="002A1661"/>
    <w:rsid w:val="002A1A25"/>
    <w:rsid w:val="002A563C"/>
    <w:rsid w:val="002B05EF"/>
    <w:rsid w:val="002B2E34"/>
    <w:rsid w:val="002B76FA"/>
    <w:rsid w:val="002C029E"/>
    <w:rsid w:val="002C2C71"/>
    <w:rsid w:val="002C5A65"/>
    <w:rsid w:val="002C71F3"/>
    <w:rsid w:val="002D2112"/>
    <w:rsid w:val="002D53D7"/>
    <w:rsid w:val="002D5508"/>
    <w:rsid w:val="002D5FC1"/>
    <w:rsid w:val="002D7AB3"/>
    <w:rsid w:val="002E1D3C"/>
    <w:rsid w:val="002E1F73"/>
    <w:rsid w:val="002E269D"/>
    <w:rsid w:val="002E3460"/>
    <w:rsid w:val="002E70AE"/>
    <w:rsid w:val="002F0C41"/>
    <w:rsid w:val="002F5B6A"/>
    <w:rsid w:val="002F5BF5"/>
    <w:rsid w:val="002F5ECA"/>
    <w:rsid w:val="00306572"/>
    <w:rsid w:val="003079C7"/>
    <w:rsid w:val="003169F3"/>
    <w:rsid w:val="0032078D"/>
    <w:rsid w:val="00321CE0"/>
    <w:rsid w:val="0032231F"/>
    <w:rsid w:val="00323B43"/>
    <w:rsid w:val="00325BCC"/>
    <w:rsid w:val="003309A3"/>
    <w:rsid w:val="003345BC"/>
    <w:rsid w:val="00343662"/>
    <w:rsid w:val="0035016B"/>
    <w:rsid w:val="0035365E"/>
    <w:rsid w:val="00355403"/>
    <w:rsid w:val="003569A8"/>
    <w:rsid w:val="00361FFF"/>
    <w:rsid w:val="00362340"/>
    <w:rsid w:val="003653A5"/>
    <w:rsid w:val="00366971"/>
    <w:rsid w:val="00367DF7"/>
    <w:rsid w:val="00370AFA"/>
    <w:rsid w:val="0037120F"/>
    <w:rsid w:val="0037242E"/>
    <w:rsid w:val="003743E9"/>
    <w:rsid w:val="0038005F"/>
    <w:rsid w:val="003803CC"/>
    <w:rsid w:val="00382949"/>
    <w:rsid w:val="00391AE3"/>
    <w:rsid w:val="00396D4C"/>
    <w:rsid w:val="003A02BE"/>
    <w:rsid w:val="003A1765"/>
    <w:rsid w:val="003A3C32"/>
    <w:rsid w:val="003A4D02"/>
    <w:rsid w:val="003A4D52"/>
    <w:rsid w:val="003A536E"/>
    <w:rsid w:val="003B6DEC"/>
    <w:rsid w:val="003B79D3"/>
    <w:rsid w:val="003C2B92"/>
    <w:rsid w:val="003D126B"/>
    <w:rsid w:val="003D1D33"/>
    <w:rsid w:val="003D22C9"/>
    <w:rsid w:val="003D28AC"/>
    <w:rsid w:val="003D37D8"/>
    <w:rsid w:val="003D7B2A"/>
    <w:rsid w:val="003E266C"/>
    <w:rsid w:val="003E3C05"/>
    <w:rsid w:val="003F282F"/>
    <w:rsid w:val="00400E89"/>
    <w:rsid w:val="00401AB4"/>
    <w:rsid w:val="00402CA2"/>
    <w:rsid w:val="00402D95"/>
    <w:rsid w:val="00403ADD"/>
    <w:rsid w:val="00407629"/>
    <w:rsid w:val="004108EE"/>
    <w:rsid w:val="00410F1A"/>
    <w:rsid w:val="00412A31"/>
    <w:rsid w:val="004200B9"/>
    <w:rsid w:val="00426133"/>
    <w:rsid w:val="004300B1"/>
    <w:rsid w:val="00430AF8"/>
    <w:rsid w:val="0043148F"/>
    <w:rsid w:val="0043354D"/>
    <w:rsid w:val="00434EB0"/>
    <w:rsid w:val="004358AB"/>
    <w:rsid w:val="00435DA7"/>
    <w:rsid w:val="004370A2"/>
    <w:rsid w:val="00445C28"/>
    <w:rsid w:val="004468B5"/>
    <w:rsid w:val="00451E9F"/>
    <w:rsid w:val="004551F1"/>
    <w:rsid w:val="00456648"/>
    <w:rsid w:val="00457E00"/>
    <w:rsid w:val="00461E7C"/>
    <w:rsid w:val="004639E0"/>
    <w:rsid w:val="00463A6D"/>
    <w:rsid w:val="00465A21"/>
    <w:rsid w:val="0047047F"/>
    <w:rsid w:val="00472C49"/>
    <w:rsid w:val="00474DE3"/>
    <w:rsid w:val="00477959"/>
    <w:rsid w:val="00486217"/>
    <w:rsid w:val="00486A56"/>
    <w:rsid w:val="00494D73"/>
    <w:rsid w:val="004A19C4"/>
    <w:rsid w:val="004A6EA4"/>
    <w:rsid w:val="004B146A"/>
    <w:rsid w:val="004B1E69"/>
    <w:rsid w:val="004B4146"/>
    <w:rsid w:val="004B5892"/>
    <w:rsid w:val="004B59DD"/>
    <w:rsid w:val="004B5E88"/>
    <w:rsid w:val="004B5EDE"/>
    <w:rsid w:val="004C0341"/>
    <w:rsid w:val="004C46D3"/>
    <w:rsid w:val="004C500A"/>
    <w:rsid w:val="004C5D39"/>
    <w:rsid w:val="004C7656"/>
    <w:rsid w:val="004C7C48"/>
    <w:rsid w:val="004D21B9"/>
    <w:rsid w:val="004D21FF"/>
    <w:rsid w:val="004D2DD5"/>
    <w:rsid w:val="004D41F0"/>
    <w:rsid w:val="004D55F1"/>
    <w:rsid w:val="004D578A"/>
    <w:rsid w:val="004D656B"/>
    <w:rsid w:val="004D7523"/>
    <w:rsid w:val="004E0AA9"/>
    <w:rsid w:val="004E1AEF"/>
    <w:rsid w:val="004E3774"/>
    <w:rsid w:val="004E446B"/>
    <w:rsid w:val="004E5448"/>
    <w:rsid w:val="004E5DFC"/>
    <w:rsid w:val="004E642E"/>
    <w:rsid w:val="004E7ADC"/>
    <w:rsid w:val="004F4875"/>
    <w:rsid w:val="005031BA"/>
    <w:rsid w:val="00507211"/>
    <w:rsid w:val="00507934"/>
    <w:rsid w:val="0051171B"/>
    <w:rsid w:val="00512D1D"/>
    <w:rsid w:val="005131A5"/>
    <w:rsid w:val="00515160"/>
    <w:rsid w:val="00516D5A"/>
    <w:rsid w:val="005170FB"/>
    <w:rsid w:val="0052300D"/>
    <w:rsid w:val="00523B77"/>
    <w:rsid w:val="0052474C"/>
    <w:rsid w:val="00525074"/>
    <w:rsid w:val="00525520"/>
    <w:rsid w:val="00527E3E"/>
    <w:rsid w:val="005319EE"/>
    <w:rsid w:val="00531BE2"/>
    <w:rsid w:val="00540CC9"/>
    <w:rsid w:val="005421AC"/>
    <w:rsid w:val="00544C1A"/>
    <w:rsid w:val="00546D1B"/>
    <w:rsid w:val="0055027D"/>
    <w:rsid w:val="00554FA1"/>
    <w:rsid w:val="00556934"/>
    <w:rsid w:val="005601FB"/>
    <w:rsid w:val="005607DF"/>
    <w:rsid w:val="00564377"/>
    <w:rsid w:val="00564538"/>
    <w:rsid w:val="00566A89"/>
    <w:rsid w:val="00567E07"/>
    <w:rsid w:val="00575E76"/>
    <w:rsid w:val="005771F7"/>
    <w:rsid w:val="00577B7B"/>
    <w:rsid w:val="005809F9"/>
    <w:rsid w:val="00583F7F"/>
    <w:rsid w:val="0058600B"/>
    <w:rsid w:val="00587913"/>
    <w:rsid w:val="00593428"/>
    <w:rsid w:val="00593B65"/>
    <w:rsid w:val="005A15D6"/>
    <w:rsid w:val="005A1FD8"/>
    <w:rsid w:val="005A317D"/>
    <w:rsid w:val="005A79F9"/>
    <w:rsid w:val="005C3594"/>
    <w:rsid w:val="005C46B7"/>
    <w:rsid w:val="005C7C8B"/>
    <w:rsid w:val="005D5617"/>
    <w:rsid w:val="005D6591"/>
    <w:rsid w:val="005D6869"/>
    <w:rsid w:val="005D6C17"/>
    <w:rsid w:val="005D7446"/>
    <w:rsid w:val="005E5F88"/>
    <w:rsid w:val="005F06F5"/>
    <w:rsid w:val="005F46C0"/>
    <w:rsid w:val="005F471D"/>
    <w:rsid w:val="005F720A"/>
    <w:rsid w:val="005F7467"/>
    <w:rsid w:val="005F78E7"/>
    <w:rsid w:val="006007F3"/>
    <w:rsid w:val="00602E4C"/>
    <w:rsid w:val="0060402C"/>
    <w:rsid w:val="0061252A"/>
    <w:rsid w:val="006135B3"/>
    <w:rsid w:val="006138D4"/>
    <w:rsid w:val="00616C03"/>
    <w:rsid w:val="00616F30"/>
    <w:rsid w:val="006215A2"/>
    <w:rsid w:val="00621F7D"/>
    <w:rsid w:val="00622AD1"/>
    <w:rsid w:val="00623267"/>
    <w:rsid w:val="00625428"/>
    <w:rsid w:val="0062670B"/>
    <w:rsid w:val="00630B86"/>
    <w:rsid w:val="00630F5B"/>
    <w:rsid w:val="00634C66"/>
    <w:rsid w:val="006352D1"/>
    <w:rsid w:val="00636E1A"/>
    <w:rsid w:val="00642BA5"/>
    <w:rsid w:val="006434E0"/>
    <w:rsid w:val="00650C90"/>
    <w:rsid w:val="0065172D"/>
    <w:rsid w:val="0065287D"/>
    <w:rsid w:val="00654AE5"/>
    <w:rsid w:val="00655B2B"/>
    <w:rsid w:val="0065671B"/>
    <w:rsid w:val="00656A5A"/>
    <w:rsid w:val="00663A42"/>
    <w:rsid w:val="0066418E"/>
    <w:rsid w:val="0066469F"/>
    <w:rsid w:val="0067780F"/>
    <w:rsid w:val="00686C30"/>
    <w:rsid w:val="00690FA3"/>
    <w:rsid w:val="0069331D"/>
    <w:rsid w:val="00696DF8"/>
    <w:rsid w:val="0069783E"/>
    <w:rsid w:val="00697E26"/>
    <w:rsid w:val="006A0330"/>
    <w:rsid w:val="006A3AE1"/>
    <w:rsid w:val="006A3B57"/>
    <w:rsid w:val="006A6AB2"/>
    <w:rsid w:val="006B117D"/>
    <w:rsid w:val="006B19B7"/>
    <w:rsid w:val="006B392C"/>
    <w:rsid w:val="006B4CC0"/>
    <w:rsid w:val="006B65B0"/>
    <w:rsid w:val="006C5198"/>
    <w:rsid w:val="006C6A07"/>
    <w:rsid w:val="006E0A3D"/>
    <w:rsid w:val="006E27F1"/>
    <w:rsid w:val="006E5BC8"/>
    <w:rsid w:val="006E7B61"/>
    <w:rsid w:val="006E7CBA"/>
    <w:rsid w:val="006F222F"/>
    <w:rsid w:val="006F7B69"/>
    <w:rsid w:val="0070241F"/>
    <w:rsid w:val="007024A9"/>
    <w:rsid w:val="00703C96"/>
    <w:rsid w:val="00707CFD"/>
    <w:rsid w:val="007130D7"/>
    <w:rsid w:val="00713E98"/>
    <w:rsid w:val="00715591"/>
    <w:rsid w:val="00715AE8"/>
    <w:rsid w:val="0072516F"/>
    <w:rsid w:val="00725D44"/>
    <w:rsid w:val="0073034D"/>
    <w:rsid w:val="00731ADC"/>
    <w:rsid w:val="007330F2"/>
    <w:rsid w:val="00733DB0"/>
    <w:rsid w:val="00735043"/>
    <w:rsid w:val="00740444"/>
    <w:rsid w:val="00744577"/>
    <w:rsid w:val="007452CF"/>
    <w:rsid w:val="00746055"/>
    <w:rsid w:val="00746DA9"/>
    <w:rsid w:val="00747086"/>
    <w:rsid w:val="007515E2"/>
    <w:rsid w:val="00756D66"/>
    <w:rsid w:val="00761D80"/>
    <w:rsid w:val="0076364A"/>
    <w:rsid w:val="00766FC5"/>
    <w:rsid w:val="0077018D"/>
    <w:rsid w:val="00770E5B"/>
    <w:rsid w:val="00772930"/>
    <w:rsid w:val="00776E20"/>
    <w:rsid w:val="007814AF"/>
    <w:rsid w:val="007825F0"/>
    <w:rsid w:val="00787F88"/>
    <w:rsid w:val="0079721A"/>
    <w:rsid w:val="007A095C"/>
    <w:rsid w:val="007A0AF8"/>
    <w:rsid w:val="007A283A"/>
    <w:rsid w:val="007A65C8"/>
    <w:rsid w:val="007A6B16"/>
    <w:rsid w:val="007A7AC4"/>
    <w:rsid w:val="007B204C"/>
    <w:rsid w:val="007B639C"/>
    <w:rsid w:val="007B7036"/>
    <w:rsid w:val="007C0870"/>
    <w:rsid w:val="007C2D10"/>
    <w:rsid w:val="007C457D"/>
    <w:rsid w:val="007D02A9"/>
    <w:rsid w:val="007D166D"/>
    <w:rsid w:val="007D17C7"/>
    <w:rsid w:val="007D250A"/>
    <w:rsid w:val="007D2766"/>
    <w:rsid w:val="007D2FF7"/>
    <w:rsid w:val="007D74D8"/>
    <w:rsid w:val="007E13A4"/>
    <w:rsid w:val="007E20CA"/>
    <w:rsid w:val="007E3988"/>
    <w:rsid w:val="007E4698"/>
    <w:rsid w:val="007E6959"/>
    <w:rsid w:val="007E6991"/>
    <w:rsid w:val="007E7A36"/>
    <w:rsid w:val="007F222D"/>
    <w:rsid w:val="007F3FB7"/>
    <w:rsid w:val="007F518D"/>
    <w:rsid w:val="007F68FE"/>
    <w:rsid w:val="007F7E7E"/>
    <w:rsid w:val="00803C29"/>
    <w:rsid w:val="00804E5E"/>
    <w:rsid w:val="00804FAA"/>
    <w:rsid w:val="00805678"/>
    <w:rsid w:val="00805D26"/>
    <w:rsid w:val="0081553D"/>
    <w:rsid w:val="00815BE9"/>
    <w:rsid w:val="00815C94"/>
    <w:rsid w:val="00815CF6"/>
    <w:rsid w:val="00816990"/>
    <w:rsid w:val="00817981"/>
    <w:rsid w:val="00822851"/>
    <w:rsid w:val="00824A75"/>
    <w:rsid w:val="0082509A"/>
    <w:rsid w:val="00825A51"/>
    <w:rsid w:val="00825D53"/>
    <w:rsid w:val="008272DF"/>
    <w:rsid w:val="00831065"/>
    <w:rsid w:val="008337A7"/>
    <w:rsid w:val="00835BCB"/>
    <w:rsid w:val="00836773"/>
    <w:rsid w:val="00836E6A"/>
    <w:rsid w:val="008410D0"/>
    <w:rsid w:val="00841559"/>
    <w:rsid w:val="0084558B"/>
    <w:rsid w:val="00845924"/>
    <w:rsid w:val="00846107"/>
    <w:rsid w:val="00847E07"/>
    <w:rsid w:val="00851297"/>
    <w:rsid w:val="00852C43"/>
    <w:rsid w:val="00853737"/>
    <w:rsid w:val="008541B8"/>
    <w:rsid w:val="00854A14"/>
    <w:rsid w:val="00857249"/>
    <w:rsid w:val="00861067"/>
    <w:rsid w:val="00862AE2"/>
    <w:rsid w:val="00862C25"/>
    <w:rsid w:val="00863CA2"/>
    <w:rsid w:val="00864A80"/>
    <w:rsid w:val="008655ED"/>
    <w:rsid w:val="00866942"/>
    <w:rsid w:val="00871B0D"/>
    <w:rsid w:val="00871B14"/>
    <w:rsid w:val="008735A1"/>
    <w:rsid w:val="00875962"/>
    <w:rsid w:val="00880325"/>
    <w:rsid w:val="00882ABD"/>
    <w:rsid w:val="008844A4"/>
    <w:rsid w:val="008857CC"/>
    <w:rsid w:val="0089314F"/>
    <w:rsid w:val="0089328E"/>
    <w:rsid w:val="0089513A"/>
    <w:rsid w:val="00896069"/>
    <w:rsid w:val="00896786"/>
    <w:rsid w:val="008976AB"/>
    <w:rsid w:val="008A2C15"/>
    <w:rsid w:val="008A3DBA"/>
    <w:rsid w:val="008A483E"/>
    <w:rsid w:val="008A5601"/>
    <w:rsid w:val="008B7726"/>
    <w:rsid w:val="008C08EC"/>
    <w:rsid w:val="008C2997"/>
    <w:rsid w:val="008C443B"/>
    <w:rsid w:val="008C538A"/>
    <w:rsid w:val="008D0618"/>
    <w:rsid w:val="008D1AEB"/>
    <w:rsid w:val="008D1E23"/>
    <w:rsid w:val="008D2A7C"/>
    <w:rsid w:val="008D3031"/>
    <w:rsid w:val="008D4F00"/>
    <w:rsid w:val="008D7DBC"/>
    <w:rsid w:val="008E08B2"/>
    <w:rsid w:val="008E0AFC"/>
    <w:rsid w:val="008E1E43"/>
    <w:rsid w:val="008E3116"/>
    <w:rsid w:val="008E637F"/>
    <w:rsid w:val="008E66FE"/>
    <w:rsid w:val="008F27DB"/>
    <w:rsid w:val="008F5B6F"/>
    <w:rsid w:val="009002A3"/>
    <w:rsid w:val="0090038C"/>
    <w:rsid w:val="009007EC"/>
    <w:rsid w:val="00900EF5"/>
    <w:rsid w:val="00901EE5"/>
    <w:rsid w:val="0090421D"/>
    <w:rsid w:val="00906447"/>
    <w:rsid w:val="0091349D"/>
    <w:rsid w:val="009141C7"/>
    <w:rsid w:val="009160EA"/>
    <w:rsid w:val="00920597"/>
    <w:rsid w:val="00921E42"/>
    <w:rsid w:val="00922872"/>
    <w:rsid w:val="0092425B"/>
    <w:rsid w:val="00924D39"/>
    <w:rsid w:val="00924FFE"/>
    <w:rsid w:val="009263C3"/>
    <w:rsid w:val="009268AB"/>
    <w:rsid w:val="009364FF"/>
    <w:rsid w:val="00942397"/>
    <w:rsid w:val="009425B4"/>
    <w:rsid w:val="00946F52"/>
    <w:rsid w:val="00950F44"/>
    <w:rsid w:val="009529BE"/>
    <w:rsid w:val="00952A7D"/>
    <w:rsid w:val="00952BF8"/>
    <w:rsid w:val="00953747"/>
    <w:rsid w:val="0095565A"/>
    <w:rsid w:val="00955918"/>
    <w:rsid w:val="00960439"/>
    <w:rsid w:val="00961D67"/>
    <w:rsid w:val="00962D93"/>
    <w:rsid w:val="009636EF"/>
    <w:rsid w:val="0096408D"/>
    <w:rsid w:val="009651A8"/>
    <w:rsid w:val="009657E9"/>
    <w:rsid w:val="0096666B"/>
    <w:rsid w:val="0097114E"/>
    <w:rsid w:val="009719C3"/>
    <w:rsid w:val="0097578E"/>
    <w:rsid w:val="00976E55"/>
    <w:rsid w:val="009814B0"/>
    <w:rsid w:val="00984D41"/>
    <w:rsid w:val="009852BB"/>
    <w:rsid w:val="009853C4"/>
    <w:rsid w:val="0098547C"/>
    <w:rsid w:val="009860B4"/>
    <w:rsid w:val="00986724"/>
    <w:rsid w:val="0098718E"/>
    <w:rsid w:val="00994269"/>
    <w:rsid w:val="0099439A"/>
    <w:rsid w:val="00994737"/>
    <w:rsid w:val="009A0F00"/>
    <w:rsid w:val="009A37AE"/>
    <w:rsid w:val="009A4059"/>
    <w:rsid w:val="009A47EF"/>
    <w:rsid w:val="009B1979"/>
    <w:rsid w:val="009B1E1B"/>
    <w:rsid w:val="009B2CC0"/>
    <w:rsid w:val="009B4C38"/>
    <w:rsid w:val="009C0DAB"/>
    <w:rsid w:val="009C1E20"/>
    <w:rsid w:val="009D0378"/>
    <w:rsid w:val="009D0F18"/>
    <w:rsid w:val="009D1EFB"/>
    <w:rsid w:val="009D5964"/>
    <w:rsid w:val="009D6A0C"/>
    <w:rsid w:val="009E0725"/>
    <w:rsid w:val="009E1492"/>
    <w:rsid w:val="009E4B3F"/>
    <w:rsid w:val="009E5877"/>
    <w:rsid w:val="009E5F2F"/>
    <w:rsid w:val="009F69B0"/>
    <w:rsid w:val="00A0310D"/>
    <w:rsid w:val="00A03CB5"/>
    <w:rsid w:val="00A073F4"/>
    <w:rsid w:val="00A07BBE"/>
    <w:rsid w:val="00A16439"/>
    <w:rsid w:val="00A17F5E"/>
    <w:rsid w:val="00A21057"/>
    <w:rsid w:val="00A217CE"/>
    <w:rsid w:val="00A21E86"/>
    <w:rsid w:val="00A22DFB"/>
    <w:rsid w:val="00A305E3"/>
    <w:rsid w:val="00A353F1"/>
    <w:rsid w:val="00A357B0"/>
    <w:rsid w:val="00A35B22"/>
    <w:rsid w:val="00A42B99"/>
    <w:rsid w:val="00A479B6"/>
    <w:rsid w:val="00A50D3C"/>
    <w:rsid w:val="00A532E3"/>
    <w:rsid w:val="00A54D9C"/>
    <w:rsid w:val="00A57200"/>
    <w:rsid w:val="00A57865"/>
    <w:rsid w:val="00A62B31"/>
    <w:rsid w:val="00A64850"/>
    <w:rsid w:val="00A65003"/>
    <w:rsid w:val="00A65202"/>
    <w:rsid w:val="00A73299"/>
    <w:rsid w:val="00A7536B"/>
    <w:rsid w:val="00A80356"/>
    <w:rsid w:val="00A816B6"/>
    <w:rsid w:val="00A82D81"/>
    <w:rsid w:val="00A96E79"/>
    <w:rsid w:val="00AA2033"/>
    <w:rsid w:val="00AA4A07"/>
    <w:rsid w:val="00AA6230"/>
    <w:rsid w:val="00AB632D"/>
    <w:rsid w:val="00AC5444"/>
    <w:rsid w:val="00AC70E1"/>
    <w:rsid w:val="00AD1D29"/>
    <w:rsid w:val="00AD328E"/>
    <w:rsid w:val="00AD5147"/>
    <w:rsid w:val="00AE0837"/>
    <w:rsid w:val="00AE11C8"/>
    <w:rsid w:val="00AE355C"/>
    <w:rsid w:val="00AE4EFC"/>
    <w:rsid w:val="00AE5731"/>
    <w:rsid w:val="00AE7127"/>
    <w:rsid w:val="00AF6BA2"/>
    <w:rsid w:val="00AF7801"/>
    <w:rsid w:val="00B019E2"/>
    <w:rsid w:val="00B020ED"/>
    <w:rsid w:val="00B036CB"/>
    <w:rsid w:val="00B130D5"/>
    <w:rsid w:val="00B13566"/>
    <w:rsid w:val="00B13A54"/>
    <w:rsid w:val="00B14220"/>
    <w:rsid w:val="00B16868"/>
    <w:rsid w:val="00B17251"/>
    <w:rsid w:val="00B2159A"/>
    <w:rsid w:val="00B21D32"/>
    <w:rsid w:val="00B313B2"/>
    <w:rsid w:val="00B337AE"/>
    <w:rsid w:val="00B34A43"/>
    <w:rsid w:val="00B36912"/>
    <w:rsid w:val="00B404A0"/>
    <w:rsid w:val="00B4256A"/>
    <w:rsid w:val="00B432AB"/>
    <w:rsid w:val="00B54D75"/>
    <w:rsid w:val="00B60C2A"/>
    <w:rsid w:val="00B65FC0"/>
    <w:rsid w:val="00B707DD"/>
    <w:rsid w:val="00B719F4"/>
    <w:rsid w:val="00B73995"/>
    <w:rsid w:val="00B74DBC"/>
    <w:rsid w:val="00B75E08"/>
    <w:rsid w:val="00B76684"/>
    <w:rsid w:val="00B7698F"/>
    <w:rsid w:val="00B85F5F"/>
    <w:rsid w:val="00B86395"/>
    <w:rsid w:val="00B86E2B"/>
    <w:rsid w:val="00B91DEC"/>
    <w:rsid w:val="00B92A56"/>
    <w:rsid w:val="00B931F8"/>
    <w:rsid w:val="00B95DB0"/>
    <w:rsid w:val="00B9722F"/>
    <w:rsid w:val="00B97741"/>
    <w:rsid w:val="00BA0721"/>
    <w:rsid w:val="00BA1883"/>
    <w:rsid w:val="00BA227D"/>
    <w:rsid w:val="00BA3EFA"/>
    <w:rsid w:val="00BA4C84"/>
    <w:rsid w:val="00BB7A4A"/>
    <w:rsid w:val="00BC09FC"/>
    <w:rsid w:val="00BC0DD5"/>
    <w:rsid w:val="00BC35F2"/>
    <w:rsid w:val="00BC60E6"/>
    <w:rsid w:val="00BE66AA"/>
    <w:rsid w:val="00BE73B9"/>
    <w:rsid w:val="00BF444F"/>
    <w:rsid w:val="00BF77F5"/>
    <w:rsid w:val="00C01D8A"/>
    <w:rsid w:val="00C023EF"/>
    <w:rsid w:val="00C15415"/>
    <w:rsid w:val="00C16FE4"/>
    <w:rsid w:val="00C172EB"/>
    <w:rsid w:val="00C22F98"/>
    <w:rsid w:val="00C2363B"/>
    <w:rsid w:val="00C26560"/>
    <w:rsid w:val="00C3062F"/>
    <w:rsid w:val="00C32E7A"/>
    <w:rsid w:val="00C408D9"/>
    <w:rsid w:val="00C42DB9"/>
    <w:rsid w:val="00C447FD"/>
    <w:rsid w:val="00C44B90"/>
    <w:rsid w:val="00C51434"/>
    <w:rsid w:val="00C51743"/>
    <w:rsid w:val="00C51A61"/>
    <w:rsid w:val="00C57393"/>
    <w:rsid w:val="00C64C71"/>
    <w:rsid w:val="00C6528B"/>
    <w:rsid w:val="00C661B3"/>
    <w:rsid w:val="00C70300"/>
    <w:rsid w:val="00C7037D"/>
    <w:rsid w:val="00C70637"/>
    <w:rsid w:val="00C71DC8"/>
    <w:rsid w:val="00C73E69"/>
    <w:rsid w:val="00C74592"/>
    <w:rsid w:val="00C767BA"/>
    <w:rsid w:val="00C8048C"/>
    <w:rsid w:val="00C80C68"/>
    <w:rsid w:val="00C86E9A"/>
    <w:rsid w:val="00C90CE5"/>
    <w:rsid w:val="00C93A3D"/>
    <w:rsid w:val="00C94F0A"/>
    <w:rsid w:val="00CA3203"/>
    <w:rsid w:val="00CA6058"/>
    <w:rsid w:val="00CA6BD1"/>
    <w:rsid w:val="00CB1B1B"/>
    <w:rsid w:val="00CB3E03"/>
    <w:rsid w:val="00CB580D"/>
    <w:rsid w:val="00CB6098"/>
    <w:rsid w:val="00CB623E"/>
    <w:rsid w:val="00CC0BA5"/>
    <w:rsid w:val="00CC1F3E"/>
    <w:rsid w:val="00CC236E"/>
    <w:rsid w:val="00CC2B2A"/>
    <w:rsid w:val="00CC6216"/>
    <w:rsid w:val="00CC6A8D"/>
    <w:rsid w:val="00CC70FA"/>
    <w:rsid w:val="00CD37C3"/>
    <w:rsid w:val="00CD3911"/>
    <w:rsid w:val="00CD48EF"/>
    <w:rsid w:val="00CD4BA1"/>
    <w:rsid w:val="00CD59A6"/>
    <w:rsid w:val="00CE33C1"/>
    <w:rsid w:val="00CE3834"/>
    <w:rsid w:val="00CF148C"/>
    <w:rsid w:val="00CF3D94"/>
    <w:rsid w:val="00CF48A3"/>
    <w:rsid w:val="00CF5081"/>
    <w:rsid w:val="00D058E4"/>
    <w:rsid w:val="00D07178"/>
    <w:rsid w:val="00D11C0B"/>
    <w:rsid w:val="00D11EE9"/>
    <w:rsid w:val="00D13F47"/>
    <w:rsid w:val="00D14E66"/>
    <w:rsid w:val="00D17631"/>
    <w:rsid w:val="00D17CD3"/>
    <w:rsid w:val="00D21B22"/>
    <w:rsid w:val="00D24AEB"/>
    <w:rsid w:val="00D24AFD"/>
    <w:rsid w:val="00D27902"/>
    <w:rsid w:val="00D27984"/>
    <w:rsid w:val="00D31D50"/>
    <w:rsid w:val="00D323E9"/>
    <w:rsid w:val="00D34F5B"/>
    <w:rsid w:val="00D35023"/>
    <w:rsid w:val="00D403B8"/>
    <w:rsid w:val="00D45C1B"/>
    <w:rsid w:val="00D45E14"/>
    <w:rsid w:val="00D51C9A"/>
    <w:rsid w:val="00D5318C"/>
    <w:rsid w:val="00D53371"/>
    <w:rsid w:val="00D53BD5"/>
    <w:rsid w:val="00D55621"/>
    <w:rsid w:val="00D5634A"/>
    <w:rsid w:val="00D6000E"/>
    <w:rsid w:val="00D713D6"/>
    <w:rsid w:val="00D72DAF"/>
    <w:rsid w:val="00D75BB9"/>
    <w:rsid w:val="00D76276"/>
    <w:rsid w:val="00D77919"/>
    <w:rsid w:val="00D8083C"/>
    <w:rsid w:val="00D85F8D"/>
    <w:rsid w:val="00D87F81"/>
    <w:rsid w:val="00D90E39"/>
    <w:rsid w:val="00D97E89"/>
    <w:rsid w:val="00DA45EE"/>
    <w:rsid w:val="00DA58A3"/>
    <w:rsid w:val="00DB2F5B"/>
    <w:rsid w:val="00DB46CB"/>
    <w:rsid w:val="00DB695F"/>
    <w:rsid w:val="00DC03E7"/>
    <w:rsid w:val="00DC3710"/>
    <w:rsid w:val="00DC3B9E"/>
    <w:rsid w:val="00DC4FB9"/>
    <w:rsid w:val="00DC545F"/>
    <w:rsid w:val="00DC54A9"/>
    <w:rsid w:val="00DC6139"/>
    <w:rsid w:val="00DC6686"/>
    <w:rsid w:val="00DC6D84"/>
    <w:rsid w:val="00DC7F68"/>
    <w:rsid w:val="00DD1D7F"/>
    <w:rsid w:val="00DD360A"/>
    <w:rsid w:val="00DD7F91"/>
    <w:rsid w:val="00DE0985"/>
    <w:rsid w:val="00DE42BF"/>
    <w:rsid w:val="00DE4A1A"/>
    <w:rsid w:val="00DE4E11"/>
    <w:rsid w:val="00DE53FE"/>
    <w:rsid w:val="00DE6ED8"/>
    <w:rsid w:val="00E00A5F"/>
    <w:rsid w:val="00E05D64"/>
    <w:rsid w:val="00E07ABB"/>
    <w:rsid w:val="00E07D8F"/>
    <w:rsid w:val="00E13762"/>
    <w:rsid w:val="00E14E2F"/>
    <w:rsid w:val="00E1552D"/>
    <w:rsid w:val="00E1640B"/>
    <w:rsid w:val="00E317A6"/>
    <w:rsid w:val="00E3190E"/>
    <w:rsid w:val="00E31F05"/>
    <w:rsid w:val="00E32285"/>
    <w:rsid w:val="00E34295"/>
    <w:rsid w:val="00E3667E"/>
    <w:rsid w:val="00E4228D"/>
    <w:rsid w:val="00E4254E"/>
    <w:rsid w:val="00E4608C"/>
    <w:rsid w:val="00E502A2"/>
    <w:rsid w:val="00E521B6"/>
    <w:rsid w:val="00E52931"/>
    <w:rsid w:val="00E53ACE"/>
    <w:rsid w:val="00E5519B"/>
    <w:rsid w:val="00E55FEE"/>
    <w:rsid w:val="00E57BD3"/>
    <w:rsid w:val="00E57D38"/>
    <w:rsid w:val="00E65332"/>
    <w:rsid w:val="00E65F77"/>
    <w:rsid w:val="00E670CD"/>
    <w:rsid w:val="00E67EA9"/>
    <w:rsid w:val="00E7727F"/>
    <w:rsid w:val="00E83519"/>
    <w:rsid w:val="00E91889"/>
    <w:rsid w:val="00E91F0F"/>
    <w:rsid w:val="00E944E2"/>
    <w:rsid w:val="00E95C54"/>
    <w:rsid w:val="00E96103"/>
    <w:rsid w:val="00EA027D"/>
    <w:rsid w:val="00EB22CF"/>
    <w:rsid w:val="00EB3414"/>
    <w:rsid w:val="00EB39DD"/>
    <w:rsid w:val="00EB40E4"/>
    <w:rsid w:val="00EB67BA"/>
    <w:rsid w:val="00EC16F8"/>
    <w:rsid w:val="00EC306F"/>
    <w:rsid w:val="00EC408E"/>
    <w:rsid w:val="00EC41F2"/>
    <w:rsid w:val="00EC4E40"/>
    <w:rsid w:val="00EC4EB3"/>
    <w:rsid w:val="00EC5617"/>
    <w:rsid w:val="00EC7C9E"/>
    <w:rsid w:val="00ED230D"/>
    <w:rsid w:val="00ED2440"/>
    <w:rsid w:val="00EE1C0B"/>
    <w:rsid w:val="00EE59D0"/>
    <w:rsid w:val="00EE7FF3"/>
    <w:rsid w:val="00EF26BF"/>
    <w:rsid w:val="00EF4861"/>
    <w:rsid w:val="00EF50C7"/>
    <w:rsid w:val="00EF5E19"/>
    <w:rsid w:val="00EF779D"/>
    <w:rsid w:val="00EF7E82"/>
    <w:rsid w:val="00F00ED0"/>
    <w:rsid w:val="00F01970"/>
    <w:rsid w:val="00F01B91"/>
    <w:rsid w:val="00F06AF6"/>
    <w:rsid w:val="00F079A5"/>
    <w:rsid w:val="00F07F69"/>
    <w:rsid w:val="00F107F9"/>
    <w:rsid w:val="00F111E0"/>
    <w:rsid w:val="00F117D4"/>
    <w:rsid w:val="00F16475"/>
    <w:rsid w:val="00F22D55"/>
    <w:rsid w:val="00F24A9A"/>
    <w:rsid w:val="00F2592D"/>
    <w:rsid w:val="00F25C5F"/>
    <w:rsid w:val="00F3182D"/>
    <w:rsid w:val="00F34EF2"/>
    <w:rsid w:val="00F3580F"/>
    <w:rsid w:val="00F406BB"/>
    <w:rsid w:val="00F43034"/>
    <w:rsid w:val="00F44AD0"/>
    <w:rsid w:val="00F50379"/>
    <w:rsid w:val="00F55102"/>
    <w:rsid w:val="00F57115"/>
    <w:rsid w:val="00F62894"/>
    <w:rsid w:val="00F6298B"/>
    <w:rsid w:val="00F63B02"/>
    <w:rsid w:val="00F65350"/>
    <w:rsid w:val="00F65C21"/>
    <w:rsid w:val="00F700A6"/>
    <w:rsid w:val="00F760D1"/>
    <w:rsid w:val="00F8151A"/>
    <w:rsid w:val="00F83788"/>
    <w:rsid w:val="00F84D69"/>
    <w:rsid w:val="00F85054"/>
    <w:rsid w:val="00F87AEF"/>
    <w:rsid w:val="00F87C14"/>
    <w:rsid w:val="00F94F61"/>
    <w:rsid w:val="00FA17B4"/>
    <w:rsid w:val="00FA3581"/>
    <w:rsid w:val="00FB10B8"/>
    <w:rsid w:val="00FB24BA"/>
    <w:rsid w:val="00FB28C8"/>
    <w:rsid w:val="00FB381D"/>
    <w:rsid w:val="00FB6172"/>
    <w:rsid w:val="00FB6492"/>
    <w:rsid w:val="00FC007D"/>
    <w:rsid w:val="00FC131A"/>
    <w:rsid w:val="00FC224A"/>
    <w:rsid w:val="00FC43D6"/>
    <w:rsid w:val="00FD2208"/>
    <w:rsid w:val="00FD2EC4"/>
    <w:rsid w:val="00FD63D3"/>
    <w:rsid w:val="00FD717D"/>
    <w:rsid w:val="00FE44CF"/>
    <w:rsid w:val="00FF1239"/>
    <w:rsid w:val="00FF1AC1"/>
    <w:rsid w:val="00FF5DE3"/>
    <w:rsid w:val="00FF62F7"/>
    <w:rsid w:val="00FF6EAF"/>
    <w:rsid w:val="00FF7408"/>
    <w:rsid w:val="01F65399"/>
    <w:rsid w:val="026A1A9F"/>
    <w:rsid w:val="03226A0E"/>
    <w:rsid w:val="04260169"/>
    <w:rsid w:val="04CC4830"/>
    <w:rsid w:val="050945F2"/>
    <w:rsid w:val="050E4034"/>
    <w:rsid w:val="056F4DC0"/>
    <w:rsid w:val="05F86FA8"/>
    <w:rsid w:val="06174B4A"/>
    <w:rsid w:val="06342461"/>
    <w:rsid w:val="065C2670"/>
    <w:rsid w:val="06677EA2"/>
    <w:rsid w:val="06F06056"/>
    <w:rsid w:val="07021FF9"/>
    <w:rsid w:val="071C7BC7"/>
    <w:rsid w:val="075A67A2"/>
    <w:rsid w:val="0840050B"/>
    <w:rsid w:val="086D38AF"/>
    <w:rsid w:val="08C44882"/>
    <w:rsid w:val="08C94E4D"/>
    <w:rsid w:val="0915227D"/>
    <w:rsid w:val="09164C3B"/>
    <w:rsid w:val="099842FD"/>
    <w:rsid w:val="0A3A2559"/>
    <w:rsid w:val="0A805158"/>
    <w:rsid w:val="0AF87126"/>
    <w:rsid w:val="0B4B1CD9"/>
    <w:rsid w:val="0B9B2EBC"/>
    <w:rsid w:val="0BA309DB"/>
    <w:rsid w:val="0BC90D6D"/>
    <w:rsid w:val="0BCB508B"/>
    <w:rsid w:val="0BE03850"/>
    <w:rsid w:val="0C070B14"/>
    <w:rsid w:val="0C1A22A8"/>
    <w:rsid w:val="0C26236E"/>
    <w:rsid w:val="0C9306BE"/>
    <w:rsid w:val="0CB05CD1"/>
    <w:rsid w:val="0D1B39E9"/>
    <w:rsid w:val="0DCB2021"/>
    <w:rsid w:val="0E3A01CC"/>
    <w:rsid w:val="0E9172D3"/>
    <w:rsid w:val="0EF1422C"/>
    <w:rsid w:val="0F3B23D4"/>
    <w:rsid w:val="0F3B3DD7"/>
    <w:rsid w:val="107B6AE8"/>
    <w:rsid w:val="11195DC6"/>
    <w:rsid w:val="115A70AD"/>
    <w:rsid w:val="116421D6"/>
    <w:rsid w:val="11EA1B00"/>
    <w:rsid w:val="121F5AC5"/>
    <w:rsid w:val="125037BB"/>
    <w:rsid w:val="12521250"/>
    <w:rsid w:val="12524B60"/>
    <w:rsid w:val="125B2E30"/>
    <w:rsid w:val="12E866AF"/>
    <w:rsid w:val="130C55D8"/>
    <w:rsid w:val="13244A23"/>
    <w:rsid w:val="13DF2270"/>
    <w:rsid w:val="13EE6B6B"/>
    <w:rsid w:val="1472386E"/>
    <w:rsid w:val="148F0FC6"/>
    <w:rsid w:val="151600A7"/>
    <w:rsid w:val="159F345A"/>
    <w:rsid w:val="15E43EF8"/>
    <w:rsid w:val="16A81136"/>
    <w:rsid w:val="16AC4207"/>
    <w:rsid w:val="178A56FB"/>
    <w:rsid w:val="17A8647B"/>
    <w:rsid w:val="18253B4C"/>
    <w:rsid w:val="190F1674"/>
    <w:rsid w:val="19132D2F"/>
    <w:rsid w:val="19210747"/>
    <w:rsid w:val="196E7CB2"/>
    <w:rsid w:val="198759D2"/>
    <w:rsid w:val="19D72BB5"/>
    <w:rsid w:val="1AD212BF"/>
    <w:rsid w:val="1AF900F3"/>
    <w:rsid w:val="1AFC6A2C"/>
    <w:rsid w:val="1BE0351A"/>
    <w:rsid w:val="1C120302"/>
    <w:rsid w:val="1C442FCB"/>
    <w:rsid w:val="1C532B00"/>
    <w:rsid w:val="1CCC12C5"/>
    <w:rsid w:val="1D1B1BAD"/>
    <w:rsid w:val="1D401A6B"/>
    <w:rsid w:val="1DCC5DA5"/>
    <w:rsid w:val="1E8A015B"/>
    <w:rsid w:val="1EA00E4A"/>
    <w:rsid w:val="1F4F1109"/>
    <w:rsid w:val="1F6A0646"/>
    <w:rsid w:val="206A0332"/>
    <w:rsid w:val="2091595B"/>
    <w:rsid w:val="20F51AC3"/>
    <w:rsid w:val="21AE6D2F"/>
    <w:rsid w:val="21C21552"/>
    <w:rsid w:val="21C3713A"/>
    <w:rsid w:val="24DA6297"/>
    <w:rsid w:val="252F3CBE"/>
    <w:rsid w:val="26694CDB"/>
    <w:rsid w:val="282C171E"/>
    <w:rsid w:val="2849297F"/>
    <w:rsid w:val="2936596A"/>
    <w:rsid w:val="2997006D"/>
    <w:rsid w:val="29AC5EF0"/>
    <w:rsid w:val="2B040631"/>
    <w:rsid w:val="2B0B5AF1"/>
    <w:rsid w:val="2B793244"/>
    <w:rsid w:val="2C094BA0"/>
    <w:rsid w:val="2C60205D"/>
    <w:rsid w:val="2C8F5C68"/>
    <w:rsid w:val="2CAD317E"/>
    <w:rsid w:val="2CC97424"/>
    <w:rsid w:val="2D2725F0"/>
    <w:rsid w:val="2D345768"/>
    <w:rsid w:val="2D73679B"/>
    <w:rsid w:val="2E994608"/>
    <w:rsid w:val="2E9C375A"/>
    <w:rsid w:val="2EA60EE0"/>
    <w:rsid w:val="2ED8262F"/>
    <w:rsid w:val="2F242CBD"/>
    <w:rsid w:val="2FB34058"/>
    <w:rsid w:val="300C74C4"/>
    <w:rsid w:val="304B3830"/>
    <w:rsid w:val="307D5A91"/>
    <w:rsid w:val="31624FFB"/>
    <w:rsid w:val="317B20C5"/>
    <w:rsid w:val="32A33E31"/>
    <w:rsid w:val="32D048D8"/>
    <w:rsid w:val="32D3622F"/>
    <w:rsid w:val="32D63CF2"/>
    <w:rsid w:val="32F26097"/>
    <w:rsid w:val="3341799D"/>
    <w:rsid w:val="337A399F"/>
    <w:rsid w:val="337F2EFA"/>
    <w:rsid w:val="339029A7"/>
    <w:rsid w:val="33CC5FD9"/>
    <w:rsid w:val="34697607"/>
    <w:rsid w:val="34DC6FBF"/>
    <w:rsid w:val="352019FA"/>
    <w:rsid w:val="35731520"/>
    <w:rsid w:val="35F436C6"/>
    <w:rsid w:val="36037C49"/>
    <w:rsid w:val="36B804EA"/>
    <w:rsid w:val="371766EB"/>
    <w:rsid w:val="3728049C"/>
    <w:rsid w:val="37CD3E9A"/>
    <w:rsid w:val="37D03480"/>
    <w:rsid w:val="37D87189"/>
    <w:rsid w:val="37E87EA7"/>
    <w:rsid w:val="37F761BE"/>
    <w:rsid w:val="380B1A51"/>
    <w:rsid w:val="382056BC"/>
    <w:rsid w:val="38AB6B19"/>
    <w:rsid w:val="39035D73"/>
    <w:rsid w:val="39144BF9"/>
    <w:rsid w:val="39236305"/>
    <w:rsid w:val="397D1814"/>
    <w:rsid w:val="3991694F"/>
    <w:rsid w:val="3A096C45"/>
    <w:rsid w:val="3B3315C9"/>
    <w:rsid w:val="3B3666AA"/>
    <w:rsid w:val="3B5D03F9"/>
    <w:rsid w:val="3B9C69ED"/>
    <w:rsid w:val="3C075E40"/>
    <w:rsid w:val="3C0F314C"/>
    <w:rsid w:val="3C8400FD"/>
    <w:rsid w:val="3C8D5215"/>
    <w:rsid w:val="3CB96E1E"/>
    <w:rsid w:val="3E2A5A13"/>
    <w:rsid w:val="3E6A5C1B"/>
    <w:rsid w:val="3E951BD3"/>
    <w:rsid w:val="3EB91E59"/>
    <w:rsid w:val="3FA23A80"/>
    <w:rsid w:val="3FB75DF9"/>
    <w:rsid w:val="418368ED"/>
    <w:rsid w:val="425C64FC"/>
    <w:rsid w:val="4278675D"/>
    <w:rsid w:val="431F105C"/>
    <w:rsid w:val="43F003B4"/>
    <w:rsid w:val="446458DA"/>
    <w:rsid w:val="446645C4"/>
    <w:rsid w:val="44E00C2F"/>
    <w:rsid w:val="44F12828"/>
    <w:rsid w:val="453F4EE8"/>
    <w:rsid w:val="457E0C0E"/>
    <w:rsid w:val="45A27895"/>
    <w:rsid w:val="4654463C"/>
    <w:rsid w:val="469D1E1F"/>
    <w:rsid w:val="4703453A"/>
    <w:rsid w:val="47401AE3"/>
    <w:rsid w:val="47847F9B"/>
    <w:rsid w:val="47B6276E"/>
    <w:rsid w:val="47D7714D"/>
    <w:rsid w:val="48CA305E"/>
    <w:rsid w:val="491D1161"/>
    <w:rsid w:val="4945471C"/>
    <w:rsid w:val="49C23604"/>
    <w:rsid w:val="4A6500D9"/>
    <w:rsid w:val="4B4D56DB"/>
    <w:rsid w:val="4BCB58DC"/>
    <w:rsid w:val="4BE87F26"/>
    <w:rsid w:val="4C081E20"/>
    <w:rsid w:val="4C3974A1"/>
    <w:rsid w:val="4C4D743A"/>
    <w:rsid w:val="4C561056"/>
    <w:rsid w:val="4CDC25C4"/>
    <w:rsid w:val="4D2A1AAB"/>
    <w:rsid w:val="4DBE15DE"/>
    <w:rsid w:val="4DFF45BC"/>
    <w:rsid w:val="4E61428A"/>
    <w:rsid w:val="4E7B705D"/>
    <w:rsid w:val="4ECB455C"/>
    <w:rsid w:val="4EF16D21"/>
    <w:rsid w:val="4F4E6BEF"/>
    <w:rsid w:val="4F6745C5"/>
    <w:rsid w:val="4F751E54"/>
    <w:rsid w:val="4FA9510C"/>
    <w:rsid w:val="50891C17"/>
    <w:rsid w:val="520E7D39"/>
    <w:rsid w:val="527310FD"/>
    <w:rsid w:val="52C145B3"/>
    <w:rsid w:val="532C19FA"/>
    <w:rsid w:val="536C046F"/>
    <w:rsid w:val="53777260"/>
    <w:rsid w:val="53BD324D"/>
    <w:rsid w:val="53DA3FDB"/>
    <w:rsid w:val="54B52F23"/>
    <w:rsid w:val="559025B5"/>
    <w:rsid w:val="55BE6F35"/>
    <w:rsid w:val="562F4A45"/>
    <w:rsid w:val="56AB5747"/>
    <w:rsid w:val="57466A30"/>
    <w:rsid w:val="57E7750E"/>
    <w:rsid w:val="582C3304"/>
    <w:rsid w:val="583E683E"/>
    <w:rsid w:val="584263FC"/>
    <w:rsid w:val="58AA248A"/>
    <w:rsid w:val="592757C1"/>
    <w:rsid w:val="59C12FF4"/>
    <w:rsid w:val="5A097D45"/>
    <w:rsid w:val="5A232744"/>
    <w:rsid w:val="5A8E433F"/>
    <w:rsid w:val="5ACC5639"/>
    <w:rsid w:val="5AFE0937"/>
    <w:rsid w:val="5B022AFF"/>
    <w:rsid w:val="5B1C238B"/>
    <w:rsid w:val="5BB72396"/>
    <w:rsid w:val="5BDA2541"/>
    <w:rsid w:val="5C8E70AE"/>
    <w:rsid w:val="5C9700DF"/>
    <w:rsid w:val="5CFF5AEE"/>
    <w:rsid w:val="5D5260D6"/>
    <w:rsid w:val="5E4106DA"/>
    <w:rsid w:val="5E4B362D"/>
    <w:rsid w:val="5E4B3828"/>
    <w:rsid w:val="5EC32979"/>
    <w:rsid w:val="5EFC5263"/>
    <w:rsid w:val="5F2B51D9"/>
    <w:rsid w:val="5F37440C"/>
    <w:rsid w:val="609E7926"/>
    <w:rsid w:val="60CC769A"/>
    <w:rsid w:val="60F3280A"/>
    <w:rsid w:val="615A0826"/>
    <w:rsid w:val="616E5025"/>
    <w:rsid w:val="62117B48"/>
    <w:rsid w:val="6233066F"/>
    <w:rsid w:val="625714F8"/>
    <w:rsid w:val="62AF2B34"/>
    <w:rsid w:val="62D7081D"/>
    <w:rsid w:val="63687194"/>
    <w:rsid w:val="638E50BC"/>
    <w:rsid w:val="64D27A6F"/>
    <w:rsid w:val="65765688"/>
    <w:rsid w:val="65A40D91"/>
    <w:rsid w:val="66F55A6B"/>
    <w:rsid w:val="67327F2E"/>
    <w:rsid w:val="674609A7"/>
    <w:rsid w:val="67465B30"/>
    <w:rsid w:val="68082611"/>
    <w:rsid w:val="688C533B"/>
    <w:rsid w:val="692F0DD2"/>
    <w:rsid w:val="692F6DB1"/>
    <w:rsid w:val="696B16A5"/>
    <w:rsid w:val="69772905"/>
    <w:rsid w:val="6A360EF4"/>
    <w:rsid w:val="6A736A2C"/>
    <w:rsid w:val="6AC4173D"/>
    <w:rsid w:val="6B3F6E7C"/>
    <w:rsid w:val="6B4F76A1"/>
    <w:rsid w:val="6BB6746F"/>
    <w:rsid w:val="6BFD03AE"/>
    <w:rsid w:val="6BFF6077"/>
    <w:rsid w:val="6C2308EC"/>
    <w:rsid w:val="6C867767"/>
    <w:rsid w:val="6CA34648"/>
    <w:rsid w:val="6D031FFE"/>
    <w:rsid w:val="6D870368"/>
    <w:rsid w:val="6DEF74D5"/>
    <w:rsid w:val="6E9856D0"/>
    <w:rsid w:val="6EB840FC"/>
    <w:rsid w:val="6EE920DC"/>
    <w:rsid w:val="6F377C99"/>
    <w:rsid w:val="6F7E7DE2"/>
    <w:rsid w:val="6FAA433E"/>
    <w:rsid w:val="704F1D50"/>
    <w:rsid w:val="7062369D"/>
    <w:rsid w:val="70D8666D"/>
    <w:rsid w:val="70F82977"/>
    <w:rsid w:val="711203ED"/>
    <w:rsid w:val="712A76BE"/>
    <w:rsid w:val="716D6D00"/>
    <w:rsid w:val="719901C6"/>
    <w:rsid w:val="71B131C3"/>
    <w:rsid w:val="71CC5821"/>
    <w:rsid w:val="71F26BCA"/>
    <w:rsid w:val="71F331D2"/>
    <w:rsid w:val="720542F1"/>
    <w:rsid w:val="72380013"/>
    <w:rsid w:val="72540D30"/>
    <w:rsid w:val="73426C39"/>
    <w:rsid w:val="73594771"/>
    <w:rsid w:val="740F0E4D"/>
    <w:rsid w:val="7469799F"/>
    <w:rsid w:val="74A66F51"/>
    <w:rsid w:val="74E24705"/>
    <w:rsid w:val="750506F3"/>
    <w:rsid w:val="758944AE"/>
    <w:rsid w:val="758C4507"/>
    <w:rsid w:val="75AA1A6C"/>
    <w:rsid w:val="76C0735A"/>
    <w:rsid w:val="76DE39EB"/>
    <w:rsid w:val="774B42DA"/>
    <w:rsid w:val="77CC2AC5"/>
    <w:rsid w:val="78AC0F28"/>
    <w:rsid w:val="78AD7E4B"/>
    <w:rsid w:val="7922758B"/>
    <w:rsid w:val="79766799"/>
    <w:rsid w:val="79B255D2"/>
    <w:rsid w:val="79B45BBB"/>
    <w:rsid w:val="79D0307E"/>
    <w:rsid w:val="79DE121D"/>
    <w:rsid w:val="79E249A2"/>
    <w:rsid w:val="7A5C7B4D"/>
    <w:rsid w:val="7B1F1C18"/>
    <w:rsid w:val="7B387938"/>
    <w:rsid w:val="7C341C52"/>
    <w:rsid w:val="7D033238"/>
    <w:rsid w:val="7D2F6ABF"/>
    <w:rsid w:val="7D50024E"/>
    <w:rsid w:val="7D637EF4"/>
    <w:rsid w:val="7E341B98"/>
    <w:rsid w:val="7E51328E"/>
    <w:rsid w:val="7F14576E"/>
    <w:rsid w:val="7FB735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semiHidden="0" w:name="heading 4"/>
    <w:lsdException w:qFormat="1" w:uiPriority="0" w:semiHidden="0" w:name="heading 5"/>
    <w:lsdException w:qFormat="1"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99" w:semiHidden="0"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link w:val="31"/>
    <w:qFormat/>
    <w:uiPriority w:val="99"/>
    <w:pPr>
      <w:keepNext/>
      <w:keepLines/>
      <w:adjustRightInd/>
      <w:snapToGrid/>
      <w:spacing w:before="200" w:line="360" w:lineRule="auto"/>
      <w:jc w:val="center"/>
      <w:textAlignment w:val="baseline"/>
      <w:outlineLvl w:val="0"/>
    </w:pPr>
    <w:rPr>
      <w:rFonts w:ascii="Times New Roman" w:hAnsi="Times New Roman" w:eastAsia="黑体" w:cs="Times New Roman"/>
      <w:b/>
      <w:bCs/>
      <w:color w:val="000000"/>
      <w:kern w:val="44"/>
      <w:sz w:val="36"/>
      <w:szCs w:val="44"/>
      <w:u w:color="000000"/>
    </w:rPr>
  </w:style>
  <w:style w:type="paragraph" w:styleId="3">
    <w:name w:val="heading 2"/>
    <w:basedOn w:val="1"/>
    <w:next w:val="1"/>
    <w:link w:val="32"/>
    <w:qFormat/>
    <w:uiPriority w:val="99"/>
    <w:pPr>
      <w:keepNext/>
      <w:keepLines/>
      <w:widowControl w:val="0"/>
      <w:adjustRightInd/>
      <w:snapToGrid/>
      <w:spacing w:before="260" w:after="260" w:line="416" w:lineRule="auto"/>
      <w:jc w:val="both"/>
      <w:outlineLvl w:val="1"/>
    </w:pPr>
    <w:rPr>
      <w:rFonts w:ascii="Arial" w:hAnsi="Arial" w:eastAsia="黑体" w:cs="Times New Roman"/>
      <w:b/>
      <w:bCs/>
      <w:kern w:val="2"/>
      <w:sz w:val="32"/>
      <w:szCs w:val="32"/>
    </w:rPr>
  </w:style>
  <w:style w:type="paragraph" w:styleId="4">
    <w:name w:val="heading 3"/>
    <w:basedOn w:val="1"/>
    <w:next w:val="1"/>
    <w:link w:val="33"/>
    <w:qFormat/>
    <w:uiPriority w:val="99"/>
    <w:pPr>
      <w:keepNext/>
      <w:keepLines/>
      <w:adjustRightInd/>
      <w:snapToGrid/>
      <w:spacing w:before="260" w:after="260" w:line="360" w:lineRule="auto"/>
      <w:textAlignment w:val="baseline"/>
      <w:outlineLvl w:val="2"/>
    </w:pPr>
    <w:rPr>
      <w:rFonts w:ascii="Times New Roman" w:hAnsi="Times New Roman" w:eastAsia="仿宋_GB2312" w:cs="Times New Roman"/>
      <w:b/>
      <w:bCs/>
      <w:sz w:val="30"/>
      <w:szCs w:val="32"/>
      <w:u w:color="000000"/>
    </w:rPr>
  </w:style>
  <w:style w:type="paragraph" w:styleId="5">
    <w:name w:val="heading 4"/>
    <w:basedOn w:val="1"/>
    <w:next w:val="1"/>
    <w:link w:val="34"/>
    <w:unhideWhenUsed/>
    <w:qFormat/>
    <w:uiPriority w:val="0"/>
    <w:pPr>
      <w:keepNext/>
      <w:keepLines/>
      <w:widowControl w:val="0"/>
      <w:adjustRightInd/>
      <w:snapToGrid/>
      <w:spacing w:before="280" w:after="290" w:line="376" w:lineRule="auto"/>
      <w:jc w:val="both"/>
      <w:outlineLvl w:val="3"/>
    </w:pPr>
    <w:rPr>
      <w:rFonts w:asciiTheme="majorHAnsi" w:hAnsiTheme="majorHAnsi" w:eastAsiaTheme="majorEastAsia" w:cstheme="majorBidi"/>
      <w:b/>
      <w:bCs/>
      <w:kern w:val="2"/>
      <w:sz w:val="28"/>
      <w:szCs w:val="28"/>
    </w:rPr>
  </w:style>
  <w:style w:type="paragraph" w:styleId="6">
    <w:name w:val="heading 5"/>
    <w:basedOn w:val="1"/>
    <w:next w:val="1"/>
    <w:link w:val="35"/>
    <w:unhideWhenUsed/>
    <w:qFormat/>
    <w:uiPriority w:val="0"/>
    <w:pPr>
      <w:keepNext/>
      <w:keepLines/>
      <w:widowControl w:val="0"/>
      <w:adjustRightInd/>
      <w:snapToGrid/>
      <w:spacing w:before="280" w:after="290" w:line="376" w:lineRule="auto"/>
      <w:jc w:val="both"/>
      <w:outlineLvl w:val="4"/>
    </w:pPr>
    <w:rPr>
      <w:rFonts w:ascii="Times New Roman" w:hAnsi="Times New Roman" w:eastAsia="宋体" w:cs="Times New Roman"/>
      <w:b/>
      <w:bCs/>
      <w:kern w:val="2"/>
      <w:sz w:val="28"/>
      <w:szCs w:val="28"/>
    </w:rPr>
  </w:style>
  <w:style w:type="paragraph" w:styleId="7">
    <w:name w:val="heading 6"/>
    <w:basedOn w:val="1"/>
    <w:next w:val="1"/>
    <w:link w:val="36"/>
    <w:unhideWhenUsed/>
    <w:qFormat/>
    <w:uiPriority w:val="0"/>
    <w:pPr>
      <w:keepNext/>
      <w:keepLines/>
      <w:widowControl w:val="0"/>
      <w:adjustRightInd/>
      <w:snapToGrid/>
      <w:spacing w:before="240" w:after="64" w:line="320" w:lineRule="auto"/>
      <w:jc w:val="both"/>
      <w:outlineLvl w:val="5"/>
    </w:pPr>
    <w:rPr>
      <w:rFonts w:asciiTheme="majorHAnsi" w:hAnsiTheme="majorHAnsi" w:eastAsiaTheme="majorEastAsia" w:cstheme="majorBidi"/>
      <w:b/>
      <w:bCs/>
      <w:kern w:val="2"/>
      <w:sz w:val="24"/>
      <w:szCs w:val="24"/>
    </w:rPr>
  </w:style>
  <w:style w:type="character" w:default="1" w:styleId="24">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8">
    <w:name w:val="Document Map"/>
    <w:basedOn w:val="1"/>
    <w:link w:val="43"/>
    <w:semiHidden/>
    <w:qFormat/>
    <w:uiPriority w:val="99"/>
    <w:pPr>
      <w:widowControl w:val="0"/>
      <w:shd w:val="clear" w:color="auto" w:fill="000080"/>
      <w:adjustRightInd/>
      <w:snapToGrid/>
      <w:spacing w:after="0"/>
      <w:jc w:val="both"/>
    </w:pPr>
    <w:rPr>
      <w:rFonts w:ascii="Times New Roman" w:hAnsi="Times New Roman" w:eastAsia="宋体" w:cs="Times New Roman"/>
      <w:kern w:val="2"/>
      <w:sz w:val="21"/>
      <w:szCs w:val="24"/>
    </w:rPr>
  </w:style>
  <w:style w:type="paragraph" w:styleId="9">
    <w:name w:val="annotation text"/>
    <w:basedOn w:val="1"/>
    <w:link w:val="41"/>
    <w:unhideWhenUsed/>
    <w:qFormat/>
    <w:uiPriority w:val="99"/>
  </w:style>
  <w:style w:type="paragraph" w:styleId="10">
    <w:name w:val="Body Text"/>
    <w:basedOn w:val="1"/>
    <w:link w:val="44"/>
    <w:qFormat/>
    <w:uiPriority w:val="99"/>
    <w:pPr>
      <w:widowControl w:val="0"/>
      <w:adjustRightInd/>
      <w:snapToGrid/>
      <w:spacing w:after="120"/>
      <w:jc w:val="both"/>
    </w:pPr>
    <w:rPr>
      <w:rFonts w:ascii="Times New Roman" w:hAnsi="Times New Roman" w:eastAsia="宋体" w:cs="Times New Roman"/>
      <w:kern w:val="2"/>
      <w:sz w:val="21"/>
      <w:szCs w:val="24"/>
    </w:rPr>
  </w:style>
  <w:style w:type="paragraph" w:styleId="11">
    <w:name w:val="toc 3"/>
    <w:basedOn w:val="1"/>
    <w:next w:val="1"/>
    <w:qFormat/>
    <w:uiPriority w:val="39"/>
    <w:pPr>
      <w:widowControl w:val="0"/>
      <w:adjustRightInd/>
      <w:snapToGrid/>
      <w:spacing w:after="0"/>
      <w:ind w:left="840" w:leftChars="400"/>
      <w:jc w:val="both"/>
    </w:pPr>
    <w:rPr>
      <w:rFonts w:ascii="Times New Roman" w:hAnsi="Times New Roman" w:eastAsia="宋体" w:cs="Times New Roman"/>
      <w:kern w:val="2"/>
      <w:sz w:val="28"/>
      <w:szCs w:val="24"/>
    </w:rPr>
  </w:style>
  <w:style w:type="paragraph" w:styleId="12">
    <w:name w:val="Plain Text"/>
    <w:basedOn w:val="1"/>
    <w:link w:val="45"/>
    <w:qFormat/>
    <w:uiPriority w:val="99"/>
    <w:pPr>
      <w:adjustRightInd/>
      <w:snapToGrid/>
      <w:spacing w:after="0" w:line="351" w:lineRule="atLeast"/>
      <w:ind w:firstLine="419"/>
      <w:jc w:val="both"/>
      <w:textAlignment w:val="baseline"/>
    </w:pPr>
    <w:rPr>
      <w:rFonts w:ascii="宋体" w:hAnsi="Times New Roman" w:eastAsia="宋体" w:cs="Times New Roman"/>
      <w:color w:val="000000"/>
      <w:sz w:val="21"/>
      <w:szCs w:val="20"/>
      <w:u w:color="000000"/>
    </w:rPr>
  </w:style>
  <w:style w:type="paragraph" w:styleId="13">
    <w:name w:val="Balloon Text"/>
    <w:basedOn w:val="1"/>
    <w:link w:val="46"/>
    <w:qFormat/>
    <w:uiPriority w:val="99"/>
    <w:pPr>
      <w:widowControl w:val="0"/>
      <w:adjustRightInd/>
      <w:snapToGrid/>
      <w:spacing w:after="0"/>
      <w:jc w:val="both"/>
    </w:pPr>
    <w:rPr>
      <w:rFonts w:ascii="Times New Roman" w:hAnsi="Times New Roman" w:eastAsia="宋体" w:cs="Times New Roman"/>
      <w:kern w:val="2"/>
      <w:sz w:val="18"/>
      <w:szCs w:val="18"/>
    </w:rPr>
  </w:style>
  <w:style w:type="paragraph" w:styleId="14">
    <w:name w:val="footer"/>
    <w:basedOn w:val="1"/>
    <w:link w:val="38"/>
    <w:unhideWhenUsed/>
    <w:qFormat/>
    <w:uiPriority w:val="99"/>
    <w:pPr>
      <w:tabs>
        <w:tab w:val="center" w:pos="4153"/>
        <w:tab w:val="right" w:pos="8306"/>
      </w:tabs>
    </w:pPr>
    <w:rPr>
      <w:sz w:val="18"/>
      <w:szCs w:val="18"/>
    </w:rPr>
  </w:style>
  <w:style w:type="paragraph" w:styleId="15">
    <w:name w:val="header"/>
    <w:basedOn w:val="1"/>
    <w:link w:val="37"/>
    <w:unhideWhenUsed/>
    <w:qFormat/>
    <w:uiPriority w:val="99"/>
    <w:pPr>
      <w:pBdr>
        <w:bottom w:val="single" w:color="auto" w:sz="6" w:space="1"/>
      </w:pBdr>
      <w:tabs>
        <w:tab w:val="center" w:pos="4153"/>
        <w:tab w:val="right" w:pos="8306"/>
      </w:tabs>
      <w:jc w:val="center"/>
    </w:pPr>
    <w:rPr>
      <w:sz w:val="18"/>
      <w:szCs w:val="18"/>
    </w:rPr>
  </w:style>
  <w:style w:type="paragraph" w:styleId="16">
    <w:name w:val="toc 1"/>
    <w:basedOn w:val="1"/>
    <w:next w:val="1"/>
    <w:qFormat/>
    <w:uiPriority w:val="39"/>
    <w:pPr>
      <w:widowControl w:val="0"/>
      <w:tabs>
        <w:tab w:val="right" w:leader="dot" w:pos="8777"/>
      </w:tabs>
      <w:adjustRightInd/>
      <w:snapToGrid/>
      <w:spacing w:after="0" w:line="360" w:lineRule="auto"/>
      <w:jc w:val="both"/>
    </w:pPr>
    <w:rPr>
      <w:rFonts w:ascii="Times New Roman" w:hAnsi="Times New Roman" w:eastAsia="黑体" w:cs="Times New Roman"/>
      <w:kern w:val="2"/>
      <w:sz w:val="32"/>
      <w:szCs w:val="32"/>
    </w:rPr>
  </w:style>
  <w:style w:type="paragraph" w:styleId="17">
    <w:name w:val="footnote text"/>
    <w:basedOn w:val="1"/>
    <w:link w:val="47"/>
    <w:qFormat/>
    <w:uiPriority w:val="99"/>
    <w:pPr>
      <w:widowControl w:val="0"/>
      <w:adjustRightInd/>
      <w:spacing w:after="0"/>
    </w:pPr>
    <w:rPr>
      <w:rFonts w:ascii="Times New Roman" w:hAnsi="Times New Roman" w:eastAsia="宋体" w:cs="Times New Roman"/>
      <w:kern w:val="2"/>
      <w:sz w:val="18"/>
      <w:szCs w:val="18"/>
    </w:rPr>
  </w:style>
  <w:style w:type="paragraph" w:styleId="18">
    <w:name w:val="toc 2"/>
    <w:basedOn w:val="1"/>
    <w:next w:val="1"/>
    <w:qFormat/>
    <w:uiPriority w:val="39"/>
    <w:pPr>
      <w:widowControl w:val="0"/>
      <w:adjustRightInd/>
      <w:snapToGrid/>
      <w:spacing w:after="0"/>
      <w:ind w:left="420" w:leftChars="200"/>
      <w:jc w:val="both"/>
    </w:pPr>
    <w:rPr>
      <w:rFonts w:ascii="Times New Roman" w:hAnsi="Times New Roman" w:eastAsia="宋体" w:cs="Times New Roman"/>
      <w:kern w:val="2"/>
      <w:sz w:val="30"/>
      <w:szCs w:val="24"/>
    </w:rPr>
  </w:style>
  <w:style w:type="paragraph" w:styleId="19">
    <w:name w:val="HTML Preformatted"/>
    <w:basedOn w:val="1"/>
    <w:link w:val="48"/>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after="0"/>
    </w:pPr>
    <w:rPr>
      <w:rFonts w:ascii="宋体" w:hAnsi="宋体" w:eastAsia="宋体" w:cs="宋体"/>
      <w:sz w:val="24"/>
      <w:szCs w:val="24"/>
    </w:rPr>
  </w:style>
  <w:style w:type="paragraph" w:styleId="20">
    <w:name w:val="Normal (Web)"/>
    <w:basedOn w:val="1"/>
    <w:qFormat/>
    <w:uiPriority w:val="99"/>
    <w:pPr>
      <w:adjustRightInd/>
      <w:snapToGrid/>
      <w:spacing w:before="100" w:beforeAutospacing="1" w:after="100" w:afterAutospacing="1"/>
    </w:pPr>
    <w:rPr>
      <w:rFonts w:ascii="宋体" w:hAnsi="宋体" w:eastAsia="宋体" w:cs="宋体"/>
      <w:sz w:val="24"/>
      <w:szCs w:val="24"/>
    </w:rPr>
  </w:style>
  <w:style w:type="paragraph" w:styleId="21">
    <w:name w:val="Title"/>
    <w:basedOn w:val="1"/>
    <w:next w:val="1"/>
    <w:link w:val="70"/>
    <w:qFormat/>
    <w:uiPriority w:val="0"/>
    <w:pPr>
      <w:widowControl w:val="0"/>
      <w:adjustRightInd/>
      <w:snapToGrid/>
      <w:spacing w:before="240" w:after="60"/>
      <w:jc w:val="center"/>
      <w:outlineLvl w:val="0"/>
    </w:pPr>
    <w:rPr>
      <w:rFonts w:eastAsia="宋体" w:asciiTheme="majorHAnsi" w:hAnsiTheme="majorHAnsi" w:cstheme="majorBidi"/>
      <w:b/>
      <w:bCs/>
      <w:kern w:val="2"/>
      <w:sz w:val="32"/>
      <w:szCs w:val="32"/>
    </w:rPr>
  </w:style>
  <w:style w:type="paragraph" w:styleId="22">
    <w:name w:val="annotation subject"/>
    <w:basedOn w:val="9"/>
    <w:next w:val="9"/>
    <w:link w:val="42"/>
    <w:qFormat/>
    <w:uiPriority w:val="99"/>
    <w:pPr>
      <w:widowControl w:val="0"/>
      <w:adjustRightInd/>
      <w:snapToGrid/>
      <w:spacing w:after="0"/>
    </w:pPr>
    <w:rPr>
      <w:rFonts w:ascii="Times New Roman" w:hAnsi="Times New Roman" w:eastAsia="宋体" w:cs="Times New Roman"/>
      <w:b/>
      <w:bCs/>
      <w:kern w:val="2"/>
      <w:sz w:val="21"/>
      <w:szCs w:val="24"/>
    </w:rPr>
  </w:style>
  <w:style w:type="character" w:styleId="25">
    <w:name w:val="page number"/>
    <w:basedOn w:val="24"/>
    <w:qFormat/>
    <w:uiPriority w:val="99"/>
  </w:style>
  <w:style w:type="character" w:styleId="26">
    <w:name w:val="FollowedHyperlink"/>
    <w:basedOn w:val="24"/>
    <w:unhideWhenUsed/>
    <w:qFormat/>
    <w:uiPriority w:val="99"/>
    <w:rPr>
      <w:color w:val="800080"/>
      <w:u w:val="single"/>
    </w:rPr>
  </w:style>
  <w:style w:type="character" w:styleId="27">
    <w:name w:val="Emphasis"/>
    <w:qFormat/>
    <w:uiPriority w:val="99"/>
    <w:rPr>
      <w:color w:val="CC0000"/>
    </w:rPr>
  </w:style>
  <w:style w:type="character" w:styleId="28">
    <w:name w:val="Hyperlink"/>
    <w:qFormat/>
    <w:uiPriority w:val="99"/>
    <w:rPr>
      <w:color w:val="0000FF"/>
      <w:u w:val="single"/>
    </w:rPr>
  </w:style>
  <w:style w:type="character" w:styleId="29">
    <w:name w:val="annotation reference"/>
    <w:basedOn w:val="24"/>
    <w:qFormat/>
    <w:uiPriority w:val="99"/>
    <w:rPr>
      <w:sz w:val="21"/>
      <w:szCs w:val="21"/>
    </w:rPr>
  </w:style>
  <w:style w:type="character" w:styleId="30">
    <w:name w:val="footnote reference"/>
    <w:basedOn w:val="24"/>
    <w:qFormat/>
    <w:uiPriority w:val="99"/>
    <w:rPr>
      <w:vertAlign w:val="superscript"/>
    </w:rPr>
  </w:style>
  <w:style w:type="character" w:customStyle="1" w:styleId="31">
    <w:name w:val="标题 1 字符"/>
    <w:basedOn w:val="24"/>
    <w:link w:val="2"/>
    <w:qFormat/>
    <w:uiPriority w:val="99"/>
    <w:rPr>
      <w:rFonts w:ascii="Times New Roman" w:hAnsi="Times New Roman" w:eastAsia="黑体" w:cs="Times New Roman"/>
      <w:b/>
      <w:bCs/>
      <w:color w:val="000000"/>
      <w:kern w:val="44"/>
      <w:sz w:val="36"/>
      <w:szCs w:val="44"/>
      <w:u w:color="000000"/>
    </w:rPr>
  </w:style>
  <w:style w:type="character" w:customStyle="1" w:styleId="32">
    <w:name w:val="标题 2 字符"/>
    <w:basedOn w:val="24"/>
    <w:link w:val="3"/>
    <w:qFormat/>
    <w:uiPriority w:val="99"/>
    <w:rPr>
      <w:rFonts w:ascii="Arial" w:hAnsi="Arial" w:eastAsia="黑体" w:cs="Times New Roman"/>
      <w:b/>
      <w:bCs/>
      <w:kern w:val="2"/>
      <w:sz w:val="32"/>
      <w:szCs w:val="32"/>
    </w:rPr>
  </w:style>
  <w:style w:type="character" w:customStyle="1" w:styleId="33">
    <w:name w:val="标题 3 字符"/>
    <w:basedOn w:val="24"/>
    <w:link w:val="4"/>
    <w:qFormat/>
    <w:uiPriority w:val="99"/>
    <w:rPr>
      <w:rFonts w:ascii="Times New Roman" w:hAnsi="Times New Roman" w:eastAsia="仿宋_GB2312" w:cs="Times New Roman"/>
      <w:b/>
      <w:bCs/>
      <w:sz w:val="30"/>
      <w:szCs w:val="32"/>
      <w:u w:color="000000"/>
    </w:rPr>
  </w:style>
  <w:style w:type="character" w:customStyle="1" w:styleId="34">
    <w:name w:val="标题 4 字符"/>
    <w:basedOn w:val="24"/>
    <w:link w:val="5"/>
    <w:qFormat/>
    <w:uiPriority w:val="0"/>
    <w:rPr>
      <w:rFonts w:asciiTheme="majorHAnsi" w:hAnsiTheme="majorHAnsi" w:eastAsiaTheme="majorEastAsia" w:cstheme="majorBidi"/>
      <w:b/>
      <w:bCs/>
      <w:kern w:val="2"/>
      <w:sz w:val="28"/>
      <w:szCs w:val="28"/>
    </w:rPr>
  </w:style>
  <w:style w:type="character" w:customStyle="1" w:styleId="35">
    <w:name w:val="标题 5 字符"/>
    <w:basedOn w:val="24"/>
    <w:link w:val="6"/>
    <w:qFormat/>
    <w:uiPriority w:val="0"/>
    <w:rPr>
      <w:rFonts w:ascii="Times New Roman" w:hAnsi="Times New Roman" w:eastAsia="宋体" w:cs="Times New Roman"/>
      <w:b/>
      <w:bCs/>
      <w:kern w:val="2"/>
      <w:sz w:val="28"/>
      <w:szCs w:val="28"/>
    </w:rPr>
  </w:style>
  <w:style w:type="character" w:customStyle="1" w:styleId="36">
    <w:name w:val="标题 6 字符"/>
    <w:basedOn w:val="24"/>
    <w:link w:val="7"/>
    <w:qFormat/>
    <w:uiPriority w:val="0"/>
    <w:rPr>
      <w:rFonts w:asciiTheme="majorHAnsi" w:hAnsiTheme="majorHAnsi" w:eastAsiaTheme="majorEastAsia" w:cstheme="majorBidi"/>
      <w:b/>
      <w:bCs/>
      <w:kern w:val="2"/>
      <w:sz w:val="24"/>
      <w:szCs w:val="24"/>
    </w:rPr>
  </w:style>
  <w:style w:type="character" w:customStyle="1" w:styleId="37">
    <w:name w:val="页眉 字符"/>
    <w:basedOn w:val="24"/>
    <w:link w:val="15"/>
    <w:qFormat/>
    <w:uiPriority w:val="99"/>
    <w:rPr>
      <w:rFonts w:ascii="Tahoma" w:hAnsi="Tahoma"/>
      <w:sz w:val="18"/>
      <w:szCs w:val="18"/>
    </w:rPr>
  </w:style>
  <w:style w:type="character" w:customStyle="1" w:styleId="38">
    <w:name w:val="页脚 字符"/>
    <w:basedOn w:val="24"/>
    <w:link w:val="14"/>
    <w:qFormat/>
    <w:uiPriority w:val="99"/>
    <w:rPr>
      <w:rFonts w:ascii="Tahoma" w:hAnsi="Tahoma"/>
      <w:sz w:val="18"/>
      <w:szCs w:val="18"/>
    </w:rPr>
  </w:style>
  <w:style w:type="paragraph" w:customStyle="1" w:styleId="39">
    <w:name w:val="标题1"/>
    <w:basedOn w:val="1"/>
    <w:qFormat/>
    <w:uiPriority w:val="0"/>
    <w:pPr>
      <w:widowControl w:val="0"/>
      <w:adjustRightInd/>
      <w:snapToGrid/>
      <w:spacing w:after="0"/>
      <w:ind w:firstLine="640" w:firstLineChars="200"/>
      <w:jc w:val="center"/>
    </w:pPr>
    <w:rPr>
      <w:rFonts w:ascii="Times New Roman" w:hAnsi="Times New Roman" w:eastAsia="黑体" w:cs="Times New Roman"/>
      <w:kern w:val="2"/>
      <w:sz w:val="32"/>
      <w:szCs w:val="21"/>
    </w:rPr>
  </w:style>
  <w:style w:type="paragraph" w:styleId="40">
    <w:name w:val="List Paragraph"/>
    <w:basedOn w:val="1"/>
    <w:qFormat/>
    <w:uiPriority w:val="99"/>
    <w:pPr>
      <w:ind w:firstLine="420" w:firstLineChars="200"/>
    </w:pPr>
  </w:style>
  <w:style w:type="character" w:customStyle="1" w:styleId="41">
    <w:name w:val="批注文字 字符"/>
    <w:basedOn w:val="24"/>
    <w:link w:val="9"/>
    <w:qFormat/>
    <w:uiPriority w:val="99"/>
    <w:rPr>
      <w:rFonts w:ascii="Tahoma" w:hAnsi="Tahoma"/>
    </w:rPr>
  </w:style>
  <w:style w:type="character" w:customStyle="1" w:styleId="42">
    <w:name w:val="批注主题 字符"/>
    <w:basedOn w:val="41"/>
    <w:link w:val="22"/>
    <w:qFormat/>
    <w:uiPriority w:val="99"/>
    <w:rPr>
      <w:rFonts w:ascii="Times New Roman" w:hAnsi="Times New Roman" w:eastAsia="宋体" w:cs="Times New Roman"/>
      <w:b/>
      <w:bCs/>
      <w:kern w:val="2"/>
      <w:sz w:val="21"/>
      <w:szCs w:val="24"/>
    </w:rPr>
  </w:style>
  <w:style w:type="character" w:customStyle="1" w:styleId="43">
    <w:name w:val="文档结构图 字符"/>
    <w:basedOn w:val="24"/>
    <w:link w:val="8"/>
    <w:semiHidden/>
    <w:qFormat/>
    <w:uiPriority w:val="99"/>
    <w:rPr>
      <w:rFonts w:ascii="Times New Roman" w:hAnsi="Times New Roman" w:eastAsia="宋体" w:cs="Times New Roman"/>
      <w:kern w:val="2"/>
      <w:sz w:val="21"/>
      <w:szCs w:val="24"/>
      <w:shd w:val="clear" w:color="auto" w:fill="000080"/>
    </w:rPr>
  </w:style>
  <w:style w:type="character" w:customStyle="1" w:styleId="44">
    <w:name w:val="正文文本 字符"/>
    <w:basedOn w:val="24"/>
    <w:link w:val="10"/>
    <w:qFormat/>
    <w:uiPriority w:val="99"/>
    <w:rPr>
      <w:rFonts w:ascii="Times New Roman" w:hAnsi="Times New Roman" w:eastAsia="宋体" w:cs="Times New Roman"/>
      <w:kern w:val="2"/>
      <w:sz w:val="21"/>
      <w:szCs w:val="24"/>
    </w:rPr>
  </w:style>
  <w:style w:type="character" w:customStyle="1" w:styleId="45">
    <w:name w:val="纯文本 字符"/>
    <w:basedOn w:val="24"/>
    <w:link w:val="12"/>
    <w:qFormat/>
    <w:uiPriority w:val="99"/>
    <w:rPr>
      <w:rFonts w:ascii="宋体" w:hAnsi="Times New Roman" w:eastAsia="宋体" w:cs="Times New Roman"/>
      <w:color w:val="000000"/>
      <w:sz w:val="21"/>
      <w:szCs w:val="20"/>
      <w:u w:color="000000"/>
    </w:rPr>
  </w:style>
  <w:style w:type="character" w:customStyle="1" w:styleId="46">
    <w:name w:val="批注框文本 字符"/>
    <w:basedOn w:val="24"/>
    <w:link w:val="13"/>
    <w:qFormat/>
    <w:uiPriority w:val="99"/>
    <w:rPr>
      <w:rFonts w:ascii="Times New Roman" w:hAnsi="Times New Roman" w:eastAsia="宋体" w:cs="Times New Roman"/>
      <w:kern w:val="2"/>
      <w:sz w:val="18"/>
      <w:szCs w:val="18"/>
    </w:rPr>
  </w:style>
  <w:style w:type="character" w:customStyle="1" w:styleId="47">
    <w:name w:val="脚注文本 字符"/>
    <w:basedOn w:val="24"/>
    <w:link w:val="17"/>
    <w:qFormat/>
    <w:uiPriority w:val="99"/>
    <w:rPr>
      <w:rFonts w:ascii="Times New Roman" w:hAnsi="Times New Roman" w:eastAsia="宋体" w:cs="Times New Roman"/>
      <w:kern w:val="2"/>
      <w:sz w:val="18"/>
      <w:szCs w:val="18"/>
    </w:rPr>
  </w:style>
  <w:style w:type="character" w:customStyle="1" w:styleId="48">
    <w:name w:val="HTML 预设格式 字符"/>
    <w:basedOn w:val="24"/>
    <w:link w:val="19"/>
    <w:qFormat/>
    <w:uiPriority w:val="0"/>
    <w:rPr>
      <w:rFonts w:ascii="宋体" w:hAnsi="宋体" w:eastAsia="宋体" w:cs="宋体"/>
      <w:sz w:val="24"/>
      <w:szCs w:val="24"/>
    </w:rPr>
  </w:style>
  <w:style w:type="paragraph" w:customStyle="1" w:styleId="49">
    <w:name w:val="xl69"/>
    <w:basedOn w:val="1"/>
    <w:qFormat/>
    <w:uiPriority w:val="99"/>
    <w:pPr>
      <w:pBdr>
        <w:top w:val="single" w:color="auto" w:sz="8" w:space="0"/>
        <w:left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50">
    <w:name w:val="xl74"/>
    <w:basedOn w:val="1"/>
    <w:qFormat/>
    <w:uiPriority w:val="99"/>
    <w:pPr>
      <w:pBdr>
        <w:right w:val="single" w:color="auto" w:sz="8" w:space="0"/>
      </w:pBdr>
      <w:adjustRightInd/>
      <w:snapToGrid/>
      <w:spacing w:before="100" w:beforeAutospacing="1" w:after="100" w:afterAutospacing="1"/>
      <w:jc w:val="center"/>
    </w:pPr>
    <w:rPr>
      <w:rFonts w:ascii="宋体" w:hAnsi="宋体" w:eastAsia="宋体" w:cs="宋体"/>
    </w:rPr>
  </w:style>
  <w:style w:type="paragraph" w:customStyle="1" w:styleId="51">
    <w:name w:val="xl70"/>
    <w:basedOn w:val="1"/>
    <w:qFormat/>
    <w:uiPriority w:val="99"/>
    <w:pPr>
      <w:pBdr>
        <w:left w:val="single" w:color="auto" w:sz="8" w:space="0"/>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52">
    <w:name w:val="font7"/>
    <w:basedOn w:val="1"/>
    <w:qFormat/>
    <w:uiPriority w:val="99"/>
    <w:pPr>
      <w:adjustRightInd/>
      <w:snapToGrid/>
      <w:spacing w:before="100" w:beforeAutospacing="1" w:after="100" w:afterAutospacing="1"/>
    </w:pPr>
    <w:rPr>
      <w:rFonts w:ascii="宋体" w:hAnsi="宋体" w:eastAsia="宋体" w:cs="宋体"/>
      <w:color w:val="000000"/>
      <w:sz w:val="24"/>
      <w:szCs w:val="24"/>
    </w:rPr>
  </w:style>
  <w:style w:type="paragraph" w:customStyle="1" w:styleId="53">
    <w:name w:val="xl72"/>
    <w:basedOn w:val="1"/>
    <w:qFormat/>
    <w:uiPriority w:val="99"/>
    <w:pPr>
      <w:pBdr>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rPr>
  </w:style>
  <w:style w:type="paragraph" w:customStyle="1" w:styleId="54">
    <w:name w:val="xl67"/>
    <w:basedOn w:val="1"/>
    <w:qFormat/>
    <w:uiPriority w:val="99"/>
    <w:pPr>
      <w:pBdr>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55">
    <w:name w:val="font5"/>
    <w:basedOn w:val="1"/>
    <w:qFormat/>
    <w:uiPriority w:val="99"/>
    <w:pPr>
      <w:adjustRightInd/>
      <w:snapToGrid/>
      <w:spacing w:before="100" w:beforeAutospacing="1" w:after="100" w:afterAutospacing="1"/>
    </w:pPr>
    <w:rPr>
      <w:rFonts w:ascii="宋体" w:hAnsi="宋体" w:eastAsia="宋体" w:cs="宋体"/>
      <w:b/>
      <w:bCs/>
      <w:color w:val="000000"/>
      <w:sz w:val="24"/>
      <w:szCs w:val="24"/>
    </w:rPr>
  </w:style>
  <w:style w:type="paragraph" w:customStyle="1" w:styleId="56">
    <w:name w:val="xl65"/>
    <w:basedOn w:val="1"/>
    <w:qFormat/>
    <w:uiPriority w:val="99"/>
    <w:pPr>
      <w:adjustRightInd/>
      <w:snapToGrid/>
      <w:spacing w:before="100" w:beforeAutospacing="1" w:after="100" w:afterAutospacing="1"/>
    </w:pPr>
    <w:rPr>
      <w:rFonts w:ascii="宋体" w:hAnsi="宋体" w:eastAsia="宋体" w:cs="宋体"/>
      <w:sz w:val="24"/>
      <w:szCs w:val="24"/>
    </w:rPr>
  </w:style>
  <w:style w:type="paragraph" w:customStyle="1" w:styleId="57">
    <w:name w:val="font6"/>
    <w:basedOn w:val="1"/>
    <w:qFormat/>
    <w:uiPriority w:val="99"/>
    <w:pPr>
      <w:adjustRightInd/>
      <w:snapToGrid/>
      <w:spacing w:before="100" w:beforeAutospacing="1" w:after="100" w:afterAutospacing="1"/>
    </w:pPr>
    <w:rPr>
      <w:rFonts w:ascii="宋体" w:hAnsi="宋体" w:eastAsia="宋体" w:cs="宋体"/>
      <w:color w:val="000000"/>
    </w:rPr>
  </w:style>
  <w:style w:type="paragraph" w:customStyle="1" w:styleId="58">
    <w:name w:val="xl75"/>
    <w:basedOn w:val="1"/>
    <w:qFormat/>
    <w:uiPriority w:val="99"/>
    <w:pPr>
      <w:pBdr>
        <w:bottom w:val="single" w:color="auto" w:sz="8" w:space="0"/>
        <w:right w:val="single" w:color="auto" w:sz="8" w:space="0"/>
      </w:pBdr>
      <w:adjustRightInd/>
      <w:snapToGrid/>
      <w:spacing w:before="100" w:beforeAutospacing="1" w:after="100" w:afterAutospacing="1"/>
      <w:jc w:val="center"/>
    </w:pPr>
    <w:rPr>
      <w:rFonts w:ascii="宋体" w:hAnsi="宋体" w:eastAsia="宋体" w:cs="宋体"/>
    </w:rPr>
  </w:style>
  <w:style w:type="paragraph" w:customStyle="1" w:styleId="59">
    <w:name w:val="Char Char Char Char Char Char1 Char"/>
    <w:basedOn w:val="1"/>
    <w:qFormat/>
    <w:uiPriority w:val="99"/>
    <w:pPr>
      <w:adjustRightInd/>
      <w:snapToGrid/>
      <w:spacing w:after="160" w:line="240" w:lineRule="exact"/>
    </w:pPr>
    <w:rPr>
      <w:rFonts w:ascii="Times New Roman" w:hAnsi="Times New Roman" w:eastAsia="宋体" w:cs="Times New Roman"/>
      <w:kern w:val="2"/>
      <w:sz w:val="21"/>
      <w:szCs w:val="24"/>
    </w:rPr>
  </w:style>
  <w:style w:type="paragraph" w:customStyle="1" w:styleId="60">
    <w:name w:val="xl68"/>
    <w:basedOn w:val="1"/>
    <w:qFormat/>
    <w:uiPriority w:val="99"/>
    <w:pPr>
      <w:pBdr>
        <w:bottom w:val="single" w:color="auto" w:sz="8" w:space="0"/>
        <w:right w:val="single" w:color="auto" w:sz="8" w:space="0"/>
      </w:pBdr>
      <w:adjustRightInd/>
      <w:snapToGrid/>
      <w:spacing w:before="100" w:beforeAutospacing="1" w:after="100" w:afterAutospacing="1"/>
      <w:jc w:val="center"/>
      <w:textAlignment w:val="top"/>
    </w:pPr>
    <w:rPr>
      <w:rFonts w:ascii="宋体" w:hAnsi="宋体" w:eastAsia="宋体" w:cs="宋体"/>
    </w:rPr>
  </w:style>
  <w:style w:type="paragraph" w:customStyle="1" w:styleId="61">
    <w:name w:val="xl66"/>
    <w:basedOn w:val="1"/>
    <w:qFormat/>
    <w:uiPriority w:val="99"/>
    <w:pPr>
      <w:pBdr>
        <w:top w:val="single" w:color="auto" w:sz="8" w:space="0"/>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62">
    <w:name w:val="xl73"/>
    <w:basedOn w:val="1"/>
    <w:qFormat/>
    <w:uiPriority w:val="99"/>
    <w:pPr>
      <w:pBdr>
        <w:top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63">
    <w:name w:val="xl71"/>
    <w:basedOn w:val="1"/>
    <w:qFormat/>
    <w:uiPriority w:val="99"/>
    <w:pPr>
      <w:pBdr>
        <w:right w:val="single" w:color="auto" w:sz="8" w:space="0"/>
      </w:pBdr>
      <w:adjustRightInd/>
      <w:snapToGrid/>
      <w:spacing w:before="100" w:beforeAutospacing="1" w:after="100" w:afterAutospacing="1"/>
      <w:jc w:val="center"/>
    </w:pPr>
    <w:rPr>
      <w:rFonts w:ascii="宋体" w:hAnsi="宋体" w:eastAsia="宋体" w:cs="宋体"/>
      <w:b/>
      <w:bCs/>
    </w:rPr>
  </w:style>
  <w:style w:type="paragraph" w:customStyle="1" w:styleId="64">
    <w:name w:val="样式 标题 2 + 行距: 固定值 30 磅"/>
    <w:basedOn w:val="3"/>
    <w:qFormat/>
    <w:uiPriority w:val="99"/>
    <w:pPr>
      <w:widowControl/>
      <w:spacing w:line="600" w:lineRule="exact"/>
      <w:jc w:val="left"/>
      <w:textAlignment w:val="baseline"/>
    </w:pPr>
    <w:rPr>
      <w:rFonts w:eastAsia="楷体_GB2312" w:cs="宋体"/>
      <w:color w:val="000000"/>
      <w:kern w:val="0"/>
      <w:szCs w:val="20"/>
      <w:u w:color="000000"/>
    </w:rPr>
  </w:style>
  <w:style w:type="paragraph" w:customStyle="1" w:styleId="65">
    <w:name w:val="列出段落1"/>
    <w:basedOn w:val="1"/>
    <w:qFormat/>
    <w:uiPriority w:val="99"/>
    <w:pPr>
      <w:widowControl w:val="0"/>
      <w:adjustRightInd/>
      <w:snapToGrid/>
      <w:spacing w:after="0"/>
      <w:ind w:firstLine="420" w:firstLineChars="200"/>
      <w:jc w:val="both"/>
    </w:pPr>
    <w:rPr>
      <w:rFonts w:ascii="Times New Roman" w:hAnsi="Times New Roman" w:eastAsia="宋体" w:cs="Times New Roman"/>
      <w:kern w:val="2"/>
      <w:sz w:val="21"/>
      <w:szCs w:val="24"/>
    </w:rPr>
  </w:style>
  <w:style w:type="paragraph" w:customStyle="1" w:styleId="66">
    <w:name w:val="Char Char"/>
    <w:basedOn w:val="1"/>
    <w:qFormat/>
    <w:uiPriority w:val="0"/>
    <w:pPr>
      <w:widowControl w:val="0"/>
      <w:adjustRightInd/>
      <w:snapToGrid/>
      <w:spacing w:after="0"/>
      <w:jc w:val="both"/>
    </w:pPr>
    <w:rPr>
      <w:rFonts w:ascii="Times New Roman" w:hAnsi="Times New Roman" w:eastAsia="宋体" w:cs="Times New Roman"/>
      <w:kern w:val="2"/>
      <w:sz w:val="21"/>
      <w:szCs w:val="24"/>
    </w:rPr>
  </w:style>
  <w:style w:type="paragraph" w:customStyle="1" w:styleId="67">
    <w:name w:val="Char"/>
    <w:basedOn w:val="1"/>
    <w:qFormat/>
    <w:uiPriority w:val="99"/>
    <w:pPr>
      <w:adjustRightInd/>
      <w:snapToGrid/>
      <w:spacing w:after="160" w:line="240" w:lineRule="exact"/>
    </w:pPr>
    <w:rPr>
      <w:rFonts w:ascii="Calibri" w:hAnsi="Calibri" w:eastAsia="宋体" w:cs="Times New Roman"/>
      <w:kern w:val="2"/>
      <w:sz w:val="21"/>
    </w:rPr>
  </w:style>
  <w:style w:type="paragraph" w:customStyle="1" w:styleId="68">
    <w:name w:val="p"/>
    <w:basedOn w:val="1"/>
    <w:qFormat/>
    <w:uiPriority w:val="99"/>
    <w:pPr>
      <w:adjustRightInd/>
      <w:snapToGrid/>
      <w:spacing w:before="100" w:beforeAutospacing="1" w:after="100" w:afterAutospacing="1"/>
    </w:pPr>
    <w:rPr>
      <w:rFonts w:ascii="宋体" w:hAnsi="宋体" w:eastAsia="宋体" w:cs="宋体"/>
      <w:sz w:val="24"/>
      <w:szCs w:val="24"/>
    </w:rPr>
  </w:style>
  <w:style w:type="paragraph" w:customStyle="1" w:styleId="69">
    <w:name w:val="默认段落字体 Para Char Char Char Char"/>
    <w:basedOn w:val="1"/>
    <w:qFormat/>
    <w:uiPriority w:val="99"/>
    <w:pPr>
      <w:widowControl w:val="0"/>
      <w:adjustRightInd/>
      <w:snapToGrid/>
      <w:spacing w:after="0"/>
      <w:jc w:val="both"/>
    </w:pPr>
    <w:rPr>
      <w:rFonts w:ascii="Times New Roman" w:hAnsi="Times New Roman" w:eastAsia="宋体" w:cs="Times New Roman"/>
      <w:sz w:val="21"/>
      <w:szCs w:val="20"/>
      <w:lang w:eastAsia="en-US"/>
    </w:rPr>
  </w:style>
  <w:style w:type="character" w:customStyle="1" w:styleId="70">
    <w:name w:val="标题 字符"/>
    <w:basedOn w:val="24"/>
    <w:link w:val="21"/>
    <w:qFormat/>
    <w:uiPriority w:val="0"/>
    <w:rPr>
      <w:rFonts w:eastAsia="宋体" w:asciiTheme="majorHAnsi" w:hAnsiTheme="majorHAnsi" w:cstheme="majorBidi"/>
      <w:b/>
      <w:bCs/>
      <w:kern w:val="2"/>
      <w:sz w:val="32"/>
      <w:szCs w:val="32"/>
    </w:rPr>
  </w:style>
  <w:style w:type="paragraph" w:customStyle="1" w:styleId="71">
    <w:name w:val="TOC 标题1"/>
    <w:basedOn w:val="2"/>
    <w:next w:val="1"/>
    <w:unhideWhenUsed/>
    <w:qFormat/>
    <w:uiPriority w:val="39"/>
    <w:pPr>
      <w:spacing w:before="480" w:after="0" w:line="276" w:lineRule="auto"/>
      <w:jc w:val="left"/>
      <w:textAlignment w:val="auto"/>
      <w:outlineLvl w:val="9"/>
    </w:pPr>
    <w:rPr>
      <w:rFonts w:asciiTheme="majorHAnsi" w:hAnsiTheme="majorHAnsi" w:eastAsiaTheme="majorEastAsia" w:cstheme="majorBidi"/>
      <w:color w:val="376092" w:themeColor="accent1" w:themeShade="BF"/>
      <w:kern w:val="0"/>
      <w:sz w:val="28"/>
      <w:szCs w:val="28"/>
    </w:rPr>
  </w:style>
  <w:style w:type="character" w:customStyle="1" w:styleId="72">
    <w:name w:val="font01"/>
    <w:basedOn w:val="24"/>
    <w:qFormat/>
    <w:uiPriority w:val="0"/>
    <w:rPr>
      <w:rFonts w:hint="eastAsia" w:ascii="宋体" w:hAnsi="宋体" w:eastAsia="宋体" w:cs="宋体"/>
      <w:b/>
      <w:color w:val="000000"/>
      <w:sz w:val="32"/>
      <w:szCs w:val="32"/>
      <w:u w:val="none"/>
    </w:rPr>
  </w:style>
  <w:style w:type="character" w:customStyle="1" w:styleId="73">
    <w:name w:val="font21"/>
    <w:basedOn w:val="24"/>
    <w:qFormat/>
    <w:uiPriority w:val="0"/>
    <w:rPr>
      <w:rFonts w:hint="default" w:ascii="Times New Roman" w:hAnsi="Times New Roman" w:cs="Times New Roman"/>
      <w:b/>
      <w:color w:val="000000"/>
      <w:sz w:val="32"/>
      <w:szCs w:val="32"/>
      <w:u w:val="none"/>
    </w:rPr>
  </w:style>
  <w:style w:type="paragraph" w:customStyle="1" w:styleId="74">
    <w:name w:val="插入文本样式-插入部门职责文件"/>
    <w:basedOn w:val="1"/>
    <w:qFormat/>
    <w:uiPriority w:val="0"/>
    <w:pPr>
      <w:adjustRightInd/>
      <w:snapToGrid/>
      <w:spacing w:after="0" w:line="500" w:lineRule="exact"/>
      <w:ind w:firstLine="560"/>
    </w:pPr>
    <w:rPr>
      <w:rFonts w:ascii="Times New Roman" w:hAnsi="Times New Roman" w:eastAsia="方正仿宋_GBK" w:cs="Times New Roman"/>
      <w:sz w:val="28"/>
      <w:szCs w:val="24"/>
      <w:lang w:eastAsia="uk-UA"/>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D:\&#39044;&#12289;&#20915;&#31639;&#20844;&#24320;!!!!!!!!!!!!!!\&#20915;&#31639;&#20844;&#24320;$$$$$$\2021&#24180;&#20915;&#31639;&#20844;&#24320;\&#65281;&#65281;&#65281;&#65281;2021&#24180;&#37096;&#38376;&#20915;&#31639;&#20844;&#24320;&#36164;&#26009;\2021&#24180;&#20915;&#31639;&#20844;&#24320;&#24773;&#20917;&#35828;&#26126;&#20013;&#30340;&#22270;&#3492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embeddings/oleObject1.bin"/></Relationships>
</file>

<file path=word/charts/_rels/chart3.xml.rels><?xml version="1.0" encoding="UTF-8" standalone="yes"?>
<Relationships xmlns="http://schemas.openxmlformats.org/package/2006/relationships"><Relationship Id="rId2" Type="http://schemas.openxmlformats.org/officeDocument/2006/relationships/themeOverride" Target="../theme/themeOverride1.xml"/><Relationship Id="rId1" Type="http://schemas.openxmlformats.org/officeDocument/2006/relationships/oleObject" Target="../embeddings/oleObject2.bin"/></Relationships>
</file>

<file path=word/charts/_rels/chart4.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I:\&#65281;&#65281;&#65281;&#65281;2021&#24180;&#37096;&#38376;&#20915;&#31639;&#20844;&#24320;&#36164;&#26009;\2021&#24180;&#20915;&#31639;&#20844;&#24320;&#24773;&#20917;&#35828;&#26126;&#20013;&#30340;&#22270;&#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200" b="1" i="0" u="none" strike="noStrike" kern="1200" baseline="0">
                <a:solidFill>
                  <a:schemeClr val="tx1">
                    <a:lumMod val="65000"/>
                    <a:lumOff val="35000"/>
                  </a:schemeClr>
                </a:solidFill>
                <a:latin typeface="+mn-ea"/>
                <a:ea typeface="+mn-ea"/>
                <a:cs typeface="+mn-cs"/>
              </a:defRPr>
            </a:pPr>
            <a:r>
              <a:rPr lang="zh-CN" sz="1200" b="0">
                <a:latin typeface="+mn-ea"/>
                <a:ea typeface="+mn-ea"/>
              </a:rPr>
              <a:t>图</a:t>
            </a:r>
            <a:r>
              <a:rPr lang="en-US" sz="1200" b="0">
                <a:latin typeface="+mn-ea"/>
                <a:ea typeface="+mn-ea"/>
              </a:rPr>
              <a:t>1</a:t>
            </a:r>
            <a:r>
              <a:rPr lang="zh-CN" sz="1200" b="0">
                <a:latin typeface="+mn-ea"/>
                <a:ea typeface="+mn-ea"/>
              </a:rPr>
              <a:t>：财政拨款支出决算结构（按功能分类）</a:t>
            </a:r>
            <a:endParaRPr lang="zh-CN" sz="1200" b="0">
              <a:latin typeface="+mn-ea"/>
              <a:ea typeface="+mn-ea"/>
            </a:endParaRPr>
          </a:p>
        </c:rich>
      </c:tx>
      <c:layout>
        <c:manualLayout>
          <c:xMode val="edge"/>
          <c:yMode val="edge"/>
          <c:x val="0.135372960234329"/>
          <c:y val="0.840527090108817"/>
        </c:manualLayout>
      </c:layout>
      <c:overlay val="0"/>
      <c:spPr>
        <a:noFill/>
        <a:ln>
          <a:noFill/>
        </a:ln>
        <a:effectLst/>
      </c:spPr>
    </c:title>
    <c:autoTitleDeleted val="0"/>
    <c:view3D>
      <c:rotX val="30"/>
      <c:rotY val="0"/>
      <c:depthPercent val="100"/>
      <c:rAngAx val="0"/>
    </c:view3D>
    <c:floor>
      <c:thickness val="0"/>
      <c:spPr>
        <a:noFill/>
        <a:ln>
          <a:noFill/>
        </a:ln>
        <a:effectLst/>
      </c:spPr>
    </c:floor>
    <c:sideWall>
      <c:thickness val="0"/>
      <c:spPr>
        <a:noFill/>
        <a:ln>
          <a:noFill/>
        </a:ln>
        <a:effectLst/>
      </c:spPr>
    </c:sideWall>
    <c:backWall>
      <c:thickness val="0"/>
      <c:spPr>
        <a:noFill/>
        <a:ln>
          <a:noFill/>
        </a:ln>
        <a:effectLst/>
      </c:spPr>
    </c:backWall>
    <c:plotArea>
      <c:layout>
        <c:manualLayout>
          <c:layoutTarget val="inner"/>
          <c:xMode val="edge"/>
          <c:yMode val="edge"/>
          <c:x val="0.045204988410592"/>
          <c:y val="0.0376050993625797"/>
          <c:w val="0.952590752225514"/>
          <c:h val="0.795813712941055"/>
        </c:manualLayout>
      </c:layout>
      <c:pie3DChart>
        <c:varyColors val="1"/>
        <c:ser>
          <c:idx val="0"/>
          <c:order val="0"/>
          <c:tx>
            <c:strRef>
              <c:f>'财政拨款支出决算结构（按功能分类）'!$A$3</c:f>
              <c:strCache>
                <c:ptCount val="1"/>
                <c:pt idx="0">
                  <c:v>金额</c:v>
                </c:pt>
              </c:strCache>
            </c:strRef>
          </c:tx>
          <c:explosion val="0"/>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2"/>
            <c:bubble3D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3"/>
            <c:bubble3D val="0"/>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4"/>
            <c:bubble3D val="0"/>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5"/>
            <c:bubble3D val="0"/>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6"/>
            <c:bubble3D val="0"/>
            <c:spPr>
              <a:gradFill rotWithShape="1">
                <a:gsLst>
                  <a:gs pos="0">
                    <a:schemeClr val="accent1">
                      <a:lumMod val="60000"/>
                      <a:shade val="51000"/>
                      <a:satMod val="130000"/>
                    </a:schemeClr>
                  </a:gs>
                  <a:gs pos="80000">
                    <a:schemeClr val="accent1">
                      <a:lumMod val="60000"/>
                      <a:shade val="93000"/>
                      <a:satMod val="130000"/>
                    </a:schemeClr>
                  </a:gs>
                  <a:gs pos="100000">
                    <a:schemeClr val="accent1">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7"/>
            <c:bubble3D val="0"/>
            <c:spPr>
              <a:gradFill rotWithShape="1">
                <a:gsLst>
                  <a:gs pos="0">
                    <a:schemeClr val="accent2">
                      <a:lumMod val="60000"/>
                      <a:shade val="51000"/>
                      <a:satMod val="130000"/>
                    </a:schemeClr>
                  </a:gs>
                  <a:gs pos="80000">
                    <a:schemeClr val="accent2">
                      <a:lumMod val="60000"/>
                      <a:shade val="93000"/>
                      <a:satMod val="130000"/>
                    </a:schemeClr>
                  </a:gs>
                  <a:gs pos="100000">
                    <a:schemeClr val="accent2">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8"/>
            <c:bubble3D val="0"/>
            <c:spPr>
              <a:gradFill rotWithShape="1">
                <a:gsLst>
                  <a:gs pos="0">
                    <a:schemeClr val="accent3">
                      <a:lumMod val="60000"/>
                      <a:shade val="51000"/>
                      <a:satMod val="130000"/>
                    </a:schemeClr>
                  </a:gs>
                  <a:gs pos="80000">
                    <a:schemeClr val="accent3">
                      <a:lumMod val="60000"/>
                      <a:shade val="93000"/>
                      <a:satMod val="130000"/>
                    </a:schemeClr>
                  </a:gs>
                  <a:gs pos="100000">
                    <a:schemeClr val="accent3">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9"/>
            <c:bubble3D val="0"/>
            <c:spPr>
              <a:gradFill rotWithShape="1">
                <a:gsLst>
                  <a:gs pos="0">
                    <a:schemeClr val="accent4">
                      <a:lumMod val="60000"/>
                      <a:shade val="51000"/>
                      <a:satMod val="130000"/>
                    </a:schemeClr>
                  </a:gs>
                  <a:gs pos="80000">
                    <a:schemeClr val="accent4">
                      <a:lumMod val="60000"/>
                      <a:shade val="93000"/>
                      <a:satMod val="130000"/>
                    </a:schemeClr>
                  </a:gs>
                  <a:gs pos="100000">
                    <a:schemeClr val="accent4">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10"/>
            <c:bubble3D val="0"/>
            <c:spPr>
              <a:gradFill rotWithShape="1">
                <a:gsLst>
                  <a:gs pos="0">
                    <a:schemeClr val="accent5">
                      <a:lumMod val="60000"/>
                      <a:shade val="51000"/>
                      <a:satMod val="130000"/>
                    </a:schemeClr>
                  </a:gs>
                  <a:gs pos="80000">
                    <a:schemeClr val="accent5">
                      <a:lumMod val="60000"/>
                      <a:shade val="93000"/>
                      <a:satMod val="130000"/>
                    </a:schemeClr>
                  </a:gs>
                  <a:gs pos="100000">
                    <a:schemeClr val="accent5">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11"/>
            <c:bubble3D val="0"/>
            <c:spPr>
              <a:gradFill rotWithShape="1">
                <a:gsLst>
                  <a:gs pos="0">
                    <a:schemeClr val="accent6">
                      <a:lumMod val="60000"/>
                      <a:shade val="51000"/>
                      <a:satMod val="130000"/>
                    </a:schemeClr>
                  </a:gs>
                  <a:gs pos="80000">
                    <a:schemeClr val="accent6">
                      <a:lumMod val="60000"/>
                      <a:shade val="93000"/>
                      <a:satMod val="130000"/>
                    </a:schemeClr>
                  </a:gs>
                  <a:gs pos="100000">
                    <a:schemeClr val="accent6">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12"/>
            <c:bubble3D val="0"/>
            <c:spPr>
              <a:gradFill rotWithShape="1">
                <a:gsLst>
                  <a:gs pos="0">
                    <a:schemeClr val="accent1">
                      <a:lumMod val="80000"/>
                      <a:lumOff val="20000"/>
                      <a:shade val="51000"/>
                      <a:satMod val="130000"/>
                    </a:schemeClr>
                  </a:gs>
                  <a:gs pos="80000">
                    <a:schemeClr val="accent1">
                      <a:lumMod val="80000"/>
                      <a:lumOff val="20000"/>
                      <a:shade val="93000"/>
                      <a:satMod val="130000"/>
                    </a:schemeClr>
                  </a:gs>
                  <a:gs pos="100000">
                    <a:schemeClr val="accent1">
                      <a:lumMod val="80000"/>
                      <a:lumOff val="2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13"/>
            <c:bubble3D val="0"/>
            <c:spPr>
              <a:gradFill rotWithShape="1">
                <a:gsLst>
                  <a:gs pos="0">
                    <a:schemeClr val="accent2">
                      <a:lumMod val="80000"/>
                      <a:lumOff val="20000"/>
                      <a:shade val="51000"/>
                      <a:satMod val="130000"/>
                    </a:schemeClr>
                  </a:gs>
                  <a:gs pos="80000">
                    <a:schemeClr val="accent2">
                      <a:lumMod val="80000"/>
                      <a:lumOff val="20000"/>
                      <a:shade val="93000"/>
                      <a:satMod val="130000"/>
                    </a:schemeClr>
                  </a:gs>
                  <a:gs pos="100000">
                    <a:schemeClr val="accent2">
                      <a:lumMod val="80000"/>
                      <a:lumOff val="2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14"/>
            <c:bubble3D val="0"/>
            <c:spPr>
              <a:gradFill rotWithShape="1">
                <a:gsLst>
                  <a:gs pos="0">
                    <a:schemeClr val="accent3">
                      <a:lumMod val="80000"/>
                      <a:lumOff val="20000"/>
                      <a:shade val="51000"/>
                      <a:satMod val="130000"/>
                    </a:schemeClr>
                  </a:gs>
                  <a:gs pos="80000">
                    <a:schemeClr val="accent3">
                      <a:lumMod val="80000"/>
                      <a:lumOff val="20000"/>
                      <a:shade val="93000"/>
                      <a:satMod val="130000"/>
                    </a:schemeClr>
                  </a:gs>
                  <a:gs pos="100000">
                    <a:schemeClr val="accent3">
                      <a:lumMod val="80000"/>
                      <a:lumOff val="2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15"/>
            <c:bubble3D val="0"/>
            <c:spPr>
              <a:gradFill rotWithShape="1">
                <a:gsLst>
                  <a:gs pos="0">
                    <a:schemeClr val="accent4">
                      <a:lumMod val="80000"/>
                      <a:lumOff val="20000"/>
                      <a:shade val="51000"/>
                      <a:satMod val="130000"/>
                    </a:schemeClr>
                  </a:gs>
                  <a:gs pos="80000">
                    <a:schemeClr val="accent4">
                      <a:lumMod val="80000"/>
                      <a:lumOff val="20000"/>
                      <a:shade val="93000"/>
                      <a:satMod val="130000"/>
                    </a:schemeClr>
                  </a:gs>
                  <a:gs pos="100000">
                    <a:schemeClr val="accent4">
                      <a:lumMod val="80000"/>
                      <a:lumOff val="2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16"/>
            <c:bubble3D val="0"/>
            <c:spPr>
              <a:gradFill rotWithShape="1">
                <a:gsLst>
                  <a:gs pos="0">
                    <a:schemeClr val="accent5">
                      <a:lumMod val="80000"/>
                      <a:lumOff val="20000"/>
                      <a:shade val="51000"/>
                      <a:satMod val="130000"/>
                    </a:schemeClr>
                  </a:gs>
                  <a:gs pos="80000">
                    <a:schemeClr val="accent5">
                      <a:lumMod val="80000"/>
                      <a:lumOff val="20000"/>
                      <a:shade val="93000"/>
                      <a:satMod val="130000"/>
                    </a:schemeClr>
                  </a:gs>
                  <a:gs pos="100000">
                    <a:schemeClr val="accent5">
                      <a:lumMod val="80000"/>
                      <a:lumOff val="2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Lbls>
            <c:dLbl>
              <c:idx val="4"/>
              <c:layout>
                <c:manualLayout>
                  <c:x val="0.00358460267827948"/>
                  <c:y val="0.147589351331084"/>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5"/>
              <c:layout>
                <c:manualLayout>
                  <c:x val="-0.0237775414954091"/>
                  <c:y val="0.0114600674915636"/>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6"/>
              <c:layout>
                <c:manualLayout>
                  <c:x val="0.101857453914846"/>
                  <c:y val="0.00219002624671916"/>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7"/>
              <c:layout>
                <c:manualLayout>
                  <c:x val="0.0975171782395241"/>
                  <c:y val="0.181237645294338"/>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numFmt formatCode="0.00%" sourceLinked="0"/>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'财政拨款支出决算结构（按功能分类）'!$B$1:$R$2</c:f>
              <c:strCache>
                <c:ptCount val="8"/>
                <c:pt idx="3">
                  <c:v>文化旅游体育与传媒支出</c:v>
                </c:pt>
                <c:pt idx="4">
                  <c:v>社会保障和就业支出</c:v>
                </c:pt>
                <c:pt idx="5">
                  <c:v>住房保障和就业支出</c:v>
                </c:pt>
                <c:pt idx="6">
                  <c:v>医疗卫生与计划生育支出</c:v>
                </c:pt>
                <c:pt idx="7">
                  <c:v>节能环保支出</c:v>
                </c:pt>
              </c:strCache>
            </c:strRef>
          </c:cat>
          <c:val>
            <c:numRef>
              <c:f>'财政拨款支出决算结构（按功能分类）'!$B$3:$R$3</c:f>
              <c:numCache>
                <c:formatCode>General</c:formatCode>
                <c:ptCount val="17"/>
                <c:pt idx="3" c:formatCode="0.00_);[Red]\(0.00\)">
                  <c:v>1662.94</c:v>
                </c:pt>
                <c:pt idx="4" c:formatCode="0.00_);[Red]\(0.00\)">
                  <c:v>175.2</c:v>
                </c:pt>
                <c:pt idx="5" c:formatCode="0.00_);[Red]\(0.00\)">
                  <c:v>66.1</c:v>
                </c:pt>
                <c:pt idx="6" c:formatCode="0.00_);[Red]\(0.00\)">
                  <c:v>34.5</c:v>
                </c:pt>
                <c:pt idx="7" c:formatCode="0.00_);[Red]\(0.00\)">
                  <c:v>18.35</c:v>
                </c:pt>
              </c:numCache>
            </c:numRef>
          </c:val>
        </c:ser>
        <c:ser>
          <c:idx val="1"/>
          <c:order val="1"/>
          <c:tx>
            <c:strRef>
              <c:f>'财政拨款支出决算结构（按功能分类）'!$A$4</c:f>
              <c:strCache>
                <c:ptCount val="1"/>
                <c:pt idx="0">
                  <c:v>所占比例</c:v>
                </c:pt>
              </c:strCache>
            </c:strRef>
          </c:tx>
          <c:explosion val="0"/>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2"/>
            <c:bubble3D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3"/>
            <c:bubble3D val="0"/>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4"/>
            <c:bubble3D val="0"/>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5"/>
            <c:bubble3D val="0"/>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6"/>
            <c:bubble3D val="0"/>
            <c:spPr>
              <a:gradFill rotWithShape="1">
                <a:gsLst>
                  <a:gs pos="0">
                    <a:schemeClr val="accent1">
                      <a:lumMod val="60000"/>
                      <a:shade val="51000"/>
                      <a:satMod val="130000"/>
                    </a:schemeClr>
                  </a:gs>
                  <a:gs pos="80000">
                    <a:schemeClr val="accent1">
                      <a:lumMod val="60000"/>
                      <a:shade val="93000"/>
                      <a:satMod val="130000"/>
                    </a:schemeClr>
                  </a:gs>
                  <a:gs pos="100000">
                    <a:schemeClr val="accent1">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7"/>
            <c:bubble3D val="0"/>
            <c:spPr>
              <a:gradFill rotWithShape="1">
                <a:gsLst>
                  <a:gs pos="0">
                    <a:schemeClr val="accent2">
                      <a:lumMod val="60000"/>
                      <a:shade val="51000"/>
                      <a:satMod val="130000"/>
                    </a:schemeClr>
                  </a:gs>
                  <a:gs pos="80000">
                    <a:schemeClr val="accent2">
                      <a:lumMod val="60000"/>
                      <a:shade val="93000"/>
                      <a:satMod val="130000"/>
                    </a:schemeClr>
                  </a:gs>
                  <a:gs pos="100000">
                    <a:schemeClr val="accent2">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8"/>
            <c:bubble3D val="0"/>
            <c:spPr>
              <a:gradFill rotWithShape="1">
                <a:gsLst>
                  <a:gs pos="0">
                    <a:schemeClr val="accent3">
                      <a:lumMod val="60000"/>
                      <a:shade val="51000"/>
                      <a:satMod val="130000"/>
                    </a:schemeClr>
                  </a:gs>
                  <a:gs pos="80000">
                    <a:schemeClr val="accent3">
                      <a:lumMod val="60000"/>
                      <a:shade val="93000"/>
                      <a:satMod val="130000"/>
                    </a:schemeClr>
                  </a:gs>
                  <a:gs pos="100000">
                    <a:schemeClr val="accent3">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9"/>
            <c:bubble3D val="0"/>
            <c:spPr>
              <a:gradFill rotWithShape="1">
                <a:gsLst>
                  <a:gs pos="0">
                    <a:schemeClr val="accent4">
                      <a:lumMod val="60000"/>
                      <a:shade val="51000"/>
                      <a:satMod val="130000"/>
                    </a:schemeClr>
                  </a:gs>
                  <a:gs pos="80000">
                    <a:schemeClr val="accent4">
                      <a:lumMod val="60000"/>
                      <a:shade val="93000"/>
                      <a:satMod val="130000"/>
                    </a:schemeClr>
                  </a:gs>
                  <a:gs pos="100000">
                    <a:schemeClr val="accent4">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10"/>
            <c:bubble3D val="0"/>
            <c:spPr>
              <a:gradFill rotWithShape="1">
                <a:gsLst>
                  <a:gs pos="0">
                    <a:schemeClr val="accent5">
                      <a:lumMod val="60000"/>
                      <a:shade val="51000"/>
                      <a:satMod val="130000"/>
                    </a:schemeClr>
                  </a:gs>
                  <a:gs pos="80000">
                    <a:schemeClr val="accent5">
                      <a:lumMod val="60000"/>
                      <a:shade val="93000"/>
                      <a:satMod val="130000"/>
                    </a:schemeClr>
                  </a:gs>
                  <a:gs pos="100000">
                    <a:schemeClr val="accent5">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11"/>
            <c:bubble3D val="0"/>
            <c:spPr>
              <a:gradFill rotWithShape="1">
                <a:gsLst>
                  <a:gs pos="0">
                    <a:schemeClr val="accent6">
                      <a:lumMod val="60000"/>
                      <a:shade val="51000"/>
                      <a:satMod val="130000"/>
                    </a:schemeClr>
                  </a:gs>
                  <a:gs pos="80000">
                    <a:schemeClr val="accent6">
                      <a:lumMod val="60000"/>
                      <a:shade val="93000"/>
                      <a:satMod val="130000"/>
                    </a:schemeClr>
                  </a:gs>
                  <a:gs pos="100000">
                    <a:schemeClr val="accent6">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12"/>
            <c:bubble3D val="0"/>
            <c:spPr>
              <a:gradFill rotWithShape="1">
                <a:gsLst>
                  <a:gs pos="0">
                    <a:schemeClr val="accent1">
                      <a:lumMod val="80000"/>
                      <a:lumOff val="20000"/>
                      <a:shade val="51000"/>
                      <a:satMod val="130000"/>
                    </a:schemeClr>
                  </a:gs>
                  <a:gs pos="80000">
                    <a:schemeClr val="accent1">
                      <a:lumMod val="80000"/>
                      <a:lumOff val="20000"/>
                      <a:shade val="93000"/>
                      <a:satMod val="130000"/>
                    </a:schemeClr>
                  </a:gs>
                  <a:gs pos="100000">
                    <a:schemeClr val="accent1">
                      <a:lumMod val="80000"/>
                      <a:lumOff val="2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13"/>
            <c:bubble3D val="0"/>
            <c:spPr>
              <a:gradFill rotWithShape="1">
                <a:gsLst>
                  <a:gs pos="0">
                    <a:schemeClr val="accent2">
                      <a:lumMod val="80000"/>
                      <a:lumOff val="20000"/>
                      <a:shade val="51000"/>
                      <a:satMod val="130000"/>
                    </a:schemeClr>
                  </a:gs>
                  <a:gs pos="80000">
                    <a:schemeClr val="accent2">
                      <a:lumMod val="80000"/>
                      <a:lumOff val="20000"/>
                      <a:shade val="93000"/>
                      <a:satMod val="130000"/>
                    </a:schemeClr>
                  </a:gs>
                  <a:gs pos="100000">
                    <a:schemeClr val="accent2">
                      <a:lumMod val="80000"/>
                      <a:lumOff val="2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14"/>
            <c:bubble3D val="0"/>
            <c:spPr>
              <a:gradFill rotWithShape="1">
                <a:gsLst>
                  <a:gs pos="0">
                    <a:schemeClr val="accent3">
                      <a:lumMod val="80000"/>
                      <a:lumOff val="20000"/>
                      <a:shade val="51000"/>
                      <a:satMod val="130000"/>
                    </a:schemeClr>
                  </a:gs>
                  <a:gs pos="80000">
                    <a:schemeClr val="accent3">
                      <a:lumMod val="80000"/>
                      <a:lumOff val="20000"/>
                      <a:shade val="93000"/>
                      <a:satMod val="130000"/>
                    </a:schemeClr>
                  </a:gs>
                  <a:gs pos="100000">
                    <a:schemeClr val="accent3">
                      <a:lumMod val="80000"/>
                      <a:lumOff val="2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15"/>
            <c:bubble3D val="0"/>
            <c:spPr>
              <a:gradFill rotWithShape="1">
                <a:gsLst>
                  <a:gs pos="0">
                    <a:schemeClr val="accent4">
                      <a:lumMod val="80000"/>
                      <a:lumOff val="20000"/>
                      <a:shade val="51000"/>
                      <a:satMod val="130000"/>
                    </a:schemeClr>
                  </a:gs>
                  <a:gs pos="80000">
                    <a:schemeClr val="accent4">
                      <a:lumMod val="80000"/>
                      <a:lumOff val="20000"/>
                      <a:shade val="93000"/>
                      <a:satMod val="130000"/>
                    </a:schemeClr>
                  </a:gs>
                  <a:gs pos="100000">
                    <a:schemeClr val="accent4">
                      <a:lumMod val="80000"/>
                      <a:lumOff val="2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16"/>
            <c:bubble3D val="0"/>
            <c:spPr>
              <a:gradFill rotWithShape="1">
                <a:gsLst>
                  <a:gs pos="0">
                    <a:schemeClr val="accent5">
                      <a:lumMod val="80000"/>
                      <a:lumOff val="20000"/>
                      <a:shade val="51000"/>
                      <a:satMod val="130000"/>
                    </a:schemeClr>
                  </a:gs>
                  <a:gs pos="80000">
                    <a:schemeClr val="accent5">
                      <a:lumMod val="80000"/>
                      <a:lumOff val="20000"/>
                      <a:shade val="93000"/>
                      <a:satMod val="130000"/>
                    </a:schemeClr>
                  </a:gs>
                  <a:gs pos="100000">
                    <a:schemeClr val="accent5">
                      <a:lumMod val="80000"/>
                      <a:lumOff val="2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'财政拨款支出决算结构（按功能分类）'!$B$1:$R$2</c:f>
              <c:strCache>
                <c:ptCount val="8"/>
                <c:pt idx="3">
                  <c:v>文化旅游体育与传媒支出</c:v>
                </c:pt>
                <c:pt idx="4">
                  <c:v>社会保障和就业支出</c:v>
                </c:pt>
                <c:pt idx="5">
                  <c:v>住房保障和就业支出</c:v>
                </c:pt>
                <c:pt idx="6">
                  <c:v>医疗卫生与计划生育支出</c:v>
                </c:pt>
                <c:pt idx="7">
                  <c:v>节能环保支出</c:v>
                </c:pt>
              </c:strCache>
            </c:strRef>
          </c:cat>
          <c:val>
            <c:numRef>
              <c:f>'财政拨款支出决算结构（按功能分类）'!$B$4:$R$4</c:f>
              <c:numCache>
                <c:formatCode>General</c:formatCode>
                <c:ptCount val="17"/>
                <c:pt idx="3" c:formatCode="0.00_);[Red]\(0.00\)">
                  <c:v>0.849700320373616</c:v>
                </c:pt>
                <c:pt idx="4" c:formatCode="0.00_);[Red]\(0.00\)">
                  <c:v>0.0895206658865969</c:v>
                </c:pt>
                <c:pt idx="5" c:formatCode="0.00_);[Red]\(0.00\)">
                  <c:v>0.0337746347894067</c:v>
                </c:pt>
                <c:pt idx="6" c:formatCode="0.00_);[Red]\(0.00\)">
                  <c:v>0.01762821331671</c:v>
                </c:pt>
                <c:pt idx="7" c:formatCode="0.00_);[Red]\(0.00\)">
                  <c:v>0.0093761656336704</c:v>
                </c:pt>
              </c:numCache>
            </c:numRef>
          </c:val>
        </c:ser>
        <c:dLbls>
          <c:showLegendKey val="0"/>
          <c:showVal val="1"/>
          <c:showCatName val="0"/>
          <c:showSerName val="0"/>
          <c:showPercent val="0"/>
          <c:showBubbleSize val="0"/>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200" b="0" i="0" u="none" strike="noStrike" kern="1200" spc="0" baseline="0">
                <a:solidFill>
                  <a:schemeClr val="tx1">
                    <a:lumMod val="65000"/>
                    <a:lumOff val="35000"/>
                  </a:schemeClr>
                </a:solidFill>
                <a:latin typeface="+mn-ea"/>
                <a:ea typeface="+mn-ea"/>
                <a:cs typeface="+mn-cs"/>
              </a:defRPr>
            </a:pPr>
            <a:r>
              <a:rPr lang="zh-CN" altLang="en-US" sz="1200">
                <a:latin typeface="+mn-ea"/>
                <a:ea typeface="+mn-ea"/>
              </a:rPr>
              <a:t>图</a:t>
            </a:r>
            <a:r>
              <a:rPr lang="en-US" altLang="zh-CN" sz="1200">
                <a:latin typeface="+mn-ea"/>
                <a:ea typeface="+mn-ea"/>
              </a:rPr>
              <a:t>2</a:t>
            </a:r>
            <a:r>
              <a:rPr lang="zh-CN" altLang="en-US" sz="1200">
                <a:latin typeface="+mn-ea"/>
                <a:ea typeface="+mn-ea"/>
              </a:rPr>
              <a:t>：财政拨款收支预决算对比情况</a:t>
            </a:r>
            <a:endParaRPr lang="zh-CN" altLang="en-US" sz="1200">
              <a:latin typeface="+mn-ea"/>
              <a:ea typeface="+mn-ea"/>
            </a:endParaRPr>
          </a:p>
        </c:rich>
      </c:tx>
      <c:layout>
        <c:manualLayout>
          <c:xMode val="edge"/>
          <c:yMode val="edge"/>
          <c:x val="0.200917954958631"/>
          <c:y val="0.886370527769371"/>
        </c:manualLayout>
      </c:layout>
      <c:overlay val="0"/>
      <c:spPr>
        <a:noFill/>
        <a:ln>
          <a:noFill/>
        </a:ln>
        <a:effectLst/>
      </c:spPr>
    </c:title>
    <c:autoTitleDeleted val="0"/>
    <c:plotArea>
      <c:layout>
        <c:manualLayout>
          <c:layoutTarget val="inner"/>
          <c:xMode val="edge"/>
          <c:yMode val="edge"/>
          <c:x val="0.0928796680497925"/>
          <c:y val="0.115237220790813"/>
          <c:w val="0.874120959719435"/>
          <c:h val="0.658272090988626"/>
        </c:manualLayout>
      </c:layout>
      <c:barChart>
        <c:barDir val="col"/>
        <c:grouping val="clustered"/>
        <c:varyColors val="0"/>
        <c:ser>
          <c:idx val="0"/>
          <c:order val="0"/>
          <c:spPr>
            <a:solidFill>
              <a:schemeClr val="accent1"/>
            </a:solidFill>
            <a:ln>
              <a:noFill/>
            </a:ln>
            <a:effectLst/>
          </c:spPr>
          <c:invertIfNegative val="0"/>
          <c:dLbls>
            <c:delete val="1"/>
          </c:dLbls>
          <c:cat>
            <c:strRef>
              <c:f>[2021年决算公开情况说明中的图表.xlsx]财政拨款收支预决算对比情况!$B$2:$F$2</c:f>
              <c:strCache>
                <c:ptCount val="5"/>
                <c:pt idx="0">
                  <c:v>收入预算数</c:v>
                </c:pt>
                <c:pt idx="1">
                  <c:v>收入决算数</c:v>
                </c:pt>
                <c:pt idx="3">
                  <c:v>支出预算数</c:v>
                </c:pt>
                <c:pt idx="4">
                  <c:v>支出决算数</c:v>
                </c:pt>
              </c:strCache>
            </c:strRef>
          </c:cat>
          <c:val>
            <c:numRef>
              <c:f>[2021年决算公开情况说明中的图表.xlsx]财政拨款收支预决算对比情况!$B$3:$F$3</c:f>
              <c:numCache>
                <c:formatCode>General</c:formatCode>
                <c:ptCount val="5"/>
                <c:pt idx="0">
                  <c:v>2022.63</c:v>
                </c:pt>
                <c:pt idx="1">
                  <c:v>1749.23</c:v>
                </c:pt>
                <c:pt idx="3">
                  <c:v>2022.63</c:v>
                </c:pt>
                <c:pt idx="4">
                  <c:v>1960.49</c:v>
                </c:pt>
              </c:numCache>
            </c:numRef>
          </c:val>
        </c:ser>
        <c:dLbls>
          <c:showLegendKey val="0"/>
          <c:showVal val="0"/>
          <c:showCatName val="0"/>
          <c:showSerName val="0"/>
          <c:showPercent val="0"/>
          <c:showBubbleSize val="0"/>
        </c:dLbls>
        <c:gapWidth val="219"/>
        <c:overlap val="-27"/>
        <c:axId val="408379584"/>
        <c:axId val="408379968"/>
      </c:barChart>
      <c:catAx>
        <c:axId val="4083795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08379968"/>
        <c:crosses val="autoZero"/>
        <c:auto val="1"/>
        <c:lblAlgn val="ctr"/>
        <c:lblOffset val="100"/>
        <c:noMultiLvlLbl val="0"/>
      </c:catAx>
      <c:valAx>
        <c:axId val="4083799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083795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zh-CN" sz="1200" b="1" i="0" u="none" strike="noStrike" kern="1200" baseline="0">
                <a:solidFill>
                  <a:schemeClr val="tx1">
                    <a:lumMod val="65000"/>
                    <a:lumOff val="35000"/>
                  </a:schemeClr>
                </a:solidFill>
                <a:latin typeface="+mn-ea"/>
                <a:ea typeface="+mn-ea"/>
                <a:cs typeface="+mn-cs"/>
              </a:defRPr>
            </a:pPr>
            <a:r>
              <a:rPr lang="zh-CN" sz="1200" b="0">
                <a:latin typeface="+mn-ea"/>
                <a:ea typeface="+mn-ea"/>
              </a:rPr>
              <a:t>图</a:t>
            </a:r>
            <a:r>
              <a:rPr lang="en-US" sz="1200" b="0">
                <a:latin typeface="+mn-ea"/>
                <a:ea typeface="+mn-ea"/>
              </a:rPr>
              <a:t>3</a:t>
            </a:r>
            <a:r>
              <a:rPr lang="zh-CN" sz="1200" b="0">
                <a:latin typeface="+mn-ea"/>
                <a:ea typeface="+mn-ea"/>
              </a:rPr>
              <a:t>：财政拨款支出决算结构（按功能分类）</a:t>
            </a:r>
            <a:endParaRPr lang="zh-CN" sz="1200" b="0">
              <a:latin typeface="+mn-ea"/>
              <a:ea typeface="+mn-ea"/>
            </a:endParaRPr>
          </a:p>
        </c:rich>
      </c:tx>
      <c:layout>
        <c:manualLayout>
          <c:xMode val="edge"/>
          <c:yMode val="edge"/>
          <c:x val="0.135372960234329"/>
          <c:y val="0.840527090108817"/>
        </c:manualLayout>
      </c:layout>
      <c:overlay val="0"/>
      <c:spPr>
        <a:noFill/>
        <a:ln>
          <a:noFill/>
        </a:ln>
        <a:effectLst/>
      </c:spPr>
    </c:title>
    <c:autoTitleDeleted val="0"/>
    <c:view3D>
      <c:rotX val="30"/>
      <c:rotY val="0"/>
      <c:depthPercent val="100"/>
      <c:rAngAx val="0"/>
    </c:view3D>
    <c:floor>
      <c:thickness val="0"/>
      <c:spPr>
        <a:noFill/>
        <a:ln>
          <a:noFill/>
        </a:ln>
        <a:effectLst/>
      </c:spPr>
    </c:floor>
    <c:sideWall>
      <c:thickness val="0"/>
      <c:spPr>
        <a:noFill/>
        <a:ln>
          <a:noFill/>
        </a:ln>
        <a:effectLst/>
      </c:spPr>
    </c:sideWall>
    <c:backWall>
      <c:thickness val="0"/>
      <c:spPr>
        <a:noFill/>
        <a:ln>
          <a:noFill/>
        </a:ln>
        <a:effectLst/>
      </c:spPr>
    </c:backWall>
    <c:plotArea>
      <c:layout>
        <c:manualLayout>
          <c:layoutTarget val="inner"/>
          <c:xMode val="edge"/>
          <c:yMode val="edge"/>
          <c:x val="0.045204988410592"/>
          <c:y val="0.010938432695913"/>
          <c:w val="0.952590752225514"/>
          <c:h val="0.795813712941055"/>
        </c:manualLayout>
      </c:layout>
      <c:pie3DChart>
        <c:varyColors val="1"/>
        <c:ser>
          <c:idx val="0"/>
          <c:order val="0"/>
          <c:tx>
            <c:strRef>
              <c:f>'财政拨款支出决算结构（按功能分类）'!$A$3</c:f>
              <c:strCache>
                <c:ptCount val="1"/>
                <c:pt idx="0">
                  <c:v>金额</c:v>
                </c:pt>
              </c:strCache>
            </c:strRef>
          </c:tx>
          <c:explosion val="0"/>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2"/>
            <c:bubble3D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3"/>
            <c:bubble3D val="0"/>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4"/>
            <c:bubble3D val="0"/>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5"/>
            <c:bubble3D val="0"/>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6"/>
            <c:bubble3D val="0"/>
            <c:spPr>
              <a:gradFill rotWithShape="1">
                <a:gsLst>
                  <a:gs pos="0">
                    <a:schemeClr val="accent1">
                      <a:lumMod val="60000"/>
                      <a:shade val="51000"/>
                      <a:satMod val="130000"/>
                    </a:schemeClr>
                  </a:gs>
                  <a:gs pos="80000">
                    <a:schemeClr val="accent1">
                      <a:lumMod val="60000"/>
                      <a:shade val="93000"/>
                      <a:satMod val="130000"/>
                    </a:schemeClr>
                  </a:gs>
                  <a:gs pos="100000">
                    <a:schemeClr val="accent1">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7"/>
            <c:bubble3D val="0"/>
            <c:spPr>
              <a:gradFill rotWithShape="1">
                <a:gsLst>
                  <a:gs pos="0">
                    <a:schemeClr val="accent2">
                      <a:lumMod val="60000"/>
                      <a:shade val="51000"/>
                      <a:satMod val="130000"/>
                    </a:schemeClr>
                  </a:gs>
                  <a:gs pos="80000">
                    <a:schemeClr val="accent2">
                      <a:lumMod val="60000"/>
                      <a:shade val="93000"/>
                      <a:satMod val="130000"/>
                    </a:schemeClr>
                  </a:gs>
                  <a:gs pos="100000">
                    <a:schemeClr val="accent2">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8"/>
            <c:bubble3D val="0"/>
            <c:spPr>
              <a:gradFill rotWithShape="1">
                <a:gsLst>
                  <a:gs pos="0">
                    <a:schemeClr val="accent3">
                      <a:lumMod val="60000"/>
                      <a:shade val="51000"/>
                      <a:satMod val="130000"/>
                    </a:schemeClr>
                  </a:gs>
                  <a:gs pos="80000">
                    <a:schemeClr val="accent3">
                      <a:lumMod val="60000"/>
                      <a:shade val="93000"/>
                      <a:satMod val="130000"/>
                    </a:schemeClr>
                  </a:gs>
                  <a:gs pos="100000">
                    <a:schemeClr val="accent3">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9"/>
            <c:bubble3D val="0"/>
            <c:spPr>
              <a:gradFill rotWithShape="1">
                <a:gsLst>
                  <a:gs pos="0">
                    <a:schemeClr val="accent4">
                      <a:lumMod val="60000"/>
                      <a:shade val="51000"/>
                      <a:satMod val="130000"/>
                    </a:schemeClr>
                  </a:gs>
                  <a:gs pos="80000">
                    <a:schemeClr val="accent4">
                      <a:lumMod val="60000"/>
                      <a:shade val="93000"/>
                      <a:satMod val="130000"/>
                    </a:schemeClr>
                  </a:gs>
                  <a:gs pos="100000">
                    <a:schemeClr val="accent4">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10"/>
            <c:bubble3D val="0"/>
            <c:spPr>
              <a:gradFill rotWithShape="1">
                <a:gsLst>
                  <a:gs pos="0">
                    <a:schemeClr val="accent5">
                      <a:lumMod val="60000"/>
                      <a:shade val="51000"/>
                      <a:satMod val="130000"/>
                    </a:schemeClr>
                  </a:gs>
                  <a:gs pos="80000">
                    <a:schemeClr val="accent5">
                      <a:lumMod val="60000"/>
                      <a:shade val="93000"/>
                      <a:satMod val="130000"/>
                    </a:schemeClr>
                  </a:gs>
                  <a:gs pos="100000">
                    <a:schemeClr val="accent5">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11"/>
            <c:bubble3D val="0"/>
            <c:spPr>
              <a:gradFill rotWithShape="1">
                <a:gsLst>
                  <a:gs pos="0">
                    <a:schemeClr val="accent6">
                      <a:lumMod val="60000"/>
                      <a:shade val="51000"/>
                      <a:satMod val="130000"/>
                    </a:schemeClr>
                  </a:gs>
                  <a:gs pos="80000">
                    <a:schemeClr val="accent6">
                      <a:lumMod val="60000"/>
                      <a:shade val="93000"/>
                      <a:satMod val="130000"/>
                    </a:schemeClr>
                  </a:gs>
                  <a:gs pos="100000">
                    <a:schemeClr val="accent6">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12"/>
            <c:bubble3D val="0"/>
            <c:spPr>
              <a:gradFill rotWithShape="1">
                <a:gsLst>
                  <a:gs pos="0">
                    <a:schemeClr val="accent1">
                      <a:lumMod val="80000"/>
                      <a:lumOff val="20000"/>
                      <a:shade val="51000"/>
                      <a:satMod val="130000"/>
                    </a:schemeClr>
                  </a:gs>
                  <a:gs pos="80000">
                    <a:schemeClr val="accent1">
                      <a:lumMod val="80000"/>
                      <a:lumOff val="20000"/>
                      <a:shade val="93000"/>
                      <a:satMod val="130000"/>
                    </a:schemeClr>
                  </a:gs>
                  <a:gs pos="100000">
                    <a:schemeClr val="accent1">
                      <a:lumMod val="80000"/>
                      <a:lumOff val="2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13"/>
            <c:bubble3D val="0"/>
            <c:spPr>
              <a:gradFill rotWithShape="1">
                <a:gsLst>
                  <a:gs pos="0">
                    <a:schemeClr val="accent2">
                      <a:lumMod val="80000"/>
                      <a:lumOff val="20000"/>
                      <a:shade val="51000"/>
                      <a:satMod val="130000"/>
                    </a:schemeClr>
                  </a:gs>
                  <a:gs pos="80000">
                    <a:schemeClr val="accent2">
                      <a:lumMod val="80000"/>
                      <a:lumOff val="20000"/>
                      <a:shade val="93000"/>
                      <a:satMod val="130000"/>
                    </a:schemeClr>
                  </a:gs>
                  <a:gs pos="100000">
                    <a:schemeClr val="accent2">
                      <a:lumMod val="80000"/>
                      <a:lumOff val="2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14"/>
            <c:bubble3D val="0"/>
            <c:spPr>
              <a:gradFill rotWithShape="1">
                <a:gsLst>
                  <a:gs pos="0">
                    <a:schemeClr val="accent3">
                      <a:lumMod val="80000"/>
                      <a:lumOff val="20000"/>
                      <a:shade val="51000"/>
                      <a:satMod val="130000"/>
                    </a:schemeClr>
                  </a:gs>
                  <a:gs pos="80000">
                    <a:schemeClr val="accent3">
                      <a:lumMod val="80000"/>
                      <a:lumOff val="20000"/>
                      <a:shade val="93000"/>
                      <a:satMod val="130000"/>
                    </a:schemeClr>
                  </a:gs>
                  <a:gs pos="100000">
                    <a:schemeClr val="accent3">
                      <a:lumMod val="80000"/>
                      <a:lumOff val="2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15"/>
            <c:bubble3D val="0"/>
            <c:spPr>
              <a:gradFill rotWithShape="1">
                <a:gsLst>
                  <a:gs pos="0">
                    <a:schemeClr val="accent4">
                      <a:lumMod val="80000"/>
                      <a:lumOff val="20000"/>
                      <a:shade val="51000"/>
                      <a:satMod val="130000"/>
                    </a:schemeClr>
                  </a:gs>
                  <a:gs pos="80000">
                    <a:schemeClr val="accent4">
                      <a:lumMod val="80000"/>
                      <a:lumOff val="20000"/>
                      <a:shade val="93000"/>
                      <a:satMod val="130000"/>
                    </a:schemeClr>
                  </a:gs>
                  <a:gs pos="100000">
                    <a:schemeClr val="accent4">
                      <a:lumMod val="80000"/>
                      <a:lumOff val="2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16"/>
            <c:bubble3D val="0"/>
            <c:spPr>
              <a:gradFill rotWithShape="1">
                <a:gsLst>
                  <a:gs pos="0">
                    <a:schemeClr val="accent5">
                      <a:lumMod val="80000"/>
                      <a:lumOff val="20000"/>
                      <a:shade val="51000"/>
                      <a:satMod val="130000"/>
                    </a:schemeClr>
                  </a:gs>
                  <a:gs pos="80000">
                    <a:schemeClr val="accent5">
                      <a:lumMod val="80000"/>
                      <a:lumOff val="20000"/>
                      <a:shade val="93000"/>
                      <a:satMod val="130000"/>
                    </a:schemeClr>
                  </a:gs>
                  <a:gs pos="100000">
                    <a:schemeClr val="accent5">
                      <a:lumMod val="80000"/>
                      <a:lumOff val="2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Lbls>
            <c:dLbl>
              <c:idx val="4"/>
              <c:layout>
                <c:manualLayout>
                  <c:x val="0.00358460267827948"/>
                  <c:y val="0.147589351331084"/>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5"/>
              <c:layout>
                <c:manualLayout>
                  <c:x val="-0.0237775414954091"/>
                  <c:y val="0.0114600674915636"/>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6"/>
              <c:layout>
                <c:manualLayout>
                  <c:x val="0.101857453914846"/>
                  <c:y val="0.00219002624671916"/>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7"/>
              <c:layout>
                <c:manualLayout>
                  <c:x val="0.0975171782395241"/>
                  <c:y val="0.181237645294338"/>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numFmt formatCode="0.00%" sourceLinked="0"/>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'财政拨款支出决算结构（按功能分类）'!$B$1:$R$2</c:f>
              <c:strCache>
                <c:ptCount val="8"/>
                <c:pt idx="3">
                  <c:v>文化旅游体育与传媒支出</c:v>
                </c:pt>
                <c:pt idx="4">
                  <c:v>社会保障和就业支出</c:v>
                </c:pt>
                <c:pt idx="5">
                  <c:v>住房保障和就业支出</c:v>
                </c:pt>
                <c:pt idx="6">
                  <c:v>医疗卫生与计划生育支出</c:v>
                </c:pt>
                <c:pt idx="7">
                  <c:v>节能环保支出</c:v>
                </c:pt>
              </c:strCache>
            </c:strRef>
          </c:cat>
          <c:val>
            <c:numRef>
              <c:f>'财政拨款支出决算结构（按功能分类）'!$B$3:$R$3</c:f>
              <c:numCache>
                <c:formatCode>General</c:formatCode>
                <c:ptCount val="17"/>
                <c:pt idx="3" c:formatCode="0.00_);[Red]\(0.00\)">
                  <c:v>1662.94</c:v>
                </c:pt>
                <c:pt idx="4" c:formatCode="0.00_);[Red]\(0.00\)">
                  <c:v>175.2</c:v>
                </c:pt>
                <c:pt idx="5" c:formatCode="0.00_);[Red]\(0.00\)">
                  <c:v>66.1</c:v>
                </c:pt>
                <c:pt idx="6" c:formatCode="0.00_);[Red]\(0.00\)">
                  <c:v>34.5</c:v>
                </c:pt>
                <c:pt idx="7" c:formatCode="0.00_);[Red]\(0.00\)">
                  <c:v>18.35</c:v>
                </c:pt>
              </c:numCache>
            </c:numRef>
          </c:val>
        </c:ser>
        <c:ser>
          <c:idx val="1"/>
          <c:order val="1"/>
          <c:tx>
            <c:strRef>
              <c:f>'财政拨款支出决算结构（按功能分类）'!$A$4</c:f>
              <c:strCache>
                <c:ptCount val="1"/>
                <c:pt idx="0">
                  <c:v>所占比例</c:v>
                </c:pt>
              </c:strCache>
            </c:strRef>
          </c:tx>
          <c:explosion val="0"/>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2"/>
            <c:bubble3D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3"/>
            <c:bubble3D val="0"/>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4"/>
            <c:bubble3D val="0"/>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5"/>
            <c:bubble3D val="0"/>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6"/>
            <c:bubble3D val="0"/>
            <c:spPr>
              <a:gradFill rotWithShape="1">
                <a:gsLst>
                  <a:gs pos="0">
                    <a:schemeClr val="accent1">
                      <a:lumMod val="60000"/>
                      <a:shade val="51000"/>
                      <a:satMod val="130000"/>
                    </a:schemeClr>
                  </a:gs>
                  <a:gs pos="80000">
                    <a:schemeClr val="accent1">
                      <a:lumMod val="60000"/>
                      <a:shade val="93000"/>
                      <a:satMod val="130000"/>
                    </a:schemeClr>
                  </a:gs>
                  <a:gs pos="100000">
                    <a:schemeClr val="accent1">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7"/>
            <c:bubble3D val="0"/>
            <c:spPr>
              <a:gradFill rotWithShape="1">
                <a:gsLst>
                  <a:gs pos="0">
                    <a:schemeClr val="accent2">
                      <a:lumMod val="60000"/>
                      <a:shade val="51000"/>
                      <a:satMod val="130000"/>
                    </a:schemeClr>
                  </a:gs>
                  <a:gs pos="80000">
                    <a:schemeClr val="accent2">
                      <a:lumMod val="60000"/>
                      <a:shade val="93000"/>
                      <a:satMod val="130000"/>
                    </a:schemeClr>
                  </a:gs>
                  <a:gs pos="100000">
                    <a:schemeClr val="accent2">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8"/>
            <c:bubble3D val="0"/>
            <c:spPr>
              <a:gradFill rotWithShape="1">
                <a:gsLst>
                  <a:gs pos="0">
                    <a:schemeClr val="accent3">
                      <a:lumMod val="60000"/>
                      <a:shade val="51000"/>
                      <a:satMod val="130000"/>
                    </a:schemeClr>
                  </a:gs>
                  <a:gs pos="80000">
                    <a:schemeClr val="accent3">
                      <a:lumMod val="60000"/>
                      <a:shade val="93000"/>
                      <a:satMod val="130000"/>
                    </a:schemeClr>
                  </a:gs>
                  <a:gs pos="100000">
                    <a:schemeClr val="accent3">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9"/>
            <c:bubble3D val="0"/>
            <c:spPr>
              <a:gradFill rotWithShape="1">
                <a:gsLst>
                  <a:gs pos="0">
                    <a:schemeClr val="accent4">
                      <a:lumMod val="60000"/>
                      <a:shade val="51000"/>
                      <a:satMod val="130000"/>
                    </a:schemeClr>
                  </a:gs>
                  <a:gs pos="80000">
                    <a:schemeClr val="accent4">
                      <a:lumMod val="60000"/>
                      <a:shade val="93000"/>
                      <a:satMod val="130000"/>
                    </a:schemeClr>
                  </a:gs>
                  <a:gs pos="100000">
                    <a:schemeClr val="accent4">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10"/>
            <c:bubble3D val="0"/>
            <c:spPr>
              <a:gradFill rotWithShape="1">
                <a:gsLst>
                  <a:gs pos="0">
                    <a:schemeClr val="accent5">
                      <a:lumMod val="60000"/>
                      <a:shade val="51000"/>
                      <a:satMod val="130000"/>
                    </a:schemeClr>
                  </a:gs>
                  <a:gs pos="80000">
                    <a:schemeClr val="accent5">
                      <a:lumMod val="60000"/>
                      <a:shade val="93000"/>
                      <a:satMod val="130000"/>
                    </a:schemeClr>
                  </a:gs>
                  <a:gs pos="100000">
                    <a:schemeClr val="accent5">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11"/>
            <c:bubble3D val="0"/>
            <c:spPr>
              <a:gradFill rotWithShape="1">
                <a:gsLst>
                  <a:gs pos="0">
                    <a:schemeClr val="accent6">
                      <a:lumMod val="60000"/>
                      <a:shade val="51000"/>
                      <a:satMod val="130000"/>
                    </a:schemeClr>
                  </a:gs>
                  <a:gs pos="80000">
                    <a:schemeClr val="accent6">
                      <a:lumMod val="60000"/>
                      <a:shade val="93000"/>
                      <a:satMod val="130000"/>
                    </a:schemeClr>
                  </a:gs>
                  <a:gs pos="100000">
                    <a:schemeClr val="accent6">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12"/>
            <c:bubble3D val="0"/>
            <c:spPr>
              <a:gradFill rotWithShape="1">
                <a:gsLst>
                  <a:gs pos="0">
                    <a:schemeClr val="accent1">
                      <a:lumMod val="80000"/>
                      <a:lumOff val="20000"/>
                      <a:shade val="51000"/>
                      <a:satMod val="130000"/>
                    </a:schemeClr>
                  </a:gs>
                  <a:gs pos="80000">
                    <a:schemeClr val="accent1">
                      <a:lumMod val="80000"/>
                      <a:lumOff val="20000"/>
                      <a:shade val="93000"/>
                      <a:satMod val="130000"/>
                    </a:schemeClr>
                  </a:gs>
                  <a:gs pos="100000">
                    <a:schemeClr val="accent1">
                      <a:lumMod val="80000"/>
                      <a:lumOff val="2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13"/>
            <c:bubble3D val="0"/>
            <c:spPr>
              <a:gradFill rotWithShape="1">
                <a:gsLst>
                  <a:gs pos="0">
                    <a:schemeClr val="accent2">
                      <a:lumMod val="80000"/>
                      <a:lumOff val="20000"/>
                      <a:shade val="51000"/>
                      <a:satMod val="130000"/>
                    </a:schemeClr>
                  </a:gs>
                  <a:gs pos="80000">
                    <a:schemeClr val="accent2">
                      <a:lumMod val="80000"/>
                      <a:lumOff val="20000"/>
                      <a:shade val="93000"/>
                      <a:satMod val="130000"/>
                    </a:schemeClr>
                  </a:gs>
                  <a:gs pos="100000">
                    <a:schemeClr val="accent2">
                      <a:lumMod val="80000"/>
                      <a:lumOff val="2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14"/>
            <c:bubble3D val="0"/>
            <c:spPr>
              <a:gradFill rotWithShape="1">
                <a:gsLst>
                  <a:gs pos="0">
                    <a:schemeClr val="accent3">
                      <a:lumMod val="80000"/>
                      <a:lumOff val="20000"/>
                      <a:shade val="51000"/>
                      <a:satMod val="130000"/>
                    </a:schemeClr>
                  </a:gs>
                  <a:gs pos="80000">
                    <a:schemeClr val="accent3">
                      <a:lumMod val="80000"/>
                      <a:lumOff val="20000"/>
                      <a:shade val="93000"/>
                      <a:satMod val="130000"/>
                    </a:schemeClr>
                  </a:gs>
                  <a:gs pos="100000">
                    <a:schemeClr val="accent3">
                      <a:lumMod val="80000"/>
                      <a:lumOff val="2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15"/>
            <c:bubble3D val="0"/>
            <c:spPr>
              <a:gradFill rotWithShape="1">
                <a:gsLst>
                  <a:gs pos="0">
                    <a:schemeClr val="accent4">
                      <a:lumMod val="80000"/>
                      <a:lumOff val="20000"/>
                      <a:shade val="51000"/>
                      <a:satMod val="130000"/>
                    </a:schemeClr>
                  </a:gs>
                  <a:gs pos="80000">
                    <a:schemeClr val="accent4">
                      <a:lumMod val="80000"/>
                      <a:lumOff val="20000"/>
                      <a:shade val="93000"/>
                      <a:satMod val="130000"/>
                    </a:schemeClr>
                  </a:gs>
                  <a:gs pos="100000">
                    <a:schemeClr val="accent4">
                      <a:lumMod val="80000"/>
                      <a:lumOff val="2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16"/>
            <c:bubble3D val="0"/>
            <c:spPr>
              <a:gradFill rotWithShape="1">
                <a:gsLst>
                  <a:gs pos="0">
                    <a:schemeClr val="accent5">
                      <a:lumMod val="80000"/>
                      <a:lumOff val="20000"/>
                      <a:shade val="51000"/>
                      <a:satMod val="130000"/>
                    </a:schemeClr>
                  </a:gs>
                  <a:gs pos="80000">
                    <a:schemeClr val="accent5">
                      <a:lumMod val="80000"/>
                      <a:lumOff val="20000"/>
                      <a:shade val="93000"/>
                      <a:satMod val="130000"/>
                    </a:schemeClr>
                  </a:gs>
                  <a:gs pos="100000">
                    <a:schemeClr val="accent5">
                      <a:lumMod val="80000"/>
                      <a:lumOff val="2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'财政拨款支出决算结构（按功能分类）'!$B$1:$R$2</c:f>
              <c:strCache>
                <c:ptCount val="8"/>
                <c:pt idx="3">
                  <c:v>文化旅游体育与传媒支出</c:v>
                </c:pt>
                <c:pt idx="4">
                  <c:v>社会保障和就业支出</c:v>
                </c:pt>
                <c:pt idx="5">
                  <c:v>住房保障和就业支出</c:v>
                </c:pt>
                <c:pt idx="6">
                  <c:v>医疗卫生与计划生育支出</c:v>
                </c:pt>
                <c:pt idx="7">
                  <c:v>节能环保支出</c:v>
                </c:pt>
              </c:strCache>
            </c:strRef>
          </c:cat>
          <c:val>
            <c:numRef>
              <c:f>'财政拨款支出决算结构（按功能分类）'!$B$4:$R$4</c:f>
              <c:numCache>
                <c:formatCode>General</c:formatCode>
                <c:ptCount val="17"/>
                <c:pt idx="3" c:formatCode="0.00_);[Red]\(0.00\)">
                  <c:v>0.849700320373616</c:v>
                </c:pt>
                <c:pt idx="4" c:formatCode="0.00_);[Red]\(0.00\)">
                  <c:v>0.0895206658865969</c:v>
                </c:pt>
                <c:pt idx="5" c:formatCode="0.00_);[Red]\(0.00\)">
                  <c:v>0.0337746347894067</c:v>
                </c:pt>
                <c:pt idx="6" c:formatCode="0.00_);[Red]\(0.00\)">
                  <c:v>0.01762821331671</c:v>
                </c:pt>
                <c:pt idx="7" c:formatCode="0.00_);[Red]\(0.00\)">
                  <c:v>0.0093761656336704</c:v>
                </c:pt>
              </c:numCache>
            </c:numRef>
          </c:val>
        </c:ser>
        <c:dLbls>
          <c:showLegendKey val="0"/>
          <c:showVal val="1"/>
          <c:showCatName val="0"/>
          <c:showSerName val="0"/>
          <c:showPercent val="0"/>
          <c:showBubbleSize val="0"/>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200" b="0" i="0" u="none" strike="noStrike" kern="1200" spc="0" baseline="0">
                <a:solidFill>
                  <a:schemeClr val="tx1">
                    <a:lumMod val="65000"/>
                    <a:lumOff val="35000"/>
                  </a:schemeClr>
                </a:solidFill>
                <a:latin typeface="+mn-ea"/>
                <a:ea typeface="+mn-ea"/>
                <a:cs typeface="+mn-cs"/>
              </a:defRPr>
            </a:pPr>
            <a:r>
              <a:rPr lang="zh-CN" altLang="en-US" sz="1200">
                <a:latin typeface="+mn-ea"/>
                <a:ea typeface="+mn-ea"/>
              </a:rPr>
              <a:t>图</a:t>
            </a:r>
            <a:r>
              <a:rPr lang="en-US" altLang="zh-CN" sz="1200">
                <a:latin typeface="+mn-ea"/>
                <a:ea typeface="+mn-ea"/>
              </a:rPr>
              <a:t>4</a:t>
            </a:r>
            <a:r>
              <a:rPr lang="zh-CN" altLang="en-US" sz="1200">
                <a:latin typeface="+mn-ea"/>
                <a:ea typeface="+mn-ea"/>
              </a:rPr>
              <a:t>：财政拨款收支预决算对比情况</a:t>
            </a:r>
            <a:endParaRPr lang="zh-CN" altLang="en-US" sz="1200">
              <a:latin typeface="+mn-ea"/>
              <a:ea typeface="+mn-ea"/>
            </a:endParaRPr>
          </a:p>
        </c:rich>
      </c:tx>
      <c:layout>
        <c:manualLayout>
          <c:xMode val="edge"/>
          <c:yMode val="edge"/>
          <c:x val="0.200917954958631"/>
          <c:y val="0.886370527769371"/>
        </c:manualLayout>
      </c:layout>
      <c:overlay val="0"/>
      <c:spPr>
        <a:noFill/>
        <a:ln>
          <a:noFill/>
        </a:ln>
        <a:effectLst/>
      </c:spPr>
    </c:title>
    <c:autoTitleDeleted val="0"/>
    <c:plotArea>
      <c:layout>
        <c:manualLayout>
          <c:layoutTarget val="inner"/>
          <c:xMode val="edge"/>
          <c:yMode val="edge"/>
          <c:x val="0.0928796680497925"/>
          <c:y val="0.115237220790813"/>
          <c:w val="0.874120959719435"/>
          <c:h val="0.658272090988626"/>
        </c:manualLayout>
      </c:layout>
      <c:barChart>
        <c:barDir val="col"/>
        <c:grouping val="clustered"/>
        <c:varyColors val="0"/>
        <c:ser>
          <c:idx val="0"/>
          <c:order val="0"/>
          <c:spPr>
            <a:solidFill>
              <a:schemeClr val="accent1"/>
            </a:solidFill>
            <a:ln>
              <a:noFill/>
            </a:ln>
            <a:effectLst/>
          </c:spPr>
          <c:invertIfNegative val="0"/>
          <c:dLbls>
            <c:delete val="1"/>
          </c:dLbls>
          <c:cat>
            <c:strRef>
              <c:f>[2021年决算公开情况说明中的图表.xlsx]财政拨款收支预决算对比情况!$B$2:$F$2</c:f>
              <c:strCache>
                <c:ptCount val="5"/>
                <c:pt idx="0">
                  <c:v>收入预算数</c:v>
                </c:pt>
                <c:pt idx="1">
                  <c:v>收入决算数</c:v>
                </c:pt>
                <c:pt idx="3">
                  <c:v>支出预算数</c:v>
                </c:pt>
                <c:pt idx="4">
                  <c:v>支出决算数</c:v>
                </c:pt>
              </c:strCache>
            </c:strRef>
          </c:cat>
          <c:val>
            <c:numRef>
              <c:f>[2021年决算公开情况说明中的图表.xlsx]财政拨款收支预决算对比情况!$B$3:$F$3</c:f>
              <c:numCache>
                <c:formatCode>General</c:formatCode>
                <c:ptCount val="5"/>
                <c:pt idx="0">
                  <c:v>2022.63</c:v>
                </c:pt>
                <c:pt idx="1">
                  <c:v>1749.23</c:v>
                </c:pt>
                <c:pt idx="3">
                  <c:v>2022.63</c:v>
                </c:pt>
                <c:pt idx="4">
                  <c:v>1960.49</c:v>
                </c:pt>
              </c:numCache>
            </c:numRef>
          </c:val>
        </c:ser>
        <c:dLbls>
          <c:showLegendKey val="0"/>
          <c:showVal val="0"/>
          <c:showCatName val="0"/>
          <c:showSerName val="0"/>
          <c:showPercent val="0"/>
          <c:showBubbleSize val="0"/>
        </c:dLbls>
        <c:gapWidth val="219"/>
        <c:overlap val="-27"/>
        <c:axId val="408379584"/>
        <c:axId val="408379968"/>
      </c:barChart>
      <c:catAx>
        <c:axId val="4083795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08379968"/>
        <c:crosses val="autoZero"/>
        <c:auto val="1"/>
        <c:lblAlgn val="ctr"/>
        <c:lblOffset val="100"/>
        <c:noMultiLvlLbl val="0"/>
      </c:catAx>
      <c:valAx>
        <c:axId val="4083799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083795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0211DC3-D79B-419F-B5BB-CA8C0B781998}">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37</Pages>
  <Words>2507</Words>
  <Characters>14290</Characters>
  <Lines>119</Lines>
  <Paragraphs>33</Paragraphs>
  <TotalTime>1</TotalTime>
  <ScaleCrop>false</ScaleCrop>
  <LinksUpToDate>false</LinksUpToDate>
  <CharactersWithSpaces>16764</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2019-11-18T06:52:00Z</dcterms:created>
  <dc:creator>Administrator</dc:creator>
  <cp:lastModifiedBy>Administrator</cp:lastModifiedBy>
  <cp:lastPrinted>2022-11-18T07:00:00Z</cp:lastPrinted>
  <dcterms:modified xsi:type="dcterms:W3CDTF">2025-05-12T06:26:40Z</dcterms:modified>
  <cp:revision>154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C33409EFF0244D69A347A139022E298E</vt:lpwstr>
  </property>
</Properties>
</file>