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保定市徐水区文广旅局2019年部门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480" w:lineRule="auto"/>
        <w:rPr>
          <w:rFonts w:ascii="黑体" w:hAnsi="黑体" w:eastAsia="黑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一、保定市徐水区文化广电和旅游局基本情况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3</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t>8</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8</w:t>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line="560" w:lineRule="exact"/>
        <w:ind w:firstLine="640" w:firstLineChars="200"/>
        <w:rPr>
          <w:rFonts w:ascii="仿宋" w:hAnsi="仿宋" w:eastAsia="仿宋"/>
          <w:sz w:val="32"/>
          <w:szCs w:val="32"/>
        </w:rPr>
      </w:pPr>
      <w:r>
        <w:rPr>
          <w:rFonts w:hint="eastAsia" w:ascii="仿宋_GB2312" w:eastAsia="仿宋_GB2312" w:cs="DengXian-Regular"/>
          <w:sz w:val="32"/>
          <w:szCs w:val="32"/>
        </w:rPr>
        <w:t>保定市徐水区文化广电和旅游局为正科级行政单位，经费保障形式为财政拨款，下设三个股室，分别为综合股、业务股、市场管理和应急安全股、主要职责有：（一）</w:t>
      </w:r>
      <w:r>
        <w:rPr>
          <w:rFonts w:hint="eastAsia" w:ascii="仿宋" w:hAnsi="仿宋" w:eastAsia="仿宋"/>
          <w:sz w:val="32"/>
          <w:szCs w:val="32"/>
        </w:rPr>
        <w:t>贯彻执行党和国家文化、旅游、广播电视、文物和博物馆工作方针政策和法律法规。拟订全区文化、旅游、广播电视政策措施，起草全区文化和旅游、广播电视和文物保护方面的地方性规章、管理办法并组织实施。（二）拟订全区文化和旅游事业、文化和旅游产业、广播电视、文物和博物馆事业发展规划并组织实施，推进文化、旅游、广播电视融合发展，推进文化和旅游、广播电视领域体制机制改革。（三</w:t>
      </w:r>
      <w:r>
        <w:rPr>
          <w:rFonts w:ascii="仿宋" w:hAnsi="仿宋" w:eastAsia="仿宋"/>
          <w:sz w:val="32"/>
          <w:szCs w:val="32"/>
        </w:rPr>
        <w:t>）</w:t>
      </w:r>
      <w:r>
        <w:rPr>
          <w:rFonts w:hint="eastAsia" w:ascii="仿宋" w:hAnsi="仿宋" w:eastAsia="仿宋"/>
          <w:sz w:val="32"/>
          <w:szCs w:val="32"/>
        </w:rPr>
        <w:t>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r>
        <w:rPr>
          <w:rFonts w:ascii="仿宋" w:hAnsi="仿宋" w:eastAsia="仿宋"/>
          <w:sz w:val="32"/>
          <w:szCs w:val="32"/>
        </w:rPr>
        <w:t>四）</w:t>
      </w:r>
      <w:r>
        <w:rPr>
          <w:rFonts w:hint="eastAsia" w:ascii="仿宋" w:hAnsi="仿宋" w:eastAsia="仿宋"/>
          <w:sz w:val="32"/>
          <w:szCs w:val="32"/>
        </w:rPr>
        <w:t>指导、管理全区文艺事业。指导艺术创作生产，扶持体现中国梦和社会主义核心价值观，具有导向性、代表性、示范性的文艺作品，推动全区各门类艺术、各艺术品种发展。（</w:t>
      </w:r>
      <w:r>
        <w:rPr>
          <w:rFonts w:ascii="仿宋" w:hAnsi="仿宋" w:eastAsia="仿宋"/>
          <w:sz w:val="32"/>
          <w:szCs w:val="32"/>
        </w:rPr>
        <w:t>五）</w:t>
      </w:r>
      <w:r>
        <w:rPr>
          <w:rFonts w:hint="eastAsia" w:ascii="仿宋" w:hAnsi="仿宋" w:eastAsia="仿宋"/>
          <w:sz w:val="32"/>
          <w:szCs w:val="32"/>
        </w:rPr>
        <w:t>负责全区公共文化、旅游和广播电视事业发展。推进全区旅游、文物和博物馆公共文化服务体系建设，深入实施文化和旅游惠民工程，统筹推进全区基本公共文化、旅游和广播电视服务标准化、均等化。（</w:t>
      </w:r>
      <w:r>
        <w:rPr>
          <w:rFonts w:ascii="仿宋" w:hAnsi="仿宋" w:eastAsia="仿宋"/>
          <w:sz w:val="32"/>
          <w:szCs w:val="32"/>
        </w:rPr>
        <w:t>六）</w:t>
      </w:r>
      <w:r>
        <w:rPr>
          <w:rFonts w:hint="eastAsia" w:ascii="仿宋" w:hAnsi="仿宋" w:eastAsia="仿宋"/>
          <w:sz w:val="32"/>
          <w:szCs w:val="32"/>
        </w:rPr>
        <w:t>指导、推进全区文化、旅游和广播电视科技创新发展，推进文化和旅游行业信息化、标准化建设。（七</w:t>
      </w:r>
      <w:r>
        <w:rPr>
          <w:rFonts w:ascii="仿宋" w:hAnsi="仿宋" w:eastAsia="仿宋"/>
          <w:sz w:val="32"/>
          <w:szCs w:val="32"/>
        </w:rPr>
        <w:t>）</w:t>
      </w:r>
      <w:r>
        <w:rPr>
          <w:rFonts w:hint="eastAsia" w:ascii="仿宋" w:hAnsi="仿宋" w:eastAsia="仿宋" w:cs="仿宋_GB2312"/>
          <w:sz w:val="32"/>
          <w:szCs w:val="32"/>
        </w:rPr>
        <w:t>负责对全区各类广播电视机构进行业务指导和行业监管，会同有关部门对全区网络试听节目服务机构进行管理，推进广播电视与新媒体新技术新业态融合发展。（</w:t>
      </w:r>
      <w:r>
        <w:rPr>
          <w:rFonts w:ascii="仿宋" w:hAnsi="仿宋" w:eastAsia="仿宋" w:cs="仿宋_GB2312"/>
          <w:sz w:val="32"/>
          <w:szCs w:val="32"/>
        </w:rPr>
        <w:t>八）</w:t>
      </w:r>
      <w:r>
        <w:rPr>
          <w:rFonts w:hint="eastAsia" w:ascii="仿宋" w:hAnsi="仿宋" w:eastAsia="仿宋" w:cs="仿宋_GB2312"/>
          <w:sz w:val="32"/>
          <w:szCs w:val="32"/>
        </w:rPr>
        <w:t xml:space="preserve"> 组织协调文化遗产的管理和保护，指导和管理文物事业，组织指导文物的保护抢救、考古发掘和开发利用工作。</w:t>
      </w:r>
      <w:r>
        <w:rPr>
          <w:rFonts w:hint="eastAsia" w:ascii="仿宋" w:hAnsi="仿宋" w:eastAsia="仿宋"/>
          <w:sz w:val="32"/>
          <w:szCs w:val="32"/>
        </w:rPr>
        <w:t>负责全区非物质文化遗产保护，推动非物质文化遗产的保护、传承、普及、弘扬和振兴。（九</w:t>
      </w:r>
      <w:r>
        <w:rPr>
          <w:rFonts w:ascii="仿宋" w:hAnsi="仿宋" w:eastAsia="仿宋"/>
          <w:sz w:val="32"/>
          <w:szCs w:val="32"/>
        </w:rPr>
        <w:t>）</w:t>
      </w:r>
      <w:r>
        <w:rPr>
          <w:rFonts w:hint="eastAsia" w:ascii="仿宋" w:hAnsi="仿宋" w:eastAsia="仿宋"/>
          <w:sz w:val="32"/>
          <w:szCs w:val="32"/>
        </w:rPr>
        <w:t>统筹规划全区文化产业、旅游产业、广播电视、文物利用及相关产业。组织实施文化、旅游和文物资源普查、挖掘、保护和开发利用工作。（十</w:t>
      </w:r>
      <w:r>
        <w:rPr>
          <w:rFonts w:ascii="仿宋" w:hAnsi="仿宋" w:eastAsia="仿宋"/>
          <w:sz w:val="32"/>
          <w:szCs w:val="32"/>
        </w:rPr>
        <w:t>）</w:t>
      </w:r>
      <w:r>
        <w:rPr>
          <w:rFonts w:hint="eastAsia" w:ascii="仿宋" w:hAnsi="仿宋" w:eastAsia="仿宋" w:cs="仿宋_GB2312"/>
          <w:sz w:val="32"/>
          <w:szCs w:val="32"/>
        </w:rPr>
        <w:t>指导全区文化、旅游和广播电视市场发展。对文化、旅游和广播电视市场经营进行行业监管，推进全区文化、旅游、和广播电视行业信用体系建设，依法规范文化、旅游和广播电视市场。</w:t>
      </w:r>
      <w:r>
        <w:rPr>
          <w:rFonts w:hint="eastAsia" w:ascii="仿宋" w:hAnsi="仿宋" w:eastAsia="仿宋"/>
          <w:sz w:val="32"/>
          <w:szCs w:val="32"/>
        </w:rPr>
        <w:t>（</w:t>
      </w:r>
      <w:r>
        <w:rPr>
          <w:rFonts w:ascii="仿宋" w:hAnsi="仿宋" w:eastAsia="仿宋"/>
          <w:sz w:val="32"/>
          <w:szCs w:val="32"/>
        </w:rPr>
        <w:t>十一</w:t>
      </w:r>
      <w:r>
        <w:rPr>
          <w:rFonts w:hint="eastAsia" w:ascii="仿宋" w:hAnsi="仿宋" w:eastAsia="仿宋"/>
          <w:sz w:val="32"/>
          <w:szCs w:val="32"/>
        </w:rPr>
        <w:t>）</w:t>
      </w:r>
      <w:r>
        <w:rPr>
          <w:rFonts w:hint="eastAsia" w:ascii="仿宋" w:hAnsi="仿宋" w:eastAsia="仿宋" w:cs="仿宋_GB2312"/>
          <w:sz w:val="32"/>
          <w:szCs w:val="32"/>
        </w:rPr>
        <w:t>指导、监督全区文化、旅游、广播电视和文物等市场综合执法。督查督办大案要案，维护市场秩序。承担全区文化、旅游和广播电视行业安全综合协调和监督管理工作，负责全区文化、旅游和广播电视行业突发应急事件的处理工作。（十二</w:t>
      </w:r>
      <w:r>
        <w:rPr>
          <w:rFonts w:ascii="仿宋" w:hAnsi="仿宋" w:eastAsia="仿宋" w:cs="仿宋_GB2312"/>
          <w:sz w:val="32"/>
          <w:szCs w:val="32"/>
        </w:rPr>
        <w:t>）</w:t>
      </w:r>
      <w:r>
        <w:rPr>
          <w:rFonts w:hint="eastAsia" w:ascii="仿宋" w:hAnsi="仿宋" w:eastAsia="仿宋"/>
          <w:sz w:val="32"/>
          <w:szCs w:val="32"/>
        </w:rPr>
        <w:t>完成区委、区政府交办的其他任务。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文化广电和旅游局2</w:t>
      </w:r>
      <w:r>
        <w:rPr>
          <w:rFonts w:ascii="仿宋_GB2312" w:eastAsia="仿宋_GB2312" w:cs="DengXian-Regular"/>
          <w:sz w:val="32"/>
          <w:szCs w:val="32"/>
        </w:rPr>
        <w:t>019</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文化广电和旅游局2019年部门整体支出绩效评价指标体系共设置4个一级指标、7个二级指标、25个三级指标，从投入、过程、产出、效果四个方面对本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保定市徐水区文化广电和旅游局2019年部门整体支出综合评价得分为100分，评价等级为“良”。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保定市徐水区文化广电和旅游局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1.绩效指标方面：资金</w:t>
      </w:r>
      <w:r>
        <w:rPr>
          <w:rFonts w:ascii="仿宋_GB2312" w:eastAsia="仿宋_GB2312" w:cs="DengXian-Regular"/>
          <w:sz w:val="32"/>
          <w:szCs w:val="32"/>
        </w:rPr>
        <w:t>结余比较</w:t>
      </w:r>
      <w:r>
        <w:rPr>
          <w:rFonts w:hint="eastAsia" w:ascii="仿宋_GB2312" w:eastAsia="仿宋_GB2312" w:cs="DengXian-Regular"/>
          <w:sz w:val="32"/>
          <w:szCs w:val="32"/>
        </w:rPr>
        <w:t>多，项目</w:t>
      </w:r>
      <w:r>
        <w:rPr>
          <w:rFonts w:ascii="仿宋_GB2312" w:eastAsia="仿宋_GB2312" w:cs="DengXian-Regular"/>
          <w:sz w:val="32"/>
          <w:szCs w:val="32"/>
        </w:rPr>
        <w:t>资金使用率低。</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资金结余</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4.政府采购方面：政府采</w:t>
      </w:r>
      <w:r>
        <w:rPr>
          <w:rFonts w:ascii="仿宋_GB2312" w:eastAsia="仿宋_GB2312" w:cs="DengXian-Regular"/>
          <w:sz w:val="32"/>
          <w:szCs w:val="32"/>
        </w:rPr>
        <w:t>购较年初预算增加较多</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财政局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sz w:val="32"/>
          <w:szCs w:val="32"/>
        </w:rPr>
        <w:t>人员经费方面：</w:t>
      </w:r>
      <w:r>
        <w:rPr>
          <w:rFonts w:ascii="仿宋_GB2312" w:eastAsia="仿宋_GB2312" w:cs="DengXian-Regular"/>
          <w:color w:val="FF0000"/>
          <w:sz w:val="32"/>
          <w:szCs w:val="32"/>
        </w:rPr>
        <w:t xml:space="preserve"> </w:t>
      </w:r>
      <w:r>
        <w:rPr>
          <w:rFonts w:ascii="仿宋_GB2312" w:eastAsia="仿宋_GB2312" w:cs="DengXian-Regular"/>
          <w:color w:val="000000" w:themeColor="text1"/>
          <w:sz w:val="32"/>
          <w:szCs w:val="32"/>
          <w14:textFill>
            <w14:solidFill>
              <w14:schemeClr w14:val="tx1"/>
            </w14:solidFill>
          </w14:textFill>
        </w:rPr>
        <w:t>建议2</w:t>
      </w:r>
      <w:r>
        <w:rPr>
          <w:rFonts w:hint="eastAsia" w:ascii="仿宋_GB2312" w:eastAsia="仿宋_GB2312" w:cs="DengXian-Regular"/>
          <w:color w:val="000000" w:themeColor="text1"/>
          <w:sz w:val="32"/>
          <w:szCs w:val="32"/>
          <w14:textFill>
            <w14:solidFill>
              <w14:schemeClr w14:val="tx1"/>
            </w14:solidFill>
          </w14:textFill>
        </w:rPr>
        <w:t>020</w:t>
      </w:r>
      <w:r>
        <w:rPr>
          <w:rFonts w:ascii="仿宋_GB2312" w:eastAsia="仿宋_GB2312" w:cs="DengXian-Regular"/>
          <w:color w:val="000000" w:themeColor="text1"/>
          <w:sz w:val="32"/>
          <w:szCs w:val="32"/>
          <w14:textFill>
            <w14:solidFill>
              <w14:schemeClr w14:val="tx1"/>
            </w14:solidFill>
          </w14:textFill>
        </w:rPr>
        <w:t>年预算根据</w:t>
      </w:r>
      <w:r>
        <w:rPr>
          <w:rFonts w:hint="eastAsia" w:ascii="仿宋_GB2312" w:eastAsia="仿宋_GB2312" w:cs="DengXian-Regular"/>
          <w:color w:val="000000" w:themeColor="text1"/>
          <w:sz w:val="32"/>
          <w:szCs w:val="32"/>
          <w14:textFill>
            <w14:solidFill>
              <w14:schemeClr w14:val="tx1"/>
            </w14:solidFill>
          </w14:textFill>
        </w:rPr>
        <w:t>2019年实际发生人员经费支出、人员数量和工资标准适当安排人员经费预算。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sz w:val="32"/>
          <w:szCs w:val="32"/>
        </w:rPr>
        <w:t>项目资金方面：</w:t>
      </w:r>
      <w:r>
        <w:rPr>
          <w:rFonts w:hint="eastAsia" w:ascii="仿宋_GB2312" w:eastAsia="仿宋_GB2312" w:cs="DengXian-Regular"/>
          <w:color w:val="000000" w:themeColor="text1"/>
          <w:sz w:val="32"/>
          <w:szCs w:val="32"/>
          <w14:textFill>
            <w14:solidFill>
              <w14:schemeClr w14:val="tx1"/>
            </w14:solidFill>
          </w14:textFill>
        </w:rPr>
        <w:t>建议</w:t>
      </w:r>
      <w:r>
        <w:rPr>
          <w:rFonts w:ascii="仿宋_GB2312" w:eastAsia="仿宋_GB2312" w:cs="DengXian-Regular"/>
          <w:color w:val="000000" w:themeColor="text1"/>
          <w:sz w:val="32"/>
          <w:szCs w:val="32"/>
          <w14:textFill>
            <w14:solidFill>
              <w14:schemeClr w14:val="tx1"/>
            </w14:solidFill>
          </w14:textFill>
        </w:rPr>
        <w:t>2020年预算增加</w:t>
      </w:r>
      <w:r>
        <w:rPr>
          <w:rFonts w:hint="eastAsia" w:ascii="仿宋_GB2312" w:eastAsia="仿宋_GB2312" w:cs="DengXian-Regular"/>
          <w:color w:val="000000" w:themeColor="text1"/>
          <w:sz w:val="32"/>
          <w:szCs w:val="32"/>
          <w14:textFill>
            <w14:solidFill>
              <w14:schemeClr w14:val="tx1"/>
            </w14:solidFill>
          </w14:textFill>
        </w:rPr>
        <w:t>部分</w:t>
      </w:r>
      <w:r>
        <w:rPr>
          <w:rFonts w:ascii="仿宋_GB2312" w:eastAsia="仿宋_GB2312" w:cs="DengXian-Regular"/>
          <w:color w:val="000000" w:themeColor="text1"/>
          <w:sz w:val="32"/>
          <w:szCs w:val="32"/>
          <w14:textFill>
            <w14:solidFill>
              <w14:schemeClr w14:val="tx1"/>
            </w14:solidFill>
          </w14:textFill>
        </w:rPr>
        <w:t>项目资金支出资金使用率，其他项目资金根据实际情况予以保持或适当</w:t>
      </w:r>
      <w:r>
        <w:rPr>
          <w:rFonts w:hint="eastAsia" w:ascii="仿宋_GB2312" w:eastAsia="仿宋_GB2312" w:cs="DengXian-Regular"/>
          <w:color w:val="000000" w:themeColor="text1"/>
          <w:sz w:val="32"/>
          <w:szCs w:val="32"/>
          <w14:textFill>
            <w14:solidFill>
              <w14:schemeClr w14:val="tx1"/>
            </w14:solidFill>
          </w14:textFill>
        </w:rPr>
        <w:t>增减</w:t>
      </w:r>
      <w:r>
        <w:rPr>
          <w:rFonts w:ascii="仿宋_GB2312" w:eastAsia="仿宋_GB2312" w:cs="DengXian-Regular"/>
          <w:color w:val="000000" w:themeColor="text1"/>
          <w:sz w:val="32"/>
          <w:szCs w:val="32"/>
          <w14:textFill>
            <w14:solidFill>
              <w14:schemeClr w14:val="tx1"/>
            </w14:solidFill>
          </w14:textFill>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一、保定市徐水区文化广电和旅游局</w:t>
      </w:r>
      <w:r>
        <w:rPr>
          <w:rFonts w:ascii="楷体" w:hAnsi="楷体" w:eastAsia="楷体" w:cs="楷体"/>
        </w:rPr>
        <w:t>部</w:t>
      </w:r>
      <w:r>
        <w:rPr>
          <w:rFonts w:hint="eastAsia" w:ascii="楷体" w:hAnsi="楷体" w:eastAsia="楷体" w:cs="楷体"/>
        </w:rPr>
        <w:t>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根据中共保定市徐水区委办公室、保定市徐水区人民政府办公室关于印发《保定市徐水区文化广电和旅游局职能配置、内设机构和人员编制规定》的通知，文广旅局为区政府工作部门，正科级单位，下设三个股室。单位根据绩效预算管理改革的相关要求，按照“部门职责—工作活动绩效目标”的层级设立了绩效预算架构，职责活动包括</w:t>
      </w:r>
      <w:bookmarkStart w:id="6" w:name="_Toc465149499"/>
      <w:bookmarkStart w:id="7" w:name="_Toc492652765"/>
      <w:bookmarkStart w:id="8" w:name="_Toc7075"/>
      <w:r>
        <w:rPr>
          <w:rFonts w:hint="eastAsia" w:ascii="仿宋_GB2312" w:eastAsia="仿宋_GB2312" w:cs="DengXian-Regular"/>
          <w:sz w:val="32"/>
          <w:szCs w:val="32"/>
        </w:rPr>
        <w:t>（一）</w:t>
      </w:r>
      <w:r>
        <w:rPr>
          <w:rFonts w:hint="eastAsia" w:ascii="仿宋" w:hAnsi="仿宋" w:eastAsia="仿宋"/>
          <w:sz w:val="32"/>
          <w:szCs w:val="32"/>
        </w:rPr>
        <w:t>贯彻执行党和国家文化、旅游、广播电视、文物和博物馆工作方针政策和法律法规。拟订全区文化、旅游、广播电视政策措施，起草全区文化和旅游、广播电视和文物保护方面的地方性规章、管理办法并组织实施。（二）拟订全区文化和旅游事业、文化和旅游产业、广播电视、文物和博物馆事业发展规划并组织实施，推进文化、旅游、广播电视融合发展，推进文化和旅游、广播电视领域体制机制改革。（三</w:t>
      </w:r>
      <w:r>
        <w:rPr>
          <w:rFonts w:ascii="仿宋" w:hAnsi="仿宋" w:eastAsia="仿宋"/>
          <w:sz w:val="32"/>
          <w:szCs w:val="32"/>
        </w:rPr>
        <w:t>）</w:t>
      </w:r>
      <w:r>
        <w:rPr>
          <w:rFonts w:hint="eastAsia" w:ascii="仿宋" w:hAnsi="仿宋" w:eastAsia="仿宋"/>
          <w:sz w:val="32"/>
          <w:szCs w:val="32"/>
        </w:rPr>
        <w:t>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r>
        <w:rPr>
          <w:rFonts w:ascii="仿宋" w:hAnsi="仿宋" w:eastAsia="仿宋"/>
          <w:sz w:val="32"/>
          <w:szCs w:val="32"/>
        </w:rPr>
        <w:t>四）</w:t>
      </w:r>
      <w:r>
        <w:rPr>
          <w:rFonts w:hint="eastAsia" w:ascii="仿宋" w:hAnsi="仿宋" w:eastAsia="仿宋"/>
          <w:sz w:val="32"/>
          <w:szCs w:val="32"/>
        </w:rPr>
        <w:t>指导、管理全区文艺事业。指导艺术创作生产，扶持体现中国梦和社会主义核心价值观，具有导向性、代表性、示范性的文艺作品，推动全区各门类艺术、各艺术品种发展。（</w:t>
      </w:r>
      <w:r>
        <w:rPr>
          <w:rFonts w:ascii="仿宋" w:hAnsi="仿宋" w:eastAsia="仿宋"/>
          <w:sz w:val="32"/>
          <w:szCs w:val="32"/>
        </w:rPr>
        <w:t>五）</w:t>
      </w:r>
      <w:r>
        <w:rPr>
          <w:rFonts w:hint="eastAsia" w:ascii="仿宋" w:hAnsi="仿宋" w:eastAsia="仿宋"/>
          <w:sz w:val="32"/>
          <w:szCs w:val="32"/>
        </w:rPr>
        <w:t>负责全区公共文化、旅游和广播电视事业发展。推进全区旅游、文物和博物馆公共文化服务体系建设，深入实施文化和旅游惠民工程，统筹推进全区基本公共文化、旅游和广播电视服务标准化、均等化。（</w:t>
      </w:r>
      <w:r>
        <w:rPr>
          <w:rFonts w:ascii="仿宋" w:hAnsi="仿宋" w:eastAsia="仿宋"/>
          <w:sz w:val="32"/>
          <w:szCs w:val="32"/>
        </w:rPr>
        <w:t>六）</w:t>
      </w:r>
      <w:r>
        <w:rPr>
          <w:rFonts w:hint="eastAsia" w:ascii="仿宋" w:hAnsi="仿宋" w:eastAsia="仿宋"/>
          <w:sz w:val="32"/>
          <w:szCs w:val="32"/>
        </w:rPr>
        <w:t>指导、推进全区文化、旅游和广播电视科技创新发展，推进文化和旅游行业信息化、标准化建设。（七</w:t>
      </w:r>
      <w:r>
        <w:rPr>
          <w:rFonts w:ascii="仿宋" w:hAnsi="仿宋" w:eastAsia="仿宋"/>
          <w:sz w:val="32"/>
          <w:szCs w:val="32"/>
        </w:rPr>
        <w:t>）</w:t>
      </w:r>
      <w:r>
        <w:rPr>
          <w:rFonts w:hint="eastAsia" w:ascii="仿宋" w:hAnsi="仿宋" w:eastAsia="仿宋" w:cs="仿宋_GB2312"/>
          <w:sz w:val="32"/>
          <w:szCs w:val="32"/>
        </w:rPr>
        <w:t>负责对全区各类广播电视机构进行业务指导和行业监管，会同有关部门对全区网络试听节目服务机构进行管理，推进广播电视与新媒体新技术新业态融合发展。（</w:t>
      </w:r>
      <w:r>
        <w:rPr>
          <w:rFonts w:ascii="仿宋" w:hAnsi="仿宋" w:eastAsia="仿宋" w:cs="仿宋_GB2312"/>
          <w:sz w:val="32"/>
          <w:szCs w:val="32"/>
        </w:rPr>
        <w:t>八）</w:t>
      </w:r>
      <w:r>
        <w:rPr>
          <w:rFonts w:hint="eastAsia" w:ascii="仿宋" w:hAnsi="仿宋" w:eastAsia="仿宋" w:cs="仿宋_GB2312"/>
          <w:sz w:val="32"/>
          <w:szCs w:val="32"/>
        </w:rPr>
        <w:t xml:space="preserve"> 组织协调文化遗产的管理和保护，指导和管理文物事业，组织指导文物的保护抢救、考古发掘和开发利用工作。</w:t>
      </w:r>
      <w:r>
        <w:rPr>
          <w:rFonts w:hint="eastAsia" w:ascii="仿宋" w:hAnsi="仿宋" w:eastAsia="仿宋"/>
          <w:sz w:val="32"/>
          <w:szCs w:val="32"/>
        </w:rPr>
        <w:t>负责全区非物质文化遗产保护，推动非物质文化遗产的保护、传承、普及、弘扬和振兴。（九</w:t>
      </w:r>
      <w:r>
        <w:rPr>
          <w:rFonts w:ascii="仿宋" w:hAnsi="仿宋" w:eastAsia="仿宋"/>
          <w:sz w:val="32"/>
          <w:szCs w:val="32"/>
        </w:rPr>
        <w:t>）</w:t>
      </w:r>
      <w:r>
        <w:rPr>
          <w:rFonts w:hint="eastAsia" w:ascii="仿宋" w:hAnsi="仿宋" w:eastAsia="仿宋"/>
          <w:sz w:val="32"/>
          <w:szCs w:val="32"/>
        </w:rPr>
        <w:t>统筹规划全区文化产业、旅游产业、广播电视、文物利用及相关产业。组织实施文化、旅游和文物资源普查、挖掘、保护和开发利用工作。（十</w:t>
      </w:r>
      <w:r>
        <w:rPr>
          <w:rFonts w:ascii="仿宋" w:hAnsi="仿宋" w:eastAsia="仿宋"/>
          <w:sz w:val="32"/>
          <w:szCs w:val="32"/>
        </w:rPr>
        <w:t>）</w:t>
      </w:r>
      <w:r>
        <w:rPr>
          <w:rFonts w:hint="eastAsia" w:ascii="仿宋" w:hAnsi="仿宋" w:eastAsia="仿宋" w:cs="仿宋_GB2312"/>
          <w:sz w:val="32"/>
          <w:szCs w:val="32"/>
        </w:rPr>
        <w:t>指导全区文化、旅游和广播电视市场发展。对文化、旅游和广播电视市场经营进行行业监管，推进全区文化、旅游、和广播电视行业信用体系建设，依法规范文化、旅游和广播电视市场。</w:t>
      </w:r>
      <w:r>
        <w:rPr>
          <w:rFonts w:hint="eastAsia" w:ascii="仿宋" w:hAnsi="仿宋" w:eastAsia="仿宋"/>
          <w:sz w:val="32"/>
          <w:szCs w:val="32"/>
        </w:rPr>
        <w:t>（</w:t>
      </w:r>
      <w:r>
        <w:rPr>
          <w:rFonts w:ascii="仿宋" w:hAnsi="仿宋" w:eastAsia="仿宋"/>
          <w:sz w:val="32"/>
          <w:szCs w:val="32"/>
        </w:rPr>
        <w:t>十一</w:t>
      </w:r>
      <w:r>
        <w:rPr>
          <w:rFonts w:hint="eastAsia" w:ascii="仿宋" w:hAnsi="仿宋" w:eastAsia="仿宋"/>
          <w:sz w:val="32"/>
          <w:szCs w:val="32"/>
        </w:rPr>
        <w:t>）</w:t>
      </w:r>
      <w:r>
        <w:rPr>
          <w:rFonts w:hint="eastAsia" w:ascii="仿宋" w:hAnsi="仿宋" w:eastAsia="仿宋" w:cs="仿宋_GB2312"/>
          <w:sz w:val="32"/>
          <w:szCs w:val="32"/>
        </w:rPr>
        <w:t>指导、监督全区文化、旅游、广播电视和文物等市场综合执法。督查督办大案要案，维护市场秩序。承担全区文化、旅游和广播电视行业安全综合协调和监督管理工作，负责全区文化、旅游和广播电视行业突发应急事件的处理工作。（十二</w:t>
      </w:r>
      <w:r>
        <w:rPr>
          <w:rFonts w:ascii="仿宋" w:hAnsi="仿宋" w:eastAsia="仿宋" w:cs="仿宋_GB2312"/>
          <w:sz w:val="32"/>
          <w:szCs w:val="32"/>
        </w:rPr>
        <w:t>）</w:t>
      </w:r>
      <w:r>
        <w:rPr>
          <w:rFonts w:hint="eastAsia" w:ascii="仿宋" w:hAnsi="仿宋" w:eastAsia="仿宋"/>
          <w:sz w:val="32"/>
          <w:szCs w:val="32"/>
        </w:rPr>
        <w:t>完成区委、区政府交办的其他任务。</w:t>
      </w:r>
    </w:p>
    <w:p>
      <w:pPr>
        <w:spacing w:after="0" w:line="360" w:lineRule="auto"/>
        <w:ind w:firstLine="640" w:firstLineChars="200"/>
        <w:jc w:val="both"/>
        <w:textAlignment w:val="baseline"/>
        <w:rPr>
          <w:rFonts w:ascii="仿宋_GB2312" w:cs="DengXian-Regular"/>
          <w:sz w:val="32"/>
        </w:rPr>
      </w:pPr>
      <w:r>
        <w:rPr>
          <w:rFonts w:hint="eastAsia" w:ascii="仿宋_GB2312" w:cs="DengXian-Regular"/>
          <w:sz w:val="32"/>
        </w:rPr>
        <w:t>（二）</w:t>
      </w:r>
      <w:bookmarkEnd w:id="6"/>
      <w:r>
        <w:rPr>
          <w:rFonts w:hint="eastAsia" w:ascii="仿宋_GB2312"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按照2019年绩效预算编制要求，本单位设置的年度发展规划总体目标为：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紧紧围绕</w:t>
      </w:r>
      <w:r>
        <w:rPr>
          <w:rFonts w:ascii="仿宋_GB2312" w:eastAsia="仿宋_GB2312" w:cs="DengXian-Regular"/>
          <w:sz w:val="32"/>
          <w:szCs w:val="32"/>
        </w:rPr>
        <w:t>全区中心工作和区委</w:t>
      </w:r>
      <w:r>
        <w:rPr>
          <w:rFonts w:hint="eastAsia" w:ascii="仿宋_GB2312" w:eastAsia="仿宋_GB2312" w:cs="DengXian-Regular"/>
          <w:sz w:val="32"/>
          <w:szCs w:val="32"/>
        </w:rPr>
        <w:t>区政府的</w:t>
      </w:r>
      <w:r>
        <w:rPr>
          <w:rFonts w:ascii="仿宋_GB2312" w:eastAsia="仿宋_GB2312" w:cs="DengXian-Regular"/>
          <w:sz w:val="32"/>
          <w:szCs w:val="32"/>
        </w:rPr>
        <w:t>重要部署</w:t>
      </w:r>
      <w:r>
        <w:rPr>
          <w:rFonts w:hint="eastAsia" w:ascii="仿宋_GB2312" w:eastAsia="仿宋_GB2312" w:cs="DengXian-Regular"/>
          <w:sz w:val="32"/>
          <w:szCs w:val="32"/>
        </w:rPr>
        <w:t>，</w:t>
      </w:r>
      <w:r>
        <w:rPr>
          <w:rFonts w:hint="eastAsia" w:ascii="仿宋" w:hAnsi="仿宋" w:eastAsia="仿宋"/>
          <w:sz w:val="32"/>
          <w:szCs w:val="32"/>
        </w:rPr>
        <w:t>以习近平新时代中国特色社会主义思想为指导，紧紧围绕区委二届五次全会部署的任务目标，坚持以人民为中心的发展思想，聚焦民生、突出重点、锐意进取、狠抓落实，统筹推进我区文化广电和旅游等各项事业和产业的发展。</w:t>
      </w: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2</w:t>
      </w:r>
      <w:r>
        <w:rPr>
          <w:rFonts w:ascii="仿宋_GB2312" w:eastAsia="仿宋_GB2312" w:cs="DengXian-Regular"/>
          <w:sz w:val="32"/>
          <w:szCs w:val="32"/>
        </w:rPr>
        <w:t>019</w:t>
      </w:r>
      <w:r>
        <w:rPr>
          <w:rFonts w:hint="eastAsia" w:ascii="仿宋_GB2312" w:eastAsia="仿宋_GB2312" w:cs="DengXian-Regular"/>
          <w:sz w:val="32"/>
          <w:szCs w:val="32"/>
        </w:rPr>
        <w:t>年文广旅局</w:t>
      </w:r>
      <w:r>
        <w:rPr>
          <w:rFonts w:ascii="仿宋_GB2312" w:eastAsia="仿宋_GB2312" w:cs="DengXian-Regular"/>
          <w:sz w:val="32"/>
          <w:szCs w:val="32"/>
        </w:rPr>
        <w:t>进一步围绕</w:t>
      </w:r>
      <w:r>
        <w:rPr>
          <w:rFonts w:hint="eastAsia" w:ascii="仿宋_GB2312" w:eastAsia="仿宋_GB2312" w:cs="DengXian-Regular"/>
          <w:sz w:val="32"/>
          <w:szCs w:val="32"/>
        </w:rPr>
        <w:t>全</w:t>
      </w:r>
      <w:r>
        <w:rPr>
          <w:rFonts w:ascii="仿宋_GB2312" w:eastAsia="仿宋_GB2312" w:cs="DengXian-Regular"/>
          <w:sz w:val="32"/>
          <w:szCs w:val="32"/>
        </w:rPr>
        <w:t>区中心工作和区委重要部署</w:t>
      </w:r>
      <w:r>
        <w:rPr>
          <w:rFonts w:hint="eastAsia" w:ascii="仿宋_GB2312" w:eastAsia="仿宋_GB2312" w:cs="DengXian-Regular"/>
          <w:sz w:val="32"/>
          <w:szCs w:val="32"/>
        </w:rPr>
        <w:t>，</w:t>
      </w:r>
      <w:r>
        <w:rPr>
          <w:rFonts w:hint="eastAsia" w:ascii="仿宋" w:hAnsi="仿宋" w:eastAsia="仿宋"/>
          <w:sz w:val="32"/>
          <w:szCs w:val="32"/>
        </w:rPr>
        <w:t>紧紧抓住文旅融合发展的历史发展机遇，聚焦人民对美好生活的向往，整合文化、广电和旅游公共资源，多向发力，全领域统筹推进公共服务体系和能力建设。</w:t>
      </w:r>
    </w:p>
    <w:p>
      <w:pPr>
        <w:spacing w:after="0" w:line="360" w:lineRule="auto"/>
        <w:ind w:firstLine="640" w:firstLineChars="200"/>
        <w:jc w:val="both"/>
        <w:textAlignment w:val="baseline"/>
        <w:rPr>
          <w:rFonts w:ascii="仿宋" w:hAnsi="仿宋" w:eastAsia="仿宋"/>
          <w:sz w:val="32"/>
          <w:szCs w:val="32"/>
        </w:rPr>
      </w:pPr>
      <w:r>
        <w:rPr>
          <w:rFonts w:hint="eastAsia" w:ascii="仿宋_GB2312" w:eastAsia="仿宋_GB2312" w:cs="DengXian-Regular"/>
          <w:sz w:val="32"/>
          <w:szCs w:val="32"/>
        </w:rPr>
        <w:t>1.</w:t>
      </w:r>
      <w:r>
        <w:rPr>
          <w:rFonts w:hint="eastAsia" w:ascii="楷体" w:hAnsi="楷体" w:eastAsia="楷体"/>
          <w:b/>
          <w:sz w:val="32"/>
          <w:szCs w:val="32"/>
        </w:rPr>
        <w:t xml:space="preserve"> </w:t>
      </w:r>
      <w:r>
        <w:rPr>
          <w:rFonts w:hint="eastAsia" w:ascii="仿宋" w:hAnsi="仿宋" w:eastAsia="仿宋"/>
          <w:sz w:val="32"/>
          <w:szCs w:val="32"/>
        </w:rPr>
        <w:t>做好普查，摸清基层公共文化服务体系底数。</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2. 广泛开展形式多样的群众文化活动。</w:t>
      </w:r>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3. 加强公共文化服务队伍建设。</w:t>
      </w:r>
      <w:bookmarkStart w:id="9" w:name="_Toc1678"/>
      <w:bookmarkStart w:id="10" w:name="_Toc492652766"/>
      <w:bookmarkStart w:id="11" w:name="_Toc465149500"/>
    </w:p>
    <w:p>
      <w:pPr>
        <w:spacing w:after="0" w:line="360" w:lineRule="auto"/>
        <w:ind w:firstLine="640" w:firstLineChars="200"/>
        <w:jc w:val="both"/>
        <w:textAlignment w:val="baseline"/>
        <w:rPr>
          <w:rFonts w:ascii="仿宋" w:hAnsi="仿宋" w:eastAsia="仿宋"/>
          <w:sz w:val="32"/>
          <w:szCs w:val="32"/>
        </w:rPr>
      </w:pPr>
      <w:r>
        <w:rPr>
          <w:rFonts w:hint="eastAsia" w:ascii="仿宋" w:hAnsi="仿宋" w:eastAsia="仿宋"/>
          <w:sz w:val="32"/>
          <w:szCs w:val="32"/>
        </w:rPr>
        <w:t>4. 积极推进旅游目的地建设和旅游厕所革命。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2019年区文广旅局</w:t>
      </w:r>
      <w:r>
        <w:rPr>
          <w:rFonts w:ascii="仿宋_GB2312" w:eastAsia="仿宋_GB2312" w:cs="DengXian-Regular"/>
          <w:sz w:val="32"/>
          <w:szCs w:val="32"/>
        </w:rPr>
        <w:t>部</w:t>
      </w:r>
      <w:r>
        <w:rPr>
          <w:rFonts w:hint="eastAsia" w:ascii="仿宋_GB2312" w:eastAsia="仿宋_GB2312" w:cs="DengXian-Regular"/>
          <w:sz w:val="32"/>
          <w:szCs w:val="32"/>
        </w:rPr>
        <w:t>预算</w:t>
      </w:r>
      <w:r>
        <w:rPr>
          <w:rFonts w:ascii="仿宋" w:hAnsi="仿宋" w:eastAsia="仿宋"/>
          <w:sz w:val="32"/>
          <w:szCs w:val="32"/>
        </w:rPr>
        <w:t>收入为</w:t>
      </w:r>
      <w:r>
        <w:rPr>
          <w:rFonts w:hint="eastAsia" w:ascii="仿宋" w:hAnsi="仿宋" w:eastAsia="仿宋"/>
          <w:sz w:val="32"/>
          <w:szCs w:val="32"/>
        </w:rPr>
        <w:t>1717.44</w:t>
      </w:r>
      <w:r>
        <w:rPr>
          <w:rFonts w:ascii="仿宋" w:hAnsi="仿宋" w:eastAsia="仿宋"/>
          <w:sz w:val="32"/>
          <w:szCs w:val="32"/>
        </w:rPr>
        <w:t>万元</w:t>
      </w:r>
      <w:r>
        <w:rPr>
          <w:rFonts w:hint="eastAsia" w:ascii="仿宋" w:hAnsi="仿宋" w:eastAsia="仿宋"/>
          <w:sz w:val="32"/>
          <w:szCs w:val="32"/>
        </w:rPr>
        <w:t>。</w:t>
      </w:r>
      <w:r>
        <w:rPr>
          <w:rFonts w:hint="eastAsia" w:ascii="仿宋_GB2312" w:eastAsia="仿宋_GB2312" w:cs="DengXian-Regular"/>
          <w:sz w:val="32"/>
          <w:szCs w:val="32"/>
        </w:rPr>
        <w:t>一般公共预算财政拨款收入1710.44，（其中</w:t>
      </w:r>
      <w:r>
        <w:rPr>
          <w:rFonts w:ascii="仿宋_GB2312" w:eastAsia="仿宋_GB2312" w:cs="DengXian-Regular"/>
          <w:sz w:val="32"/>
          <w:szCs w:val="32"/>
        </w:rPr>
        <w:t>财政拨款</w:t>
      </w:r>
      <w:r>
        <w:rPr>
          <w:rFonts w:hint="eastAsia" w:ascii="仿宋_GB2312" w:eastAsia="仿宋_GB2312" w:cs="DengXian-Regular"/>
          <w:sz w:val="32"/>
          <w:szCs w:val="32"/>
        </w:rPr>
        <w:t>1584.44元</w:t>
      </w:r>
      <w:r>
        <w:rPr>
          <w:rFonts w:ascii="仿宋_GB2312" w:eastAsia="仿宋_GB2312" w:cs="DengXian-Regular"/>
          <w:sz w:val="32"/>
          <w:szCs w:val="32"/>
        </w:rPr>
        <w:t>，上级财政提前通知转移支付</w:t>
      </w:r>
      <w:r>
        <w:rPr>
          <w:rFonts w:hint="eastAsia" w:ascii="仿宋_GB2312" w:eastAsia="仿宋_GB2312" w:cs="DengXian-Regular"/>
          <w:sz w:val="32"/>
          <w:szCs w:val="32"/>
        </w:rPr>
        <w:t>162万</w:t>
      </w:r>
      <w:r>
        <w:rPr>
          <w:rFonts w:ascii="仿宋_GB2312" w:eastAsia="仿宋_GB2312" w:cs="DengXian-Regular"/>
          <w:sz w:val="32"/>
          <w:szCs w:val="32"/>
        </w:rPr>
        <w:t>元</w:t>
      </w:r>
      <w:r>
        <w:rPr>
          <w:rFonts w:hint="eastAsia" w:ascii="仿宋_GB2312" w:eastAsia="仿宋_GB2312" w:cs="DengXian-Regular"/>
          <w:sz w:val="32"/>
          <w:szCs w:val="32"/>
        </w:rPr>
        <w:t>）政府性基金</w:t>
      </w:r>
      <w:r>
        <w:rPr>
          <w:rFonts w:ascii="仿宋_GB2312" w:eastAsia="仿宋_GB2312" w:cs="DengXian-Regular"/>
          <w:sz w:val="32"/>
          <w:szCs w:val="32"/>
        </w:rPr>
        <w:t>预算财政拨款收入</w:t>
      </w:r>
      <w:r>
        <w:rPr>
          <w:rFonts w:hint="eastAsia" w:ascii="仿宋_GB2312" w:eastAsia="仿宋_GB2312" w:cs="DengXian-Regular"/>
          <w:sz w:val="32"/>
          <w:szCs w:val="32"/>
        </w:rPr>
        <w:t>7万</w:t>
      </w:r>
      <w:r>
        <w:rPr>
          <w:rFonts w:ascii="仿宋_GB2312" w:eastAsia="仿宋_GB2312" w:cs="DengXian-Regular"/>
          <w:sz w:val="32"/>
          <w:szCs w:val="32"/>
        </w:rPr>
        <w:t>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2019年区文广旅局单位决算收入</w:t>
      </w:r>
      <w:r>
        <w:rPr>
          <w:rFonts w:ascii="仿宋_GB2312" w:eastAsia="仿宋_GB2312" w:cs="DengXian-Regular"/>
          <w:sz w:val="32"/>
          <w:szCs w:val="32"/>
        </w:rPr>
        <w:t>1496.39</w:t>
      </w:r>
      <w:r>
        <w:rPr>
          <w:rFonts w:hint="eastAsia" w:ascii="仿宋_GB2312" w:eastAsia="仿宋_GB2312" w:cs="DengXian-Regular"/>
          <w:sz w:val="32"/>
          <w:szCs w:val="32"/>
        </w:rPr>
        <w:t>万元，其中：一般</w:t>
      </w:r>
      <w:r>
        <w:rPr>
          <w:rFonts w:ascii="仿宋_GB2312" w:eastAsia="仿宋_GB2312" w:cs="DengXian-Regular"/>
          <w:sz w:val="32"/>
          <w:szCs w:val="32"/>
        </w:rPr>
        <w:t>公共预算</w:t>
      </w:r>
      <w:r>
        <w:rPr>
          <w:rFonts w:hint="eastAsia" w:ascii="仿宋_GB2312" w:eastAsia="仿宋_GB2312" w:cs="DengXian-Regular"/>
          <w:sz w:val="32"/>
          <w:szCs w:val="32"/>
        </w:rPr>
        <w:t>财政拨款收入</w:t>
      </w:r>
      <w:r>
        <w:rPr>
          <w:rFonts w:ascii="仿宋_GB2312" w:eastAsia="仿宋_GB2312" w:cs="DengXian-Regular"/>
          <w:sz w:val="32"/>
          <w:szCs w:val="32"/>
        </w:rPr>
        <w:t>1496.31</w:t>
      </w:r>
      <w:r>
        <w:rPr>
          <w:rFonts w:hint="eastAsia" w:ascii="仿宋_GB2312" w:eastAsia="仿宋_GB2312" w:cs="DengXian-Regular"/>
          <w:sz w:val="32"/>
          <w:szCs w:val="32"/>
        </w:rPr>
        <w:t>万元；其他收入</w:t>
      </w:r>
      <w:r>
        <w:rPr>
          <w:rFonts w:ascii="仿宋_GB2312" w:eastAsia="仿宋_GB2312" w:cs="DengXian-Regular"/>
          <w:sz w:val="32"/>
          <w:szCs w:val="32"/>
        </w:rPr>
        <w:t>0.08</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文广旅局一般公共预算财政拨款决算收入比年初预算减少</w:t>
      </w:r>
      <w:r>
        <w:rPr>
          <w:rFonts w:ascii="仿宋_GB2312" w:eastAsia="仿宋_GB2312" w:cs="DengXian-Regular"/>
          <w:sz w:val="32"/>
          <w:szCs w:val="32"/>
        </w:rPr>
        <w:t>221.05</w:t>
      </w:r>
      <w:r>
        <w:rPr>
          <w:rFonts w:hint="eastAsia" w:ascii="仿宋_GB2312" w:eastAsia="仿宋_GB2312" w:cs="DengXian-Regular"/>
          <w:sz w:val="32"/>
          <w:szCs w:val="32"/>
        </w:rPr>
        <w:t>万元，主要原因为：</w:t>
      </w:r>
      <w:r>
        <w:rPr>
          <w:rFonts w:ascii="仿宋_GB2312" w:eastAsia="仿宋_GB2312" w:cs="DengXian-Regular"/>
          <w:sz w:val="32"/>
          <w:szCs w:val="32"/>
        </w:rPr>
        <w:t>部分职能</w:t>
      </w:r>
      <w:r>
        <w:rPr>
          <w:rFonts w:hint="eastAsia" w:ascii="仿宋_GB2312" w:eastAsia="仿宋_GB2312" w:cs="DengXian-Regular"/>
          <w:sz w:val="32"/>
          <w:szCs w:val="32"/>
        </w:rPr>
        <w:t>划</w:t>
      </w:r>
      <w:r>
        <w:rPr>
          <w:rFonts w:ascii="仿宋_GB2312" w:eastAsia="仿宋_GB2312" w:cs="DengXian-Regular"/>
          <w:sz w:val="32"/>
          <w:szCs w:val="32"/>
        </w:rPr>
        <w:t>转到宣传</w:t>
      </w:r>
      <w:r>
        <w:rPr>
          <w:rFonts w:hint="eastAsia" w:ascii="仿宋_GB2312" w:eastAsia="仿宋_GB2312" w:cs="DengXian-Regular"/>
          <w:sz w:val="32"/>
          <w:szCs w:val="32"/>
        </w:rPr>
        <w:t>部、</w:t>
      </w:r>
      <w:r>
        <w:rPr>
          <w:rFonts w:ascii="仿宋_GB2312" w:eastAsia="仿宋_GB2312" w:cs="DengXian-Regular"/>
          <w:sz w:val="32"/>
          <w:szCs w:val="32"/>
        </w:rPr>
        <w:t>教体局</w:t>
      </w:r>
      <w:r>
        <w:rPr>
          <w:rFonts w:hint="eastAsia" w:ascii="仿宋_GB2312" w:eastAsia="仿宋_GB2312" w:cs="DengXian-Regular"/>
          <w:sz w:val="32"/>
          <w:szCs w:val="32"/>
        </w:rPr>
        <w:t>，造成</w:t>
      </w:r>
      <w:r>
        <w:rPr>
          <w:rFonts w:ascii="仿宋_GB2312" w:eastAsia="仿宋_GB2312" w:cs="DengXian-Regular"/>
          <w:sz w:val="32"/>
          <w:szCs w:val="32"/>
        </w:rPr>
        <w:t>项目收入</w:t>
      </w:r>
      <w:r>
        <w:rPr>
          <w:rFonts w:hint="eastAsia" w:ascii="仿宋_GB2312" w:eastAsia="仿宋_GB2312" w:cs="DengXian-Regular"/>
          <w:sz w:val="32"/>
          <w:szCs w:val="32"/>
        </w:rPr>
        <w:t>减少；</w:t>
      </w:r>
      <w:bookmarkStart w:id="12" w:name="_Toc18197"/>
      <w:r>
        <w:rPr>
          <w:rFonts w:hint="eastAsia" w:ascii="仿宋_GB2312" w:eastAsia="仿宋_GB2312" w:cs="DengXian-Regular"/>
          <w:sz w:val="32"/>
          <w:szCs w:val="32"/>
        </w:rPr>
        <w:t>因账户</w:t>
      </w:r>
      <w:r>
        <w:rPr>
          <w:rFonts w:ascii="仿宋_GB2312" w:eastAsia="仿宋_GB2312" w:cs="DengXian-Regular"/>
          <w:sz w:val="32"/>
          <w:szCs w:val="32"/>
        </w:rPr>
        <w:t>冻结无法正常支出</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2019年度文广旅局单位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1717.44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1201.36</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516.08</w:t>
      </w:r>
      <w:r>
        <w:rPr>
          <w:rFonts w:hint="eastAsia" w:ascii="仿宋_GB2312" w:eastAsia="仿宋_GB2312" w:cs="Times New Roman" w:hAnsiTheme="minorEastAsia"/>
          <w:sz w:val="32"/>
          <w:szCs w:val="32"/>
          <w:u w:color="000000"/>
        </w:rPr>
        <w:t>万元。</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2019年度文广旅局单位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1120.50</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760.72</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359.78</w:t>
      </w:r>
      <w:r>
        <w:rPr>
          <w:rFonts w:hint="eastAsia" w:ascii="仿宋_GB2312" w:eastAsia="仿宋_GB2312" w:cs="Times New Roman" w:hAnsiTheme="minorEastAsia"/>
          <w:sz w:val="32"/>
          <w:szCs w:val="32"/>
          <w:u w:color="000000"/>
        </w:rPr>
        <w:t>万元。</w:t>
      </w:r>
    </w:p>
    <w:p>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财政拨款决算支出比年初预算减少</w:t>
      </w:r>
      <w:r>
        <w:rPr>
          <w:rFonts w:ascii="仿宋_GB2312" w:eastAsia="仿宋_GB2312" w:cs="DengXian-Regular"/>
          <w:sz w:val="32"/>
          <w:szCs w:val="32"/>
        </w:rPr>
        <w:t>596.94</w:t>
      </w:r>
      <w:r>
        <w:rPr>
          <w:rFonts w:hint="eastAsia" w:ascii="仿宋_GB2312" w:eastAsia="仿宋_GB2312" w:cs="DengXian-Regular"/>
          <w:sz w:val="32"/>
          <w:szCs w:val="32"/>
        </w:rPr>
        <w:t>万元。</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主要原因为2019年度</w:t>
      </w:r>
      <w:r>
        <w:rPr>
          <w:rFonts w:ascii="仿宋_GB2312" w:eastAsia="仿宋_GB2312" w:cs="DengXian-Regular"/>
          <w:sz w:val="32"/>
          <w:szCs w:val="32"/>
        </w:rPr>
        <w:t>部分职能</w:t>
      </w:r>
      <w:r>
        <w:rPr>
          <w:rFonts w:hint="eastAsia" w:ascii="仿宋_GB2312" w:eastAsia="仿宋_GB2312" w:cs="DengXian-Regular"/>
          <w:sz w:val="32"/>
          <w:szCs w:val="32"/>
        </w:rPr>
        <w:t>划</w:t>
      </w:r>
      <w:r>
        <w:rPr>
          <w:rFonts w:ascii="仿宋_GB2312" w:eastAsia="仿宋_GB2312" w:cs="DengXian-Regular"/>
          <w:sz w:val="32"/>
          <w:szCs w:val="32"/>
        </w:rPr>
        <w:t>转到宣传</w:t>
      </w:r>
      <w:r>
        <w:rPr>
          <w:rFonts w:hint="eastAsia" w:ascii="仿宋_GB2312" w:eastAsia="仿宋_GB2312" w:cs="DengXian-Regular"/>
          <w:sz w:val="32"/>
          <w:szCs w:val="32"/>
        </w:rPr>
        <w:t>部，造成</w:t>
      </w:r>
      <w:r>
        <w:rPr>
          <w:rFonts w:ascii="仿宋_GB2312" w:eastAsia="仿宋_GB2312" w:cs="DengXian-Regular"/>
          <w:sz w:val="32"/>
          <w:szCs w:val="32"/>
        </w:rPr>
        <w:t>项目</w:t>
      </w:r>
      <w:r>
        <w:rPr>
          <w:rFonts w:hint="eastAsia" w:ascii="仿宋_GB2312" w:eastAsia="仿宋_GB2312" w:cs="DengXian-Regular"/>
          <w:sz w:val="32"/>
          <w:szCs w:val="32"/>
        </w:rPr>
        <w:t>支出减少；因账户</w:t>
      </w:r>
      <w:r>
        <w:rPr>
          <w:rFonts w:ascii="仿宋_GB2312" w:eastAsia="仿宋_GB2312" w:cs="DengXian-Regular"/>
          <w:sz w:val="32"/>
          <w:szCs w:val="32"/>
        </w:rPr>
        <w:t>冻结无法正常支出</w:t>
      </w:r>
      <w:r>
        <w:rPr>
          <w:rFonts w:hint="eastAsia" w:ascii="仿宋" w:hAnsi="仿宋" w:eastAsia="仿宋"/>
          <w:snapToGrid w:val="0"/>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本单位2019年实际项目支出</w:t>
      </w:r>
      <w:r>
        <w:rPr>
          <w:rFonts w:ascii="仿宋_GB2312" w:eastAsia="仿宋_GB2312" w:cs="DengXian-Regular"/>
          <w:sz w:val="32"/>
          <w:szCs w:val="32"/>
        </w:rPr>
        <w:t>359.78</w:t>
      </w:r>
      <w:r>
        <w:rPr>
          <w:rFonts w:hint="eastAsia" w:ascii="仿宋_GB2312" w:eastAsia="仿宋_GB2312" w:cs="DengXian-Regular"/>
          <w:sz w:val="32"/>
          <w:szCs w:val="32"/>
        </w:rPr>
        <w:t>万元，决算报表中项目支出</w:t>
      </w:r>
      <w:r>
        <w:rPr>
          <w:rFonts w:ascii="仿宋_GB2312" w:eastAsia="仿宋_GB2312" w:cs="DengXian-Regular"/>
          <w:sz w:val="32"/>
          <w:szCs w:val="32"/>
        </w:rPr>
        <w:t>359.78</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2019年本单位“三公”经费预算</w:t>
      </w:r>
      <w:r>
        <w:rPr>
          <w:rFonts w:ascii="仿宋_GB2312" w:eastAsia="仿宋_GB2312" w:cs="DengXian-Regular"/>
          <w:sz w:val="32"/>
          <w:szCs w:val="32"/>
        </w:rPr>
        <w:t>18</w:t>
      </w:r>
      <w:r>
        <w:rPr>
          <w:rFonts w:hint="eastAsia" w:ascii="仿宋_GB2312" w:eastAsia="仿宋_GB2312" w:cs="DengXian-Regular"/>
          <w:sz w:val="32"/>
          <w:szCs w:val="32"/>
        </w:rPr>
        <w:t>万元（公务用车运行维护费</w:t>
      </w:r>
      <w:r>
        <w:rPr>
          <w:rFonts w:ascii="仿宋_GB2312" w:eastAsia="仿宋_GB2312" w:cs="DengXian-Regular"/>
          <w:sz w:val="32"/>
          <w:szCs w:val="32"/>
        </w:rPr>
        <w:t>15</w:t>
      </w:r>
      <w:r>
        <w:rPr>
          <w:rFonts w:hint="eastAsia" w:ascii="仿宋_GB2312" w:eastAsia="仿宋_GB2312" w:cs="DengXian-Regular"/>
          <w:sz w:val="32"/>
          <w:szCs w:val="32"/>
        </w:rPr>
        <w:t>万元，公务接待费</w:t>
      </w:r>
      <w:r>
        <w:rPr>
          <w:rFonts w:ascii="仿宋_GB2312" w:eastAsia="仿宋_GB2312" w:cs="DengXian-Regular"/>
          <w:sz w:val="32"/>
          <w:szCs w:val="32"/>
        </w:rPr>
        <w:t>3</w:t>
      </w:r>
      <w:r>
        <w:rPr>
          <w:rFonts w:hint="eastAsia" w:ascii="仿宋_GB2312" w:eastAsia="仿宋_GB2312" w:cs="DengXian-Regular"/>
          <w:sz w:val="32"/>
          <w:szCs w:val="32"/>
        </w:rPr>
        <w:t>万元），实际支出</w:t>
      </w:r>
      <w:r>
        <w:rPr>
          <w:rFonts w:ascii="仿宋_GB2312" w:eastAsia="仿宋_GB2312" w:cs="DengXian-Regular"/>
          <w:sz w:val="32"/>
          <w:szCs w:val="32"/>
        </w:rPr>
        <w:t>3.70</w:t>
      </w:r>
      <w:r>
        <w:rPr>
          <w:rFonts w:hint="eastAsia" w:ascii="仿宋_GB2312" w:eastAsia="仿宋_GB2312" w:cs="DengXian-Regular"/>
          <w:sz w:val="32"/>
          <w:szCs w:val="32"/>
        </w:rPr>
        <w:t>万元（公务用车运行维护费</w:t>
      </w:r>
      <w:r>
        <w:rPr>
          <w:rFonts w:ascii="仿宋_GB2312" w:eastAsia="仿宋_GB2312" w:cs="DengXian-Regular"/>
          <w:sz w:val="32"/>
          <w:szCs w:val="32"/>
        </w:rPr>
        <w:t>3.52</w:t>
      </w:r>
      <w:r>
        <w:rPr>
          <w:rFonts w:hint="eastAsia" w:ascii="仿宋_GB2312" w:eastAsia="仿宋_GB2312" w:cs="DengXian-Regular"/>
          <w:sz w:val="32"/>
          <w:szCs w:val="32"/>
        </w:rPr>
        <w:t>万元，公务接待费</w:t>
      </w:r>
      <w:r>
        <w:rPr>
          <w:rFonts w:ascii="仿宋_GB2312" w:eastAsia="仿宋_GB2312" w:cs="DengXian-Regular"/>
          <w:sz w:val="32"/>
          <w:szCs w:val="32"/>
        </w:rPr>
        <w:t>0.18</w:t>
      </w:r>
      <w:r>
        <w:rPr>
          <w:rFonts w:hint="eastAsia" w:ascii="仿宋_GB2312" w:eastAsia="仿宋_GB2312" w:cs="DengXian-Regular"/>
          <w:sz w:val="32"/>
          <w:szCs w:val="32"/>
        </w:rPr>
        <w:t>万元），比预算减少</w:t>
      </w:r>
      <w:r>
        <w:rPr>
          <w:rFonts w:ascii="仿宋_GB2312" w:eastAsia="仿宋_GB2312" w:cs="DengXian-Regular"/>
          <w:sz w:val="32"/>
          <w:szCs w:val="32"/>
        </w:rPr>
        <w:t>11.3</w:t>
      </w:r>
      <w:r>
        <w:rPr>
          <w:rFonts w:hint="eastAsia" w:ascii="仿宋_GB2312" w:eastAsia="仿宋_GB2312" w:cs="DengXian-Regular"/>
          <w:sz w:val="32"/>
          <w:szCs w:val="32"/>
        </w:rPr>
        <w:t>万元，节约率</w:t>
      </w:r>
      <w:r>
        <w:rPr>
          <w:rFonts w:ascii="仿宋_GB2312" w:eastAsia="仿宋_GB2312" w:cs="DengXian-Regular"/>
          <w:sz w:val="32"/>
          <w:szCs w:val="32"/>
        </w:rPr>
        <w:t>75.33</w:t>
      </w:r>
      <w:r>
        <w:rPr>
          <w:rFonts w:hint="eastAsia" w:ascii="仿宋_GB2312" w:eastAsia="仿宋_GB2312" w:cs="DengXian-Regular"/>
          <w:sz w:val="32"/>
          <w:szCs w:val="32"/>
        </w:rPr>
        <w:t>%。2019年“三公”经费预算数与2018年预算数相比无变化，决算数与2018年实际支出相比，减少</w:t>
      </w:r>
      <w:r>
        <w:rPr>
          <w:rFonts w:ascii="仿宋_GB2312" w:eastAsia="仿宋_GB2312" w:cs="DengXian-Regular"/>
          <w:sz w:val="32"/>
          <w:szCs w:val="32"/>
        </w:rPr>
        <w:t>11.3</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文广新局“三公”经费预算及决算明细表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3.52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11.48</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0.18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0.18</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3.70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-11.30</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1、公务用车：2019年底单位车辆合计</w:t>
      </w:r>
      <w:r>
        <w:rPr>
          <w:rFonts w:ascii="仿宋_GB2312" w:eastAsia="仿宋_GB2312" w:cs="DengXian-Regular"/>
          <w:sz w:val="32"/>
          <w:szCs w:val="32"/>
        </w:rPr>
        <w:t>5</w:t>
      </w:r>
      <w:r>
        <w:rPr>
          <w:rFonts w:hint="eastAsia" w:ascii="仿宋_GB2312" w:eastAsia="仿宋_GB2312" w:cs="DengXian-Regular"/>
          <w:sz w:val="32"/>
          <w:szCs w:val="32"/>
        </w:rPr>
        <w:t>辆，其中公务用车</w:t>
      </w:r>
      <w:r>
        <w:rPr>
          <w:rFonts w:ascii="仿宋_GB2312" w:eastAsia="仿宋_GB2312" w:cs="DengXian-Regular"/>
          <w:sz w:val="32"/>
          <w:szCs w:val="32"/>
        </w:rPr>
        <w:t>5</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辆。2019年公务用车购置及运维费年初预算</w:t>
      </w:r>
      <w:r>
        <w:rPr>
          <w:rFonts w:ascii="仿宋_GB2312" w:eastAsia="仿宋_GB2312" w:cs="DengXian-Regular"/>
          <w:sz w:val="32"/>
          <w:szCs w:val="32"/>
        </w:rPr>
        <w:t>15</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3.52</w:t>
      </w:r>
      <w:r>
        <w:rPr>
          <w:rFonts w:hint="eastAsia" w:ascii="仿宋_GB2312" w:eastAsia="仿宋_GB2312" w:cs="DengXian-Regular"/>
          <w:sz w:val="32"/>
          <w:szCs w:val="32"/>
        </w:rPr>
        <w:t>万元，比预算减少</w:t>
      </w:r>
      <w:r>
        <w:rPr>
          <w:rFonts w:ascii="仿宋_GB2312" w:eastAsia="仿宋_GB2312" w:cs="DengXian-Regular"/>
          <w:sz w:val="32"/>
          <w:szCs w:val="32"/>
        </w:rPr>
        <w:t>11.48</w:t>
      </w:r>
      <w:r>
        <w:rPr>
          <w:rFonts w:hint="eastAsia" w:ascii="仿宋_GB2312" w:eastAsia="仿宋_GB2312" w:cs="DengXian-Regular"/>
          <w:sz w:val="32"/>
          <w:szCs w:val="32"/>
        </w:rPr>
        <w:t>万元，节约率</w:t>
      </w:r>
      <w:r>
        <w:rPr>
          <w:rFonts w:ascii="仿宋_GB2312" w:eastAsia="仿宋_GB2312" w:cs="DengXian-Regular"/>
          <w:sz w:val="32"/>
          <w:szCs w:val="32"/>
        </w:rPr>
        <w:t>76.54</w:t>
      </w:r>
      <w:r>
        <w:rPr>
          <w:rFonts w:hint="eastAsia" w:ascii="仿宋_GB2312" w:eastAsia="仿宋_GB2312" w:cs="DengXian-Regular"/>
          <w:sz w:val="32"/>
          <w:szCs w:val="32"/>
        </w:rPr>
        <w:t>%。2019年预算数与2018年预算相比无变化，决算数与2018年实际支出相比，减少</w:t>
      </w:r>
      <w:r>
        <w:rPr>
          <w:rFonts w:ascii="仿宋_GB2312" w:eastAsia="仿宋_GB2312" w:cs="DengXian-Regular"/>
          <w:sz w:val="32"/>
          <w:szCs w:val="32"/>
        </w:rPr>
        <w:t>11.48</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2、公务接待：2019年公务接待费年初预算</w:t>
      </w:r>
      <w:r>
        <w:rPr>
          <w:rFonts w:ascii="仿宋_GB2312" w:eastAsia="仿宋_GB2312" w:cs="DengXian-Regular"/>
          <w:sz w:val="32"/>
          <w:szCs w:val="32"/>
        </w:rPr>
        <w:t>3</w:t>
      </w:r>
      <w:r>
        <w:rPr>
          <w:rFonts w:hint="eastAsia" w:ascii="仿宋_GB2312" w:eastAsia="仿宋_GB2312" w:cs="DengXian-Regular"/>
          <w:sz w:val="32"/>
          <w:szCs w:val="32"/>
        </w:rPr>
        <w:t>万元，实际支出</w:t>
      </w:r>
      <w:r>
        <w:rPr>
          <w:rFonts w:ascii="仿宋_GB2312" w:eastAsia="仿宋_GB2312" w:cs="DengXian-Regular"/>
          <w:sz w:val="32"/>
          <w:szCs w:val="32"/>
        </w:rPr>
        <w:t>0.18</w:t>
      </w:r>
      <w:r>
        <w:rPr>
          <w:rFonts w:hint="eastAsia" w:ascii="仿宋_GB2312" w:eastAsia="仿宋_GB2312" w:cs="DengXian-Regular"/>
          <w:sz w:val="32"/>
          <w:szCs w:val="32"/>
        </w:rPr>
        <w:t>万元，比预算减少了</w:t>
      </w:r>
      <w:r>
        <w:rPr>
          <w:rFonts w:ascii="仿宋_GB2312" w:eastAsia="仿宋_GB2312" w:cs="DengXian-Regular"/>
          <w:sz w:val="32"/>
          <w:szCs w:val="32"/>
        </w:rPr>
        <w:t>2.82</w:t>
      </w:r>
      <w:r>
        <w:rPr>
          <w:rFonts w:hint="eastAsia" w:ascii="仿宋_GB2312" w:eastAsia="仿宋_GB2312" w:cs="DengXian-Regular"/>
          <w:sz w:val="32"/>
          <w:szCs w:val="32"/>
        </w:rPr>
        <w:t>万元，节约率</w:t>
      </w:r>
      <w:r>
        <w:rPr>
          <w:rFonts w:ascii="仿宋_GB2312" w:eastAsia="仿宋_GB2312" w:cs="DengXian-Regular"/>
          <w:sz w:val="32"/>
          <w:szCs w:val="32"/>
        </w:rPr>
        <w:t>94</w:t>
      </w:r>
      <w:r>
        <w:rPr>
          <w:rFonts w:hint="eastAsia" w:ascii="仿宋_GB2312" w:eastAsia="仿宋_GB2312" w:cs="DengXian-Regular"/>
          <w:sz w:val="32"/>
          <w:szCs w:val="32"/>
        </w:rPr>
        <w:t>%。2019年预算数与2018年预算相比无变化，决算数与2018年实际支出相比，增加</w:t>
      </w:r>
      <w:r>
        <w:rPr>
          <w:rFonts w:ascii="仿宋_GB2312" w:eastAsia="仿宋_GB2312" w:cs="DengXian-Regular"/>
          <w:sz w:val="32"/>
          <w:szCs w:val="32"/>
        </w:rPr>
        <w:t>0.18</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bookmarkStart w:id="21" w:name="_Toc30221"/>
      <w:bookmarkStart w:id="22" w:name="_Toc492652772"/>
    </w:p>
    <w:p>
      <w:pPr>
        <w:spacing w:after="0" w:line="360" w:lineRule="auto"/>
        <w:ind w:firstLine="640" w:firstLineChars="200"/>
        <w:jc w:val="both"/>
        <w:rPr>
          <w:rFonts w:ascii="楷体" w:hAnsi="楷体" w:eastAsia="楷体"/>
          <w:kern w:val="2"/>
          <w:sz w:val="32"/>
        </w:rPr>
      </w:pPr>
      <w:r>
        <w:rPr>
          <w:rFonts w:hint="eastAsia" w:ascii="楷体" w:hAnsi="楷体" w:eastAsia="楷体"/>
          <w:kern w:val="2"/>
          <w:sz w:val="32"/>
        </w:rPr>
        <w:t>（二）过程（</w:t>
      </w:r>
      <w:r>
        <w:rPr>
          <w:rFonts w:ascii="楷体" w:hAnsi="楷体" w:eastAsia="楷体"/>
          <w:kern w:val="2"/>
          <w:sz w:val="32"/>
        </w:rPr>
        <w:t>43</w:t>
      </w:r>
      <w:r>
        <w:rPr>
          <w:rFonts w:hint="eastAsia" w:ascii="楷体" w:hAnsi="楷体" w:eastAsia="楷体"/>
          <w:kern w:val="2"/>
          <w:sz w:val="32"/>
        </w:rPr>
        <w:t>分</w:t>
      </w:r>
      <w:bookmarkEnd w:id="21"/>
      <w:bookmarkEnd w:id="22"/>
      <w:r>
        <w:rPr>
          <w:rFonts w:hint="eastAsia" w:ascii="楷体" w:hAnsi="楷体" w:eastAsia="楷体"/>
          <w:kern w:val="2"/>
          <w:sz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w:t>
      </w:r>
      <w:r>
        <w:rPr>
          <w:rFonts w:ascii="仿宋_GB2312" w:eastAsia="仿宋_GB2312" w:cs="DengXian-Regular"/>
          <w:sz w:val="32"/>
          <w:szCs w:val="32"/>
        </w:rPr>
        <w:t>43</w:t>
      </w:r>
      <w:r>
        <w:rPr>
          <w:rFonts w:hint="eastAsia" w:ascii="仿宋_GB2312" w:eastAsia="仿宋_GB2312" w:cs="DengXian-Regular"/>
          <w:sz w:val="32"/>
          <w:szCs w:val="32"/>
        </w:rPr>
        <w:t>分，下设3个二级指标：预算执行、预算管理和绩效评价，12个三级指标：收入完成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w:t>
      </w:r>
      <w:r>
        <w:rPr>
          <w:rFonts w:ascii="楷体" w:hAnsi="楷体" w:eastAsia="楷体"/>
          <w:kern w:val="2"/>
          <w:sz w:val="32"/>
        </w:rPr>
        <w:t>30</w:t>
      </w:r>
      <w:r>
        <w:rPr>
          <w:rFonts w:hint="eastAsia" w:ascii="楷体" w:hAnsi="楷体" w:eastAsia="楷体"/>
          <w:kern w:val="2"/>
          <w:sz w:val="32"/>
        </w:rPr>
        <w:t>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5.保定市徐水区财政局《关于开展</w:t>
      </w:r>
      <w:r>
        <w:rPr>
          <w:rFonts w:ascii="仿宋_GB2312" w:eastAsia="仿宋_GB2312" w:cs="DengXian-Regular"/>
          <w:sz w:val="32"/>
          <w:szCs w:val="32"/>
        </w:rPr>
        <w:t>部门整</w:t>
      </w:r>
      <w:r>
        <w:rPr>
          <w:rFonts w:hint="eastAsia" w:ascii="仿宋_GB2312" w:eastAsia="仿宋_GB2312" w:cs="DengXian-Regular"/>
          <w:sz w:val="32"/>
          <w:szCs w:val="32"/>
        </w:rPr>
        <w:t>体</w:t>
      </w:r>
      <w:r>
        <w:rPr>
          <w:rFonts w:ascii="仿宋_GB2312" w:eastAsia="仿宋_GB2312" w:cs="DengXian-Regular"/>
          <w:sz w:val="32"/>
          <w:szCs w:val="32"/>
        </w:rPr>
        <w:t>支出</w:t>
      </w:r>
      <w:r>
        <w:rPr>
          <w:rFonts w:hint="eastAsia" w:ascii="仿宋_GB2312" w:eastAsia="仿宋_GB2312" w:cs="DengXian-Regular"/>
          <w:sz w:val="32"/>
          <w:szCs w:val="32"/>
        </w:rPr>
        <w:t>绩</w:t>
      </w:r>
      <w:r>
        <w:rPr>
          <w:rFonts w:ascii="仿宋_GB2312" w:eastAsia="仿宋_GB2312" w:cs="DengXian-Regular"/>
          <w:sz w:val="32"/>
          <w:szCs w:val="32"/>
        </w:rPr>
        <w:t>效自评价工作</w:t>
      </w:r>
      <w:r>
        <w:rPr>
          <w:rFonts w:hint="eastAsia" w:ascii="仿宋_GB2312" w:eastAsia="仿宋_GB2312" w:cs="DengXian-Regular"/>
          <w:sz w:val="32"/>
          <w:szCs w:val="32"/>
        </w:rPr>
        <w:t>的通知》（徐政财字〔</w:t>
      </w:r>
      <w:r>
        <w:rPr>
          <w:rFonts w:ascii="仿宋_GB2312" w:eastAsia="仿宋_GB2312" w:cs="DengXian-Regular"/>
          <w:sz w:val="32"/>
          <w:szCs w:val="32"/>
        </w:rPr>
        <w:t>2020</w:t>
      </w:r>
      <w:r>
        <w:rPr>
          <w:rFonts w:hint="eastAsia" w:ascii="仿宋_GB2312" w:eastAsia="仿宋_GB2312" w:cs="DengXian-Regular"/>
          <w:sz w:val="32"/>
          <w:szCs w:val="32"/>
        </w:rPr>
        <w:t>〕</w:t>
      </w:r>
      <w:r>
        <w:rPr>
          <w:rFonts w:ascii="仿宋_GB2312" w:eastAsia="仿宋_GB2312" w:cs="DengXian-Regular"/>
          <w:sz w:val="32"/>
          <w:szCs w:val="32"/>
        </w:rPr>
        <w:t>32</w:t>
      </w:r>
      <w:r>
        <w:rPr>
          <w:rFonts w:hint="eastAsia" w:ascii="仿宋_GB2312" w:eastAsia="仿宋_GB2312" w:cs="DengXian-Regular"/>
          <w:sz w:val="32"/>
          <w:szCs w:val="32"/>
        </w:rPr>
        <w:t>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6.保定市徐水区财政局《关于印发&lt;保定市徐</w:t>
      </w:r>
      <w:r>
        <w:rPr>
          <w:rFonts w:ascii="仿宋_GB2312" w:eastAsia="仿宋_GB2312" w:cs="DengXian-Regular"/>
          <w:sz w:val="32"/>
          <w:szCs w:val="32"/>
        </w:rPr>
        <w:t>水区绩效自评抽查机制管理办法</w:t>
      </w:r>
      <w:r>
        <w:rPr>
          <w:rFonts w:hint="eastAsia" w:ascii="仿宋_GB2312" w:eastAsia="仿宋_GB2312" w:cs="DengXian-Regular"/>
          <w:sz w:val="32"/>
          <w:szCs w:val="32"/>
        </w:rPr>
        <w:t>（试</w:t>
      </w:r>
      <w:r>
        <w:rPr>
          <w:rFonts w:ascii="仿宋_GB2312" w:eastAsia="仿宋_GB2312" w:cs="DengXian-Regular"/>
          <w:sz w:val="32"/>
          <w:szCs w:val="32"/>
        </w:rPr>
        <w:t>行</w:t>
      </w:r>
      <w:r>
        <w:rPr>
          <w:rFonts w:hint="eastAsia" w:ascii="仿宋_GB2312" w:eastAsia="仿宋_GB2312" w:cs="DengXian-Regular"/>
          <w:sz w:val="32"/>
          <w:szCs w:val="32"/>
        </w:rPr>
        <w:t>）&gt;的通知》（徐政财字〔20</w:t>
      </w:r>
      <w:r>
        <w:rPr>
          <w:rFonts w:ascii="仿宋_GB2312" w:eastAsia="仿宋_GB2312" w:cs="DengXian-Regular"/>
          <w:sz w:val="32"/>
          <w:szCs w:val="32"/>
        </w:rPr>
        <w:t>20</w:t>
      </w:r>
      <w:r>
        <w:rPr>
          <w:rFonts w:hint="eastAsia" w:ascii="仿宋_GB2312" w:eastAsia="仿宋_GB2312" w:cs="DengXian-Regular"/>
          <w:sz w:val="32"/>
          <w:szCs w:val="32"/>
        </w:rPr>
        <w:t>〕</w:t>
      </w:r>
      <w:r>
        <w:rPr>
          <w:rFonts w:ascii="仿宋_GB2312" w:eastAsia="仿宋_GB2312" w:cs="DengXian-Regular"/>
          <w:sz w:val="32"/>
          <w:szCs w:val="32"/>
        </w:rPr>
        <w:t>29</w:t>
      </w:r>
      <w:r>
        <w:rPr>
          <w:rFonts w:hint="eastAsia" w:ascii="仿宋_GB2312" w:eastAsia="仿宋_GB2312" w:cs="DengXian-Regular"/>
          <w:sz w:val="32"/>
          <w:szCs w:val="32"/>
        </w:rPr>
        <w:t>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文广旅局2019年部门整体支出绩效目标和指标的设置及完成情况；资金预算情况、实际收支情况及结转结余情况；部门履职对社会发展所带来的直接或间接影响及服务对象对部门履职效果的满意程度。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文广旅局部门整体支出绩效评价总得分为</w:t>
      </w:r>
      <w:r>
        <w:rPr>
          <w:rFonts w:ascii="仿宋_GB2312" w:eastAsia="仿宋_GB2312" w:cs="DengXian-Regular"/>
          <w:sz w:val="32"/>
          <w:szCs w:val="32"/>
        </w:rPr>
        <w:t>81.07</w:t>
      </w:r>
      <w:r>
        <w:rPr>
          <w:rFonts w:hint="eastAsia" w:ascii="仿宋_GB2312" w:eastAsia="仿宋_GB2312" w:cs="DengXian-Regular"/>
          <w:sz w:val="32"/>
          <w:szCs w:val="32"/>
        </w:rPr>
        <w:t>分，综合绩效评价等级为“良”。各项得分情况如下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文化广电和旅游局职能配置内设机构和人员编制规定》和徐水区文广旅局2019年预算文本—部门职责工作活动绩效目标，评价工作组认为区文广旅局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根据区文广旅局2019年预算文本—部门职责工作活动绩效目标，绩效目标与部门履职、年度工作任务相符；工作活动有明确的绩效目标，绩效目标与部门职责目标、部门年度工作目标一致。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根据2019年预算文本及相关会计资料，单位所有收入均已纳入部门预算，部门支出按基本支出、项目支出分别编制。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根据2019年预算文本—部门项目支出预算表， 2019年预算项目共</w:t>
      </w:r>
      <w:r>
        <w:rPr>
          <w:rFonts w:ascii="仿宋_GB2312" w:eastAsia="仿宋_GB2312" w:cs="DengXian-Regular"/>
          <w:sz w:val="32"/>
          <w:szCs w:val="32"/>
        </w:rPr>
        <w:t>14</w:t>
      </w:r>
      <w:r>
        <w:rPr>
          <w:rFonts w:hint="eastAsia" w:ascii="仿宋_GB2312" w:eastAsia="仿宋_GB2312" w:cs="DengXian-Regular"/>
          <w:sz w:val="32"/>
          <w:szCs w:val="32"/>
        </w:rPr>
        <w:t>个，涉及资金</w:t>
      </w:r>
      <w:r>
        <w:rPr>
          <w:rFonts w:ascii="仿宋_GB2312" w:eastAsia="仿宋_GB2312" w:cs="DengXian-Regular"/>
          <w:sz w:val="32"/>
          <w:szCs w:val="32"/>
        </w:rPr>
        <w:t>328.42</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328.42</w:t>
      </w:r>
      <w:r>
        <w:rPr>
          <w:rFonts w:hint="eastAsia" w:ascii="仿宋_GB2312" w:eastAsia="仿宋_GB2312" w:cs="DengXian-Regular"/>
          <w:sz w:val="32"/>
          <w:szCs w:val="32"/>
        </w:rPr>
        <w:t>/</w:t>
      </w:r>
      <w:r>
        <w:rPr>
          <w:rFonts w:ascii="仿宋_GB2312" w:eastAsia="仿宋_GB2312" w:cs="DengXian-Regular"/>
          <w:sz w:val="32"/>
          <w:szCs w:val="32"/>
        </w:rPr>
        <w:t>328.42</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该指标主要考核截至2019年底本单位在职人员控制情况，通过在职人员控制率衡量。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根据保定市徐水区委办公室及保定市徐水区人民政府办公室关于印发《保定市徐水区文化广电和旅游局职能配置内设机构和人员编制规定》的通知，人员编制为</w:t>
      </w:r>
      <w:r>
        <w:rPr>
          <w:rFonts w:ascii="仿宋_GB2312" w:eastAsia="仿宋_GB2312" w:cs="DengXian-Regular"/>
          <w:sz w:val="32"/>
          <w:szCs w:val="32"/>
        </w:rPr>
        <w:t>10</w:t>
      </w:r>
      <w:r>
        <w:rPr>
          <w:rFonts w:hint="eastAsia" w:ascii="仿宋_GB2312" w:eastAsia="仿宋_GB2312" w:cs="DengXian-Regular"/>
          <w:sz w:val="32"/>
          <w:szCs w:val="32"/>
        </w:rPr>
        <w:t>人，根据2019年决算文本-部门基本情况表，截至2019年底，在职人员</w:t>
      </w:r>
      <w:r>
        <w:rPr>
          <w:rFonts w:ascii="仿宋_GB2312" w:eastAsia="仿宋_GB2312" w:cs="DengXian-Regular"/>
          <w:sz w:val="32"/>
          <w:szCs w:val="32"/>
        </w:rPr>
        <w:t>5</w:t>
      </w:r>
      <w:r>
        <w:rPr>
          <w:rFonts w:hint="eastAsia" w:ascii="仿宋_GB2312" w:eastAsia="仿宋_GB2312" w:cs="DengXian-Regular"/>
          <w:sz w:val="32"/>
          <w:szCs w:val="32"/>
        </w:rPr>
        <w:t>人，在职人员控制率=（</w:t>
      </w:r>
      <w:r>
        <w:rPr>
          <w:rFonts w:ascii="仿宋_GB2312" w:eastAsia="仿宋_GB2312" w:cs="DengXian-Regular"/>
          <w:sz w:val="32"/>
          <w:szCs w:val="32"/>
        </w:rPr>
        <w:t>5</w:t>
      </w:r>
      <w:r>
        <w:rPr>
          <w:rFonts w:hint="eastAsia" w:ascii="仿宋_GB2312" w:eastAsia="仿宋_GB2312" w:cs="DengXian-Regular"/>
          <w:sz w:val="32"/>
          <w:szCs w:val="32"/>
        </w:rPr>
        <w:t>/</w:t>
      </w:r>
      <w:r>
        <w:rPr>
          <w:rFonts w:ascii="仿宋_GB2312" w:eastAsia="仿宋_GB2312" w:cs="DengXian-Regular"/>
          <w:sz w:val="32"/>
          <w:szCs w:val="32"/>
        </w:rPr>
        <w:t>10</w:t>
      </w:r>
      <w:r>
        <w:rPr>
          <w:rFonts w:hint="eastAsia" w:ascii="仿宋_GB2312" w:eastAsia="仿宋_GB2312" w:cs="DengXian-Regular"/>
          <w:sz w:val="32"/>
          <w:szCs w:val="32"/>
        </w:rPr>
        <w:t>）*100%=</w:t>
      </w:r>
      <w:r>
        <w:rPr>
          <w:rFonts w:ascii="仿宋_GB2312" w:eastAsia="仿宋_GB2312" w:cs="DengXian-Regular"/>
          <w:sz w:val="32"/>
          <w:szCs w:val="32"/>
        </w:rPr>
        <w:t>50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w:t>
      </w:r>
      <w:r>
        <w:rPr>
          <w:rFonts w:ascii="楷体" w:hAnsi="楷体" w:eastAsia="楷体"/>
          <w:sz w:val="32"/>
        </w:rPr>
        <w:t>43</w:t>
      </w:r>
      <w:r>
        <w:rPr>
          <w:rFonts w:hint="eastAsia" w:ascii="楷体" w:hAnsi="楷体" w:eastAsia="楷体"/>
          <w:sz w:val="32"/>
        </w:rPr>
        <w:t>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w:t>
      </w:r>
      <w:r>
        <w:rPr>
          <w:rFonts w:ascii="仿宋_GB2312" w:eastAsia="仿宋_GB2312" w:cs="DengXian-Regular"/>
          <w:sz w:val="32"/>
          <w:szCs w:val="32"/>
        </w:rPr>
        <w:t>执行</w:t>
      </w:r>
      <w:r>
        <w:rPr>
          <w:rFonts w:hint="eastAsia" w:ascii="仿宋_GB2312" w:eastAsia="仿宋_GB2312" w:cs="DengXian-Regular"/>
          <w:sz w:val="32"/>
          <w:szCs w:val="32"/>
        </w:rPr>
        <w:t>、预算管理、收入支出完成情况，“三公”经费、政府采购执行情况，财务管理是否规范、资金使用是否合规，决算真实性。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cs="宋体" w:asciiTheme="minorEastAsia" w:hAnsiTheme="minorEastAsia" w:eastAsiaTheme="minorEastAsia"/>
                <w:sz w:val="21"/>
                <w:szCs w:val="21"/>
              </w:rPr>
              <w:t>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19</w:t>
            </w:r>
            <w:r>
              <w:rPr>
                <w:rFonts w:hint="eastAsia" w:cs="宋体" w:asciiTheme="minorEastAsia" w:hAnsiTheme="minorEastAsia" w:eastAsiaTheme="minorEastAsia"/>
                <w:sz w:val="21"/>
                <w:szCs w:val="21"/>
              </w:rPr>
              <w:t>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c>
          <w:tcPr>
            <w:tcW w:w="1276" w:type="dxa"/>
            <w:vAlign w:val="center"/>
          </w:tcPr>
          <w:p>
            <w:pPr>
              <w:spacing w:line="420" w:lineRule="exact"/>
              <w:jc w:val="center"/>
              <w:rPr>
                <w:rFonts w:cs="宋体" w:asciiTheme="minorEastAsia" w:hAnsiTheme="minorEastAsia" w:eastAsiaTheme="minorEastAsia"/>
                <w:color w:val="FF0000"/>
                <w:sz w:val="21"/>
                <w:szCs w:val="21"/>
              </w:rPr>
            </w:pPr>
            <w:r>
              <w:rPr>
                <w:rFonts w:cs="宋体" w:asciiTheme="minorEastAsia" w:hAnsiTheme="minorEastAsia" w:eastAsiaTheme="minorEastAsia"/>
                <w:color w:val="FF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1"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29.52</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 （1）收入完成率（</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根据文广旅局2019年预算文本、决算文本，2019年收入预算数</w:t>
      </w:r>
      <w:r>
        <w:rPr>
          <w:rFonts w:ascii="仿宋_GB2312" w:eastAsia="仿宋_GB2312" w:cs="DengXian-Regular"/>
          <w:sz w:val="32"/>
          <w:szCs w:val="32"/>
        </w:rPr>
        <w:t>1717.44</w:t>
      </w:r>
      <w:r>
        <w:rPr>
          <w:rFonts w:hint="eastAsia" w:ascii="仿宋_GB2312" w:eastAsia="仿宋_GB2312" w:cs="DengXian-Regular"/>
          <w:sz w:val="32"/>
          <w:szCs w:val="32"/>
        </w:rPr>
        <w:t>万元，收入决算数</w:t>
      </w:r>
      <w:r>
        <w:rPr>
          <w:rFonts w:ascii="仿宋_GB2312" w:eastAsia="仿宋_GB2312" w:cs="DengXian-Regular"/>
          <w:sz w:val="32"/>
          <w:szCs w:val="32"/>
        </w:rPr>
        <w:t>1496.39</w:t>
      </w:r>
      <w:r>
        <w:rPr>
          <w:rFonts w:hint="eastAsia" w:ascii="仿宋_GB2312" w:eastAsia="仿宋_GB2312" w:cs="DengXian-Regular"/>
          <w:sz w:val="32"/>
          <w:szCs w:val="32"/>
        </w:rPr>
        <w:t>万元，收入完成率=（</w:t>
      </w:r>
      <w:r>
        <w:rPr>
          <w:rFonts w:ascii="仿宋_GB2312" w:eastAsia="仿宋_GB2312" w:cs="DengXian-Regular"/>
          <w:sz w:val="32"/>
          <w:szCs w:val="32"/>
        </w:rPr>
        <w:t>1496.39</w:t>
      </w:r>
      <w:r>
        <w:rPr>
          <w:rFonts w:hint="eastAsia" w:ascii="仿宋_GB2312" w:eastAsia="仿宋_GB2312" w:cs="DengXian-Regular"/>
          <w:sz w:val="32"/>
          <w:szCs w:val="32"/>
        </w:rPr>
        <w:t>/</w:t>
      </w:r>
      <w:r>
        <w:rPr>
          <w:rFonts w:ascii="仿宋_GB2312" w:eastAsia="仿宋_GB2312" w:cs="DengXian-Regular"/>
          <w:sz w:val="32"/>
          <w:szCs w:val="32"/>
        </w:rPr>
        <w:t>1717.44</w:t>
      </w:r>
      <w:r>
        <w:rPr>
          <w:rFonts w:hint="eastAsia" w:ascii="仿宋_GB2312" w:eastAsia="仿宋_GB2312" w:cs="DengXian-Regular"/>
          <w:sz w:val="32"/>
          <w:szCs w:val="32"/>
        </w:rPr>
        <w:t>）*100%=</w:t>
      </w:r>
      <w:r>
        <w:rPr>
          <w:rFonts w:ascii="仿宋_GB2312" w:eastAsia="仿宋_GB2312" w:cs="DengXian-Regular"/>
          <w:sz w:val="32"/>
          <w:szCs w:val="32"/>
        </w:rPr>
        <w:t>87.13</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（2）财政拨款支出完成率（</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文广旅局2019年决算文本，部门决算财政拨款支出数</w:t>
      </w:r>
      <w:r>
        <w:rPr>
          <w:rFonts w:ascii="仿宋_GB2312" w:eastAsia="仿宋_GB2312" w:cs="DengXian-Regular"/>
          <w:sz w:val="32"/>
          <w:szCs w:val="32"/>
        </w:rPr>
        <w:t>1120.50</w:t>
      </w:r>
      <w:r>
        <w:rPr>
          <w:rFonts w:hint="eastAsia" w:ascii="仿宋_GB2312" w:eastAsia="仿宋_GB2312" w:cs="DengXian-Regular"/>
          <w:sz w:val="32"/>
          <w:szCs w:val="32"/>
        </w:rPr>
        <w:t>万元，财政拨款收入数</w:t>
      </w:r>
      <w:r>
        <w:rPr>
          <w:rFonts w:ascii="仿宋_GB2312" w:eastAsia="仿宋_GB2312" w:cs="DengXian-Regular"/>
          <w:sz w:val="32"/>
          <w:szCs w:val="32"/>
        </w:rPr>
        <w:t>1496.39</w:t>
      </w:r>
      <w:r>
        <w:rPr>
          <w:rFonts w:hint="eastAsia" w:ascii="仿宋_GB2312" w:eastAsia="仿宋_GB2312" w:cs="DengXian-Regular"/>
          <w:sz w:val="32"/>
          <w:szCs w:val="32"/>
        </w:rPr>
        <w:t>万元，财政拨款支出率=（</w:t>
      </w:r>
      <w:r>
        <w:rPr>
          <w:rFonts w:ascii="仿宋_GB2312" w:eastAsia="仿宋_GB2312" w:cs="DengXian-Regular"/>
          <w:sz w:val="32"/>
          <w:szCs w:val="32"/>
        </w:rPr>
        <w:t>1120.50</w:t>
      </w:r>
      <w:r>
        <w:rPr>
          <w:rFonts w:hint="eastAsia" w:ascii="仿宋_GB2312" w:eastAsia="仿宋_GB2312" w:cs="DengXian-Regular"/>
          <w:sz w:val="32"/>
          <w:szCs w:val="32"/>
        </w:rPr>
        <w:t>/</w:t>
      </w:r>
      <w:r>
        <w:rPr>
          <w:rFonts w:ascii="仿宋_GB2312" w:eastAsia="仿宋_GB2312" w:cs="DengXian-Regular"/>
          <w:sz w:val="32"/>
          <w:szCs w:val="32"/>
        </w:rPr>
        <w:t>1496.39</w:t>
      </w:r>
      <w:r>
        <w:rPr>
          <w:rFonts w:hint="eastAsia" w:ascii="仿宋_GB2312" w:eastAsia="仿宋_GB2312" w:cs="DengXian-Regular"/>
          <w:sz w:val="32"/>
          <w:szCs w:val="32"/>
        </w:rPr>
        <w:t>）*100%=</w:t>
      </w:r>
      <w:r>
        <w:rPr>
          <w:rFonts w:ascii="仿宋_GB2312" w:eastAsia="仿宋_GB2312" w:cs="DengXian-Regular"/>
          <w:sz w:val="32"/>
          <w:szCs w:val="32"/>
        </w:rPr>
        <w:t>74.88</w:t>
      </w:r>
      <w:r>
        <w:rPr>
          <w:rFonts w:hint="eastAsia" w:ascii="仿宋_GB2312" w:eastAsia="仿宋_GB2312" w:cs="DengXian-Regular"/>
          <w:sz w:val="32"/>
          <w:szCs w:val="32"/>
        </w:rPr>
        <w:t>%</w:t>
      </w:r>
      <w:r>
        <w:rPr>
          <w:rFonts w:ascii="Arial" w:hAnsi="Arial" w:eastAsia="仿宋_GB2312" w:cs="Arial"/>
          <w:sz w:val="32"/>
          <w:szCs w:val="32"/>
        </w:rPr>
        <w:t>&lt;</w:t>
      </w:r>
      <w:r>
        <w:rPr>
          <w:rFonts w:ascii="仿宋_GB2312" w:eastAsia="仿宋_GB2312" w:cs="DengXian-Regular"/>
          <w:sz w:val="32"/>
          <w:szCs w:val="32"/>
        </w:rPr>
        <w:t>8</w:t>
      </w:r>
      <w:r>
        <w:rPr>
          <w:rFonts w:hint="eastAsia" w:ascii="仿宋_GB2312" w:eastAsia="仿宋_GB2312" w:cs="DengXian-Regular"/>
          <w:sz w:val="32"/>
          <w:szCs w:val="32"/>
        </w:rPr>
        <w:t xml:space="preserve">0%。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（3）“三公”经费控制率（</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根据2019年预算文本及决算文本，“三公”经费年初预算数</w:t>
      </w:r>
      <w:r>
        <w:rPr>
          <w:rFonts w:ascii="仿宋_GB2312" w:eastAsia="仿宋_GB2312" w:cs="DengXian-Regular"/>
          <w:sz w:val="32"/>
          <w:szCs w:val="32"/>
        </w:rPr>
        <w:t>19</w:t>
      </w:r>
      <w:r>
        <w:rPr>
          <w:rFonts w:hint="eastAsia" w:ascii="仿宋_GB2312" w:eastAsia="仿宋_GB2312" w:cs="DengXian-Regular"/>
          <w:sz w:val="32"/>
          <w:szCs w:val="32"/>
        </w:rPr>
        <w:t>万元，年末决算数</w:t>
      </w:r>
      <w:r>
        <w:rPr>
          <w:rFonts w:ascii="仿宋_GB2312" w:eastAsia="仿宋_GB2312" w:cs="DengXian-Regular"/>
          <w:sz w:val="32"/>
          <w:szCs w:val="32"/>
        </w:rPr>
        <w:t>4.86</w:t>
      </w:r>
      <w:r>
        <w:rPr>
          <w:rFonts w:hint="eastAsia" w:ascii="仿宋_GB2312" w:eastAsia="仿宋_GB2312" w:cs="DengXian-Regular"/>
          <w:sz w:val="32"/>
          <w:szCs w:val="32"/>
        </w:rPr>
        <w:t>万元，“三公”经费控制率=（</w:t>
      </w:r>
      <w:r>
        <w:rPr>
          <w:rFonts w:ascii="仿宋_GB2312" w:eastAsia="仿宋_GB2312" w:cs="DengXian-Regular"/>
          <w:sz w:val="32"/>
          <w:szCs w:val="32"/>
        </w:rPr>
        <w:t>3.7</w:t>
      </w:r>
      <w:r>
        <w:rPr>
          <w:rFonts w:hint="eastAsia" w:ascii="仿宋_GB2312" w:eastAsia="仿宋_GB2312" w:cs="DengXian-Regular"/>
          <w:sz w:val="32"/>
          <w:szCs w:val="32"/>
        </w:rPr>
        <w:t>/</w:t>
      </w:r>
      <w:r>
        <w:rPr>
          <w:rFonts w:ascii="仿宋_GB2312" w:eastAsia="仿宋_GB2312" w:cs="DengXian-Regular"/>
          <w:sz w:val="32"/>
          <w:szCs w:val="32"/>
        </w:rPr>
        <w:t>19</w:t>
      </w:r>
      <w:r>
        <w:rPr>
          <w:rFonts w:hint="eastAsia" w:ascii="仿宋_GB2312" w:eastAsia="仿宋_GB2312" w:cs="DengXian-Regular"/>
          <w:sz w:val="32"/>
          <w:szCs w:val="32"/>
        </w:rPr>
        <w:t>）*100%=</w:t>
      </w:r>
      <w:r>
        <w:rPr>
          <w:rFonts w:ascii="仿宋_GB2312" w:eastAsia="仿宋_GB2312" w:cs="DengXian-Regular"/>
          <w:sz w:val="32"/>
          <w:szCs w:val="32"/>
        </w:rPr>
        <w:t>19.47</w:t>
      </w:r>
      <w:r>
        <w:rPr>
          <w:rFonts w:hint="eastAsia" w:ascii="仿宋_GB2312" w:eastAsia="仿宋_GB2312" w:cs="DengXian-Regular"/>
          <w:sz w:val="32"/>
          <w:szCs w:val="32"/>
        </w:rPr>
        <w:t>%</w:t>
      </w:r>
      <w:r>
        <w:rPr>
          <w:rFonts w:ascii="Arial" w:hAnsi="Arial" w:eastAsia="仿宋_GB2312" w:cs="Arial"/>
          <w:sz w:val="32"/>
          <w:szCs w:val="32"/>
        </w:rPr>
        <w:t>&lt;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（4）政府采购执行率（</w:t>
      </w:r>
      <w:r>
        <w:rPr>
          <w:rFonts w:ascii="仿宋_GB2312" w:eastAsia="仿宋_GB2312" w:cs="DengXian-Regular"/>
          <w:sz w:val="32"/>
          <w:szCs w:val="32"/>
        </w:rPr>
        <w:t>1</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根据2019年预算文本及决算文本，政府采购年初预算数</w:t>
      </w:r>
      <w:r>
        <w:rPr>
          <w:rFonts w:ascii="仿宋_GB2312" w:eastAsia="仿宋_GB2312" w:cs="DengXian-Regular"/>
          <w:sz w:val="32"/>
          <w:szCs w:val="32"/>
        </w:rPr>
        <w:t>40.13</w:t>
      </w:r>
      <w:r>
        <w:rPr>
          <w:rFonts w:hint="eastAsia" w:ascii="仿宋_GB2312" w:eastAsia="仿宋_GB2312" w:cs="DengXian-Regular"/>
          <w:sz w:val="32"/>
          <w:szCs w:val="32"/>
        </w:rPr>
        <w:t>万元，年末决算数</w:t>
      </w:r>
      <w:r>
        <w:rPr>
          <w:rFonts w:ascii="仿宋_GB2312" w:eastAsia="仿宋_GB2312" w:cs="DengXian-Regular"/>
          <w:sz w:val="32"/>
          <w:szCs w:val="32"/>
        </w:rPr>
        <w:t>0</w:t>
      </w:r>
      <w:r>
        <w:rPr>
          <w:rFonts w:hint="eastAsia" w:ascii="仿宋_GB2312" w:eastAsia="仿宋_GB2312" w:cs="DengXian-Regular"/>
          <w:sz w:val="32"/>
          <w:szCs w:val="32"/>
        </w:rPr>
        <w:t>万元，政府采购执行率为</w:t>
      </w:r>
      <w:r>
        <w:rPr>
          <w:rFonts w:ascii="仿宋_GB2312" w:eastAsia="仿宋_GB2312" w:cs="DengXian-Regular"/>
          <w:sz w:val="32"/>
          <w:szCs w:val="32"/>
        </w:rPr>
        <w:t>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3*0%=0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根据2019年明细账、会计凭证等相关资料，单位资金使用符合相关会计准则和财务制度，资金拨付有完备的审批程序和手续，资金使用符合部门预算批复的用途，未发现截留、挤占、挪用财政资金的情况。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经核查文广旅局2019年决算文本、明细账及总账，单位决算文本数据均与明细账、总账一致。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文广旅局工作制度涵盖了财务制度、公务用车制度等相关制度，经检查单位付款流程审批单、资产盘点表等资料，已按照相关管理制度的规定执行。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文广旅局2019年按政府信息公开的有关要求在保定市徐水区人民政府网公开了2019年的预决算情况、部门责任清单、行政监督清单等相关信息。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根据单位提供的会计账簿、凭证及其他相关资料，会计信息资料真实完整，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单位建立了固定资产台账、无形资产台账，资产保存完整，2019年新增资产</w:t>
      </w:r>
      <w:r>
        <w:rPr>
          <w:rFonts w:ascii="仿宋_GB2312" w:eastAsia="仿宋_GB2312" w:cs="DengXian-Regular"/>
          <w:sz w:val="32"/>
          <w:szCs w:val="32"/>
        </w:rPr>
        <w:t>25.37</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根据徐水区财政局《关于开展2019年度财政专项资金部门绩效自评价工作的通知》及徐水区文广旅局2019年一般项目部门绩效自评表，文广旅局2019年开展绩效自评的项目数为</w:t>
      </w:r>
      <w:r>
        <w:rPr>
          <w:rFonts w:ascii="仿宋_GB2312" w:eastAsia="仿宋_GB2312" w:cs="DengXian-Regular"/>
          <w:sz w:val="32"/>
          <w:szCs w:val="32"/>
        </w:rPr>
        <w:t>14</w:t>
      </w:r>
      <w:r>
        <w:rPr>
          <w:rFonts w:hint="eastAsia" w:ascii="仿宋_GB2312" w:eastAsia="仿宋_GB2312" w:cs="DengXian-Regular"/>
          <w:sz w:val="32"/>
          <w:szCs w:val="32"/>
        </w:rPr>
        <w:t>个，年初预算文本项目数</w:t>
      </w:r>
      <w:r>
        <w:rPr>
          <w:rFonts w:ascii="仿宋_GB2312" w:eastAsia="仿宋_GB2312" w:cs="DengXian-Regular"/>
          <w:sz w:val="32"/>
          <w:szCs w:val="32"/>
        </w:rPr>
        <w:t>25</w:t>
      </w:r>
      <w:r>
        <w:rPr>
          <w:rFonts w:hint="eastAsia" w:ascii="仿宋_GB2312" w:eastAsia="仿宋_GB2312" w:cs="DengXian-Regular"/>
          <w:sz w:val="32"/>
          <w:szCs w:val="32"/>
        </w:rPr>
        <w:t>个，要求自评项目个数</w:t>
      </w:r>
      <w:r>
        <w:rPr>
          <w:rFonts w:ascii="仿宋_GB2312" w:eastAsia="仿宋_GB2312" w:cs="DengXian-Regular"/>
          <w:sz w:val="32"/>
          <w:szCs w:val="32"/>
        </w:rPr>
        <w:t>14</w:t>
      </w:r>
      <w:r>
        <w:rPr>
          <w:rFonts w:hint="eastAsia" w:ascii="仿宋_GB2312" w:eastAsia="仿宋_GB2312" w:cs="DengXian-Regular"/>
          <w:sz w:val="32"/>
          <w:szCs w:val="32"/>
        </w:rPr>
        <w:t>个，自评覆盖率为</w:t>
      </w:r>
      <w:r>
        <w:rPr>
          <w:rFonts w:ascii="仿宋_GB2312" w:eastAsia="仿宋_GB2312" w:cs="DengXian-Regular"/>
          <w:sz w:val="32"/>
          <w:szCs w:val="32"/>
        </w:rPr>
        <w:t>56</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2.24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文广旅局2019年参评数量</w:t>
      </w:r>
      <w:r>
        <w:rPr>
          <w:rFonts w:ascii="仿宋_GB2312" w:eastAsia="仿宋_GB2312" w:cs="DengXian-Regular"/>
          <w:sz w:val="32"/>
          <w:szCs w:val="32"/>
        </w:rPr>
        <w:t>14</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8</w:t>
      </w:r>
      <w:r>
        <w:rPr>
          <w:rFonts w:hint="eastAsia" w:ascii="仿宋_GB2312" w:eastAsia="仿宋_GB2312" w:cs="DengXian-Regular"/>
          <w:sz w:val="32"/>
          <w:szCs w:val="32"/>
        </w:rPr>
        <w:t>个，绩效评价优等率为</w:t>
      </w:r>
      <w:r>
        <w:rPr>
          <w:rFonts w:ascii="仿宋_GB2312" w:eastAsia="仿宋_GB2312" w:cs="DengXian-Regular"/>
          <w:sz w:val="32"/>
          <w:szCs w:val="32"/>
        </w:rPr>
        <w:t>57.14</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2.28</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w:t>
      </w:r>
      <w:r>
        <w:rPr>
          <w:rFonts w:ascii="楷体" w:hAnsi="楷体" w:eastAsia="楷体"/>
          <w:sz w:val="32"/>
        </w:rPr>
        <w:t>30</w:t>
      </w:r>
      <w:r>
        <w:rPr>
          <w:rFonts w:hint="eastAsia" w:ascii="楷体" w:hAnsi="楷体" w:eastAsia="楷体"/>
          <w:sz w:val="32"/>
        </w:rPr>
        <w:t>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该一级指标包含责任履行一个二级指标，主要反映结转结余率，项目资金使用率，公共文化</w:t>
      </w:r>
      <w:r>
        <w:rPr>
          <w:rFonts w:ascii="仿宋_GB2312" w:eastAsia="仿宋_GB2312" w:cs="DengXian-Regular"/>
          <w:sz w:val="32"/>
          <w:szCs w:val="32"/>
        </w:rPr>
        <w:t>服务对象人数</w:t>
      </w:r>
      <w:r>
        <w:rPr>
          <w:rFonts w:hint="eastAsia" w:ascii="仿宋_GB2312" w:eastAsia="仿宋_GB2312" w:cs="DengXian-Regular"/>
          <w:sz w:val="32"/>
          <w:szCs w:val="32"/>
        </w:rPr>
        <w:t>，平均每村电影放映场次，农家书屋出版物补充更新率。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7095" w:type="dxa"/>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30</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4.55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公共文化</w:t>
            </w:r>
            <w:r>
              <w:rPr>
                <w:rFonts w:cs="宋体" w:asciiTheme="minorEastAsia" w:hAnsiTheme="minorEastAsia" w:eastAsiaTheme="minorEastAsia"/>
                <w:sz w:val="21"/>
                <w:szCs w:val="21"/>
              </w:rPr>
              <w:t>服务对象人数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6</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开展群众文化活动场次</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开展基层文艺骨干培训场次（</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7</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24.55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根据2019年决算文本及相关资料，2019年结转结余资金</w:t>
      </w:r>
      <w:r>
        <w:rPr>
          <w:rFonts w:ascii="仿宋_GB2312" w:eastAsia="仿宋_GB2312" w:cs="DengXian-Regular"/>
          <w:sz w:val="32"/>
          <w:szCs w:val="32"/>
        </w:rPr>
        <w:t>462.05</w:t>
      </w:r>
      <w:r>
        <w:rPr>
          <w:rFonts w:hint="eastAsia" w:ascii="仿宋_GB2312" w:eastAsia="仿宋_GB2312" w:cs="DengXian-Regular"/>
          <w:sz w:val="32"/>
          <w:szCs w:val="32"/>
        </w:rPr>
        <w:t>万元，决算收入</w:t>
      </w:r>
      <w:r>
        <w:rPr>
          <w:rFonts w:ascii="仿宋_GB2312" w:eastAsia="仿宋_GB2312" w:cs="DengXian-Regular"/>
          <w:sz w:val="32"/>
          <w:szCs w:val="32"/>
        </w:rPr>
        <w:t>1496.39</w:t>
      </w:r>
      <w:r>
        <w:rPr>
          <w:rFonts w:hint="eastAsia" w:ascii="仿宋_GB2312" w:eastAsia="仿宋_GB2312" w:cs="DengXian-Regular"/>
          <w:sz w:val="32"/>
          <w:szCs w:val="32"/>
        </w:rPr>
        <w:t>万元，结转结余率</w:t>
      </w:r>
      <w:r>
        <w:rPr>
          <w:rFonts w:ascii="仿宋_GB2312" w:eastAsia="仿宋_GB2312" w:cs="DengXian-Regular"/>
          <w:sz w:val="32"/>
          <w:szCs w:val="32"/>
        </w:rPr>
        <w:t>30.87</w:t>
      </w:r>
      <w:r>
        <w:rPr>
          <w:rFonts w:hint="eastAsia" w:ascii="仿宋_GB2312" w:eastAsia="仿宋_GB2312" w:cs="DengXian-Regular"/>
          <w:sz w:val="32"/>
          <w:szCs w:val="32"/>
        </w:rPr>
        <w:t xml:space="preserve">%，大于5%。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2019年实际支出项目资金总额</w:t>
      </w:r>
      <w:r>
        <w:rPr>
          <w:rFonts w:ascii="仿宋_GB2312" w:eastAsia="仿宋_GB2312" w:cs="DengXian-Regular"/>
          <w:sz w:val="32"/>
          <w:szCs w:val="32"/>
        </w:rPr>
        <w:t>359.78</w:t>
      </w:r>
      <w:r>
        <w:rPr>
          <w:rFonts w:hint="eastAsia" w:ascii="仿宋_GB2312" w:eastAsia="仿宋_GB2312" w:cs="DengXian-Regular"/>
          <w:sz w:val="32"/>
          <w:szCs w:val="32"/>
        </w:rPr>
        <w:t>万元，年初预算共</w:t>
      </w:r>
      <w:r>
        <w:rPr>
          <w:rFonts w:ascii="仿宋_GB2312" w:eastAsia="仿宋_GB2312" w:cs="DengXian-Regular"/>
          <w:sz w:val="32"/>
          <w:szCs w:val="32"/>
        </w:rPr>
        <w:t>14</w:t>
      </w:r>
      <w:r>
        <w:rPr>
          <w:rFonts w:hint="eastAsia" w:ascii="仿宋_GB2312" w:eastAsia="仿宋_GB2312" w:cs="DengXian-Regular"/>
          <w:sz w:val="32"/>
          <w:szCs w:val="32"/>
        </w:rPr>
        <w:t>个项目，预算数</w:t>
      </w:r>
      <w:r>
        <w:rPr>
          <w:rFonts w:ascii="仿宋_GB2312" w:eastAsia="仿宋_GB2312" w:cs="DengXian-Regular"/>
          <w:sz w:val="32"/>
          <w:szCs w:val="32"/>
        </w:rPr>
        <w:t>328.42</w:t>
      </w:r>
      <w:r>
        <w:rPr>
          <w:rFonts w:hint="eastAsia" w:ascii="仿宋_GB2312" w:eastAsia="仿宋_GB2312" w:cs="DengXian-Regular"/>
          <w:sz w:val="32"/>
          <w:szCs w:val="32"/>
        </w:rPr>
        <w:t>万元，年中追加项目资金</w:t>
      </w:r>
      <w:r>
        <w:rPr>
          <w:rFonts w:ascii="仿宋_GB2312" w:eastAsia="仿宋_GB2312" w:cs="DengXian-Regular"/>
          <w:sz w:val="32"/>
          <w:szCs w:val="32"/>
        </w:rPr>
        <w:t>87.37</w:t>
      </w:r>
      <w:r>
        <w:rPr>
          <w:rFonts w:hint="eastAsia" w:ascii="仿宋_GB2312" w:eastAsia="仿宋_GB2312" w:cs="DengXian-Regular"/>
          <w:sz w:val="32"/>
          <w:szCs w:val="32"/>
        </w:rPr>
        <w:t>万元，项目资金使用率为</w:t>
      </w:r>
      <w:r>
        <w:rPr>
          <w:rFonts w:ascii="仿宋_GB2312" w:eastAsia="仿宋_GB2312" w:cs="DengXian-Regular"/>
          <w:sz w:val="32"/>
          <w:szCs w:val="32"/>
        </w:rPr>
        <w:t>86.53</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4.55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3.公共文化</w:t>
      </w:r>
      <w:r>
        <w:rPr>
          <w:rFonts w:ascii="仿宋_GB2312" w:eastAsia="仿宋_GB2312" w:cs="DengXian-Regular"/>
          <w:sz w:val="32"/>
          <w:szCs w:val="32"/>
        </w:rPr>
        <w:t>服务对象人数</w:t>
      </w:r>
      <w:r>
        <w:rPr>
          <w:rFonts w:hint="eastAsia" w:ascii="仿宋_GB2312" w:eastAsia="仿宋_GB2312" w:cs="DengXian-Regular"/>
          <w:sz w:val="32"/>
          <w:szCs w:val="32"/>
        </w:rPr>
        <w:t>（</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w:t>
      </w:r>
      <w:r>
        <w:rPr>
          <w:rFonts w:ascii="仿宋_GB2312" w:eastAsia="仿宋_GB2312" w:cs="DengXian-Regular"/>
          <w:sz w:val="32"/>
          <w:szCs w:val="32"/>
        </w:rPr>
        <w:t>际</w:t>
      </w:r>
      <w:r>
        <w:rPr>
          <w:rFonts w:hint="eastAsia" w:ascii="仿宋_GB2312" w:eastAsia="仿宋_GB2312" w:cs="DengXian-Regular"/>
          <w:sz w:val="32"/>
          <w:szCs w:val="32"/>
        </w:rPr>
        <w:t>公共文化</w:t>
      </w:r>
      <w:r>
        <w:rPr>
          <w:rFonts w:ascii="仿宋_GB2312" w:eastAsia="仿宋_GB2312" w:cs="DengXian-Regular"/>
          <w:sz w:val="32"/>
          <w:szCs w:val="32"/>
        </w:rPr>
        <w:t>服务对象人数</w:t>
      </w:r>
      <w:r>
        <w:rPr>
          <w:rFonts w:hint="eastAsia" w:ascii="仿宋_GB2312" w:eastAsia="仿宋_GB2312" w:cs="DengXian-Regular"/>
          <w:sz w:val="32"/>
          <w:szCs w:val="32"/>
        </w:rPr>
        <w:t>大</w:t>
      </w:r>
      <w:r>
        <w:rPr>
          <w:rFonts w:ascii="仿宋_GB2312" w:eastAsia="仿宋_GB2312" w:cs="DengXian-Regular"/>
          <w:sz w:val="32"/>
          <w:szCs w:val="32"/>
        </w:rPr>
        <w:t>于</w:t>
      </w:r>
      <w:r>
        <w:rPr>
          <w:rFonts w:hint="eastAsia" w:ascii="仿宋_GB2312" w:eastAsia="仿宋_GB2312" w:cs="DengXian-Regular"/>
          <w:sz w:val="32"/>
          <w:szCs w:val="32"/>
        </w:rPr>
        <w:t>5</w:t>
      </w:r>
      <w:r>
        <w:rPr>
          <w:rFonts w:ascii="仿宋_GB2312" w:eastAsia="仿宋_GB2312" w:cs="DengXian-Regular"/>
          <w:sz w:val="32"/>
          <w:szCs w:val="32"/>
        </w:rPr>
        <w:t>00000</w:t>
      </w:r>
      <w:r>
        <w:rPr>
          <w:rFonts w:hint="eastAsia" w:ascii="仿宋_GB2312" w:eastAsia="仿宋_GB2312" w:cs="DengXian-Regular"/>
          <w:sz w:val="32"/>
          <w:szCs w:val="32"/>
        </w:rPr>
        <w:t>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该指标得分</w:t>
      </w:r>
      <w:r>
        <w:rPr>
          <w:rFonts w:ascii="仿宋_GB2312" w:eastAsia="仿宋_GB2312" w:cs="DengXian-Regular"/>
          <w:sz w:val="32"/>
          <w:szCs w:val="32"/>
        </w:rPr>
        <w:t>6</w:t>
      </w:r>
      <w:r>
        <w:rPr>
          <w:rFonts w:hint="eastAsia" w:ascii="仿宋_GB2312" w:eastAsia="仿宋_GB2312" w:cs="DengXian-Regular"/>
          <w:sz w:val="32"/>
          <w:szCs w:val="32"/>
        </w:rPr>
        <w:t>分。</w:t>
      </w:r>
    </w:p>
    <w:p>
      <w:pPr>
        <w:ind w:firstLine="640" w:firstLineChars="200"/>
        <w:rPr>
          <w:rFonts w:ascii="仿宋_GB2312" w:eastAsia="仿宋_GB2312" w:cs="DengXian-Regular"/>
          <w:sz w:val="32"/>
          <w:szCs w:val="32"/>
        </w:rPr>
      </w:pPr>
      <w:r>
        <w:rPr>
          <w:rFonts w:hint="eastAsia" w:ascii="仿宋_GB2312" w:eastAsia="仿宋_GB2312" w:cs="DengXian-Regular"/>
          <w:sz w:val="32"/>
          <w:szCs w:val="32"/>
        </w:rPr>
        <w:t>4. 开展群众文化活动场次（</w:t>
      </w:r>
      <w:r>
        <w:rPr>
          <w:rFonts w:ascii="仿宋_GB2312" w:eastAsia="仿宋_GB2312" w:cs="DengXian-Regular"/>
          <w:sz w:val="32"/>
          <w:szCs w:val="32"/>
        </w:rPr>
        <w:t>7</w:t>
      </w:r>
      <w:r>
        <w:rPr>
          <w:rFonts w:hint="eastAsia" w:ascii="仿宋_GB2312" w:eastAsia="仿宋_GB2312" w:cs="DengXian-Regular"/>
          <w:sz w:val="32"/>
          <w:szCs w:val="32"/>
        </w:rPr>
        <w:t>分）</w:t>
      </w:r>
    </w:p>
    <w:p>
      <w:pPr>
        <w:ind w:firstLine="560"/>
        <w:rPr>
          <w:rFonts w:ascii="仿宋_GB2312" w:eastAsia="仿宋_GB2312" w:cs="DengXian-Regular"/>
          <w:sz w:val="32"/>
          <w:szCs w:val="32"/>
        </w:rPr>
      </w:pPr>
      <w:r>
        <w:rPr>
          <w:rFonts w:hint="eastAsia" w:ascii="仿宋_GB2312" w:eastAsia="仿宋_GB2312" w:cs="DengXian-Regular"/>
          <w:sz w:val="32"/>
          <w:szCs w:val="32"/>
        </w:rPr>
        <w:t>该指标主要评价项目是否达到预期制定的产出指标。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该项目绩效目标预期实现开展群众文化活动</w:t>
      </w:r>
      <w:r>
        <w:rPr>
          <w:rFonts w:ascii="仿宋_GB2312" w:eastAsia="仿宋_GB2312" w:cs="DengXian-Regular"/>
          <w:sz w:val="32"/>
          <w:szCs w:val="32"/>
        </w:rPr>
        <w:t>75</w:t>
      </w:r>
      <w:r>
        <w:rPr>
          <w:rFonts w:hint="eastAsia" w:ascii="仿宋_GB2312" w:eastAsia="仿宋_GB2312" w:cs="DengXian-Regular"/>
          <w:sz w:val="32"/>
          <w:szCs w:val="32"/>
        </w:rPr>
        <w:t>场，经检查，实际201</w:t>
      </w:r>
      <w:r>
        <w:rPr>
          <w:rFonts w:ascii="仿宋_GB2312" w:eastAsia="仿宋_GB2312" w:cs="DengXian-Regular"/>
          <w:sz w:val="32"/>
          <w:szCs w:val="32"/>
        </w:rPr>
        <w:t>9</w:t>
      </w:r>
      <w:r>
        <w:rPr>
          <w:rFonts w:hint="eastAsia" w:ascii="仿宋_GB2312" w:eastAsia="仿宋_GB2312" w:cs="DengXian-Regular"/>
          <w:sz w:val="32"/>
          <w:szCs w:val="32"/>
        </w:rPr>
        <w:t>年全年共开展群众文化活动107场。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 开展基层文艺骨干培训场次（</w:t>
      </w:r>
      <w:r>
        <w:rPr>
          <w:rFonts w:ascii="仿宋_GB2312" w:eastAsia="仿宋_GB2312" w:cs="DengXian-Regular"/>
          <w:sz w:val="32"/>
          <w:szCs w:val="32"/>
        </w:rPr>
        <w:t>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该指标主要评价开展基层文艺骨干培训场次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根据年初计划培训场次12场，实际201</w:t>
      </w:r>
      <w:r>
        <w:rPr>
          <w:rFonts w:ascii="仿宋_GB2312" w:eastAsia="仿宋_GB2312" w:cs="DengXian-Regular"/>
          <w:sz w:val="32"/>
          <w:szCs w:val="32"/>
        </w:rPr>
        <w:t>9</w:t>
      </w:r>
      <w:r>
        <w:rPr>
          <w:rFonts w:hint="eastAsia" w:ascii="仿宋_GB2312" w:eastAsia="仿宋_GB2312" w:cs="DengXian-Regular"/>
          <w:sz w:val="32"/>
          <w:szCs w:val="32"/>
        </w:rPr>
        <w:t>年全年开展基层文艺骨干培训</w:t>
      </w:r>
      <w:r>
        <w:rPr>
          <w:rFonts w:ascii="仿宋_GB2312" w:eastAsia="仿宋_GB2312" w:cs="DengXian-Regular"/>
          <w:sz w:val="32"/>
          <w:szCs w:val="32"/>
        </w:rPr>
        <w:t>24</w:t>
      </w:r>
      <w:r>
        <w:rPr>
          <w:rFonts w:hint="eastAsia" w:ascii="仿宋_GB2312" w:eastAsia="仿宋_GB2312" w:cs="DengXian-Regular"/>
          <w:sz w:val="32"/>
          <w:szCs w:val="32"/>
        </w:rPr>
        <w:t>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7</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6998" w:type="dxa"/>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经查看文广旅局提供的相关资料，文广旅局履行职责对社会发展所带来的社会效益较显著，有效的提高了社会公众对党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您对开展群众文化活动是否满意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您对景区开放情况是否满意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96</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您对开展基层文艺骨干培训</w:t>
            </w:r>
            <w:r>
              <w:rPr>
                <w:rFonts w:cs="Times New Roman" w:asciiTheme="minorEastAsia" w:hAnsiTheme="minorEastAsia" w:eastAsiaTheme="minorEastAsia"/>
                <w:sz w:val="21"/>
                <w:szCs w:val="21"/>
                <w:u w:color="000000"/>
              </w:rPr>
              <w:t>是</w:t>
            </w:r>
            <w:r>
              <w:rPr>
                <w:rFonts w:hint="eastAsia" w:cs="Times New Roman" w:asciiTheme="minorEastAsia" w:hAnsiTheme="minorEastAsia" w:eastAsiaTheme="minorEastAsia"/>
                <w:sz w:val="21"/>
                <w:szCs w:val="21"/>
                <w:u w:color="000000"/>
              </w:rPr>
              <w:t>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bl>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（1）调查问卷共分为3个单项，每个单项满分为100分。其中：每一单项满分为100分：满意为100分，一般为50分，不满意为0分。</w:t>
      </w:r>
    </w:p>
    <w:p>
      <w:pPr>
        <w:spacing w:line="360" w:lineRule="auto"/>
        <w:ind w:firstLine="640" w:firstLineChars="200"/>
        <w:rPr>
          <w:rFonts w:ascii="仿宋_GB2312" w:eastAsia="仿宋_GB2312" w:cs="Times New Roman" w:hAnsiTheme="minorEastAsia"/>
          <w:sz w:val="32"/>
          <w:szCs w:val="32"/>
          <w:u w:color="000000"/>
        </w:rPr>
      </w:pPr>
      <w:bookmarkStart w:id="74" w:name="_Toc13757"/>
      <w:r>
        <w:rPr>
          <w:rFonts w:hint="eastAsia" w:ascii="仿宋_GB2312" w:eastAsia="仿宋_GB2312" w:cs="Times New Roman" w:hAnsiTheme="minorEastAsia"/>
          <w:sz w:val="32"/>
          <w:szCs w:val="32"/>
          <w:u w:color="000000"/>
        </w:rPr>
        <w:t>（2）各单项满意度得分</w:t>
      </w:r>
    </w:p>
    <w:p>
      <w:pPr>
        <w:spacing w:line="360" w:lineRule="auto"/>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单项满意度得分=∑单项满意度人数×相应分值</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单项满意度得分计算如下：</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您对开展群众文化活动是否满意，得分</w:t>
      </w:r>
      <w:r>
        <w:rPr>
          <w:rFonts w:ascii="仿宋_GB2312" w:eastAsia="仿宋_GB2312" w:cs="Times New Roman" w:hAnsiTheme="minorEastAsia"/>
          <w:sz w:val="32"/>
          <w:szCs w:val="32"/>
          <w:u w:color="000000"/>
        </w:rPr>
        <w:t>100</w:t>
      </w:r>
      <w:r>
        <w:rPr>
          <w:rFonts w:hint="eastAsia" w:ascii="仿宋_GB2312" w:eastAsia="仿宋_GB2312" w:cs="Times New Roman" w:hAnsiTheme="minorEastAsia"/>
          <w:sz w:val="32"/>
          <w:szCs w:val="32"/>
          <w:u w:color="000000"/>
        </w:rPr>
        <w:t>分；</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您对景区开放情况是否满意，得分</w:t>
      </w:r>
      <w:r>
        <w:rPr>
          <w:rFonts w:ascii="仿宋_GB2312" w:eastAsia="仿宋_GB2312" w:cs="Times New Roman" w:hAnsiTheme="minorEastAsia"/>
          <w:sz w:val="32"/>
          <w:szCs w:val="32"/>
          <w:u w:color="000000"/>
        </w:rPr>
        <w:t>96</w:t>
      </w:r>
      <w:r>
        <w:rPr>
          <w:rFonts w:hint="eastAsia" w:ascii="仿宋_GB2312" w:eastAsia="仿宋_GB2312" w:cs="Times New Roman" w:hAnsiTheme="minorEastAsia"/>
          <w:sz w:val="32"/>
          <w:szCs w:val="32"/>
          <w:u w:color="000000"/>
        </w:rPr>
        <w:t>分；</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您对开展基层文艺骨干培训</w:t>
      </w:r>
      <w:r>
        <w:rPr>
          <w:rFonts w:ascii="仿宋_GB2312" w:eastAsia="仿宋_GB2312" w:cs="Times New Roman" w:hAnsiTheme="minorEastAsia"/>
          <w:sz w:val="32"/>
          <w:szCs w:val="32"/>
          <w:u w:color="000000"/>
        </w:rPr>
        <w:t>是</w:t>
      </w:r>
      <w:r>
        <w:rPr>
          <w:rFonts w:hint="eastAsia" w:ascii="仿宋_GB2312" w:eastAsia="仿宋_GB2312" w:cs="Times New Roman" w:hAnsiTheme="minorEastAsia"/>
          <w:sz w:val="32"/>
          <w:szCs w:val="32"/>
          <w:u w:color="000000"/>
        </w:rPr>
        <w:t>否满意，得分</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（3）总体得分情况</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总体得分=∑各单项满意度得分，总体平</w:t>
      </w:r>
      <w:r>
        <w:rPr>
          <w:rFonts w:ascii="仿宋_GB2312" w:eastAsia="仿宋_GB2312" w:cs="Times New Roman" w:hAnsiTheme="minorEastAsia"/>
          <w:sz w:val="32"/>
          <w:szCs w:val="32"/>
          <w:u w:color="000000"/>
        </w:rPr>
        <w:t>均</w:t>
      </w:r>
      <w:r>
        <w:rPr>
          <w:rFonts w:hint="eastAsia" w:ascii="仿宋_GB2312" w:eastAsia="仿宋_GB2312" w:cs="Times New Roman" w:hAnsiTheme="minorEastAsia"/>
          <w:sz w:val="32"/>
          <w:szCs w:val="32"/>
          <w:u w:color="000000"/>
        </w:rPr>
        <w:t>得分为</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w:t>
      </w:r>
    </w:p>
    <w:p>
      <w:pPr>
        <w:spacing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（4）服务对象总体满意度=总体得分/调查总人数，比例为9</w:t>
      </w:r>
      <w:r>
        <w:rPr>
          <w:rFonts w:ascii="仿宋_GB2312" w:eastAsia="仿宋_GB2312" w:cs="Times New Roman" w:hAnsiTheme="minorEastAsia"/>
          <w:sz w:val="32"/>
          <w:szCs w:val="32"/>
          <w:u w:color="000000"/>
        </w:rPr>
        <w:t>8%</w:t>
      </w:r>
      <w:r>
        <w:rPr>
          <w:rFonts w:hint="eastAsia" w:ascii="仿宋_GB2312" w:eastAsia="仿宋_GB2312" w:cs="Times New Roman" w:hAnsiTheme="minorEastAsia"/>
          <w:sz w:val="32"/>
          <w:szCs w:val="32"/>
          <w:u w:color="000000"/>
        </w:rPr>
        <w:t>。</w:t>
      </w:r>
    </w:p>
    <w:p>
      <w:pPr>
        <w:spacing w:line="580" w:lineRule="exact"/>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 xml:space="preserve">    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文广旅局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1.部分绩效指标方面：结转</w:t>
      </w:r>
      <w:r>
        <w:rPr>
          <w:rFonts w:ascii="仿宋_GB2312" w:eastAsia="仿宋_GB2312" w:cs="Times New Roman" w:hAnsiTheme="minorEastAsia"/>
          <w:sz w:val="32"/>
          <w:szCs w:val="32"/>
          <w:u w:color="000000"/>
        </w:rPr>
        <w:t>结余较多</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，造成</w:t>
      </w:r>
      <w:r>
        <w:rPr>
          <w:rFonts w:ascii="仿宋_GB2312" w:eastAsia="仿宋_GB2312" w:cs="Times New Roman" w:hAnsiTheme="minorEastAsia"/>
          <w:sz w:val="32"/>
          <w:szCs w:val="32"/>
          <w:u w:color="000000"/>
        </w:rPr>
        <w:t>结转</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pPr>
        <w:pStyle w:val="3"/>
        <w:keepNext w:val="0"/>
        <w:keepLines w:val="0"/>
        <w:suppressLineNumbers/>
        <w:spacing w:before="0" w:after="0" w:line="360" w:lineRule="auto"/>
        <w:ind w:firstLine="643" w:firstLineChars="200"/>
        <w:rPr>
          <w:rFonts w:ascii="黑体"/>
        </w:rPr>
      </w:pPr>
      <w:r>
        <w:rPr>
          <w:rFonts w:hint="eastAsia" w:ascii="黑体"/>
        </w:rPr>
        <w:t>六</w:t>
      </w:r>
      <w:r>
        <w:rPr>
          <w:rFonts w:ascii="黑体"/>
        </w:rPr>
        <w:t>、绩效评价意见及建</w:t>
      </w:r>
      <w:r>
        <w:rPr>
          <w:rFonts w:hint="eastAsia" w:ascii="黑体"/>
        </w:rPr>
        <w:t>议</w:t>
      </w:r>
    </w:p>
    <w:bookmarkEnd w:id="75"/>
    <w:bookmarkEnd w:id="76"/>
    <w:p>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rPr>
        <w:t>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区文广旅局</w:t>
      </w:r>
      <w:r>
        <w:rPr>
          <w:rFonts w:hint="eastAsia" w:ascii="仿宋_GB2312" w:eastAsia="仿宋_GB2312" w:cs="Times New Roman" w:hAnsiTheme="minorEastAsia"/>
          <w:sz w:val="32"/>
          <w:szCs w:val="32"/>
          <w:u w:color="000000"/>
        </w:rPr>
        <w:t>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文广旅局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文广旅局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29</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D30"/>
    <w:rsid w:val="00004179"/>
    <w:rsid w:val="0000439F"/>
    <w:rsid w:val="00007694"/>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195B"/>
    <w:rsid w:val="00044599"/>
    <w:rsid w:val="000446E5"/>
    <w:rsid w:val="00044A25"/>
    <w:rsid w:val="00047D7B"/>
    <w:rsid w:val="000509B6"/>
    <w:rsid w:val="00050A62"/>
    <w:rsid w:val="000516BA"/>
    <w:rsid w:val="00051DBC"/>
    <w:rsid w:val="00052010"/>
    <w:rsid w:val="00061096"/>
    <w:rsid w:val="000612A2"/>
    <w:rsid w:val="00063117"/>
    <w:rsid w:val="00072BF5"/>
    <w:rsid w:val="0007395A"/>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24FF"/>
    <w:rsid w:val="000B3540"/>
    <w:rsid w:val="000B62FE"/>
    <w:rsid w:val="000B72BC"/>
    <w:rsid w:val="000B78D7"/>
    <w:rsid w:val="000C14EA"/>
    <w:rsid w:val="000C1EA5"/>
    <w:rsid w:val="000C5059"/>
    <w:rsid w:val="000C52FB"/>
    <w:rsid w:val="000C55E6"/>
    <w:rsid w:val="000C62A6"/>
    <w:rsid w:val="000C6D5A"/>
    <w:rsid w:val="000D09B2"/>
    <w:rsid w:val="000D334E"/>
    <w:rsid w:val="000D4636"/>
    <w:rsid w:val="000D7C38"/>
    <w:rsid w:val="000E0902"/>
    <w:rsid w:val="000E377F"/>
    <w:rsid w:val="000E3830"/>
    <w:rsid w:val="000F070B"/>
    <w:rsid w:val="000F3158"/>
    <w:rsid w:val="000F364D"/>
    <w:rsid w:val="000F4432"/>
    <w:rsid w:val="000F465E"/>
    <w:rsid w:val="000F5E8C"/>
    <w:rsid w:val="001000B2"/>
    <w:rsid w:val="00104C6C"/>
    <w:rsid w:val="0010560E"/>
    <w:rsid w:val="0010612A"/>
    <w:rsid w:val="001064FC"/>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2756"/>
    <w:rsid w:val="001544E1"/>
    <w:rsid w:val="001551CE"/>
    <w:rsid w:val="001617E4"/>
    <w:rsid w:val="00162D19"/>
    <w:rsid w:val="00164732"/>
    <w:rsid w:val="00164FE1"/>
    <w:rsid w:val="00165762"/>
    <w:rsid w:val="001703D7"/>
    <w:rsid w:val="001719D0"/>
    <w:rsid w:val="00172245"/>
    <w:rsid w:val="0017403C"/>
    <w:rsid w:val="00174241"/>
    <w:rsid w:val="00175D56"/>
    <w:rsid w:val="0017632C"/>
    <w:rsid w:val="00176E7D"/>
    <w:rsid w:val="001804B7"/>
    <w:rsid w:val="001827F5"/>
    <w:rsid w:val="00183C43"/>
    <w:rsid w:val="00185652"/>
    <w:rsid w:val="00187750"/>
    <w:rsid w:val="00187A65"/>
    <w:rsid w:val="00190292"/>
    <w:rsid w:val="001926B8"/>
    <w:rsid w:val="0019341A"/>
    <w:rsid w:val="001952EC"/>
    <w:rsid w:val="001A077A"/>
    <w:rsid w:val="001A0F7A"/>
    <w:rsid w:val="001A1677"/>
    <w:rsid w:val="001A39B7"/>
    <w:rsid w:val="001A5FD3"/>
    <w:rsid w:val="001B0380"/>
    <w:rsid w:val="001B04A4"/>
    <w:rsid w:val="001B30D5"/>
    <w:rsid w:val="001B382A"/>
    <w:rsid w:val="001B5C88"/>
    <w:rsid w:val="001B6CE6"/>
    <w:rsid w:val="001C046D"/>
    <w:rsid w:val="001C1412"/>
    <w:rsid w:val="001C19BB"/>
    <w:rsid w:val="001C391F"/>
    <w:rsid w:val="001C5135"/>
    <w:rsid w:val="001C796E"/>
    <w:rsid w:val="001D1367"/>
    <w:rsid w:val="001D5041"/>
    <w:rsid w:val="001D5A7C"/>
    <w:rsid w:val="001D67B3"/>
    <w:rsid w:val="001D76AA"/>
    <w:rsid w:val="001E21EA"/>
    <w:rsid w:val="001E2229"/>
    <w:rsid w:val="001E288A"/>
    <w:rsid w:val="001E3ABB"/>
    <w:rsid w:val="001E4C24"/>
    <w:rsid w:val="001E5C43"/>
    <w:rsid w:val="001F07B6"/>
    <w:rsid w:val="001F08EE"/>
    <w:rsid w:val="001F0B92"/>
    <w:rsid w:val="001F1094"/>
    <w:rsid w:val="001F2F0E"/>
    <w:rsid w:val="001F33AA"/>
    <w:rsid w:val="001F6236"/>
    <w:rsid w:val="00200051"/>
    <w:rsid w:val="00202D5A"/>
    <w:rsid w:val="00205F02"/>
    <w:rsid w:val="00207765"/>
    <w:rsid w:val="0021307B"/>
    <w:rsid w:val="002142B8"/>
    <w:rsid w:val="002161F4"/>
    <w:rsid w:val="00216E75"/>
    <w:rsid w:val="00221907"/>
    <w:rsid w:val="00222602"/>
    <w:rsid w:val="00222FA8"/>
    <w:rsid w:val="0022532A"/>
    <w:rsid w:val="00227AFB"/>
    <w:rsid w:val="002354D8"/>
    <w:rsid w:val="00235741"/>
    <w:rsid w:val="00236B18"/>
    <w:rsid w:val="002401EA"/>
    <w:rsid w:val="00241B9D"/>
    <w:rsid w:val="002439D4"/>
    <w:rsid w:val="00245CB2"/>
    <w:rsid w:val="00246A44"/>
    <w:rsid w:val="00250BAC"/>
    <w:rsid w:val="00252364"/>
    <w:rsid w:val="00260245"/>
    <w:rsid w:val="0026110D"/>
    <w:rsid w:val="00261836"/>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876"/>
    <w:rsid w:val="002959A3"/>
    <w:rsid w:val="0029626E"/>
    <w:rsid w:val="00296E59"/>
    <w:rsid w:val="00297367"/>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832"/>
    <w:rsid w:val="00321CE0"/>
    <w:rsid w:val="0032231F"/>
    <w:rsid w:val="00323B43"/>
    <w:rsid w:val="00325BCC"/>
    <w:rsid w:val="003309A3"/>
    <w:rsid w:val="003345BC"/>
    <w:rsid w:val="00343662"/>
    <w:rsid w:val="00350E0A"/>
    <w:rsid w:val="0035365E"/>
    <w:rsid w:val="00355403"/>
    <w:rsid w:val="003569A8"/>
    <w:rsid w:val="00361FFF"/>
    <w:rsid w:val="00362340"/>
    <w:rsid w:val="00364829"/>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A7CD2"/>
    <w:rsid w:val="003B354A"/>
    <w:rsid w:val="003B6DEC"/>
    <w:rsid w:val="003B79D3"/>
    <w:rsid w:val="003C2B92"/>
    <w:rsid w:val="003D1235"/>
    <w:rsid w:val="003D126B"/>
    <w:rsid w:val="003D1D33"/>
    <w:rsid w:val="003D22C9"/>
    <w:rsid w:val="003D28AC"/>
    <w:rsid w:val="003D37D8"/>
    <w:rsid w:val="003D7B2A"/>
    <w:rsid w:val="003E266C"/>
    <w:rsid w:val="003E3C05"/>
    <w:rsid w:val="003E5FD2"/>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4F43"/>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1B40"/>
    <w:rsid w:val="004827B0"/>
    <w:rsid w:val="00486217"/>
    <w:rsid w:val="00486A56"/>
    <w:rsid w:val="00492081"/>
    <w:rsid w:val="00494D73"/>
    <w:rsid w:val="004A19C4"/>
    <w:rsid w:val="004A46F4"/>
    <w:rsid w:val="004A6EA4"/>
    <w:rsid w:val="004B146A"/>
    <w:rsid w:val="004B1E69"/>
    <w:rsid w:val="004B2787"/>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D7F14"/>
    <w:rsid w:val="004E0AA9"/>
    <w:rsid w:val="004E1AEF"/>
    <w:rsid w:val="004E3774"/>
    <w:rsid w:val="004E446B"/>
    <w:rsid w:val="004E5448"/>
    <w:rsid w:val="004E5DFC"/>
    <w:rsid w:val="004E642E"/>
    <w:rsid w:val="004E7ADC"/>
    <w:rsid w:val="004F4875"/>
    <w:rsid w:val="004F56E4"/>
    <w:rsid w:val="005031BA"/>
    <w:rsid w:val="005033C7"/>
    <w:rsid w:val="00507211"/>
    <w:rsid w:val="00507934"/>
    <w:rsid w:val="0051171B"/>
    <w:rsid w:val="00512D1D"/>
    <w:rsid w:val="005131A5"/>
    <w:rsid w:val="00515160"/>
    <w:rsid w:val="00516D5A"/>
    <w:rsid w:val="005170FB"/>
    <w:rsid w:val="0052300D"/>
    <w:rsid w:val="00523B77"/>
    <w:rsid w:val="0052474C"/>
    <w:rsid w:val="00525074"/>
    <w:rsid w:val="00525520"/>
    <w:rsid w:val="00530060"/>
    <w:rsid w:val="005319EE"/>
    <w:rsid w:val="00531BE2"/>
    <w:rsid w:val="00532886"/>
    <w:rsid w:val="005421AC"/>
    <w:rsid w:val="00544C1A"/>
    <w:rsid w:val="00545976"/>
    <w:rsid w:val="00546CCA"/>
    <w:rsid w:val="00546D1B"/>
    <w:rsid w:val="005474FB"/>
    <w:rsid w:val="0054754F"/>
    <w:rsid w:val="0055027D"/>
    <w:rsid w:val="00554A5D"/>
    <w:rsid w:val="00554FA1"/>
    <w:rsid w:val="00556934"/>
    <w:rsid w:val="005607DF"/>
    <w:rsid w:val="00564377"/>
    <w:rsid w:val="00564538"/>
    <w:rsid w:val="00566A89"/>
    <w:rsid w:val="00567E07"/>
    <w:rsid w:val="005771F7"/>
    <w:rsid w:val="00577B7B"/>
    <w:rsid w:val="00583F7F"/>
    <w:rsid w:val="005851BD"/>
    <w:rsid w:val="0058600B"/>
    <w:rsid w:val="00587913"/>
    <w:rsid w:val="00593428"/>
    <w:rsid w:val="00593B65"/>
    <w:rsid w:val="005A15D6"/>
    <w:rsid w:val="005A1FD8"/>
    <w:rsid w:val="005A317D"/>
    <w:rsid w:val="005A4331"/>
    <w:rsid w:val="005A79F9"/>
    <w:rsid w:val="005C0E38"/>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043B7"/>
    <w:rsid w:val="006119A5"/>
    <w:rsid w:val="0061252A"/>
    <w:rsid w:val="006135B3"/>
    <w:rsid w:val="006138D4"/>
    <w:rsid w:val="00616C03"/>
    <w:rsid w:val="00616E76"/>
    <w:rsid w:val="00616F30"/>
    <w:rsid w:val="006215A2"/>
    <w:rsid w:val="00621F7D"/>
    <w:rsid w:val="00622AD1"/>
    <w:rsid w:val="00623267"/>
    <w:rsid w:val="00624A97"/>
    <w:rsid w:val="00625428"/>
    <w:rsid w:val="0062670B"/>
    <w:rsid w:val="00630B86"/>
    <w:rsid w:val="00630F5B"/>
    <w:rsid w:val="00630F91"/>
    <w:rsid w:val="00634C66"/>
    <w:rsid w:val="006352D1"/>
    <w:rsid w:val="00636E1A"/>
    <w:rsid w:val="00642BA5"/>
    <w:rsid w:val="006434E0"/>
    <w:rsid w:val="00650C90"/>
    <w:rsid w:val="0065172D"/>
    <w:rsid w:val="0065287D"/>
    <w:rsid w:val="0065671B"/>
    <w:rsid w:val="00656A5A"/>
    <w:rsid w:val="006624D1"/>
    <w:rsid w:val="00663A42"/>
    <w:rsid w:val="0066418E"/>
    <w:rsid w:val="0066469F"/>
    <w:rsid w:val="00666F38"/>
    <w:rsid w:val="00672520"/>
    <w:rsid w:val="0067391E"/>
    <w:rsid w:val="0067780F"/>
    <w:rsid w:val="00680B0D"/>
    <w:rsid w:val="00682DB6"/>
    <w:rsid w:val="00686C30"/>
    <w:rsid w:val="00690FA3"/>
    <w:rsid w:val="0069331D"/>
    <w:rsid w:val="00696DF8"/>
    <w:rsid w:val="0069783E"/>
    <w:rsid w:val="00697E26"/>
    <w:rsid w:val="006A0191"/>
    <w:rsid w:val="006A0330"/>
    <w:rsid w:val="006A3019"/>
    <w:rsid w:val="006A3AE1"/>
    <w:rsid w:val="006A3B57"/>
    <w:rsid w:val="006A4D15"/>
    <w:rsid w:val="006A6AB2"/>
    <w:rsid w:val="006B117D"/>
    <w:rsid w:val="006B1566"/>
    <w:rsid w:val="006B19B7"/>
    <w:rsid w:val="006B392C"/>
    <w:rsid w:val="006B4CC0"/>
    <w:rsid w:val="006B65B0"/>
    <w:rsid w:val="006C15E8"/>
    <w:rsid w:val="006C5198"/>
    <w:rsid w:val="006C6A07"/>
    <w:rsid w:val="006D0506"/>
    <w:rsid w:val="006E0A3D"/>
    <w:rsid w:val="006E27F1"/>
    <w:rsid w:val="006E5BC8"/>
    <w:rsid w:val="006E7CBA"/>
    <w:rsid w:val="006F081A"/>
    <w:rsid w:val="006F222F"/>
    <w:rsid w:val="006F7B69"/>
    <w:rsid w:val="00700F2E"/>
    <w:rsid w:val="0070241F"/>
    <w:rsid w:val="007024A9"/>
    <w:rsid w:val="00703C96"/>
    <w:rsid w:val="00704A11"/>
    <w:rsid w:val="007130D7"/>
    <w:rsid w:val="00713E98"/>
    <w:rsid w:val="00715591"/>
    <w:rsid w:val="00715AE8"/>
    <w:rsid w:val="00724086"/>
    <w:rsid w:val="0072516F"/>
    <w:rsid w:val="0073034D"/>
    <w:rsid w:val="0073048D"/>
    <w:rsid w:val="00731ADC"/>
    <w:rsid w:val="007330F2"/>
    <w:rsid w:val="00733CFF"/>
    <w:rsid w:val="00733DB0"/>
    <w:rsid w:val="00735043"/>
    <w:rsid w:val="00740444"/>
    <w:rsid w:val="00742652"/>
    <w:rsid w:val="00744577"/>
    <w:rsid w:val="007452CF"/>
    <w:rsid w:val="00746055"/>
    <w:rsid w:val="00746DA9"/>
    <w:rsid w:val="00747086"/>
    <w:rsid w:val="007515E2"/>
    <w:rsid w:val="00756D66"/>
    <w:rsid w:val="00761D80"/>
    <w:rsid w:val="00762642"/>
    <w:rsid w:val="0076364A"/>
    <w:rsid w:val="00766FC5"/>
    <w:rsid w:val="00770E5B"/>
    <w:rsid w:val="007715E9"/>
    <w:rsid w:val="00772930"/>
    <w:rsid w:val="00773127"/>
    <w:rsid w:val="00776E20"/>
    <w:rsid w:val="007775EC"/>
    <w:rsid w:val="007814AF"/>
    <w:rsid w:val="007825F0"/>
    <w:rsid w:val="00787F88"/>
    <w:rsid w:val="00796420"/>
    <w:rsid w:val="0079721A"/>
    <w:rsid w:val="00797EED"/>
    <w:rsid w:val="007A095C"/>
    <w:rsid w:val="007A0AF8"/>
    <w:rsid w:val="007A283A"/>
    <w:rsid w:val="007A65C8"/>
    <w:rsid w:val="007A6B16"/>
    <w:rsid w:val="007A7AC4"/>
    <w:rsid w:val="007B0BC5"/>
    <w:rsid w:val="007B639C"/>
    <w:rsid w:val="007B7036"/>
    <w:rsid w:val="007C0870"/>
    <w:rsid w:val="007C2D10"/>
    <w:rsid w:val="007C457D"/>
    <w:rsid w:val="007D02A9"/>
    <w:rsid w:val="007D166D"/>
    <w:rsid w:val="007D17C7"/>
    <w:rsid w:val="007D2766"/>
    <w:rsid w:val="007D2FF7"/>
    <w:rsid w:val="007D5F59"/>
    <w:rsid w:val="007D74D8"/>
    <w:rsid w:val="007E13A4"/>
    <w:rsid w:val="007E20CA"/>
    <w:rsid w:val="007E3988"/>
    <w:rsid w:val="007E4698"/>
    <w:rsid w:val="007E6959"/>
    <w:rsid w:val="007E6991"/>
    <w:rsid w:val="007E7A36"/>
    <w:rsid w:val="007F222D"/>
    <w:rsid w:val="007F3FB7"/>
    <w:rsid w:val="007F518D"/>
    <w:rsid w:val="007F68FE"/>
    <w:rsid w:val="007F7E7E"/>
    <w:rsid w:val="00801CA6"/>
    <w:rsid w:val="00803C29"/>
    <w:rsid w:val="00804E5E"/>
    <w:rsid w:val="00804FAA"/>
    <w:rsid w:val="00805678"/>
    <w:rsid w:val="00805D26"/>
    <w:rsid w:val="0081553D"/>
    <w:rsid w:val="00815BE9"/>
    <w:rsid w:val="00815C94"/>
    <w:rsid w:val="00815CF6"/>
    <w:rsid w:val="00816990"/>
    <w:rsid w:val="00817981"/>
    <w:rsid w:val="00822851"/>
    <w:rsid w:val="00824341"/>
    <w:rsid w:val="00824A75"/>
    <w:rsid w:val="0082509A"/>
    <w:rsid w:val="00825A51"/>
    <w:rsid w:val="00825D53"/>
    <w:rsid w:val="008272DF"/>
    <w:rsid w:val="00831065"/>
    <w:rsid w:val="008337A7"/>
    <w:rsid w:val="00835BCB"/>
    <w:rsid w:val="00836773"/>
    <w:rsid w:val="00836E6A"/>
    <w:rsid w:val="008410D0"/>
    <w:rsid w:val="00841559"/>
    <w:rsid w:val="00844CC8"/>
    <w:rsid w:val="0084558B"/>
    <w:rsid w:val="00845924"/>
    <w:rsid w:val="00846107"/>
    <w:rsid w:val="00847E07"/>
    <w:rsid w:val="00851297"/>
    <w:rsid w:val="00852C43"/>
    <w:rsid w:val="00853737"/>
    <w:rsid w:val="008541B8"/>
    <w:rsid w:val="00855127"/>
    <w:rsid w:val="00857249"/>
    <w:rsid w:val="00861067"/>
    <w:rsid w:val="0086122A"/>
    <w:rsid w:val="00862AE2"/>
    <w:rsid w:val="00862C25"/>
    <w:rsid w:val="00863CA2"/>
    <w:rsid w:val="00864A80"/>
    <w:rsid w:val="008655ED"/>
    <w:rsid w:val="00866942"/>
    <w:rsid w:val="00871B0D"/>
    <w:rsid w:val="00871B14"/>
    <w:rsid w:val="008735A1"/>
    <w:rsid w:val="00875962"/>
    <w:rsid w:val="00876AED"/>
    <w:rsid w:val="00880325"/>
    <w:rsid w:val="00882ABD"/>
    <w:rsid w:val="008844A4"/>
    <w:rsid w:val="008851A9"/>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8F7D09"/>
    <w:rsid w:val="009002A3"/>
    <w:rsid w:val="0090038C"/>
    <w:rsid w:val="009007EC"/>
    <w:rsid w:val="00900EF5"/>
    <w:rsid w:val="00901EE5"/>
    <w:rsid w:val="0090421D"/>
    <w:rsid w:val="00906447"/>
    <w:rsid w:val="0091171D"/>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AB2"/>
    <w:rsid w:val="00984B1E"/>
    <w:rsid w:val="00984D41"/>
    <w:rsid w:val="009852BB"/>
    <w:rsid w:val="009853C4"/>
    <w:rsid w:val="0098547C"/>
    <w:rsid w:val="009860B4"/>
    <w:rsid w:val="00986724"/>
    <w:rsid w:val="0098718E"/>
    <w:rsid w:val="00991AA9"/>
    <w:rsid w:val="00993F34"/>
    <w:rsid w:val="00994269"/>
    <w:rsid w:val="0099439A"/>
    <w:rsid w:val="00994737"/>
    <w:rsid w:val="009A0F00"/>
    <w:rsid w:val="009A37AE"/>
    <w:rsid w:val="009A4059"/>
    <w:rsid w:val="009A47EF"/>
    <w:rsid w:val="009A5E16"/>
    <w:rsid w:val="009B1979"/>
    <w:rsid w:val="009B1E1B"/>
    <w:rsid w:val="009B2CC0"/>
    <w:rsid w:val="009B4C38"/>
    <w:rsid w:val="009C0DAB"/>
    <w:rsid w:val="009C1E20"/>
    <w:rsid w:val="009D0378"/>
    <w:rsid w:val="009D0F18"/>
    <w:rsid w:val="009D1B84"/>
    <w:rsid w:val="009D1EFB"/>
    <w:rsid w:val="009D5964"/>
    <w:rsid w:val="009D6A0C"/>
    <w:rsid w:val="009E0725"/>
    <w:rsid w:val="009E1492"/>
    <w:rsid w:val="009E4B3F"/>
    <w:rsid w:val="009E5877"/>
    <w:rsid w:val="009F69B0"/>
    <w:rsid w:val="009F7BDF"/>
    <w:rsid w:val="00A0310D"/>
    <w:rsid w:val="00A073F4"/>
    <w:rsid w:val="00A07BBE"/>
    <w:rsid w:val="00A16439"/>
    <w:rsid w:val="00A21057"/>
    <w:rsid w:val="00A217CE"/>
    <w:rsid w:val="00A21E86"/>
    <w:rsid w:val="00A22DFB"/>
    <w:rsid w:val="00A305E3"/>
    <w:rsid w:val="00A34203"/>
    <w:rsid w:val="00A353F1"/>
    <w:rsid w:val="00A357B0"/>
    <w:rsid w:val="00A35B22"/>
    <w:rsid w:val="00A36365"/>
    <w:rsid w:val="00A3654C"/>
    <w:rsid w:val="00A42B99"/>
    <w:rsid w:val="00A479B6"/>
    <w:rsid w:val="00A50D3C"/>
    <w:rsid w:val="00A532E3"/>
    <w:rsid w:val="00A5341C"/>
    <w:rsid w:val="00A54D9C"/>
    <w:rsid w:val="00A57200"/>
    <w:rsid w:val="00A57865"/>
    <w:rsid w:val="00A62B31"/>
    <w:rsid w:val="00A62C6A"/>
    <w:rsid w:val="00A64850"/>
    <w:rsid w:val="00A65003"/>
    <w:rsid w:val="00A65202"/>
    <w:rsid w:val="00A73299"/>
    <w:rsid w:val="00A7536B"/>
    <w:rsid w:val="00A80356"/>
    <w:rsid w:val="00A816B6"/>
    <w:rsid w:val="00A82D81"/>
    <w:rsid w:val="00A845E0"/>
    <w:rsid w:val="00A96E79"/>
    <w:rsid w:val="00AA0BE1"/>
    <w:rsid w:val="00AA2033"/>
    <w:rsid w:val="00AA4A07"/>
    <w:rsid w:val="00AA6230"/>
    <w:rsid w:val="00AB632D"/>
    <w:rsid w:val="00AC5444"/>
    <w:rsid w:val="00AC70E1"/>
    <w:rsid w:val="00AD1D29"/>
    <w:rsid w:val="00AD328E"/>
    <w:rsid w:val="00AD5147"/>
    <w:rsid w:val="00AD57DF"/>
    <w:rsid w:val="00AD72AC"/>
    <w:rsid w:val="00AE0837"/>
    <w:rsid w:val="00AE11C8"/>
    <w:rsid w:val="00AE2B4C"/>
    <w:rsid w:val="00AE355C"/>
    <w:rsid w:val="00AE488C"/>
    <w:rsid w:val="00AE4EFC"/>
    <w:rsid w:val="00AE5731"/>
    <w:rsid w:val="00AE6E13"/>
    <w:rsid w:val="00AE7127"/>
    <w:rsid w:val="00AF4A25"/>
    <w:rsid w:val="00AF5C98"/>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172"/>
    <w:rsid w:val="00B34A43"/>
    <w:rsid w:val="00B36912"/>
    <w:rsid w:val="00B404A0"/>
    <w:rsid w:val="00B40A5F"/>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B31B8"/>
    <w:rsid w:val="00BC09FC"/>
    <w:rsid w:val="00BC0DD5"/>
    <w:rsid w:val="00BC60E6"/>
    <w:rsid w:val="00BE66AA"/>
    <w:rsid w:val="00BE73B9"/>
    <w:rsid w:val="00BE77CF"/>
    <w:rsid w:val="00BF444F"/>
    <w:rsid w:val="00BF77F5"/>
    <w:rsid w:val="00C00BF5"/>
    <w:rsid w:val="00C01D8A"/>
    <w:rsid w:val="00C023EF"/>
    <w:rsid w:val="00C02FF0"/>
    <w:rsid w:val="00C05CDC"/>
    <w:rsid w:val="00C069B4"/>
    <w:rsid w:val="00C12F0C"/>
    <w:rsid w:val="00C15415"/>
    <w:rsid w:val="00C16FE4"/>
    <w:rsid w:val="00C172EB"/>
    <w:rsid w:val="00C20445"/>
    <w:rsid w:val="00C21883"/>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52A4"/>
    <w:rsid w:val="00C661B3"/>
    <w:rsid w:val="00C70300"/>
    <w:rsid w:val="00C7037D"/>
    <w:rsid w:val="00C70637"/>
    <w:rsid w:val="00C71DC8"/>
    <w:rsid w:val="00C73E69"/>
    <w:rsid w:val="00C74592"/>
    <w:rsid w:val="00C767BA"/>
    <w:rsid w:val="00C8048C"/>
    <w:rsid w:val="00C80C68"/>
    <w:rsid w:val="00C8413C"/>
    <w:rsid w:val="00C86E9A"/>
    <w:rsid w:val="00C912CC"/>
    <w:rsid w:val="00C93A3D"/>
    <w:rsid w:val="00C94F0A"/>
    <w:rsid w:val="00CA0242"/>
    <w:rsid w:val="00CA3203"/>
    <w:rsid w:val="00CA6058"/>
    <w:rsid w:val="00CA6BD1"/>
    <w:rsid w:val="00CA7A10"/>
    <w:rsid w:val="00CB1B1B"/>
    <w:rsid w:val="00CB3E03"/>
    <w:rsid w:val="00CB580D"/>
    <w:rsid w:val="00CB6098"/>
    <w:rsid w:val="00CB623E"/>
    <w:rsid w:val="00CC0BA5"/>
    <w:rsid w:val="00CC1F3E"/>
    <w:rsid w:val="00CC236E"/>
    <w:rsid w:val="00CC2B2A"/>
    <w:rsid w:val="00CC6216"/>
    <w:rsid w:val="00CC6A8D"/>
    <w:rsid w:val="00CC6F6D"/>
    <w:rsid w:val="00CC70FA"/>
    <w:rsid w:val="00CD37C3"/>
    <w:rsid w:val="00CD3911"/>
    <w:rsid w:val="00CD48EF"/>
    <w:rsid w:val="00CD49DB"/>
    <w:rsid w:val="00CD4BA1"/>
    <w:rsid w:val="00CD59A6"/>
    <w:rsid w:val="00CE33C1"/>
    <w:rsid w:val="00CE3834"/>
    <w:rsid w:val="00CF148C"/>
    <w:rsid w:val="00CF3D94"/>
    <w:rsid w:val="00CF3FA9"/>
    <w:rsid w:val="00CF48A3"/>
    <w:rsid w:val="00CF5081"/>
    <w:rsid w:val="00D015D5"/>
    <w:rsid w:val="00D02D3A"/>
    <w:rsid w:val="00D058E4"/>
    <w:rsid w:val="00D07178"/>
    <w:rsid w:val="00D11C0B"/>
    <w:rsid w:val="00D11EE9"/>
    <w:rsid w:val="00D13F47"/>
    <w:rsid w:val="00D14E66"/>
    <w:rsid w:val="00D16F18"/>
    <w:rsid w:val="00D17631"/>
    <w:rsid w:val="00D17CD3"/>
    <w:rsid w:val="00D21B22"/>
    <w:rsid w:val="00D24AEB"/>
    <w:rsid w:val="00D24AFD"/>
    <w:rsid w:val="00D27902"/>
    <w:rsid w:val="00D27984"/>
    <w:rsid w:val="00D31D50"/>
    <w:rsid w:val="00D323E9"/>
    <w:rsid w:val="00D3358F"/>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D93"/>
    <w:rsid w:val="00D85F8D"/>
    <w:rsid w:val="00D87F81"/>
    <w:rsid w:val="00D90E39"/>
    <w:rsid w:val="00D97ADF"/>
    <w:rsid w:val="00D97E89"/>
    <w:rsid w:val="00DA45EE"/>
    <w:rsid w:val="00DA58A3"/>
    <w:rsid w:val="00DB2F5B"/>
    <w:rsid w:val="00DB3672"/>
    <w:rsid w:val="00DB46CB"/>
    <w:rsid w:val="00DB59CB"/>
    <w:rsid w:val="00DB695F"/>
    <w:rsid w:val="00DC03E7"/>
    <w:rsid w:val="00DC3710"/>
    <w:rsid w:val="00DC3B9E"/>
    <w:rsid w:val="00DC4FB9"/>
    <w:rsid w:val="00DC545F"/>
    <w:rsid w:val="00DC54A9"/>
    <w:rsid w:val="00DC6139"/>
    <w:rsid w:val="00DC6686"/>
    <w:rsid w:val="00DC6D84"/>
    <w:rsid w:val="00DC7F68"/>
    <w:rsid w:val="00DD1D7F"/>
    <w:rsid w:val="00DD2DDA"/>
    <w:rsid w:val="00DD360A"/>
    <w:rsid w:val="00DD7F91"/>
    <w:rsid w:val="00DE0985"/>
    <w:rsid w:val="00DE234A"/>
    <w:rsid w:val="00DE42BF"/>
    <w:rsid w:val="00DE4A1A"/>
    <w:rsid w:val="00DE4E11"/>
    <w:rsid w:val="00DE53FE"/>
    <w:rsid w:val="00DE6ED8"/>
    <w:rsid w:val="00E00A5F"/>
    <w:rsid w:val="00E02E7F"/>
    <w:rsid w:val="00E05D64"/>
    <w:rsid w:val="00E07ABB"/>
    <w:rsid w:val="00E07D8F"/>
    <w:rsid w:val="00E07EBA"/>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5FCB"/>
    <w:rsid w:val="00E670CD"/>
    <w:rsid w:val="00E67EA9"/>
    <w:rsid w:val="00E70BE4"/>
    <w:rsid w:val="00E7727F"/>
    <w:rsid w:val="00E8166F"/>
    <w:rsid w:val="00E83519"/>
    <w:rsid w:val="00E87E1C"/>
    <w:rsid w:val="00E91889"/>
    <w:rsid w:val="00E91F0F"/>
    <w:rsid w:val="00E944E2"/>
    <w:rsid w:val="00E95C54"/>
    <w:rsid w:val="00E96103"/>
    <w:rsid w:val="00EA027D"/>
    <w:rsid w:val="00EA5FC2"/>
    <w:rsid w:val="00EB22CF"/>
    <w:rsid w:val="00EB3414"/>
    <w:rsid w:val="00EB39DD"/>
    <w:rsid w:val="00EB40E4"/>
    <w:rsid w:val="00EB67BA"/>
    <w:rsid w:val="00EC16F8"/>
    <w:rsid w:val="00EC306F"/>
    <w:rsid w:val="00EC408E"/>
    <w:rsid w:val="00EC41F2"/>
    <w:rsid w:val="00EC4EB3"/>
    <w:rsid w:val="00EC5617"/>
    <w:rsid w:val="00EC7C9E"/>
    <w:rsid w:val="00ED06E7"/>
    <w:rsid w:val="00ED230D"/>
    <w:rsid w:val="00ED2440"/>
    <w:rsid w:val="00ED5A1C"/>
    <w:rsid w:val="00EE0413"/>
    <w:rsid w:val="00EE1C0B"/>
    <w:rsid w:val="00EE59D0"/>
    <w:rsid w:val="00EE7695"/>
    <w:rsid w:val="00EE7FF3"/>
    <w:rsid w:val="00EF26BF"/>
    <w:rsid w:val="00EF4861"/>
    <w:rsid w:val="00EF50C7"/>
    <w:rsid w:val="00EF5E19"/>
    <w:rsid w:val="00EF779D"/>
    <w:rsid w:val="00EF7E82"/>
    <w:rsid w:val="00F01970"/>
    <w:rsid w:val="00F01B91"/>
    <w:rsid w:val="00F05C72"/>
    <w:rsid w:val="00F06AF6"/>
    <w:rsid w:val="00F0706B"/>
    <w:rsid w:val="00F079A5"/>
    <w:rsid w:val="00F07F69"/>
    <w:rsid w:val="00F107F9"/>
    <w:rsid w:val="00F111E0"/>
    <w:rsid w:val="00F117D4"/>
    <w:rsid w:val="00F16475"/>
    <w:rsid w:val="00F22D55"/>
    <w:rsid w:val="00F24A9A"/>
    <w:rsid w:val="00F2592D"/>
    <w:rsid w:val="00F25C5F"/>
    <w:rsid w:val="00F3182D"/>
    <w:rsid w:val="00F34EF2"/>
    <w:rsid w:val="00F356A0"/>
    <w:rsid w:val="00F3580F"/>
    <w:rsid w:val="00F406BB"/>
    <w:rsid w:val="00F44AD0"/>
    <w:rsid w:val="00F50379"/>
    <w:rsid w:val="00F51629"/>
    <w:rsid w:val="00F55102"/>
    <w:rsid w:val="00F57115"/>
    <w:rsid w:val="00F6298B"/>
    <w:rsid w:val="00F63B02"/>
    <w:rsid w:val="00F65350"/>
    <w:rsid w:val="00F65C21"/>
    <w:rsid w:val="00F700A6"/>
    <w:rsid w:val="00F71105"/>
    <w:rsid w:val="00F760D1"/>
    <w:rsid w:val="00F77920"/>
    <w:rsid w:val="00F8151A"/>
    <w:rsid w:val="00F83788"/>
    <w:rsid w:val="00F84D69"/>
    <w:rsid w:val="00F85054"/>
    <w:rsid w:val="00F87AEF"/>
    <w:rsid w:val="00F87C14"/>
    <w:rsid w:val="00F94F61"/>
    <w:rsid w:val="00F96A7C"/>
    <w:rsid w:val="00FA17B4"/>
    <w:rsid w:val="00FA3581"/>
    <w:rsid w:val="00FA41D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3A39E8"/>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A24354"/>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0338FD"/>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D179E-CAFE-4EFA-89C3-EA052AA8FF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2307</Words>
  <Characters>13154</Characters>
  <Lines>109</Lines>
  <Paragraphs>30</Paragraphs>
  <TotalTime>0</TotalTime>
  <ScaleCrop>false</ScaleCrop>
  <LinksUpToDate>false</LinksUpToDate>
  <CharactersWithSpaces>15431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2020-10-14T08:34:00Z</dcterms:created>
  <dc:creator>Administrator</dc:creator>
  <cp:lastModifiedBy>Administrator</cp:lastModifiedBy>
  <cp:lastPrinted>2020-10-14T09:19:00Z</cp:lastPrinted>
  <dcterms:modified xsi:type="dcterms:W3CDTF">2025-05-12T06:23:25Z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65686E6C2F1342F7A20A4F86176AFE19</vt:lpwstr>
  </property>
</Properties>
</file>