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F691">
      <w:pPr>
        <w:spacing w:line="281" w:lineRule="auto"/>
        <w:rPr>
          <w:rFonts w:ascii="Arial"/>
          <w:sz w:val="21"/>
        </w:rPr>
      </w:pPr>
    </w:p>
    <w:p w14:paraId="677D555F">
      <w:pPr>
        <w:spacing w:line="281" w:lineRule="auto"/>
        <w:rPr>
          <w:rFonts w:ascii="Arial"/>
          <w:sz w:val="21"/>
        </w:rPr>
      </w:pPr>
    </w:p>
    <w:p w14:paraId="0055EE1A">
      <w:pPr>
        <w:spacing w:before="146" w:line="219" w:lineRule="auto"/>
        <w:ind w:left="30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保定市徐水区城区办事处</w:t>
      </w:r>
    </w:p>
    <w:p w14:paraId="73D07B02">
      <w:pPr>
        <w:pStyle w:val="2"/>
        <w:spacing w:before="1" w:line="221" w:lineRule="auto"/>
        <w:ind w:left="1866"/>
        <w:rPr>
          <w:sz w:val="45"/>
          <w:szCs w:val="45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45"/>
          <w:szCs w:val="45"/>
          <w:lang w:val="en-US" w:eastAsia="en-US" w:bidi="ar-SA"/>
        </w:rPr>
        <w:t>2023年度部门整体绩效管理自评报告</w:t>
      </w:r>
    </w:p>
    <w:p w14:paraId="3C4E0391">
      <w:pPr>
        <w:spacing w:line="281" w:lineRule="auto"/>
        <w:rPr>
          <w:rFonts w:ascii="Arial"/>
          <w:sz w:val="21"/>
        </w:rPr>
      </w:pPr>
    </w:p>
    <w:p w14:paraId="7388DF34">
      <w:pPr>
        <w:spacing w:line="281" w:lineRule="auto"/>
        <w:rPr>
          <w:rFonts w:ascii="Arial"/>
          <w:sz w:val="21"/>
        </w:rPr>
      </w:pPr>
    </w:p>
    <w:p w14:paraId="548C6A09">
      <w:pPr>
        <w:pStyle w:val="2"/>
        <w:spacing w:before="107" w:line="301" w:lineRule="auto"/>
        <w:ind w:left="1280" w:right="1833" w:firstLine="609"/>
        <w:jc w:val="both"/>
      </w:pPr>
      <w:r>
        <w:rPr>
          <w:spacing w:val="-3"/>
        </w:rPr>
        <w:t>根据《保定市徐水区财政局关于印发&lt;保定市徐水区预</w:t>
      </w:r>
      <w:r>
        <w:t xml:space="preserve"> </w:t>
      </w:r>
      <w:r>
        <w:rPr>
          <w:spacing w:val="14"/>
        </w:rPr>
        <w:t>算部门绩效管理考核实施办法(试行)&gt;的通知》(徐政财</w:t>
      </w:r>
      <w:r>
        <w:rPr>
          <w:spacing w:val="11"/>
        </w:rPr>
        <w:t xml:space="preserve"> </w:t>
      </w:r>
      <w:r>
        <w:rPr>
          <w:spacing w:val="-9"/>
        </w:rPr>
        <w:t>字〔2023〕73号)和《2023年度区直部门</w:t>
      </w:r>
      <w:r>
        <w:rPr>
          <w:spacing w:val="-10"/>
        </w:rPr>
        <w:t>绩效管理自评表》,</w:t>
      </w:r>
      <w:r>
        <w:t xml:space="preserve"> </w:t>
      </w:r>
      <w:r>
        <w:rPr>
          <w:spacing w:val="-11"/>
        </w:rPr>
        <w:t>结合实际情况，保定市徐水区城区办事处部门组织开展</w:t>
      </w:r>
      <w:r>
        <w:rPr>
          <w:spacing w:val="-12"/>
        </w:rPr>
        <w:t>部门</w:t>
      </w:r>
      <w:r>
        <w:t xml:space="preserve"> </w:t>
      </w:r>
      <w:r>
        <w:rPr>
          <w:spacing w:val="-14"/>
        </w:rPr>
        <w:t>整体绩效管理自评工作，现将具体情况报告如下：</w:t>
      </w:r>
    </w:p>
    <w:p w14:paraId="435C58FC">
      <w:pPr>
        <w:spacing w:before="110" w:line="223" w:lineRule="auto"/>
        <w:ind w:left="189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一</w:t>
      </w:r>
      <w:r>
        <w:rPr>
          <w:rFonts w:ascii="黑体" w:hAnsi="黑体" w:eastAsia="黑体" w:cs="黑体"/>
          <w:spacing w:val="-83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、部门基本情况</w:t>
      </w:r>
    </w:p>
    <w:p w14:paraId="7B079451">
      <w:pPr>
        <w:spacing w:before="143" w:line="227" w:lineRule="auto"/>
        <w:ind w:left="21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"/>
          <w:sz w:val="33"/>
          <w:szCs w:val="33"/>
        </w:rPr>
        <w:t>(一)机构设置和人员配备</w:t>
      </w:r>
    </w:p>
    <w:p w14:paraId="3A696F25">
      <w:pPr>
        <w:pStyle w:val="2"/>
        <w:spacing w:before="150" w:line="310" w:lineRule="auto"/>
        <w:ind w:left="1280" w:right="1835" w:firstLine="609"/>
        <w:jc w:val="both"/>
      </w:pPr>
      <w:r>
        <w:rPr>
          <w:spacing w:val="-10"/>
        </w:rPr>
        <w:t>保定市徐水区城区办事处为正科级行政单位，经费保障</w:t>
      </w:r>
      <w:r>
        <w:rPr>
          <w:spacing w:val="2"/>
        </w:rPr>
        <w:t xml:space="preserve"> </w:t>
      </w:r>
      <w:r>
        <w:rPr>
          <w:spacing w:val="-5"/>
        </w:rPr>
        <w:t>形式为财政拨款，下设3个股室，分别为党政办公室、民政</w:t>
      </w:r>
      <w:r>
        <w:rPr>
          <w:spacing w:val="8"/>
        </w:rPr>
        <w:t xml:space="preserve"> </w:t>
      </w:r>
      <w:r>
        <w:rPr>
          <w:spacing w:val="-14"/>
        </w:rPr>
        <w:t>计生事务办公室、综合治理办公室。</w:t>
      </w:r>
    </w:p>
    <w:p w14:paraId="50AAC3ED">
      <w:pPr>
        <w:pStyle w:val="2"/>
        <w:spacing w:before="26" w:line="307" w:lineRule="auto"/>
        <w:ind w:left="1280" w:right="1835" w:firstLine="609"/>
      </w:pPr>
      <w:r>
        <w:rPr>
          <w:spacing w:val="4"/>
        </w:rPr>
        <w:t>根据《三定方案》,我部门编制数有0个，实有</w:t>
      </w:r>
      <w:r>
        <w:rPr>
          <w:spacing w:val="3"/>
        </w:rPr>
        <w:t>在编干</w:t>
      </w:r>
      <w:r>
        <w:t xml:space="preserve"> </w:t>
      </w:r>
      <w:r>
        <w:rPr>
          <w:spacing w:val="5"/>
        </w:rPr>
        <w:t>部职工13名。</w:t>
      </w:r>
    </w:p>
    <w:p w14:paraId="6674E4B8">
      <w:pPr>
        <w:spacing w:before="16" w:line="224" w:lineRule="auto"/>
        <w:ind w:left="21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4"/>
          <w:sz w:val="33"/>
          <w:szCs w:val="33"/>
        </w:rPr>
        <w:t>(二)部门整体绩效目标</w:t>
      </w:r>
    </w:p>
    <w:p w14:paraId="43989C49">
      <w:pPr>
        <w:pStyle w:val="2"/>
        <w:spacing w:before="167" w:line="288" w:lineRule="auto"/>
        <w:ind w:left="1280" w:right="1692" w:firstLine="609"/>
        <w:jc w:val="both"/>
        <w:rPr>
          <w:rFonts w:ascii="宋体" w:hAnsi="宋体" w:eastAsia="宋体" w:cs="宋体"/>
          <w:sz w:val="32"/>
          <w:szCs w:val="32"/>
        </w:rPr>
      </w:pPr>
      <w:r>
        <w:rPr>
          <w:spacing w:val="2"/>
        </w:rPr>
        <w:t>保定市徐水区城区办事处根据绩效预算管理政策</w:t>
      </w:r>
      <w:r>
        <w:rPr>
          <w:spacing w:val="1"/>
        </w:rPr>
        <w:t>的相</w:t>
      </w:r>
      <w:r>
        <w:t xml:space="preserve">  </w:t>
      </w:r>
      <w:r>
        <w:rPr>
          <w:spacing w:val="-6"/>
        </w:rPr>
        <w:t>关要求和部门职责，按照“部门职责一工作活动绩效目标”</w:t>
      </w:r>
      <w:r>
        <w:rPr>
          <w:spacing w:val="12"/>
        </w:rPr>
        <w:t xml:space="preserve"> </w:t>
      </w:r>
      <w:r>
        <w:rPr>
          <w:rFonts w:ascii="宋体" w:hAnsi="宋体" w:eastAsia="宋体" w:cs="宋体"/>
          <w:spacing w:val="1"/>
          <w:sz w:val="32"/>
          <w:szCs w:val="32"/>
        </w:rPr>
        <w:t>的层级设立了绩效预算架构，具体情况见下</w:t>
      </w:r>
      <w:r>
        <w:rPr>
          <w:rFonts w:ascii="宋体" w:hAnsi="宋体" w:eastAsia="宋体" w:cs="宋体"/>
          <w:sz w:val="32"/>
          <w:szCs w:val="32"/>
        </w:rPr>
        <w:t>表：</w:t>
      </w:r>
    </w:p>
    <w:tbl>
      <w:tblPr>
        <w:tblStyle w:val="5"/>
        <w:tblW w:w="8509" w:type="dxa"/>
        <w:tblInd w:w="1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298"/>
        <w:gridCol w:w="2377"/>
        <w:gridCol w:w="2237"/>
        <w:gridCol w:w="2103"/>
      </w:tblGrid>
      <w:tr w14:paraId="4ED4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94" w:type="dxa"/>
            <w:textDirection w:val="tbRlV"/>
            <w:vAlign w:val="top"/>
          </w:tcPr>
          <w:p w14:paraId="1DD9F4EE">
            <w:pPr>
              <w:pStyle w:val="6"/>
              <w:spacing w:before="143" w:line="199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298" w:type="dxa"/>
            <w:vAlign w:val="top"/>
          </w:tcPr>
          <w:p w14:paraId="5F62E67F">
            <w:pPr>
              <w:pStyle w:val="6"/>
              <w:spacing w:before="246" w:line="221" w:lineRule="auto"/>
              <w:ind w:left="40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职能</w:t>
            </w:r>
          </w:p>
        </w:tc>
        <w:tc>
          <w:tcPr>
            <w:tcW w:w="2377" w:type="dxa"/>
            <w:vAlign w:val="top"/>
          </w:tcPr>
          <w:p w14:paraId="65F46B83">
            <w:pPr>
              <w:pStyle w:val="6"/>
              <w:spacing w:before="245" w:line="220" w:lineRule="auto"/>
              <w:ind w:left="7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工作活动</w:t>
            </w:r>
          </w:p>
        </w:tc>
        <w:tc>
          <w:tcPr>
            <w:tcW w:w="2237" w:type="dxa"/>
            <w:vAlign w:val="top"/>
          </w:tcPr>
          <w:p w14:paraId="160090EB">
            <w:pPr>
              <w:pStyle w:val="6"/>
              <w:spacing w:before="244" w:line="219" w:lineRule="auto"/>
              <w:ind w:left="3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年度工作目标</w:t>
            </w:r>
          </w:p>
        </w:tc>
        <w:tc>
          <w:tcPr>
            <w:tcW w:w="2103" w:type="dxa"/>
            <w:vAlign w:val="top"/>
          </w:tcPr>
          <w:p w14:paraId="1466AAAD">
            <w:pPr>
              <w:pStyle w:val="6"/>
              <w:spacing w:before="245" w:line="220" w:lineRule="auto"/>
              <w:ind w:left="32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对应项目支出</w:t>
            </w:r>
          </w:p>
        </w:tc>
      </w:tr>
      <w:tr w14:paraId="5FBC0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494" w:type="dxa"/>
            <w:vAlign w:val="top"/>
          </w:tcPr>
          <w:p w14:paraId="30795D14">
            <w:pPr>
              <w:spacing w:line="244" w:lineRule="auto"/>
              <w:rPr>
                <w:rFonts w:ascii="Arial"/>
                <w:sz w:val="21"/>
              </w:rPr>
            </w:pPr>
          </w:p>
          <w:p w14:paraId="3C9323D7">
            <w:pPr>
              <w:spacing w:line="245" w:lineRule="auto"/>
              <w:rPr>
                <w:rFonts w:ascii="Arial"/>
                <w:sz w:val="21"/>
              </w:rPr>
            </w:pPr>
          </w:p>
          <w:p w14:paraId="15D12397">
            <w:pPr>
              <w:spacing w:line="245" w:lineRule="auto"/>
              <w:rPr>
                <w:rFonts w:ascii="Arial"/>
                <w:sz w:val="21"/>
              </w:rPr>
            </w:pPr>
          </w:p>
          <w:p w14:paraId="7271263E">
            <w:pPr>
              <w:spacing w:line="245" w:lineRule="auto"/>
              <w:rPr>
                <w:rFonts w:ascii="Arial"/>
                <w:sz w:val="21"/>
              </w:rPr>
            </w:pPr>
          </w:p>
          <w:p w14:paraId="3D113878">
            <w:pPr>
              <w:pStyle w:val="6"/>
              <w:spacing w:before="78" w:line="184" w:lineRule="auto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top"/>
          </w:tcPr>
          <w:p w14:paraId="5E7C3209">
            <w:pPr>
              <w:spacing w:line="302" w:lineRule="auto"/>
              <w:rPr>
                <w:rFonts w:ascii="Arial"/>
                <w:sz w:val="21"/>
              </w:rPr>
            </w:pPr>
          </w:p>
          <w:p w14:paraId="75F2F009">
            <w:pPr>
              <w:spacing w:line="302" w:lineRule="auto"/>
              <w:rPr>
                <w:rFonts w:ascii="Arial"/>
                <w:sz w:val="21"/>
              </w:rPr>
            </w:pPr>
          </w:p>
          <w:p w14:paraId="3B73498D">
            <w:pPr>
              <w:pStyle w:val="6"/>
              <w:spacing w:before="107" w:line="308" w:lineRule="auto"/>
              <w:ind w:left="90" w:right="142" w:firstLine="50"/>
            </w:pPr>
            <w:r>
              <w:rPr>
                <w:spacing w:val="4"/>
              </w:rPr>
              <w:t>社区建</w:t>
            </w:r>
            <w:r>
              <w:rPr>
                <w:spacing w:val="1"/>
              </w:rPr>
              <w:t xml:space="preserve"> </w:t>
            </w:r>
            <w:r>
              <w:t>设</w:t>
            </w:r>
          </w:p>
        </w:tc>
        <w:tc>
          <w:tcPr>
            <w:tcW w:w="2377" w:type="dxa"/>
            <w:vAlign w:val="top"/>
          </w:tcPr>
          <w:p w14:paraId="796A4843">
            <w:pPr>
              <w:pStyle w:val="6"/>
              <w:spacing w:before="186" w:line="219" w:lineRule="auto"/>
              <w:ind w:left="193"/>
            </w:pPr>
            <w:r>
              <w:rPr>
                <w:spacing w:val="2"/>
              </w:rPr>
              <w:t>指导社区居委</w:t>
            </w:r>
          </w:p>
          <w:p w14:paraId="13AB3F62">
            <w:pPr>
              <w:pStyle w:val="6"/>
              <w:spacing w:before="148" w:line="278" w:lineRule="auto"/>
              <w:ind w:left="23" w:right="15" w:firstLine="170"/>
            </w:pPr>
            <w:r>
              <w:rPr>
                <w:spacing w:val="2"/>
              </w:rPr>
              <w:t>会拓展社区服</w:t>
            </w:r>
            <w:r>
              <w:t xml:space="preserve">  </w:t>
            </w:r>
            <w:r>
              <w:rPr>
                <w:spacing w:val="2"/>
              </w:rPr>
              <w:t>务，繁荣社区文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化，美化社区环</w:t>
            </w:r>
          </w:p>
        </w:tc>
        <w:tc>
          <w:tcPr>
            <w:tcW w:w="2237" w:type="dxa"/>
            <w:vAlign w:val="top"/>
          </w:tcPr>
          <w:p w14:paraId="06190AD7">
            <w:pPr>
              <w:spacing w:line="349" w:lineRule="auto"/>
              <w:rPr>
                <w:rFonts w:ascii="Arial"/>
                <w:sz w:val="21"/>
              </w:rPr>
            </w:pPr>
          </w:p>
          <w:p w14:paraId="22768A31">
            <w:pPr>
              <w:pStyle w:val="6"/>
              <w:spacing w:before="107" w:line="299" w:lineRule="auto"/>
              <w:ind w:left="115" w:right="99" w:firstLine="9"/>
              <w:jc w:val="both"/>
            </w:pPr>
            <w:r>
              <w:rPr>
                <w:spacing w:val="3"/>
              </w:rPr>
              <w:t>保证社区工作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积极和谐健康</w:t>
            </w:r>
            <w:r>
              <w:t xml:space="preserve"> </w:t>
            </w:r>
            <w:r>
              <w:rPr>
                <w:spacing w:val="-2"/>
              </w:rPr>
              <w:t>发展。</w:t>
            </w:r>
          </w:p>
        </w:tc>
        <w:tc>
          <w:tcPr>
            <w:tcW w:w="2103" w:type="dxa"/>
            <w:vAlign w:val="top"/>
          </w:tcPr>
          <w:p w14:paraId="55C26B14">
            <w:pPr>
              <w:spacing w:line="259" w:lineRule="auto"/>
              <w:rPr>
                <w:rFonts w:ascii="Arial"/>
                <w:sz w:val="21"/>
              </w:rPr>
            </w:pPr>
          </w:p>
          <w:p w14:paraId="22FB5E7D">
            <w:pPr>
              <w:spacing w:line="260" w:lineRule="auto"/>
              <w:rPr>
                <w:rFonts w:ascii="Arial"/>
                <w:sz w:val="21"/>
              </w:rPr>
            </w:pPr>
          </w:p>
          <w:p w14:paraId="25A024E3">
            <w:pPr>
              <w:spacing w:line="260" w:lineRule="auto"/>
              <w:rPr>
                <w:rFonts w:ascii="Arial"/>
                <w:sz w:val="21"/>
              </w:rPr>
            </w:pPr>
          </w:p>
          <w:p w14:paraId="22FC5F27">
            <w:pPr>
              <w:pStyle w:val="6"/>
              <w:spacing w:before="136" w:line="219" w:lineRule="auto"/>
              <w:jc w:val="right"/>
              <w:rPr>
                <w:sz w:val="42"/>
                <w:szCs w:val="42"/>
              </w:rPr>
            </w:pPr>
            <w:r>
              <w:rPr>
                <w:spacing w:val="-6"/>
                <w:sz w:val="42"/>
                <w:szCs w:val="42"/>
              </w:rPr>
              <w:t>社区建设管</w:t>
            </w:r>
          </w:p>
        </w:tc>
      </w:tr>
    </w:tbl>
    <w:p w14:paraId="573F2E9A">
      <w:pPr>
        <w:rPr>
          <w:rFonts w:ascii="Arial"/>
          <w:sz w:val="21"/>
        </w:rPr>
      </w:pPr>
    </w:p>
    <w:p w14:paraId="25D5B88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80" w:h="16920"/>
          <w:pgMar w:top="799" w:right="0" w:bottom="1246" w:left="469" w:header="0" w:footer="981" w:gutter="0"/>
          <w:cols w:space="720" w:num="1"/>
        </w:sectPr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289"/>
        <w:gridCol w:w="2377"/>
        <w:gridCol w:w="2237"/>
        <w:gridCol w:w="2102"/>
      </w:tblGrid>
      <w:tr w14:paraId="70CCC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1" w:hRule="atLeast"/>
        </w:trPr>
        <w:tc>
          <w:tcPr>
            <w:tcW w:w="494" w:type="dxa"/>
            <w:vAlign w:val="top"/>
          </w:tcPr>
          <w:p w14:paraId="00243151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E8AF4BA"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 w14:paraId="46EA7F91">
            <w:pPr>
              <w:pStyle w:val="6"/>
              <w:spacing w:before="188" w:line="219" w:lineRule="auto"/>
              <w:ind w:left="21"/>
            </w:pPr>
            <w:r>
              <w:rPr>
                <w:spacing w:val="2"/>
              </w:rPr>
              <w:t>境，建设和谐社</w:t>
            </w:r>
          </w:p>
          <w:p w14:paraId="6B0771F3">
            <w:pPr>
              <w:pStyle w:val="6"/>
              <w:spacing w:before="178" w:line="219" w:lineRule="auto"/>
              <w:ind w:left="21"/>
            </w:pPr>
            <w:r>
              <w:rPr>
                <w:spacing w:val="3"/>
              </w:rPr>
              <w:t>区。抓好社区的</w:t>
            </w:r>
          </w:p>
          <w:p w14:paraId="116B2444">
            <w:pPr>
              <w:pStyle w:val="6"/>
              <w:spacing w:before="178" w:line="219" w:lineRule="auto"/>
              <w:ind w:left="21"/>
            </w:pPr>
            <w:r>
              <w:rPr>
                <w:spacing w:val="3"/>
              </w:rPr>
              <w:t>党建工作。领导</w:t>
            </w:r>
          </w:p>
          <w:p w14:paraId="20F1865C">
            <w:pPr>
              <w:pStyle w:val="6"/>
              <w:spacing w:before="168" w:line="219" w:lineRule="auto"/>
              <w:ind w:left="191"/>
            </w:pPr>
            <w:r>
              <w:rPr>
                <w:spacing w:val="3"/>
              </w:rPr>
              <w:t>和支持城区居</w:t>
            </w:r>
          </w:p>
          <w:p w14:paraId="67662DE9">
            <w:pPr>
              <w:pStyle w:val="6"/>
              <w:spacing w:before="165" w:line="303" w:lineRule="auto"/>
              <w:ind w:left="21" w:firstLine="161"/>
              <w:jc w:val="both"/>
            </w:pPr>
            <w:r>
              <w:rPr>
                <w:spacing w:val="-15"/>
              </w:rPr>
              <w:t>委会依法自主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管理小区事务，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领导纪检、人民</w:t>
            </w:r>
            <w:r>
              <w:t xml:space="preserve"> </w:t>
            </w:r>
            <w:r>
              <w:rPr>
                <w:spacing w:val="5"/>
              </w:rPr>
              <w:t>武装、共青团、</w:t>
            </w:r>
          </w:p>
          <w:p w14:paraId="14A5D7F4">
            <w:pPr>
              <w:pStyle w:val="6"/>
              <w:spacing w:before="77" w:line="258" w:lineRule="auto"/>
              <w:ind w:left="91" w:right="165" w:firstLine="99"/>
              <w:jc w:val="both"/>
            </w:pPr>
            <w:r>
              <w:rPr>
                <w:spacing w:val="4"/>
              </w:rPr>
              <w:t xml:space="preserve">妇联等人民团 </w:t>
            </w:r>
            <w:r>
              <w:rPr>
                <w:spacing w:val="-1"/>
              </w:rPr>
              <w:t>体的工作。</w:t>
            </w:r>
          </w:p>
        </w:tc>
        <w:tc>
          <w:tcPr>
            <w:tcW w:w="2237" w:type="dxa"/>
            <w:vAlign w:val="top"/>
          </w:tcPr>
          <w:p w14:paraId="07AE4D29"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Align w:val="top"/>
          </w:tcPr>
          <w:p w14:paraId="3C96DDFF">
            <w:pPr>
              <w:rPr>
                <w:rFonts w:ascii="Arial"/>
                <w:sz w:val="21"/>
              </w:rPr>
            </w:pPr>
          </w:p>
        </w:tc>
      </w:tr>
      <w:tr w14:paraId="17415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494" w:type="dxa"/>
            <w:vAlign w:val="top"/>
          </w:tcPr>
          <w:p w14:paraId="6A002BD9">
            <w:pPr>
              <w:spacing w:line="242" w:lineRule="auto"/>
              <w:rPr>
                <w:rFonts w:ascii="Arial"/>
                <w:sz w:val="21"/>
              </w:rPr>
            </w:pPr>
          </w:p>
          <w:p w14:paraId="589EDE33">
            <w:pPr>
              <w:spacing w:line="242" w:lineRule="auto"/>
              <w:rPr>
                <w:rFonts w:ascii="Arial"/>
                <w:sz w:val="21"/>
              </w:rPr>
            </w:pPr>
          </w:p>
          <w:p w14:paraId="3C0F5E85">
            <w:pPr>
              <w:spacing w:line="243" w:lineRule="auto"/>
              <w:rPr>
                <w:rFonts w:ascii="Arial"/>
                <w:sz w:val="21"/>
              </w:rPr>
            </w:pPr>
          </w:p>
          <w:p w14:paraId="641F2287">
            <w:pPr>
              <w:spacing w:line="243" w:lineRule="auto"/>
              <w:rPr>
                <w:rFonts w:ascii="Arial"/>
                <w:sz w:val="21"/>
              </w:rPr>
            </w:pPr>
          </w:p>
          <w:p w14:paraId="5A151AF6">
            <w:pPr>
              <w:spacing w:line="243" w:lineRule="auto"/>
              <w:rPr>
                <w:rFonts w:ascii="Arial"/>
                <w:sz w:val="21"/>
              </w:rPr>
            </w:pPr>
          </w:p>
          <w:p w14:paraId="1FA29A6B">
            <w:pPr>
              <w:spacing w:line="243" w:lineRule="auto"/>
              <w:rPr>
                <w:rFonts w:ascii="Arial"/>
                <w:sz w:val="21"/>
              </w:rPr>
            </w:pPr>
          </w:p>
          <w:p w14:paraId="44D481DE">
            <w:pPr>
              <w:spacing w:line="243" w:lineRule="auto"/>
              <w:rPr>
                <w:rFonts w:ascii="Arial"/>
                <w:sz w:val="21"/>
              </w:rPr>
            </w:pPr>
          </w:p>
          <w:p w14:paraId="7655EA57">
            <w:pPr>
              <w:spacing w:line="243" w:lineRule="auto"/>
              <w:rPr>
                <w:rFonts w:ascii="Arial"/>
                <w:sz w:val="21"/>
              </w:rPr>
            </w:pPr>
          </w:p>
          <w:p w14:paraId="6C40E8FF">
            <w:pPr>
              <w:spacing w:line="243" w:lineRule="auto"/>
              <w:rPr>
                <w:rFonts w:ascii="Arial"/>
                <w:sz w:val="21"/>
              </w:rPr>
            </w:pPr>
          </w:p>
          <w:p w14:paraId="79695C0E">
            <w:pPr>
              <w:spacing w:line="243" w:lineRule="auto"/>
              <w:rPr>
                <w:rFonts w:ascii="Arial"/>
                <w:sz w:val="21"/>
              </w:rPr>
            </w:pPr>
          </w:p>
          <w:p w14:paraId="57AFE98E">
            <w:pPr>
              <w:spacing w:line="243" w:lineRule="auto"/>
              <w:rPr>
                <w:rFonts w:ascii="Arial"/>
                <w:sz w:val="21"/>
              </w:rPr>
            </w:pPr>
          </w:p>
          <w:p w14:paraId="3644D718">
            <w:pPr>
              <w:pStyle w:val="6"/>
              <w:spacing w:before="72" w:line="183" w:lineRule="auto"/>
              <w:ind w:left="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vAlign w:val="top"/>
          </w:tcPr>
          <w:p w14:paraId="3E073E59">
            <w:pPr>
              <w:spacing w:line="250" w:lineRule="auto"/>
              <w:rPr>
                <w:rFonts w:ascii="Arial"/>
                <w:sz w:val="21"/>
              </w:rPr>
            </w:pPr>
          </w:p>
          <w:p w14:paraId="0729FF55">
            <w:pPr>
              <w:spacing w:line="250" w:lineRule="auto"/>
              <w:rPr>
                <w:rFonts w:ascii="Arial"/>
                <w:sz w:val="21"/>
              </w:rPr>
            </w:pPr>
          </w:p>
          <w:p w14:paraId="4C62B111">
            <w:pPr>
              <w:spacing w:line="250" w:lineRule="auto"/>
              <w:rPr>
                <w:rFonts w:ascii="Arial"/>
                <w:sz w:val="21"/>
              </w:rPr>
            </w:pPr>
          </w:p>
          <w:p w14:paraId="3AB23FFD">
            <w:pPr>
              <w:spacing w:line="250" w:lineRule="auto"/>
              <w:rPr>
                <w:rFonts w:ascii="Arial"/>
                <w:sz w:val="21"/>
              </w:rPr>
            </w:pPr>
          </w:p>
          <w:p w14:paraId="0F8D116F">
            <w:pPr>
              <w:spacing w:line="251" w:lineRule="auto"/>
              <w:rPr>
                <w:rFonts w:ascii="Arial"/>
                <w:sz w:val="21"/>
              </w:rPr>
            </w:pPr>
          </w:p>
          <w:p w14:paraId="60B69C03">
            <w:pPr>
              <w:spacing w:line="251" w:lineRule="auto"/>
              <w:rPr>
                <w:rFonts w:ascii="Arial"/>
                <w:sz w:val="21"/>
              </w:rPr>
            </w:pPr>
          </w:p>
          <w:p w14:paraId="28274247">
            <w:pPr>
              <w:spacing w:line="251" w:lineRule="auto"/>
              <w:rPr>
                <w:rFonts w:ascii="Arial"/>
                <w:sz w:val="21"/>
              </w:rPr>
            </w:pPr>
          </w:p>
          <w:p w14:paraId="0F5CB45C">
            <w:pPr>
              <w:spacing w:line="251" w:lineRule="auto"/>
              <w:rPr>
                <w:rFonts w:ascii="Arial"/>
                <w:sz w:val="21"/>
              </w:rPr>
            </w:pPr>
          </w:p>
          <w:p w14:paraId="090A33D5">
            <w:pPr>
              <w:pStyle w:val="6"/>
              <w:spacing w:before="107" w:line="315" w:lineRule="auto"/>
              <w:ind w:left="120" w:right="119" w:firstLine="19"/>
              <w:jc w:val="both"/>
            </w:pPr>
            <w:r>
              <w:rPr>
                <w:spacing w:val="9"/>
              </w:rPr>
              <w:t>社会治</w:t>
            </w:r>
            <w:r>
              <w:t xml:space="preserve"> </w:t>
            </w:r>
            <w:r>
              <w:rPr>
                <w:spacing w:val="11"/>
              </w:rPr>
              <w:t>安综合</w:t>
            </w:r>
            <w:r>
              <w:t xml:space="preserve"> </w:t>
            </w:r>
            <w:r>
              <w:rPr>
                <w:spacing w:val="5"/>
              </w:rPr>
              <w:t>治理</w:t>
            </w:r>
          </w:p>
        </w:tc>
        <w:tc>
          <w:tcPr>
            <w:tcW w:w="2377" w:type="dxa"/>
            <w:vAlign w:val="top"/>
          </w:tcPr>
          <w:p w14:paraId="26343638">
            <w:pPr>
              <w:spacing w:line="313" w:lineRule="auto"/>
              <w:rPr>
                <w:rFonts w:ascii="Arial"/>
                <w:sz w:val="21"/>
              </w:rPr>
            </w:pPr>
          </w:p>
          <w:p w14:paraId="5EDBAFFE">
            <w:pPr>
              <w:spacing w:line="314" w:lineRule="auto"/>
              <w:rPr>
                <w:rFonts w:ascii="Arial"/>
                <w:sz w:val="21"/>
              </w:rPr>
            </w:pPr>
          </w:p>
          <w:p w14:paraId="05C473A0">
            <w:pPr>
              <w:pStyle w:val="6"/>
              <w:spacing w:before="107" w:line="311" w:lineRule="auto"/>
              <w:ind w:left="21" w:firstLine="166"/>
              <w:jc w:val="right"/>
            </w:pPr>
            <w:r>
              <w:rPr>
                <w:spacing w:val="-4"/>
              </w:rPr>
              <w:t>负责城区居民</w:t>
            </w:r>
            <w:r>
              <w:t xml:space="preserve">  </w:t>
            </w:r>
            <w:r>
              <w:rPr>
                <w:spacing w:val="23"/>
              </w:rPr>
              <w:t>区治安防范工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作，指导基层组</w:t>
            </w:r>
            <w:r>
              <w:rPr>
                <w:spacing w:val="4"/>
              </w:rPr>
              <w:t xml:space="preserve"> </w:t>
            </w:r>
            <w:r>
              <w:rPr>
                <w:spacing w:val="27"/>
              </w:rPr>
              <w:t>织调解民事纠</w:t>
            </w:r>
            <w:r>
              <w:t xml:space="preserve">  </w:t>
            </w:r>
            <w:r>
              <w:rPr>
                <w:spacing w:val="-5"/>
              </w:rPr>
              <w:t>纷，协助排查案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件，掌握社情，</w:t>
            </w:r>
          </w:p>
          <w:p w14:paraId="48B13DF2">
            <w:pPr>
              <w:pStyle w:val="6"/>
              <w:spacing w:before="45" w:line="293" w:lineRule="auto"/>
              <w:ind w:left="71" w:right="176" w:firstLine="119"/>
            </w:pPr>
            <w:r>
              <w:rPr>
                <w:spacing w:val="3"/>
              </w:rPr>
              <w:t>普法教育和宣</w:t>
            </w:r>
            <w:r>
              <w:t xml:space="preserve"> </w:t>
            </w:r>
            <w:r>
              <w:rPr>
                <w:spacing w:val="-2"/>
              </w:rPr>
              <w:t>传。</w:t>
            </w:r>
          </w:p>
        </w:tc>
        <w:tc>
          <w:tcPr>
            <w:tcW w:w="2237" w:type="dxa"/>
            <w:vAlign w:val="top"/>
          </w:tcPr>
          <w:p w14:paraId="2FB30521">
            <w:pPr>
              <w:pStyle w:val="6"/>
              <w:spacing w:before="178" w:line="303" w:lineRule="auto"/>
              <w:ind w:left="114" w:firstLine="9"/>
              <w:jc w:val="both"/>
            </w:pPr>
            <w:r>
              <w:rPr>
                <w:spacing w:val="-19"/>
              </w:rPr>
              <w:t>对政府的各项</w:t>
            </w:r>
            <w:r>
              <w:t xml:space="preserve">  </w:t>
            </w:r>
            <w:r>
              <w:rPr>
                <w:spacing w:val="-18"/>
              </w:rPr>
              <w:t>政策积极进行</w:t>
            </w:r>
            <w:r>
              <w:t xml:space="preserve">  </w:t>
            </w:r>
            <w:r>
              <w:rPr>
                <w:spacing w:val="-29"/>
              </w:rPr>
              <w:t>宣传。对信访、</w:t>
            </w:r>
            <w:r>
              <w:rPr>
                <w:spacing w:val="4"/>
              </w:rPr>
              <w:t xml:space="preserve"> </w:t>
            </w:r>
            <w:r>
              <w:rPr>
                <w:spacing w:val="-19"/>
              </w:rPr>
              <w:t>治安、维稳等</w:t>
            </w:r>
            <w:r>
              <w:rPr>
                <w:spacing w:val="1"/>
              </w:rPr>
              <w:t xml:space="preserve">  </w:t>
            </w:r>
            <w:r>
              <w:rPr>
                <w:spacing w:val="45"/>
              </w:rPr>
              <w:t>因素进行排</w:t>
            </w:r>
            <w:r>
              <w:t xml:space="preserve">  </w:t>
            </w:r>
            <w:r>
              <w:rPr>
                <w:spacing w:val="-19"/>
              </w:rPr>
              <w:t>查。加强社会</w:t>
            </w:r>
            <w:r>
              <w:rPr>
                <w:spacing w:val="1"/>
              </w:rPr>
              <w:t xml:space="preserve">  </w:t>
            </w:r>
            <w:r>
              <w:rPr>
                <w:spacing w:val="46"/>
              </w:rPr>
              <w:t>治安综合治</w:t>
            </w:r>
            <w:r>
              <w:t xml:space="preserve">  </w:t>
            </w:r>
            <w:r>
              <w:rPr>
                <w:spacing w:val="-19"/>
              </w:rPr>
              <w:t>理，调解民事</w:t>
            </w:r>
            <w:r>
              <w:rPr>
                <w:spacing w:val="1"/>
              </w:rPr>
              <w:t xml:space="preserve">  </w:t>
            </w:r>
            <w:r>
              <w:rPr>
                <w:spacing w:val="-19"/>
              </w:rPr>
              <w:t>纠纷，维护社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会秩序。</w:t>
            </w:r>
          </w:p>
        </w:tc>
        <w:tc>
          <w:tcPr>
            <w:tcW w:w="2102" w:type="dxa"/>
            <w:vAlign w:val="top"/>
          </w:tcPr>
          <w:p w14:paraId="32F32A5E">
            <w:pPr>
              <w:spacing w:line="252" w:lineRule="auto"/>
              <w:rPr>
                <w:rFonts w:ascii="Arial"/>
                <w:sz w:val="21"/>
              </w:rPr>
            </w:pPr>
          </w:p>
          <w:p w14:paraId="7BF6E3A3">
            <w:pPr>
              <w:spacing w:line="252" w:lineRule="auto"/>
              <w:rPr>
                <w:rFonts w:ascii="Arial"/>
                <w:sz w:val="21"/>
              </w:rPr>
            </w:pPr>
          </w:p>
          <w:p w14:paraId="488EBC08">
            <w:pPr>
              <w:spacing w:line="252" w:lineRule="auto"/>
              <w:rPr>
                <w:rFonts w:ascii="Arial"/>
                <w:sz w:val="21"/>
              </w:rPr>
            </w:pPr>
          </w:p>
          <w:p w14:paraId="6B5A09D9">
            <w:pPr>
              <w:spacing w:line="252" w:lineRule="auto"/>
              <w:rPr>
                <w:rFonts w:ascii="Arial"/>
                <w:sz w:val="21"/>
              </w:rPr>
            </w:pPr>
          </w:p>
          <w:p w14:paraId="059DE670">
            <w:pPr>
              <w:spacing w:line="252" w:lineRule="auto"/>
              <w:rPr>
                <w:rFonts w:ascii="Arial"/>
                <w:sz w:val="21"/>
              </w:rPr>
            </w:pPr>
          </w:p>
          <w:p w14:paraId="1AA87872">
            <w:pPr>
              <w:spacing w:line="252" w:lineRule="auto"/>
              <w:rPr>
                <w:rFonts w:ascii="Arial"/>
                <w:sz w:val="21"/>
              </w:rPr>
            </w:pPr>
          </w:p>
          <w:p w14:paraId="3C63A806">
            <w:pPr>
              <w:spacing w:line="252" w:lineRule="auto"/>
              <w:rPr>
                <w:rFonts w:ascii="Arial"/>
                <w:sz w:val="21"/>
              </w:rPr>
            </w:pPr>
          </w:p>
          <w:p w14:paraId="77446F19">
            <w:pPr>
              <w:spacing w:line="252" w:lineRule="auto"/>
              <w:rPr>
                <w:rFonts w:ascii="Arial"/>
                <w:sz w:val="21"/>
              </w:rPr>
            </w:pPr>
          </w:p>
          <w:p w14:paraId="77AF6AE1">
            <w:pPr>
              <w:spacing w:line="253" w:lineRule="auto"/>
              <w:rPr>
                <w:rFonts w:ascii="Arial"/>
                <w:sz w:val="21"/>
              </w:rPr>
            </w:pPr>
          </w:p>
          <w:p w14:paraId="02869C9A">
            <w:pPr>
              <w:spacing w:line="253" w:lineRule="auto"/>
              <w:rPr>
                <w:rFonts w:ascii="Arial"/>
                <w:sz w:val="21"/>
              </w:rPr>
            </w:pPr>
          </w:p>
          <w:p w14:paraId="5B6069C3">
            <w:pPr>
              <w:pStyle w:val="6"/>
              <w:spacing w:before="107" w:line="219" w:lineRule="auto"/>
              <w:ind w:left="77"/>
            </w:pPr>
            <w:r>
              <w:rPr>
                <w:spacing w:val="5"/>
              </w:rPr>
              <w:t>宣传引导</w:t>
            </w:r>
          </w:p>
        </w:tc>
      </w:tr>
      <w:tr w14:paraId="169C6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494" w:type="dxa"/>
            <w:vAlign w:val="top"/>
          </w:tcPr>
          <w:p w14:paraId="789D5414">
            <w:pPr>
              <w:spacing w:line="249" w:lineRule="auto"/>
              <w:rPr>
                <w:rFonts w:ascii="Arial"/>
                <w:sz w:val="21"/>
              </w:rPr>
            </w:pPr>
          </w:p>
          <w:p w14:paraId="162ECF32">
            <w:pPr>
              <w:spacing w:line="249" w:lineRule="auto"/>
              <w:rPr>
                <w:rFonts w:ascii="Arial"/>
                <w:sz w:val="21"/>
              </w:rPr>
            </w:pPr>
          </w:p>
          <w:p w14:paraId="71C6D577">
            <w:pPr>
              <w:spacing w:line="249" w:lineRule="auto"/>
              <w:rPr>
                <w:rFonts w:ascii="Arial"/>
                <w:sz w:val="21"/>
              </w:rPr>
            </w:pPr>
          </w:p>
          <w:p w14:paraId="266A4100">
            <w:pPr>
              <w:spacing w:line="250" w:lineRule="auto"/>
              <w:rPr>
                <w:rFonts w:ascii="Arial"/>
                <w:sz w:val="21"/>
              </w:rPr>
            </w:pPr>
          </w:p>
          <w:p w14:paraId="7DF0FF6A">
            <w:pPr>
              <w:pStyle w:val="6"/>
              <w:spacing w:before="71" w:line="183" w:lineRule="auto"/>
              <w:ind w:left="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  <w:vAlign w:val="top"/>
          </w:tcPr>
          <w:p w14:paraId="50010F26">
            <w:pPr>
              <w:pStyle w:val="6"/>
              <w:spacing w:before="180" w:line="287" w:lineRule="auto"/>
              <w:ind w:left="130" w:right="126" w:firstLine="9"/>
              <w:jc w:val="both"/>
            </w:pPr>
            <w:r>
              <w:rPr>
                <w:spacing w:val="7"/>
              </w:rPr>
              <w:t>社会福</w:t>
            </w:r>
            <w:r>
              <w:t xml:space="preserve"> </w:t>
            </w:r>
            <w:r>
              <w:rPr>
                <w:spacing w:val="8"/>
              </w:rPr>
              <w:t>利及社</w:t>
            </w:r>
            <w:r>
              <w:t xml:space="preserve"> </w:t>
            </w:r>
            <w:r>
              <w:rPr>
                <w:spacing w:val="8"/>
              </w:rPr>
              <w:t>会保障</w:t>
            </w:r>
            <w:r>
              <w:t xml:space="preserve"> </w:t>
            </w:r>
            <w:r>
              <w:rPr>
                <w:spacing w:val="10"/>
              </w:rPr>
              <w:t>工作</w:t>
            </w:r>
          </w:p>
        </w:tc>
        <w:tc>
          <w:tcPr>
            <w:tcW w:w="2377" w:type="dxa"/>
            <w:vAlign w:val="top"/>
          </w:tcPr>
          <w:p w14:paraId="521476C5">
            <w:pPr>
              <w:pStyle w:val="6"/>
              <w:spacing w:before="173" w:line="288" w:lineRule="auto"/>
              <w:ind w:left="21" w:firstLine="166"/>
              <w:jc w:val="both"/>
            </w:pPr>
            <w:r>
              <w:rPr>
                <w:spacing w:val="-5"/>
              </w:rPr>
              <w:t>管理民政行政</w:t>
            </w:r>
            <w:r>
              <w:t xml:space="preserve">  </w:t>
            </w:r>
            <w:r>
              <w:rPr>
                <w:spacing w:val="-5"/>
              </w:rPr>
              <w:t>工作，发展社会</w:t>
            </w:r>
            <w:r>
              <w:t xml:space="preserve"> </w:t>
            </w:r>
            <w:r>
              <w:rPr>
                <w:spacing w:val="-6"/>
              </w:rPr>
              <w:t>福利事业，做好</w:t>
            </w:r>
            <w:r>
              <w:rPr>
                <w:spacing w:val="5"/>
              </w:rPr>
              <w:t xml:space="preserve"> 社会保障工作。</w:t>
            </w:r>
          </w:p>
        </w:tc>
        <w:tc>
          <w:tcPr>
            <w:tcW w:w="2237" w:type="dxa"/>
            <w:vAlign w:val="top"/>
          </w:tcPr>
          <w:p w14:paraId="562B3503">
            <w:pPr>
              <w:pStyle w:val="6"/>
              <w:spacing w:before="195" w:line="285" w:lineRule="auto"/>
              <w:ind w:left="123" w:hanging="29"/>
              <w:jc w:val="both"/>
            </w:pPr>
            <w:r>
              <w:rPr>
                <w:spacing w:val="74"/>
              </w:rPr>
              <w:t>做好城市低</w:t>
            </w:r>
            <w:r>
              <w:t xml:space="preserve"> </w:t>
            </w:r>
            <w:r>
              <w:rPr>
                <w:spacing w:val="20"/>
              </w:rPr>
              <w:t>保、廉租房、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大病救助、高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龄补贴等的统</w:t>
            </w:r>
          </w:p>
        </w:tc>
        <w:tc>
          <w:tcPr>
            <w:tcW w:w="2102" w:type="dxa"/>
            <w:vAlign w:val="top"/>
          </w:tcPr>
          <w:p w14:paraId="6C2C292F">
            <w:pPr>
              <w:spacing w:line="315" w:lineRule="auto"/>
              <w:rPr>
                <w:rFonts w:ascii="Arial"/>
                <w:sz w:val="21"/>
              </w:rPr>
            </w:pPr>
          </w:p>
          <w:p w14:paraId="59385A28">
            <w:pPr>
              <w:spacing w:line="315" w:lineRule="auto"/>
              <w:rPr>
                <w:rFonts w:ascii="Arial"/>
                <w:sz w:val="21"/>
              </w:rPr>
            </w:pPr>
          </w:p>
          <w:p w14:paraId="2E84825E">
            <w:pPr>
              <w:pStyle w:val="6"/>
              <w:spacing w:before="107" w:line="296" w:lineRule="auto"/>
              <w:ind w:left="77" w:right="295" w:firstLine="50"/>
            </w:pPr>
            <w:r>
              <w:rPr>
                <w:spacing w:val="3"/>
              </w:rPr>
              <w:t>社会保障工</w:t>
            </w:r>
            <w:r>
              <w:rPr>
                <w:spacing w:val="2"/>
              </w:rPr>
              <w:t xml:space="preserve"> </w:t>
            </w:r>
            <w:r>
              <w:t>作</w:t>
            </w:r>
          </w:p>
        </w:tc>
      </w:tr>
    </w:tbl>
    <w:p w14:paraId="77876A0B">
      <w:pPr>
        <w:rPr>
          <w:rFonts w:ascii="Arial"/>
          <w:sz w:val="21"/>
        </w:rPr>
      </w:pPr>
    </w:p>
    <w:p w14:paraId="1C0A2D8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940"/>
          <w:pgMar w:top="1425" w:right="1735" w:bottom="1259" w:left="1655" w:header="0" w:footer="991" w:gutter="0"/>
          <w:cols w:space="720" w:num="1"/>
        </w:sectPr>
      </w:pPr>
    </w:p>
    <w:p w14:paraId="4BCDDD8D">
      <w:pPr>
        <w:spacing w:line="103" w:lineRule="auto"/>
        <w:rPr>
          <w:rFonts w:ascii="Arial"/>
          <w:sz w:val="2"/>
        </w:rPr>
      </w:pPr>
    </w:p>
    <w:tbl>
      <w:tblPr>
        <w:tblStyle w:val="5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289"/>
        <w:gridCol w:w="2377"/>
        <w:gridCol w:w="2227"/>
        <w:gridCol w:w="2123"/>
      </w:tblGrid>
      <w:tr w14:paraId="10E6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</w:trPr>
        <w:tc>
          <w:tcPr>
            <w:tcW w:w="494" w:type="dxa"/>
            <w:vAlign w:val="top"/>
          </w:tcPr>
          <w:p w14:paraId="7AB5F05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51CDB01"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 w14:paraId="7846BB4E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10D453B4">
            <w:pPr>
              <w:pStyle w:val="6"/>
              <w:spacing w:before="189" w:line="219" w:lineRule="auto"/>
              <w:ind w:left="84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计、申报及初</w:t>
            </w:r>
          </w:p>
          <w:p w14:paraId="5B14A8E5">
            <w:pPr>
              <w:pStyle w:val="6"/>
              <w:spacing w:before="157" w:line="220" w:lineRule="auto"/>
              <w:ind w:left="84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审工作，协助</w:t>
            </w:r>
          </w:p>
          <w:p w14:paraId="5224790D">
            <w:pPr>
              <w:pStyle w:val="6"/>
              <w:spacing w:before="153" w:line="219" w:lineRule="auto"/>
              <w:ind w:left="84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收缴城镇居民</w:t>
            </w:r>
          </w:p>
          <w:p w14:paraId="069FCF8C">
            <w:pPr>
              <w:pStyle w:val="6"/>
              <w:spacing w:before="157" w:line="220" w:lineRule="auto"/>
              <w:ind w:left="255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医疗保险工</w:t>
            </w:r>
          </w:p>
          <w:p w14:paraId="78D2F62B">
            <w:pPr>
              <w:pStyle w:val="6"/>
              <w:spacing w:before="165" w:line="252" w:lineRule="auto"/>
              <w:ind w:left="103" w:right="76" w:hanging="19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 xml:space="preserve">作。审核独生 </w:t>
            </w:r>
            <w:r>
              <w:rPr>
                <w:sz w:val="34"/>
                <w:szCs w:val="34"/>
              </w:rPr>
              <w:t>子女奖励。</w:t>
            </w:r>
          </w:p>
        </w:tc>
        <w:tc>
          <w:tcPr>
            <w:tcW w:w="2123" w:type="dxa"/>
            <w:vAlign w:val="top"/>
          </w:tcPr>
          <w:p w14:paraId="319AF725">
            <w:pPr>
              <w:rPr>
                <w:rFonts w:ascii="Arial"/>
                <w:sz w:val="21"/>
              </w:rPr>
            </w:pPr>
          </w:p>
        </w:tc>
      </w:tr>
    </w:tbl>
    <w:p w14:paraId="0E9C485B">
      <w:pPr>
        <w:spacing w:before="150" w:line="221" w:lineRule="auto"/>
        <w:ind w:left="74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二、部门绩效考核自评情况</w:t>
      </w:r>
    </w:p>
    <w:p w14:paraId="5CB588E9">
      <w:pPr>
        <w:pStyle w:val="2"/>
        <w:spacing w:before="159" w:line="303" w:lineRule="auto"/>
        <w:ind w:left="115" w:right="132" w:firstLine="629"/>
      </w:pPr>
      <w:r>
        <w:rPr>
          <w:spacing w:val="-11"/>
        </w:rPr>
        <w:t>2023年，我部门积极履职，强化管理，较好的完成了各</w:t>
      </w:r>
      <w:r>
        <w:rPr>
          <w:spacing w:val="7"/>
        </w:rPr>
        <w:t xml:space="preserve"> </w:t>
      </w:r>
      <w:r>
        <w:rPr>
          <w:spacing w:val="1"/>
        </w:rPr>
        <w:t>项工作，通过自评，我部门管理绩效考核得分为</w:t>
      </w:r>
      <w:r>
        <w:t xml:space="preserve">71.5分， </w:t>
      </w:r>
      <w:r>
        <w:rPr>
          <w:spacing w:val="-6"/>
        </w:rPr>
        <w:t>换算得分为100分，具体情况如下：</w:t>
      </w:r>
    </w:p>
    <w:p w14:paraId="5C3D3630">
      <w:pPr>
        <w:pStyle w:val="2"/>
        <w:spacing w:before="66" w:line="296" w:lineRule="auto"/>
        <w:ind w:left="744" w:right="2418" w:firstLine="130"/>
      </w:pPr>
      <w:r>
        <w:rPr>
          <w:rFonts w:ascii="楷体" w:hAnsi="楷体" w:eastAsia="楷体" w:cs="楷体"/>
          <w:spacing w:val="6"/>
        </w:rPr>
        <w:t>(一)重大政策落实情况，得分6.5分</w:t>
      </w:r>
      <w:r>
        <w:rPr>
          <w:rFonts w:ascii="楷体" w:hAnsi="楷体" w:eastAsia="楷体" w:cs="楷体"/>
          <w:spacing w:val="2"/>
        </w:rPr>
        <w:t xml:space="preserve"> </w:t>
      </w:r>
      <w:r>
        <w:rPr>
          <w:spacing w:val="-8"/>
        </w:rPr>
        <w:t>1.专项资金管理情况</w:t>
      </w:r>
    </w:p>
    <w:p w14:paraId="0EE3E749">
      <w:pPr>
        <w:pStyle w:val="2"/>
        <w:spacing w:before="76" w:line="299" w:lineRule="auto"/>
        <w:ind w:left="115" w:right="131" w:firstLine="629"/>
        <w:jc w:val="both"/>
      </w:pPr>
      <w:r>
        <w:rPr>
          <w:spacing w:val="-2"/>
        </w:rPr>
        <w:t>1.</w:t>
      </w:r>
      <w:r>
        <w:rPr>
          <w:spacing w:val="-71"/>
        </w:rPr>
        <w:t xml:space="preserve"> </w:t>
      </w:r>
      <w:r>
        <w:rPr>
          <w:spacing w:val="-2"/>
        </w:rPr>
        <w:t>“三保”支出保障情况。我部门2023年严格按照中</w:t>
      </w:r>
      <w:r>
        <w:t xml:space="preserve"> </w:t>
      </w:r>
      <w:r>
        <w:rPr>
          <w:spacing w:val="-12"/>
        </w:rPr>
        <w:t>央、省、市和区委区政府决策部署，足额保障“三保”政策</w:t>
      </w:r>
      <w:r>
        <w:rPr>
          <w:spacing w:val="4"/>
        </w:rPr>
        <w:t xml:space="preserve"> </w:t>
      </w:r>
      <w:r>
        <w:rPr>
          <w:spacing w:val="-20"/>
        </w:rPr>
        <w:t>落实。具体情况如下：</w:t>
      </w:r>
    </w:p>
    <w:p w14:paraId="7E0EE2A4">
      <w:pPr>
        <w:pStyle w:val="2"/>
        <w:spacing w:before="79" w:line="264" w:lineRule="auto"/>
        <w:ind w:left="115" w:right="135" w:firstLine="759"/>
      </w:pPr>
      <w:r>
        <w:rPr>
          <w:spacing w:val="14"/>
        </w:rPr>
        <w:t>(1)保工资安排资金100.59万元，实际支出100.59</w:t>
      </w:r>
      <w:r>
        <w:rPr>
          <w:spacing w:val="7"/>
        </w:rPr>
        <w:t xml:space="preserve"> </w:t>
      </w:r>
      <w:r>
        <w:rPr>
          <w:spacing w:val="-14"/>
        </w:rPr>
        <w:t>万元，机关事业单位人员工资、保险已按时足额落实；</w:t>
      </w:r>
    </w:p>
    <w:p w14:paraId="1C580981">
      <w:pPr>
        <w:pStyle w:val="2"/>
        <w:spacing w:before="162" w:line="266" w:lineRule="auto"/>
        <w:ind w:left="115" w:right="134" w:firstLine="759"/>
      </w:pPr>
      <w:r>
        <w:rPr>
          <w:spacing w:val="14"/>
        </w:rPr>
        <w:t>(3)保运转安排资金792.97万元，实际支出792.97</w:t>
      </w:r>
      <w:r>
        <w:rPr>
          <w:spacing w:val="8"/>
        </w:rPr>
        <w:t xml:space="preserve"> </w:t>
      </w:r>
      <w:r>
        <w:rPr>
          <w:spacing w:val="-15"/>
        </w:rPr>
        <w:t>万元，保障单位工作正常运转。</w:t>
      </w:r>
    </w:p>
    <w:p w14:paraId="71C5CD6D">
      <w:pPr>
        <w:pStyle w:val="2"/>
        <w:spacing w:before="167" w:line="308" w:lineRule="auto"/>
        <w:ind w:left="110" w:right="112" w:firstLine="634"/>
      </w:pPr>
      <w:r>
        <w:rPr>
          <w:spacing w:val="2"/>
        </w:rPr>
        <w:t>2.落实过紧日子要求情况。我部门2023年严格按照不</w:t>
      </w:r>
      <w:r>
        <w:rPr>
          <w:spacing w:val="6"/>
        </w:rPr>
        <w:t xml:space="preserve"> </w:t>
      </w:r>
      <w:r>
        <w:rPr>
          <w:spacing w:val="-11"/>
        </w:rPr>
        <w:t>折不扣落实政府“过紧日子”要求，厉行节约办一切事业，</w:t>
      </w:r>
      <w:r>
        <w:rPr>
          <w:spacing w:val="2"/>
        </w:rPr>
        <w:t xml:space="preserve"> </w:t>
      </w:r>
      <w:r>
        <w:rPr>
          <w:spacing w:val="-13"/>
        </w:rPr>
        <w:t>从紧安排项目支出，严格执行各项经费开支标准，严格控制</w:t>
      </w:r>
      <w:r>
        <w:rPr>
          <w:spacing w:val="11"/>
        </w:rPr>
        <w:t xml:space="preserve"> </w:t>
      </w:r>
      <w:r>
        <w:rPr>
          <w:spacing w:val="-10"/>
        </w:rPr>
        <w:t>“三公”经费支出。2022年我部门三公经费1.78万元，2023</w:t>
      </w:r>
      <w:r>
        <w:rPr>
          <w:spacing w:val="14"/>
        </w:rPr>
        <w:t xml:space="preserve"> </w:t>
      </w:r>
      <w:r>
        <w:rPr>
          <w:spacing w:val="12"/>
        </w:rPr>
        <w:t>年2.27万元，较2022年增加0.49万元，主要是我单位公</w:t>
      </w:r>
    </w:p>
    <w:p w14:paraId="1A7D2CA3">
      <w:pPr>
        <w:spacing w:line="308" w:lineRule="auto"/>
        <w:sectPr>
          <w:footerReference r:id="rId7" w:type="default"/>
          <w:pgSz w:w="11960" w:h="17000"/>
          <w:pgMar w:top="1445" w:right="1744" w:bottom="1273" w:left="1694" w:header="0" w:footer="985" w:gutter="0"/>
          <w:cols w:space="720" w:num="1"/>
        </w:sectPr>
      </w:pPr>
    </w:p>
    <w:p w14:paraId="60C645FC">
      <w:pPr>
        <w:pStyle w:val="2"/>
        <w:spacing w:before="173" w:line="219" w:lineRule="auto"/>
        <w:ind w:left="18"/>
      </w:pPr>
      <w:r>
        <w:rPr>
          <w:spacing w:val="-7"/>
        </w:rPr>
        <w:t>务用车已使用17年，未购置新车，2023年大修，支出较多。</w:t>
      </w:r>
    </w:p>
    <w:p w14:paraId="390955D6">
      <w:pPr>
        <w:pStyle w:val="2"/>
        <w:spacing w:before="160" w:line="302" w:lineRule="auto"/>
        <w:ind w:left="18" w:right="1826" w:firstLine="630"/>
      </w:pPr>
      <w:r>
        <w:rPr>
          <w:rFonts w:ascii="宋体" w:hAnsi="宋体" w:eastAsia="宋体" w:cs="宋体"/>
          <w:spacing w:val="-11"/>
        </w:rPr>
        <w:t>3.</w:t>
      </w:r>
      <w:r>
        <w:rPr>
          <w:spacing w:val="-11"/>
        </w:rPr>
        <w:t>减税降费等政策的落实情况。我部门高度重视</w:t>
      </w:r>
      <w:r>
        <w:rPr>
          <w:spacing w:val="-12"/>
        </w:rPr>
        <w:t>减税降</w:t>
      </w:r>
      <w:r>
        <w:t xml:space="preserve"> </w:t>
      </w:r>
      <w:r>
        <w:rPr>
          <w:spacing w:val="-15"/>
        </w:rPr>
        <w:t>费工作，严格落实各项减税降费政策。</w:t>
      </w:r>
    </w:p>
    <w:p w14:paraId="15320518">
      <w:pPr>
        <w:pStyle w:val="2"/>
        <w:spacing w:before="62" w:line="299" w:lineRule="auto"/>
        <w:ind w:left="18" w:right="1826" w:firstLine="630"/>
      </w:pPr>
      <w:r>
        <w:rPr>
          <w:spacing w:val="2"/>
        </w:rPr>
        <w:t>2023年，我部门及时足额上缴非税收入0.26万元</w:t>
      </w:r>
      <w:r>
        <w:rPr>
          <w:spacing w:val="1"/>
        </w:rPr>
        <w:t>，其</w:t>
      </w:r>
      <w:r>
        <w:t xml:space="preserve"> </w:t>
      </w:r>
      <w:r>
        <w:rPr>
          <w:spacing w:val="-5"/>
        </w:rPr>
        <w:t>中：利息收入0.26万元。</w:t>
      </w:r>
    </w:p>
    <w:p w14:paraId="14023133">
      <w:pPr>
        <w:pStyle w:val="2"/>
        <w:spacing w:before="49" w:line="222" w:lineRule="auto"/>
        <w:ind w:left="839"/>
      </w:pPr>
      <w:r>
        <w:rPr>
          <w:spacing w:val="7"/>
        </w:rPr>
        <w:t>(二)预算编制管理情况，得分12分</w:t>
      </w:r>
    </w:p>
    <w:p w14:paraId="0068A7EC">
      <w:pPr>
        <w:pStyle w:val="2"/>
        <w:spacing w:before="171" w:line="300" w:lineRule="auto"/>
        <w:ind w:left="18" w:right="1825" w:firstLine="630"/>
      </w:pPr>
      <w:r>
        <w:rPr>
          <w:spacing w:val="-11"/>
        </w:rPr>
        <w:t>1.制度建设情况。我部门按照“三重一大”政策要</w:t>
      </w:r>
      <w:r>
        <w:rPr>
          <w:spacing w:val="-12"/>
        </w:rPr>
        <w:t>求，</w:t>
      </w:r>
      <w:r>
        <w:t xml:space="preserve"> </w:t>
      </w:r>
      <w:r>
        <w:rPr>
          <w:spacing w:val="-12"/>
        </w:rPr>
        <w:t>对申报预算的项目认真的进行前期论证，并经过党组会议专</w:t>
      </w:r>
      <w:r>
        <w:rPr>
          <w:spacing w:val="5"/>
        </w:rPr>
        <w:t xml:space="preserve"> </w:t>
      </w:r>
      <w:r>
        <w:rPr>
          <w:spacing w:val="-12"/>
        </w:rPr>
        <w:t>题研究，对项目预算的绩效目标指标设定和部门预算草案、</w:t>
      </w:r>
      <w:r>
        <w:rPr>
          <w:spacing w:val="5"/>
        </w:rPr>
        <w:t xml:space="preserve"> </w:t>
      </w:r>
      <w:r>
        <w:rPr>
          <w:spacing w:val="-15"/>
        </w:rPr>
        <w:t>分年度计划均进行研究和审议。</w:t>
      </w:r>
    </w:p>
    <w:p w14:paraId="082C034A">
      <w:pPr>
        <w:pStyle w:val="2"/>
        <w:spacing w:before="94" w:line="302" w:lineRule="auto"/>
        <w:ind w:left="18" w:right="1828" w:firstLine="630"/>
      </w:pPr>
      <w:r>
        <w:rPr>
          <w:spacing w:val="-11"/>
        </w:rPr>
        <w:t>2.部门预算编制情况。我部门规范完整编制</w:t>
      </w:r>
      <w:r>
        <w:rPr>
          <w:spacing w:val="-12"/>
        </w:rPr>
        <w:t>部门预算，</w:t>
      </w:r>
      <w:r>
        <w:t xml:space="preserve"> </w:t>
      </w:r>
      <w:r>
        <w:rPr>
          <w:spacing w:val="-12"/>
        </w:rPr>
        <w:t>在规定时间内，按照要求报送年初预算编制相关资料，将年</w:t>
      </w:r>
      <w:r>
        <w:rPr>
          <w:spacing w:val="2"/>
        </w:rPr>
        <w:t xml:space="preserve"> </w:t>
      </w:r>
      <w:r>
        <w:rPr>
          <w:spacing w:val="-13"/>
        </w:rPr>
        <w:t>初预算项目按财政部门要求录入一体化系统，同时生成并审</w:t>
      </w:r>
      <w:r>
        <w:rPr>
          <w:spacing w:val="16"/>
        </w:rPr>
        <w:t xml:space="preserve"> </w:t>
      </w:r>
      <w:r>
        <w:rPr>
          <w:spacing w:val="-12"/>
        </w:rPr>
        <w:t>核报送部门预算文本和部门绩效文本，报送文本准确无误。</w:t>
      </w:r>
      <w:r>
        <w:rPr>
          <w:spacing w:val="2"/>
        </w:rPr>
        <w:t xml:space="preserve"> </w:t>
      </w:r>
      <w:r>
        <w:rPr>
          <w:spacing w:val="-17"/>
        </w:rPr>
        <w:t>现将预算编制情况说明如下：</w:t>
      </w:r>
    </w:p>
    <w:p w14:paraId="4262BDC4">
      <w:pPr>
        <w:pStyle w:val="2"/>
        <w:spacing w:before="87" w:line="311" w:lineRule="auto"/>
        <w:ind w:left="18" w:right="1725" w:firstLine="759"/>
        <w:jc w:val="both"/>
      </w:pPr>
      <w:r>
        <w:rPr>
          <w:spacing w:val="1"/>
        </w:rPr>
        <w:t>(1)收支预算。2023年我部门预算收入1265</w:t>
      </w:r>
      <w:r>
        <w:t xml:space="preserve">.44万元， </w:t>
      </w:r>
      <w:r>
        <w:rPr>
          <w:spacing w:val="-1"/>
        </w:rPr>
        <w:t>其中：一般公共预算拨款1265.44万元，政府性基金拨款0</w:t>
      </w:r>
      <w:r>
        <w:rPr>
          <w:spacing w:val="1"/>
        </w:rPr>
        <w:t xml:space="preserve">  万元，财政专户收入0万元，其他收入0.2万元。预算支出</w:t>
      </w:r>
      <w:r>
        <w:t xml:space="preserve"> </w:t>
      </w:r>
      <w:r>
        <w:rPr>
          <w:spacing w:val="1"/>
        </w:rPr>
        <w:t>按功能分类包含：公共安全支出7.29万元，社会保障和就</w:t>
      </w:r>
      <w:r>
        <w:t xml:space="preserve"> 业支出490.00万元，卫生健康支出8.75万元，城乡社区支</w:t>
      </w:r>
      <w:r>
        <w:rPr>
          <w:spacing w:val="3"/>
        </w:rPr>
        <w:t xml:space="preserve"> </w:t>
      </w:r>
      <w:r>
        <w:t>出749.38万元，住房保障支出8.79万元，灾害防治及应急</w:t>
      </w:r>
    </w:p>
    <w:p w14:paraId="2A4BD8BB">
      <w:pPr>
        <w:pStyle w:val="2"/>
        <w:spacing w:before="20" w:line="224" w:lineRule="auto"/>
        <w:ind w:left="23"/>
      </w:pPr>
      <w:r>
        <w:rPr>
          <w:b/>
          <w:bCs/>
          <w:spacing w:val="-5"/>
        </w:rPr>
        <w:t>管理支出1.23万元。</w:t>
      </w:r>
    </w:p>
    <w:p w14:paraId="0A5EC9F5">
      <w:pPr>
        <w:pStyle w:val="2"/>
        <w:spacing w:before="151" w:line="306" w:lineRule="auto"/>
        <w:ind w:left="18" w:right="1811" w:firstLine="780"/>
      </w:pPr>
      <w:r>
        <w:rPr>
          <w:spacing w:val="3"/>
        </w:rPr>
        <w:t>(2)三公经费预算。2023年我部门安排三公经费4.</w:t>
      </w:r>
      <w:r>
        <w:rPr>
          <w:spacing w:val="2"/>
        </w:rPr>
        <w:t>86</w:t>
      </w:r>
      <w:r>
        <w:t xml:space="preserve"> </w:t>
      </w:r>
      <w:r>
        <w:rPr>
          <w:spacing w:val="-5"/>
        </w:rPr>
        <w:t>万元，其中：公务用车运行维护费4.86万元，</w:t>
      </w:r>
      <w:r>
        <w:rPr>
          <w:spacing w:val="-6"/>
        </w:rPr>
        <w:t>公务接待费0</w:t>
      </w:r>
    </w:p>
    <w:p w14:paraId="2D7B8AEC">
      <w:pPr>
        <w:spacing w:line="306" w:lineRule="auto"/>
        <w:sectPr>
          <w:footerReference r:id="rId8" w:type="default"/>
          <w:pgSz w:w="11940" w:h="16980"/>
          <w:pgMar w:top="1443" w:right="29" w:bottom="1279" w:left="1791" w:header="0" w:footer="1011" w:gutter="0"/>
          <w:cols w:space="720" w:num="1"/>
        </w:sectPr>
      </w:pPr>
    </w:p>
    <w:p w14:paraId="05644341">
      <w:pPr>
        <w:pStyle w:val="2"/>
        <w:spacing w:before="158" w:line="223" w:lineRule="auto"/>
      </w:pPr>
      <w:r>
        <w:rPr>
          <w:spacing w:val="4"/>
        </w:rPr>
        <w:t>万元，会议费0万元，培训费0万元。</w:t>
      </w:r>
    </w:p>
    <w:p w14:paraId="620157BC">
      <w:pPr>
        <w:pStyle w:val="2"/>
        <w:spacing w:before="160" w:line="308" w:lineRule="auto"/>
        <w:ind w:firstLine="629"/>
        <w:jc w:val="both"/>
      </w:pPr>
      <w:r>
        <w:rPr>
          <w:spacing w:val="-12"/>
        </w:rPr>
        <w:t>3.各类资源统筹管理情况。我部门依法依规将取得的各</w:t>
      </w:r>
      <w:r>
        <w:rPr>
          <w:spacing w:val="11"/>
        </w:rPr>
        <w:t xml:space="preserve"> </w:t>
      </w:r>
      <w:r>
        <w:rPr>
          <w:spacing w:val="-14"/>
        </w:rPr>
        <w:t>类预算拨款收入纳入部门预算，其中：预算拨款结转0万元、</w:t>
      </w:r>
      <w:r>
        <w:rPr>
          <w:spacing w:val="17"/>
        </w:rPr>
        <w:t xml:space="preserve"> </w:t>
      </w:r>
      <w:r>
        <w:rPr>
          <w:spacing w:val="-7"/>
        </w:rPr>
        <w:t>其他收入0.06万元。年度当中，将财政拨款结转结余资金，</w:t>
      </w:r>
      <w:r>
        <w:t xml:space="preserve"> </w:t>
      </w:r>
      <w:r>
        <w:rPr>
          <w:spacing w:val="-6"/>
        </w:rPr>
        <w:t>按照政策在年度中进行盘活处理，及时交回财</w:t>
      </w:r>
      <w:r>
        <w:rPr>
          <w:spacing w:val="-7"/>
        </w:rPr>
        <w:t>政0万元。</w:t>
      </w:r>
    </w:p>
    <w:p w14:paraId="06DAE620">
      <w:pPr>
        <w:pStyle w:val="2"/>
        <w:spacing w:before="54" w:line="270" w:lineRule="auto"/>
        <w:ind w:left="629" w:right="2144" w:firstLine="200"/>
      </w:pPr>
      <w:r>
        <w:rPr>
          <w:spacing w:val="6"/>
        </w:rPr>
        <w:t>(三)预算执行管理情况，得分13.5分</w:t>
      </w:r>
      <w:r>
        <w:rPr>
          <w:spacing w:val="15"/>
        </w:rPr>
        <w:t xml:space="preserve"> </w:t>
      </w:r>
      <w:r>
        <w:rPr>
          <w:spacing w:val="-7"/>
        </w:rPr>
        <w:t>1.预算执行监督情况</w:t>
      </w:r>
    </w:p>
    <w:p w14:paraId="333DCB24">
      <w:pPr>
        <w:pStyle w:val="2"/>
        <w:spacing w:before="144" w:line="273" w:lineRule="auto"/>
        <w:ind w:right="73" w:firstLine="789"/>
      </w:pPr>
      <w:r>
        <w:rPr>
          <w:spacing w:val="4"/>
        </w:rPr>
        <w:t>(1)预警处理情况。重点关注一体化平台预算执行监</w:t>
      </w:r>
      <w:r>
        <w:t xml:space="preserve"> </w:t>
      </w:r>
      <w:r>
        <w:rPr>
          <w:spacing w:val="-12"/>
        </w:rPr>
        <w:t>督预警提示的问题，未发生预警，确保全区考核不丢分。</w:t>
      </w:r>
    </w:p>
    <w:p w14:paraId="7F44F817">
      <w:pPr>
        <w:pStyle w:val="2"/>
        <w:spacing w:before="139" w:line="291" w:lineRule="auto"/>
        <w:ind w:right="70" w:firstLine="780"/>
      </w:pPr>
      <w:r>
        <w:rPr>
          <w:spacing w:val="4"/>
        </w:rPr>
        <w:t>(2)预算执行违规情况。我部门不存在无预算、超预</w:t>
      </w:r>
      <w:r>
        <w:rPr>
          <w:spacing w:val="12"/>
        </w:rPr>
        <w:t xml:space="preserve"> </w:t>
      </w:r>
      <w:r>
        <w:rPr>
          <w:spacing w:val="-12"/>
        </w:rPr>
        <w:t>算安排支出的情况，不存在开展政府采购、将基本户资金违</w:t>
      </w:r>
      <w:r>
        <w:rPr>
          <w:spacing w:val="14"/>
        </w:rPr>
        <w:t xml:space="preserve"> </w:t>
      </w:r>
      <w:r>
        <w:rPr>
          <w:spacing w:val="-12"/>
        </w:rPr>
        <w:t>规拨入专户，被督查、审计、日常监管、专项检查指出或发</w:t>
      </w:r>
      <w:r>
        <w:rPr>
          <w:spacing w:val="15"/>
        </w:rPr>
        <w:t xml:space="preserve"> </w:t>
      </w:r>
      <w:r>
        <w:rPr>
          <w:spacing w:val="-19"/>
        </w:rPr>
        <w:t>现问题的行为。</w:t>
      </w:r>
    </w:p>
    <w:p w14:paraId="1B2ECF8D">
      <w:pPr>
        <w:pStyle w:val="2"/>
        <w:spacing w:before="194" w:line="289" w:lineRule="auto"/>
        <w:ind w:right="68" w:firstLine="629"/>
      </w:pPr>
      <w:r>
        <w:rPr>
          <w:spacing w:val="-9"/>
        </w:rPr>
        <w:t>2.预算执行分析情况。2023年，我部门及时规范填报财</w:t>
      </w:r>
      <w:r>
        <w:rPr>
          <w:spacing w:val="8"/>
        </w:rPr>
        <w:t xml:space="preserve"> </w:t>
      </w:r>
      <w:r>
        <w:rPr>
          <w:spacing w:val="-12"/>
        </w:rPr>
        <w:t>务报表、“三公”经费报表和专户报表，报表准确无退回。</w:t>
      </w:r>
    </w:p>
    <w:p w14:paraId="36DAF00A">
      <w:pPr>
        <w:pStyle w:val="2"/>
        <w:spacing w:before="61" w:line="311" w:lineRule="auto"/>
        <w:ind w:right="89" w:firstLine="629"/>
      </w:pPr>
      <w:r>
        <w:rPr>
          <w:spacing w:val="-11"/>
        </w:rPr>
        <w:t>3.部门决算管理情况。我部门决算编报收支真实、数据</w:t>
      </w:r>
      <w:r>
        <w:rPr>
          <w:spacing w:val="5"/>
        </w:rPr>
        <w:t xml:space="preserve"> </w:t>
      </w:r>
      <w:r>
        <w:rPr>
          <w:spacing w:val="-22"/>
        </w:rPr>
        <w:t>准确、内容完整、报送及时，符合法律、行政法规规定。2022</w:t>
      </w:r>
      <w:r>
        <w:rPr>
          <w:spacing w:val="7"/>
        </w:rPr>
        <w:t xml:space="preserve"> </w:t>
      </w:r>
      <w:r>
        <w:rPr>
          <w:spacing w:val="19"/>
        </w:rPr>
        <w:t>年我部门决算收入1573.24万元，其中：财政拨款收入</w:t>
      </w:r>
      <w:r>
        <w:rPr>
          <w:spacing w:val="11"/>
        </w:rPr>
        <w:t xml:space="preserve"> </w:t>
      </w:r>
      <w:r>
        <w:rPr>
          <w:spacing w:val="6"/>
        </w:rPr>
        <w:t>1573.04万元，其他收入0.21万元(为利</w:t>
      </w:r>
      <w:r>
        <w:rPr>
          <w:spacing w:val="5"/>
        </w:rPr>
        <w:t>息收入)。决算支</w:t>
      </w:r>
      <w:r>
        <w:t xml:space="preserve"> </w:t>
      </w:r>
      <w:r>
        <w:rPr>
          <w:spacing w:val="9"/>
        </w:rPr>
        <w:t>出按功能分类包含：</w:t>
      </w:r>
      <w:r>
        <w:rPr>
          <w:spacing w:val="-47"/>
        </w:rPr>
        <w:t xml:space="preserve"> </w:t>
      </w:r>
      <w:r>
        <w:rPr>
          <w:spacing w:val="9"/>
        </w:rPr>
        <w:t>一般公共服务支出7.99万元，</w:t>
      </w:r>
      <w:r>
        <w:rPr>
          <w:spacing w:val="8"/>
        </w:rPr>
        <w:t>占比</w:t>
      </w:r>
      <w:r>
        <w:t xml:space="preserve"> </w:t>
      </w:r>
      <w:r>
        <w:rPr>
          <w:spacing w:val="12"/>
        </w:rPr>
        <w:t>0.51%;公共安全支出7.09万元，占比0</w:t>
      </w:r>
      <w:r>
        <w:rPr>
          <w:spacing w:val="11"/>
        </w:rPr>
        <w:t>.45%;社会保障和</w:t>
      </w:r>
      <w:r>
        <w:t xml:space="preserve"> </w:t>
      </w:r>
      <w:r>
        <w:rPr>
          <w:spacing w:val="6"/>
        </w:rPr>
        <w:t>就业支出389.34万元，占比24.75%;卫生</w:t>
      </w:r>
      <w:r>
        <w:rPr>
          <w:spacing w:val="5"/>
        </w:rPr>
        <w:t>健康支出133.78</w:t>
      </w:r>
      <w:r>
        <w:t xml:space="preserve"> </w:t>
      </w:r>
      <w:r>
        <w:rPr>
          <w:spacing w:val="-8"/>
        </w:rPr>
        <w:t>万元，占比8.50%;城乡社区支出1026</w:t>
      </w:r>
      <w:r>
        <w:rPr>
          <w:spacing w:val="-9"/>
        </w:rPr>
        <w:t>.37万元，占比65.25%;</w:t>
      </w:r>
      <w:r>
        <w:t xml:space="preserve"> </w:t>
      </w:r>
      <w:r>
        <w:rPr>
          <w:spacing w:val="1"/>
        </w:rPr>
        <w:t>住房保障支出7.24万元，占比0.46%;灾害防治及应急管理</w:t>
      </w:r>
    </w:p>
    <w:p w14:paraId="07C47C58">
      <w:pPr>
        <w:spacing w:line="311" w:lineRule="auto"/>
        <w:sectPr>
          <w:footerReference r:id="rId9" w:type="default"/>
          <w:pgSz w:w="11920" w:h="16980"/>
          <w:pgMar w:top="1443" w:right="1754" w:bottom="1277" w:left="1780" w:header="0" w:footer="1011" w:gutter="0"/>
          <w:cols w:space="720" w:num="1"/>
        </w:sectPr>
      </w:pPr>
    </w:p>
    <w:p w14:paraId="63AAC36E">
      <w:pPr>
        <w:pStyle w:val="2"/>
        <w:spacing w:before="161" w:line="224" w:lineRule="auto"/>
      </w:pPr>
      <w:r>
        <w:rPr>
          <w:spacing w:val="2"/>
        </w:rPr>
        <w:t>支出1.23万元，占比0.08%。</w:t>
      </w:r>
    </w:p>
    <w:p w14:paraId="7B3C2CBA">
      <w:pPr>
        <w:pStyle w:val="2"/>
        <w:spacing w:before="174" w:line="310" w:lineRule="auto"/>
        <w:ind w:right="92" w:firstLine="659"/>
      </w:pPr>
      <w:r>
        <w:rPr>
          <w:spacing w:val="-10"/>
        </w:rPr>
        <w:t>4.政府财务报告管理情况。2022年我部门认真分析</w:t>
      </w:r>
      <w:r>
        <w:rPr>
          <w:spacing w:val="-11"/>
        </w:rPr>
        <w:t>，真</w:t>
      </w:r>
      <w:r>
        <w:t xml:space="preserve"> </w:t>
      </w:r>
      <w:r>
        <w:rPr>
          <w:spacing w:val="-11"/>
        </w:rPr>
        <w:t>实准确编报部门财务报告，确保数据精准无误，编报完整、</w:t>
      </w:r>
      <w:r>
        <w:rPr>
          <w:spacing w:val="14"/>
        </w:rPr>
        <w:t xml:space="preserve"> </w:t>
      </w:r>
      <w:r>
        <w:t>报送及时。2022年底，我部门资产总额205.53万元，其中</w:t>
      </w:r>
      <w:r>
        <w:rPr>
          <w:spacing w:val="12"/>
        </w:rPr>
        <w:t xml:space="preserve"> </w:t>
      </w:r>
      <w:r>
        <w:t>货币资金13.46万元，其他应收款净额40.97万元，固定资</w:t>
      </w:r>
      <w:r>
        <w:rPr>
          <w:spacing w:val="13"/>
        </w:rPr>
        <w:t xml:space="preserve"> </w:t>
      </w:r>
      <w:r>
        <w:rPr>
          <w:spacing w:val="5"/>
        </w:rPr>
        <w:t>产净值151.10万元。2022年底，我单位负债总额24.34万</w:t>
      </w:r>
      <w:r>
        <w:rPr>
          <w:spacing w:val="7"/>
        </w:rPr>
        <w:t xml:space="preserve"> </w:t>
      </w:r>
      <w:r>
        <w:t>元，其中其他应付款24.34万元，占比100%,不存在其他的</w:t>
      </w:r>
      <w:r>
        <w:rPr>
          <w:spacing w:val="11"/>
        </w:rPr>
        <w:t xml:space="preserve"> </w:t>
      </w:r>
      <w:r>
        <w:rPr>
          <w:spacing w:val="-12"/>
        </w:rPr>
        <w:t>短期和长期负债。我部门资产流动性较好，偿</w:t>
      </w:r>
      <w:r>
        <w:rPr>
          <w:spacing w:val="-13"/>
        </w:rPr>
        <w:t>债能力强，资</w:t>
      </w:r>
      <w:r>
        <w:t xml:space="preserve"> </w:t>
      </w:r>
      <w:r>
        <w:rPr>
          <w:spacing w:val="-4"/>
        </w:rPr>
        <w:t>产负债率11.84%、现金比率为0%、流动比率为22</w:t>
      </w:r>
      <w:r>
        <w:rPr>
          <w:spacing w:val="-5"/>
        </w:rPr>
        <w:t>3.66%、固</w:t>
      </w:r>
      <w:r>
        <w:t xml:space="preserve"> </w:t>
      </w:r>
      <w:r>
        <w:rPr>
          <w:spacing w:val="-5"/>
        </w:rPr>
        <w:t>定资产成新率为48.88%,故不存在当期财务风险和中长期财</w:t>
      </w:r>
      <w:r>
        <w:rPr>
          <w:spacing w:val="5"/>
        </w:rPr>
        <w:t xml:space="preserve"> </w:t>
      </w:r>
      <w:r>
        <w:rPr>
          <w:spacing w:val="-16"/>
        </w:rPr>
        <w:t>务风险，财务风险在可控范围内。</w:t>
      </w:r>
    </w:p>
    <w:p w14:paraId="310E79CB">
      <w:pPr>
        <w:pStyle w:val="2"/>
        <w:spacing w:before="66" w:line="304" w:lineRule="auto"/>
        <w:ind w:right="7" w:firstLine="659"/>
      </w:pPr>
      <w:r>
        <w:rPr>
          <w:spacing w:val="-14"/>
        </w:rPr>
        <w:t>5.政府采购管理情况。我部门0项目列入政府采购预算，</w:t>
      </w:r>
      <w:r>
        <w:rPr>
          <w:spacing w:val="13"/>
        </w:rPr>
        <w:t xml:space="preserve"> </w:t>
      </w:r>
      <w:r>
        <w:rPr>
          <w:spacing w:val="-14"/>
        </w:rPr>
        <w:t>已通过一体化系统备案和填报政府采购计划；政府</w:t>
      </w:r>
      <w:r>
        <w:rPr>
          <w:spacing w:val="-15"/>
        </w:rPr>
        <w:t>采购过程</w:t>
      </w:r>
      <w:r>
        <w:t xml:space="preserve">  </w:t>
      </w:r>
      <w:r>
        <w:rPr>
          <w:spacing w:val="-6"/>
        </w:rPr>
        <w:t>中，严格落实政府采购程序，采购总预算0万元，采购合同</w:t>
      </w:r>
      <w:r>
        <w:rPr>
          <w:spacing w:val="4"/>
        </w:rPr>
        <w:t xml:space="preserve"> </w:t>
      </w:r>
      <w:r>
        <w:t>总金额0万元，中小企业合同总金额0万元，占合同总金额</w:t>
      </w:r>
      <w:r>
        <w:rPr>
          <w:spacing w:val="2"/>
        </w:rPr>
        <w:t xml:space="preserve"> </w:t>
      </w:r>
      <w:r>
        <w:rPr>
          <w:spacing w:val="1"/>
        </w:rPr>
        <w:t>的比例为0%,其中小微企业合同总金额0万</w:t>
      </w:r>
      <w:r>
        <w:t xml:space="preserve">元，占中小企业 </w:t>
      </w:r>
      <w:r>
        <w:rPr>
          <w:spacing w:val="-12"/>
        </w:rPr>
        <w:t>合同总金额的比例为0%。脱贫地区农副产品采购平台预留金</w:t>
      </w:r>
      <w:r>
        <w:rPr>
          <w:spacing w:val="15"/>
        </w:rPr>
        <w:t xml:space="preserve"> </w:t>
      </w:r>
      <w:r>
        <w:rPr>
          <w:spacing w:val="4"/>
        </w:rPr>
        <w:t>额0万元，实际采购金额0万元，完成比例为0%。</w:t>
      </w:r>
    </w:p>
    <w:p w14:paraId="41E356F4">
      <w:pPr>
        <w:pStyle w:val="2"/>
        <w:spacing w:before="45" w:line="222" w:lineRule="auto"/>
        <w:ind w:left="824"/>
        <w:outlineLvl w:val="0"/>
      </w:pPr>
      <w:r>
        <w:rPr>
          <w:b/>
          <w:bCs/>
          <w:spacing w:val="2"/>
        </w:rPr>
        <w:t>(四)预算绩效管理情况，得分21.5分</w:t>
      </w:r>
    </w:p>
    <w:p w14:paraId="4C62C57A">
      <w:pPr>
        <w:pStyle w:val="2"/>
        <w:spacing w:before="226" w:line="220" w:lineRule="auto"/>
        <w:ind w:left="659"/>
      </w:pPr>
      <w:r>
        <w:rPr>
          <w:rFonts w:ascii="宋体" w:hAnsi="宋体" w:eastAsia="宋体" w:cs="宋体"/>
          <w:spacing w:val="-8"/>
        </w:rPr>
        <w:t>1.</w:t>
      </w:r>
      <w:r>
        <w:rPr>
          <w:spacing w:val="-8"/>
        </w:rPr>
        <w:t>日常工作保障落实情况</w:t>
      </w:r>
    </w:p>
    <w:p w14:paraId="309FFE7A">
      <w:pPr>
        <w:pStyle w:val="2"/>
        <w:spacing w:before="177" w:line="291" w:lineRule="auto"/>
        <w:ind w:right="127" w:firstLine="770"/>
      </w:pPr>
      <w:r>
        <w:rPr>
          <w:spacing w:val="2"/>
        </w:rPr>
        <w:t>(1)通知落实情况。我部门各岗位及时查看钉钉群发</w:t>
      </w:r>
      <w:r>
        <w:rPr>
          <w:spacing w:val="11"/>
        </w:rPr>
        <w:t xml:space="preserve"> </w:t>
      </w:r>
      <w:r>
        <w:rPr>
          <w:spacing w:val="-2"/>
        </w:rPr>
        <w:t>布的各项通知信息和0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系统中发送的文件通知，认真阅读</w:t>
      </w:r>
      <w:r>
        <w:rPr>
          <w:spacing w:val="2"/>
        </w:rPr>
        <w:t xml:space="preserve"> </w:t>
      </w:r>
      <w:r>
        <w:rPr>
          <w:spacing w:val="-20"/>
        </w:rPr>
        <w:t>并及时回复落实。</w:t>
      </w:r>
    </w:p>
    <w:p w14:paraId="2C3EA12C">
      <w:pPr>
        <w:pStyle w:val="2"/>
        <w:spacing w:before="117" w:line="219" w:lineRule="auto"/>
        <w:jc w:val="right"/>
      </w:pPr>
      <w:r>
        <w:rPr>
          <w:spacing w:val="-5"/>
        </w:rPr>
        <w:t>(2)日常手续报送规范性情况。在人员经费指标调整、</w:t>
      </w:r>
    </w:p>
    <w:p w14:paraId="20E32EB8">
      <w:pPr>
        <w:spacing w:line="219" w:lineRule="auto"/>
        <w:sectPr>
          <w:footerReference r:id="rId10" w:type="default"/>
          <w:pgSz w:w="11940" w:h="16960"/>
          <w:pgMar w:top="1441" w:right="1787" w:bottom="1269" w:left="1750" w:header="0" w:footer="1001" w:gutter="0"/>
          <w:cols w:space="720" w:num="1"/>
        </w:sectPr>
      </w:pPr>
    </w:p>
    <w:p w14:paraId="5962FC05">
      <w:pPr>
        <w:pStyle w:val="2"/>
        <w:spacing w:before="165" w:line="299" w:lineRule="auto"/>
        <w:ind w:right="82"/>
        <w:jc w:val="both"/>
      </w:pPr>
      <w:r>
        <w:rPr>
          <w:spacing w:val="-13"/>
        </w:rPr>
        <w:t>三公限额调整等日常工作中，严格按照测算表计算，认真审</w:t>
      </w:r>
      <w:r>
        <w:rPr>
          <w:spacing w:val="6"/>
        </w:rPr>
        <w:t xml:space="preserve"> </w:t>
      </w:r>
      <w:r>
        <w:rPr>
          <w:spacing w:val="-11"/>
        </w:rPr>
        <w:t>核，确保数据填报准确，内容填报规范，2023年未退回重新</w:t>
      </w:r>
      <w:r>
        <w:rPr>
          <w:spacing w:val="6"/>
        </w:rPr>
        <w:t xml:space="preserve"> </w:t>
      </w:r>
      <w:r>
        <w:rPr>
          <w:spacing w:val="-15"/>
        </w:rPr>
        <w:t>修改。</w:t>
      </w:r>
    </w:p>
    <w:p w14:paraId="7A5FD358">
      <w:pPr>
        <w:pStyle w:val="2"/>
        <w:spacing w:before="75" w:line="301" w:lineRule="auto"/>
        <w:ind w:right="60" w:firstLine="790"/>
      </w:pPr>
      <w:r>
        <w:rPr>
          <w:spacing w:val="3"/>
        </w:rPr>
        <w:t>(3)重点工作落实情况。我部门积极落实财政部门安</w:t>
      </w:r>
      <w:r>
        <w:rPr>
          <w:spacing w:val="13"/>
        </w:rPr>
        <w:t xml:space="preserve"> </w:t>
      </w:r>
      <w:r>
        <w:rPr>
          <w:spacing w:val="-6"/>
        </w:rPr>
        <w:t>排的1项重点任务，落实情况如下：</w:t>
      </w:r>
    </w:p>
    <w:p w14:paraId="7C5F8452">
      <w:pPr>
        <w:pStyle w:val="2"/>
        <w:spacing w:before="53" w:line="300" w:lineRule="auto"/>
        <w:ind w:right="47" w:firstLine="639"/>
      </w:pPr>
      <w:r>
        <w:rPr>
          <w:spacing w:val="-11"/>
        </w:rPr>
        <w:t>国有企业退休人员社会化管理补助资金支出，按照时间</w:t>
      </w:r>
      <w:r>
        <w:rPr>
          <w:spacing w:val="17"/>
        </w:rPr>
        <w:t xml:space="preserve"> </w:t>
      </w:r>
      <w:r>
        <w:rPr>
          <w:spacing w:val="-18"/>
        </w:rPr>
        <w:t>节点完成支付。</w:t>
      </w:r>
    </w:p>
    <w:p w14:paraId="03895D0D">
      <w:pPr>
        <w:pStyle w:val="2"/>
        <w:spacing w:before="55" w:line="309" w:lineRule="auto"/>
        <w:ind w:right="69" w:firstLine="639"/>
      </w:pPr>
      <w:r>
        <w:rPr>
          <w:rFonts w:ascii="宋体" w:hAnsi="宋体" w:eastAsia="宋体" w:cs="宋体"/>
          <w:spacing w:val="2"/>
        </w:rPr>
        <w:t>2.</w:t>
      </w:r>
      <w:r>
        <w:rPr>
          <w:spacing w:val="2"/>
        </w:rPr>
        <w:t>事前绩效评估情况。在申报2024年预算项目时，认</w:t>
      </w:r>
      <w:r>
        <w:rPr>
          <w:spacing w:val="1"/>
        </w:rPr>
        <w:t xml:space="preserve"> </w:t>
      </w:r>
      <w:r>
        <w:rPr>
          <w:spacing w:val="-14"/>
        </w:rPr>
        <w:t>真按照绩效管理要求进行事前评估，并在</w:t>
      </w:r>
      <w:r>
        <w:rPr>
          <w:rFonts w:ascii="Times New Roman" w:hAnsi="Times New Roman" w:eastAsia="Times New Roman" w:cs="Times New Roman"/>
          <w:spacing w:val="-14"/>
        </w:rPr>
        <w:t>EXCEL</w:t>
      </w:r>
      <w:r>
        <w:rPr>
          <w:spacing w:val="-14"/>
        </w:rPr>
        <w:t>服务器中填</w:t>
      </w:r>
      <w:r>
        <w:rPr>
          <w:spacing w:val="7"/>
        </w:rPr>
        <w:t xml:space="preserve"> </w:t>
      </w:r>
      <w:r>
        <w:rPr>
          <w:spacing w:val="-5"/>
        </w:rPr>
        <w:t>报9个预算项目事前绩效评估表，对每个项目的项目概况、</w:t>
      </w:r>
      <w:r>
        <w:rPr>
          <w:spacing w:val="6"/>
        </w:rPr>
        <w:t xml:space="preserve"> </w:t>
      </w:r>
      <w:r>
        <w:rPr>
          <w:spacing w:val="-12"/>
        </w:rPr>
        <w:t>政策依据、迫切需求、实施可行性、投入经济性、目标合理</w:t>
      </w:r>
      <w:r>
        <w:rPr>
          <w:spacing w:val="10"/>
        </w:rPr>
        <w:t xml:space="preserve"> </w:t>
      </w:r>
      <w:r>
        <w:rPr>
          <w:spacing w:val="-11"/>
        </w:rPr>
        <w:t>性进行认真填写，并对申报的所有项目进行分项成本</w:t>
      </w:r>
      <w:r>
        <w:rPr>
          <w:spacing w:val="-12"/>
        </w:rPr>
        <w:t>测算，</w:t>
      </w:r>
      <w:r>
        <w:t xml:space="preserve"> </w:t>
      </w:r>
      <w:r>
        <w:rPr>
          <w:spacing w:val="1"/>
        </w:rPr>
        <w:t>确保预算金额准确合理。2023年共完成25个项目的事前绩</w:t>
      </w:r>
      <w:r>
        <w:rPr>
          <w:spacing w:val="13"/>
        </w:rPr>
        <w:t xml:space="preserve"> </w:t>
      </w:r>
      <w:r>
        <w:rPr>
          <w:spacing w:val="18"/>
        </w:rPr>
        <w:t>效评估(含追加)。</w:t>
      </w:r>
    </w:p>
    <w:p w14:paraId="3251AF78">
      <w:pPr>
        <w:pStyle w:val="2"/>
        <w:spacing w:before="34" w:line="309" w:lineRule="auto"/>
        <w:ind w:right="67" w:firstLine="639"/>
      </w:pPr>
      <w:r>
        <w:rPr>
          <w:spacing w:val="-12"/>
        </w:rPr>
        <w:t>3.绩效目标管理情况。我部门财务人员与项目管理人员</w:t>
      </w:r>
      <w:r>
        <w:rPr>
          <w:spacing w:val="11"/>
        </w:rPr>
        <w:t xml:space="preserve"> </w:t>
      </w:r>
      <w:r>
        <w:rPr>
          <w:spacing w:val="-12"/>
        </w:rPr>
        <w:t>共同设立绩效目标，确保绩效目标设立依据充分，符合客观</w:t>
      </w:r>
      <w:r>
        <w:rPr>
          <w:spacing w:val="13"/>
        </w:rPr>
        <w:t xml:space="preserve"> </w:t>
      </w:r>
      <w:r>
        <w:rPr>
          <w:spacing w:val="-11"/>
        </w:rPr>
        <w:t>实际，与部门职责、工作规划和重点工作相关；绩效指标和</w:t>
      </w:r>
      <w:r>
        <w:t xml:space="preserve"> </w:t>
      </w:r>
      <w:r>
        <w:rPr>
          <w:spacing w:val="1"/>
        </w:rPr>
        <w:t>评价标准清晰、细化、可评价、可衡量；对2023年绩效目</w:t>
      </w:r>
      <w:r>
        <w:rPr>
          <w:spacing w:val="12"/>
        </w:rPr>
        <w:t xml:space="preserve"> </w:t>
      </w:r>
      <w:r>
        <w:rPr>
          <w:spacing w:val="-11"/>
        </w:rPr>
        <w:t>标进行重新梳理，设立了科学合理、细化量化、可</w:t>
      </w:r>
      <w:r>
        <w:rPr>
          <w:spacing w:val="-12"/>
        </w:rPr>
        <w:t>比可测的</w:t>
      </w:r>
      <w:r>
        <w:t xml:space="preserve"> </w:t>
      </w:r>
      <w:r>
        <w:rPr>
          <w:spacing w:val="-17"/>
        </w:rPr>
        <w:t>绩效目标指标体系。</w:t>
      </w:r>
    </w:p>
    <w:p w14:paraId="46A12C52">
      <w:pPr>
        <w:pStyle w:val="2"/>
        <w:spacing w:before="73" w:line="222" w:lineRule="auto"/>
        <w:ind w:left="639"/>
      </w:pPr>
      <w:r>
        <w:rPr>
          <w:spacing w:val="-7"/>
        </w:rPr>
        <w:t>4.绩效监控管理情况</w:t>
      </w:r>
    </w:p>
    <w:p w14:paraId="761771B5">
      <w:pPr>
        <w:pStyle w:val="2"/>
        <w:spacing w:before="157" w:line="305" w:lineRule="auto"/>
        <w:ind w:right="61" w:firstLine="790"/>
      </w:pPr>
      <w:r>
        <w:rPr>
          <w:spacing w:val="3"/>
        </w:rPr>
        <w:t>(1)注重日常监控。我部门按时在数字财政系统中填</w:t>
      </w:r>
      <w:r>
        <w:rPr>
          <w:spacing w:val="12"/>
        </w:rPr>
        <w:t xml:space="preserve"> </w:t>
      </w:r>
      <w:r>
        <w:rPr>
          <w:spacing w:val="-5"/>
        </w:rPr>
        <w:t>报《项目分月支出进度表》和《预算绩效运行</w:t>
      </w:r>
      <w:r>
        <w:rPr>
          <w:spacing w:val="-6"/>
        </w:rPr>
        <w:t>监控表》,每</w:t>
      </w:r>
      <w:r>
        <w:t xml:space="preserve"> </w:t>
      </w:r>
      <w:r>
        <w:rPr>
          <w:spacing w:val="-11"/>
        </w:rPr>
        <w:t>月对所有项目逐条监控，对实际支出进度与分月支出计划差</w:t>
      </w:r>
    </w:p>
    <w:p w14:paraId="3E041AA5">
      <w:pPr>
        <w:spacing w:line="305" w:lineRule="auto"/>
        <w:sectPr>
          <w:footerReference r:id="rId11" w:type="default"/>
          <w:pgSz w:w="11920" w:h="16960"/>
          <w:pgMar w:top="1441" w:right="1788" w:bottom="1267" w:left="1770" w:header="0" w:footer="1001" w:gutter="0"/>
          <w:cols w:space="720" w:num="1"/>
        </w:sectPr>
      </w:pPr>
    </w:p>
    <w:p w14:paraId="596C3128">
      <w:pPr>
        <w:pStyle w:val="2"/>
        <w:spacing w:before="165" w:line="307" w:lineRule="auto"/>
        <w:ind w:right="20"/>
        <w:jc w:val="both"/>
      </w:pPr>
      <w:r>
        <w:rPr>
          <w:spacing w:val="-12"/>
        </w:rPr>
        <w:t>异率大的项目逐项分析说明。2023年，项目整体支出进度是</w:t>
      </w:r>
      <w:r>
        <w:rPr>
          <w:spacing w:val="6"/>
        </w:rPr>
        <w:t xml:space="preserve"> </w:t>
      </w:r>
      <w:r>
        <w:rPr>
          <w:spacing w:val="-12"/>
        </w:rPr>
        <w:t>99.54%,其中“扫黄打非”进基层工</w:t>
      </w:r>
      <w:r>
        <w:rPr>
          <w:spacing w:val="-13"/>
        </w:rPr>
        <w:t>作经费项目差异率较大，</w:t>
      </w:r>
      <w:r>
        <w:t xml:space="preserve"> </w:t>
      </w:r>
      <w:r>
        <w:rPr>
          <w:spacing w:val="-24"/>
        </w:rPr>
        <w:t>差异原因是：因财政困难资金未下达。</w:t>
      </w:r>
    </w:p>
    <w:p w14:paraId="07DCAAE7">
      <w:pPr>
        <w:pStyle w:val="2"/>
        <w:spacing w:before="54" w:line="299" w:lineRule="auto"/>
        <w:ind w:firstLine="800"/>
        <w:jc w:val="both"/>
      </w:pPr>
      <w:r>
        <w:rPr>
          <w:spacing w:val="8"/>
        </w:rPr>
        <w:t>(2)做好监控分析。我部门开展2023年1-6月份预算</w:t>
      </w:r>
      <w:r>
        <w:rPr>
          <w:spacing w:val="18"/>
        </w:rPr>
        <w:t xml:space="preserve"> </w:t>
      </w:r>
      <w:r>
        <w:rPr>
          <w:spacing w:val="-12"/>
        </w:rPr>
        <w:t>绩效运行监控分析工作，对整体绩效目标、预算项目绩效目</w:t>
      </w:r>
      <w:r>
        <w:rPr>
          <w:spacing w:val="9"/>
        </w:rPr>
        <w:t xml:space="preserve"> </w:t>
      </w:r>
      <w:r>
        <w:rPr>
          <w:spacing w:val="-12"/>
        </w:rPr>
        <w:t>标进行全面分析，绩效目标实现程度达到50%的项目有1</w:t>
      </w:r>
      <w:r>
        <w:rPr>
          <w:spacing w:val="-13"/>
        </w:rPr>
        <w:t>6个，</w:t>
      </w:r>
      <w:r>
        <w:t xml:space="preserve"> 绩效目标实现程度在30%以下的项目有0个，工作未开展的</w:t>
      </w:r>
    </w:p>
    <w:p w14:paraId="4AD0FD5A">
      <w:pPr>
        <w:pStyle w:val="2"/>
        <w:spacing w:before="61" w:line="315" w:lineRule="auto"/>
        <w:ind w:left="4" w:right="76"/>
      </w:pPr>
      <w:r>
        <w:rPr>
          <w:spacing w:val="-12"/>
        </w:rPr>
        <w:t>项目有0个。截至12月份，实现绩效目标的项目有25个，  涉及资金798.97万元；未完成绩效目标的项目有1个，涉  及资金2.00万元，主要原因是： “扫黄打非”进基层工作 经费项目因财政资金紧张原因未下达。</w:t>
      </w:r>
    </w:p>
    <w:p w14:paraId="7EF9BA3B">
      <w:pPr>
        <w:pStyle w:val="2"/>
        <w:spacing w:before="16" w:line="222" w:lineRule="auto"/>
        <w:ind w:left="674"/>
        <w:outlineLvl w:val="0"/>
      </w:pPr>
      <w:r>
        <w:rPr>
          <w:spacing w:val="-7"/>
        </w:rPr>
        <w:t>5.绩效评价管理情况</w:t>
      </w:r>
    </w:p>
    <w:p w14:paraId="43925065">
      <w:pPr>
        <w:pStyle w:val="2"/>
        <w:spacing w:before="171" w:line="304" w:lineRule="auto"/>
        <w:ind w:firstLine="719"/>
      </w:pPr>
      <w:r>
        <w:t>自评情况。按照财政部门要求，开展2022年度财政资</w:t>
      </w:r>
      <w:r>
        <w:rPr>
          <w:spacing w:val="13"/>
        </w:rPr>
        <w:t xml:space="preserve"> </w:t>
      </w:r>
      <w:r>
        <w:rPr>
          <w:spacing w:val="-11"/>
        </w:rPr>
        <w:t>金部门绩效自评工作，通过一体化系统填报预算项目绩效目</w:t>
      </w:r>
      <w:r>
        <w:rPr>
          <w:spacing w:val="3"/>
        </w:rPr>
        <w:t xml:space="preserve"> </w:t>
      </w:r>
      <w:r>
        <w:rPr>
          <w:spacing w:val="-7"/>
        </w:rPr>
        <w:t>标的完成信息，确认各项绩效指标实际完成值和</w:t>
      </w:r>
      <w:r>
        <w:rPr>
          <w:spacing w:val="-8"/>
        </w:rPr>
        <w:t>实现程度，</w:t>
      </w:r>
      <w:r>
        <w:t xml:space="preserve"> </w:t>
      </w:r>
      <w:r>
        <w:rPr>
          <w:spacing w:val="-12"/>
        </w:rPr>
        <w:t>并与年初设定的预期值相比较，逐项评定每项指标得分，我</w:t>
      </w:r>
      <w:r>
        <w:rPr>
          <w:spacing w:val="9"/>
        </w:rPr>
        <w:t xml:space="preserve"> </w:t>
      </w:r>
      <w:r>
        <w:rPr>
          <w:spacing w:val="5"/>
        </w:rPr>
        <w:t>部门2022年共自评19个项目，其中，满分的项目有18</w:t>
      </w:r>
      <w:r>
        <w:rPr>
          <w:spacing w:val="4"/>
        </w:rPr>
        <w:t>个，</w:t>
      </w:r>
      <w:r>
        <w:t xml:space="preserve"> </w:t>
      </w:r>
      <w:r>
        <w:rPr>
          <w:spacing w:val="12"/>
        </w:rPr>
        <w:t>95分以上的项目有18个，90分-95分的项目有1个，90分</w:t>
      </w:r>
      <w:r>
        <w:rPr>
          <w:spacing w:val="9"/>
        </w:rPr>
        <w:t xml:space="preserve"> </w:t>
      </w:r>
      <w:r>
        <w:rPr>
          <w:spacing w:val="-3"/>
        </w:rPr>
        <w:t>以下的项目有0个。</w:t>
      </w:r>
    </w:p>
    <w:p w14:paraId="60CB9A5B">
      <w:pPr>
        <w:spacing w:before="118" w:line="220" w:lineRule="auto"/>
        <w:ind w:left="80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4"/>
          <w:sz w:val="33"/>
          <w:szCs w:val="33"/>
        </w:rPr>
        <w:t>(五)资产管理情况，得分2.5分</w:t>
      </w:r>
    </w:p>
    <w:p w14:paraId="244D5971">
      <w:pPr>
        <w:pStyle w:val="2"/>
        <w:spacing w:before="171" w:line="304" w:lineRule="auto"/>
        <w:ind w:firstLine="719"/>
        <w:rPr>
          <w:spacing w:val="-12"/>
        </w:rPr>
      </w:pPr>
      <w:r>
        <w:rPr>
          <w:spacing w:val="-12"/>
        </w:rPr>
        <w:t>1.国有资产报表管理。我部门每月及时报送国有资产月 报，按要求报送了国有资产年报。2023年，国有资产情况如 下：</w:t>
      </w:r>
    </w:p>
    <w:p w14:paraId="743B45E7">
      <w:pPr>
        <w:pStyle w:val="2"/>
        <w:spacing w:before="99" w:line="221" w:lineRule="auto"/>
        <w:ind w:left="804"/>
        <w:outlineLvl w:val="0"/>
      </w:pPr>
      <w:r>
        <w:rPr>
          <w:spacing w:val="-12"/>
        </w:rPr>
        <w:t>(1)资产负债情况。截至2022年12月31日，我单位</w:t>
      </w:r>
    </w:p>
    <w:p w14:paraId="666C1B6A">
      <w:pPr>
        <w:spacing w:line="221" w:lineRule="auto"/>
        <w:sectPr>
          <w:footerReference r:id="rId12" w:type="default"/>
          <w:pgSz w:w="11920" w:h="16960"/>
          <w:pgMar w:top="1441" w:right="1764" w:bottom="1270" w:left="1759" w:header="0" w:footer="1003" w:gutter="0"/>
          <w:cols w:space="720" w:num="1"/>
        </w:sectPr>
      </w:pPr>
    </w:p>
    <w:p w14:paraId="06B94FB9">
      <w:pPr>
        <w:pStyle w:val="2"/>
        <w:spacing w:before="187" w:line="303" w:lineRule="auto"/>
        <w:ind w:right="40"/>
        <w:jc w:val="both"/>
      </w:pPr>
      <w:r>
        <w:rPr>
          <w:spacing w:val="-16"/>
        </w:rPr>
        <w:t>资产总额(账面净值，下同)205.53万元，较上年减少14.12%。</w:t>
      </w:r>
      <w:r>
        <w:rPr>
          <w:spacing w:val="7"/>
        </w:rPr>
        <w:t xml:space="preserve"> </w:t>
      </w:r>
      <w:r>
        <w:rPr>
          <w:spacing w:val="-4"/>
        </w:rPr>
        <w:t>负债总额24.34万元，较上年减少27.39%。净资</w:t>
      </w:r>
      <w:r>
        <w:rPr>
          <w:spacing w:val="-5"/>
        </w:rPr>
        <w:t>产181.19万</w:t>
      </w:r>
      <w:r>
        <w:t xml:space="preserve"> </w:t>
      </w:r>
      <w:r>
        <w:rPr>
          <w:spacing w:val="-7"/>
        </w:rPr>
        <w:t>元，较上年减少11.97%。</w:t>
      </w:r>
    </w:p>
    <w:p w14:paraId="476B6039">
      <w:pPr>
        <w:pStyle w:val="2"/>
        <w:spacing w:before="61" w:line="309" w:lineRule="auto"/>
        <w:ind w:firstLine="820"/>
      </w:pPr>
      <w:r>
        <w:t>(2)固定和无形资产存量情况。流动资产54.43万元，</w:t>
      </w:r>
      <w:r>
        <w:rPr>
          <w:spacing w:val="4"/>
        </w:rPr>
        <w:t xml:space="preserve"> </w:t>
      </w:r>
      <w:r>
        <w:rPr>
          <w:spacing w:val="8"/>
        </w:rPr>
        <w:t>较上年减少18.03%,占资产总额26.48%;固定资产151.10</w:t>
      </w:r>
      <w:r>
        <w:rPr>
          <w:spacing w:val="2"/>
        </w:rPr>
        <w:t xml:space="preserve">  </w:t>
      </w:r>
      <w:r>
        <w:rPr>
          <w:spacing w:val="11"/>
        </w:rPr>
        <w:t>万元，较上年减少12.63%,占资产总额73.52%;在建工程</w:t>
      </w:r>
      <w:r>
        <w:rPr>
          <w:spacing w:val="12"/>
        </w:rPr>
        <w:t xml:space="preserve"> </w:t>
      </w:r>
      <w:r>
        <w:rPr>
          <w:spacing w:val="11"/>
        </w:rPr>
        <w:t>0.00万元，较上年减少0%,占资产总额0%;长期投资0.00</w:t>
      </w:r>
      <w:r>
        <w:rPr>
          <w:spacing w:val="3"/>
        </w:rPr>
        <w:t xml:space="preserve">  </w:t>
      </w:r>
      <w:r>
        <w:t>万元，占资产总额0%;无形资产0.00万元，较上年减少0%,</w:t>
      </w:r>
      <w:r>
        <w:rPr>
          <w:spacing w:val="3"/>
        </w:rPr>
        <w:t xml:space="preserve">  </w:t>
      </w:r>
      <w:r>
        <w:rPr>
          <w:spacing w:val="6"/>
        </w:rPr>
        <w:t>占资产总额0%;公共基础设施0.00万元，占资产总额0%;</w:t>
      </w:r>
      <w:r>
        <w:rPr>
          <w:spacing w:val="8"/>
        </w:rPr>
        <w:t xml:space="preserve">  </w:t>
      </w:r>
      <w:r>
        <w:rPr>
          <w:spacing w:val="-4"/>
        </w:rPr>
        <w:t>政府储备物资0.00万元，占资产总额0%;文物文化资产0.00</w:t>
      </w:r>
    </w:p>
    <w:p w14:paraId="4BE443AD">
      <w:pPr>
        <w:pStyle w:val="2"/>
        <w:spacing w:before="32" w:line="328" w:lineRule="auto"/>
        <w:ind w:right="211"/>
        <w:rPr>
          <w:rFonts w:ascii="宋体" w:hAnsi="宋体" w:eastAsia="宋体" w:cs="宋体"/>
          <w:sz w:val="28"/>
          <w:szCs w:val="28"/>
        </w:rPr>
      </w:pPr>
      <w:r>
        <w:rPr>
          <w:spacing w:val="4"/>
        </w:rPr>
        <w:t>万元，占资产总额0%;保障性住房0.00万元，占资产总额</w:t>
      </w:r>
      <w:r>
        <w:rPr>
          <w:spacing w:val="5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0%。</w:t>
      </w:r>
    </w:p>
    <w:p w14:paraId="47B70467">
      <w:pPr>
        <w:pStyle w:val="2"/>
        <w:spacing w:before="78" w:line="305" w:lineRule="auto"/>
        <w:ind w:right="109" w:firstLine="829"/>
      </w:pPr>
      <w:r>
        <w:rPr>
          <w:spacing w:val="14"/>
        </w:rPr>
        <w:t>(3)土地情况。截至2022年12月31日，我单位土地</w:t>
      </w:r>
      <w:r>
        <w:rPr>
          <w:spacing w:val="1"/>
        </w:rPr>
        <w:t xml:space="preserve"> 账面面积0.00平方米，账面原值0.00万元，账面净值0.00</w:t>
      </w:r>
      <w:r>
        <w:rPr>
          <w:spacing w:val="16"/>
        </w:rPr>
        <w:t xml:space="preserve"> </w:t>
      </w:r>
      <w:r>
        <w:rPr>
          <w:spacing w:val="7"/>
        </w:rPr>
        <w:t>万元。从使用状况分析：在用0.00平方米，占0</w:t>
      </w:r>
      <w:r>
        <w:rPr>
          <w:spacing w:val="6"/>
        </w:rPr>
        <w:t>%,出租出</w:t>
      </w:r>
      <w:r>
        <w:t xml:space="preserve"> </w:t>
      </w:r>
      <w:r>
        <w:rPr>
          <w:spacing w:val="23"/>
        </w:rPr>
        <w:t>借0.00平方米，占0%,闲置0.00平方米</w:t>
      </w:r>
      <w:r>
        <w:rPr>
          <w:spacing w:val="22"/>
        </w:rPr>
        <w:t>，占0%,待处置</w:t>
      </w:r>
      <w:r>
        <w:t xml:space="preserve"> </w:t>
      </w:r>
      <w:r>
        <w:rPr>
          <w:spacing w:val="-1"/>
        </w:rPr>
        <w:t>0.00平方米，占0%。</w:t>
      </w:r>
    </w:p>
    <w:p w14:paraId="0429A7A1">
      <w:pPr>
        <w:pStyle w:val="2"/>
        <w:spacing w:before="57" w:line="222" w:lineRule="auto"/>
        <w:ind w:left="669"/>
      </w:pPr>
      <w:r>
        <w:rPr>
          <w:spacing w:val="2"/>
        </w:rPr>
        <w:t>本年度新增0.00平方米，账面原值0.0</w:t>
      </w:r>
      <w:r>
        <w:rPr>
          <w:spacing w:val="1"/>
        </w:rPr>
        <w:t>0万元。</w:t>
      </w:r>
    </w:p>
    <w:p w14:paraId="4F8370D5">
      <w:pPr>
        <w:pStyle w:val="2"/>
        <w:spacing w:before="173" w:line="307" w:lineRule="auto"/>
        <w:ind w:right="109" w:firstLine="780"/>
      </w:pPr>
      <w:r>
        <w:rPr>
          <w:spacing w:val="16"/>
        </w:rPr>
        <w:t>(4)房屋情况。截至2022年12月31日，我单</w:t>
      </w:r>
      <w:r>
        <w:rPr>
          <w:spacing w:val="15"/>
        </w:rPr>
        <w:t>位房屋</w:t>
      </w:r>
      <w:r>
        <w:t xml:space="preserve"> </w:t>
      </w:r>
      <w:r>
        <w:rPr>
          <w:spacing w:val="1"/>
        </w:rPr>
        <w:t>账面面积0.00平方米，账面价值0.00万元，其中，办公用</w:t>
      </w:r>
      <w:r>
        <w:rPr>
          <w:spacing w:val="9"/>
        </w:rPr>
        <w:t xml:space="preserve"> </w:t>
      </w:r>
      <w:r>
        <w:rPr>
          <w:spacing w:val="6"/>
        </w:rPr>
        <w:t>房面积0.00平方米，占房屋的0%;业务用房面积0.00平方</w:t>
      </w:r>
      <w:r>
        <w:rPr>
          <w:spacing w:val="5"/>
        </w:rPr>
        <w:t xml:space="preserve"> </w:t>
      </w:r>
      <w:r>
        <w:rPr>
          <w:spacing w:val="6"/>
        </w:rPr>
        <w:t>米，占0%;其他用房面积0.00平方米，占0%。从使用状况</w:t>
      </w:r>
      <w:r>
        <w:rPr>
          <w:spacing w:val="14"/>
        </w:rPr>
        <w:t xml:space="preserve"> </w:t>
      </w:r>
      <w:r>
        <w:rPr>
          <w:spacing w:val="4"/>
        </w:rPr>
        <w:t>分析：在用0.00平方米，占0%,出租出借0.00平方米，占</w:t>
      </w:r>
      <w:r>
        <w:rPr>
          <w:spacing w:val="15"/>
        </w:rPr>
        <w:t xml:space="preserve"> </w:t>
      </w:r>
      <w:r>
        <w:rPr>
          <w:spacing w:val="5"/>
        </w:rPr>
        <w:t>0%,闲置0.00平方米，占0%,待处置0.00平方米，占0%。</w:t>
      </w:r>
    </w:p>
    <w:p w14:paraId="1CE3DD16">
      <w:pPr>
        <w:spacing w:line="307" w:lineRule="auto"/>
        <w:sectPr>
          <w:footerReference r:id="rId13" w:type="default"/>
          <w:pgSz w:w="11940" w:h="16980"/>
          <w:pgMar w:top="1443" w:right="1744" w:bottom="1238" w:left="1780" w:header="0" w:footer="960" w:gutter="0"/>
          <w:cols w:space="720" w:num="1"/>
        </w:sectPr>
      </w:pPr>
    </w:p>
    <w:p w14:paraId="4D7D207A">
      <w:pPr>
        <w:pStyle w:val="2"/>
        <w:spacing w:before="167" w:line="300" w:lineRule="auto"/>
        <w:ind w:right="32" w:firstLine="639"/>
        <w:rPr>
          <w:sz w:val="34"/>
          <w:szCs w:val="34"/>
        </w:rPr>
      </w:pPr>
      <w:r>
        <w:rPr>
          <w:spacing w:val="-14"/>
          <w:sz w:val="34"/>
          <w:szCs w:val="34"/>
        </w:rPr>
        <w:t>本年度新增账面面积0.00平方米，账面</w:t>
      </w:r>
      <w:r>
        <w:rPr>
          <w:spacing w:val="-15"/>
          <w:sz w:val="34"/>
          <w:szCs w:val="34"/>
        </w:rPr>
        <w:t>原值0.00万元；</w:t>
      </w:r>
      <w:r>
        <w:rPr>
          <w:sz w:val="34"/>
          <w:szCs w:val="34"/>
        </w:rPr>
        <w:t xml:space="preserve"> </w:t>
      </w:r>
      <w:r>
        <w:rPr>
          <w:spacing w:val="-8"/>
          <w:sz w:val="34"/>
          <w:szCs w:val="34"/>
        </w:rPr>
        <w:t>本年度处置账面面积0.00平方米，账面原值0.00万元。</w:t>
      </w:r>
    </w:p>
    <w:p w14:paraId="5CBB7729">
      <w:pPr>
        <w:pStyle w:val="2"/>
        <w:spacing w:before="37" w:line="292" w:lineRule="auto"/>
        <w:ind w:right="124" w:firstLine="799"/>
        <w:rPr>
          <w:sz w:val="34"/>
          <w:szCs w:val="34"/>
        </w:rPr>
      </w:pPr>
      <w:r>
        <w:rPr>
          <w:spacing w:val="7"/>
          <w:sz w:val="34"/>
          <w:szCs w:val="34"/>
        </w:rPr>
        <w:t>(5)车辆情况。截至2022年12月31日，我单位车辆</w:t>
      </w:r>
      <w:r>
        <w:rPr>
          <w:spacing w:val="8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账面数量1辆，账面原值7.55万元，账面净值1.65万元。</w:t>
      </w:r>
      <w:r>
        <w:rPr>
          <w:spacing w:val="1"/>
          <w:sz w:val="34"/>
          <w:szCs w:val="34"/>
        </w:rPr>
        <w:t xml:space="preserve"> </w:t>
      </w:r>
      <w:r>
        <w:rPr>
          <w:spacing w:val="10"/>
          <w:sz w:val="34"/>
          <w:szCs w:val="34"/>
        </w:rPr>
        <w:t>从使用状况分析：在用1辆，占100%,出租出借0辆，占</w:t>
      </w:r>
      <w:r>
        <w:rPr>
          <w:spacing w:val="11"/>
          <w:sz w:val="34"/>
          <w:szCs w:val="34"/>
        </w:rPr>
        <w:t xml:space="preserve"> </w:t>
      </w:r>
      <w:r>
        <w:rPr>
          <w:spacing w:val="17"/>
          <w:sz w:val="34"/>
          <w:szCs w:val="34"/>
        </w:rPr>
        <w:t>0%,闲置0辆，占0%,待处置0辆，占0%。</w:t>
      </w:r>
    </w:p>
    <w:p w14:paraId="1401B426">
      <w:pPr>
        <w:pStyle w:val="2"/>
        <w:spacing w:before="89" w:line="275" w:lineRule="auto"/>
        <w:ind w:right="134" w:firstLine="639"/>
        <w:rPr>
          <w:sz w:val="34"/>
          <w:szCs w:val="34"/>
        </w:rPr>
      </w:pPr>
      <w:r>
        <w:rPr>
          <w:spacing w:val="-6"/>
          <w:sz w:val="34"/>
          <w:szCs w:val="34"/>
        </w:rPr>
        <w:t>本年度新增车辆0辆，账面原值0.00万</w:t>
      </w:r>
      <w:r>
        <w:rPr>
          <w:spacing w:val="-7"/>
          <w:sz w:val="34"/>
          <w:szCs w:val="34"/>
        </w:rPr>
        <w:t>元；处置车辆0</w:t>
      </w:r>
      <w:r>
        <w:rPr>
          <w:sz w:val="34"/>
          <w:szCs w:val="34"/>
        </w:rPr>
        <w:t xml:space="preserve"> </w:t>
      </w:r>
      <w:r>
        <w:rPr>
          <w:spacing w:val="-9"/>
          <w:sz w:val="34"/>
          <w:szCs w:val="34"/>
        </w:rPr>
        <w:t>辆，账面原值0.00万元。</w:t>
      </w:r>
    </w:p>
    <w:p w14:paraId="04752FFC">
      <w:pPr>
        <w:pStyle w:val="2"/>
        <w:spacing w:before="115" w:line="302" w:lineRule="auto"/>
        <w:ind w:right="32" w:firstLine="799"/>
        <w:rPr>
          <w:sz w:val="27"/>
          <w:szCs w:val="27"/>
        </w:rPr>
      </w:pPr>
      <w:r>
        <w:rPr>
          <w:spacing w:val="8"/>
          <w:sz w:val="34"/>
          <w:szCs w:val="34"/>
        </w:rPr>
        <w:t>(6)在建工程情况。截至2022年12月31日，我单位</w:t>
      </w:r>
      <w:r>
        <w:rPr>
          <w:spacing w:val="4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账面在建工程0.00万元，其中，在建0.00万元，占0%;停</w:t>
      </w:r>
      <w:r>
        <w:rPr>
          <w:spacing w:val="10"/>
          <w:sz w:val="34"/>
          <w:szCs w:val="34"/>
        </w:rPr>
        <w:t xml:space="preserve"> </w:t>
      </w:r>
      <w:r>
        <w:rPr>
          <w:spacing w:val="4"/>
          <w:sz w:val="34"/>
          <w:szCs w:val="34"/>
        </w:rPr>
        <w:t>建0.00万元，占0%;建成未使用0.00万元，占0%;已投入</w:t>
      </w:r>
      <w:r>
        <w:rPr>
          <w:spacing w:val="15"/>
          <w:sz w:val="34"/>
          <w:szCs w:val="34"/>
        </w:rPr>
        <w:t xml:space="preserve"> </w:t>
      </w:r>
      <w:r>
        <w:rPr>
          <w:spacing w:val="2"/>
          <w:sz w:val="34"/>
          <w:szCs w:val="34"/>
        </w:rPr>
        <w:t>使用0.00万元，占0%;(未转固年限大于6个月0.00万元，</w:t>
      </w:r>
      <w:r>
        <w:rPr>
          <w:spacing w:val="7"/>
          <w:sz w:val="34"/>
          <w:szCs w:val="34"/>
        </w:rPr>
        <w:t xml:space="preserve"> </w:t>
      </w:r>
      <w:r>
        <w:rPr>
          <w:spacing w:val="-18"/>
          <w:sz w:val="27"/>
          <w:szCs w:val="27"/>
        </w:rPr>
        <w:t>占</w:t>
      </w:r>
      <w:r>
        <w:rPr>
          <w:spacing w:val="-23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0</w:t>
      </w:r>
      <w:r>
        <w:rPr>
          <w:spacing w:val="-33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%</w:t>
      </w:r>
      <w:r>
        <w:rPr>
          <w:spacing w:val="-25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)</w:t>
      </w:r>
      <w:r>
        <w:rPr>
          <w:spacing w:val="-35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。</w:t>
      </w:r>
    </w:p>
    <w:p w14:paraId="26AA3B81">
      <w:pPr>
        <w:pStyle w:val="2"/>
        <w:spacing w:before="151" w:line="222" w:lineRule="auto"/>
        <w:ind w:left="639"/>
        <w:rPr>
          <w:sz w:val="34"/>
          <w:szCs w:val="34"/>
        </w:rPr>
      </w:pPr>
      <w:r>
        <w:rPr>
          <w:spacing w:val="-3"/>
          <w:sz w:val="34"/>
          <w:szCs w:val="34"/>
        </w:rPr>
        <w:t>本年度新增0.00万元，处置0.00万元。</w:t>
      </w:r>
    </w:p>
    <w:p w14:paraId="63EBE786">
      <w:pPr>
        <w:pStyle w:val="2"/>
        <w:spacing w:before="111" w:line="222" w:lineRule="auto"/>
        <w:ind w:left="799"/>
        <w:rPr>
          <w:sz w:val="34"/>
          <w:szCs w:val="34"/>
        </w:rPr>
      </w:pPr>
      <w:r>
        <w:rPr>
          <w:spacing w:val="-9"/>
          <w:sz w:val="34"/>
          <w:szCs w:val="34"/>
        </w:rPr>
        <w:t>(7)固定和无形资产配置情况。</w:t>
      </w:r>
    </w:p>
    <w:p w14:paraId="501B7478">
      <w:pPr>
        <w:pStyle w:val="2"/>
        <w:spacing w:before="161" w:line="301" w:lineRule="auto"/>
        <w:ind w:right="32" w:firstLine="639"/>
        <w:rPr>
          <w:sz w:val="34"/>
          <w:szCs w:val="34"/>
        </w:rPr>
      </w:pPr>
      <w:r>
        <w:rPr>
          <w:spacing w:val="-8"/>
          <w:sz w:val="34"/>
          <w:szCs w:val="34"/>
        </w:rPr>
        <w:t>2022年度，我单位配置固定资产8.53万</w:t>
      </w:r>
      <w:r>
        <w:rPr>
          <w:spacing w:val="-9"/>
          <w:sz w:val="34"/>
          <w:szCs w:val="34"/>
        </w:rPr>
        <w:t>元(账面原值，</w:t>
      </w:r>
      <w:r>
        <w:rPr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下同)。从资产类别分析，配置土地、房屋及构筑物</w:t>
      </w:r>
      <w:r>
        <w:rPr>
          <w:spacing w:val="-2"/>
          <w:sz w:val="34"/>
          <w:szCs w:val="34"/>
        </w:rPr>
        <w:t>0.00</w:t>
      </w:r>
      <w:r>
        <w:rPr>
          <w:sz w:val="34"/>
          <w:szCs w:val="34"/>
        </w:rPr>
        <w:t xml:space="preserve"> </w:t>
      </w:r>
      <w:r>
        <w:rPr>
          <w:spacing w:val="4"/>
          <w:sz w:val="34"/>
          <w:szCs w:val="34"/>
        </w:rPr>
        <w:t>万元，占0%;配置设备5.54万元，占64.92%;配置文物和</w:t>
      </w:r>
      <w:r>
        <w:rPr>
          <w:spacing w:val="2"/>
          <w:sz w:val="34"/>
          <w:szCs w:val="34"/>
        </w:rPr>
        <w:t xml:space="preserve"> </w:t>
      </w:r>
      <w:r>
        <w:rPr>
          <w:spacing w:val="4"/>
          <w:sz w:val="34"/>
          <w:szCs w:val="34"/>
        </w:rPr>
        <w:t>陈列品0.00万元，占0%;配置图书档案0.00万元，占0</w:t>
      </w:r>
      <w:r>
        <w:rPr>
          <w:spacing w:val="3"/>
          <w:sz w:val="34"/>
          <w:szCs w:val="34"/>
        </w:rPr>
        <w:t>%;</w:t>
      </w:r>
      <w:r>
        <w:rPr>
          <w:sz w:val="34"/>
          <w:szCs w:val="34"/>
        </w:rPr>
        <w:t xml:space="preserve"> </w:t>
      </w:r>
      <w:r>
        <w:rPr>
          <w:spacing w:val="-11"/>
          <w:sz w:val="34"/>
          <w:szCs w:val="34"/>
        </w:rPr>
        <w:t>配置家具、用具2.99万元，占35.08%;</w:t>
      </w:r>
      <w:r>
        <w:rPr>
          <w:spacing w:val="-12"/>
          <w:sz w:val="34"/>
          <w:szCs w:val="34"/>
        </w:rPr>
        <w:t>配置特种动植物0.00</w:t>
      </w:r>
      <w:r>
        <w:rPr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万元，占0%。从配置方式分析，新购8.53万元，占100%;</w:t>
      </w:r>
      <w:r>
        <w:rPr>
          <w:sz w:val="34"/>
          <w:szCs w:val="34"/>
        </w:rPr>
        <w:t xml:space="preserve">  </w:t>
      </w:r>
      <w:r>
        <w:rPr>
          <w:spacing w:val="16"/>
          <w:sz w:val="34"/>
          <w:szCs w:val="34"/>
        </w:rPr>
        <w:t>调拨0.00万元，占0%;接受捐赠0.00万元，占0%;置换</w:t>
      </w:r>
      <w:r>
        <w:rPr>
          <w:sz w:val="34"/>
          <w:szCs w:val="34"/>
        </w:rPr>
        <w:t xml:space="preserve"> </w:t>
      </w:r>
      <w:r>
        <w:rPr>
          <w:spacing w:val="2"/>
          <w:sz w:val="34"/>
          <w:szCs w:val="34"/>
        </w:rPr>
        <w:t>0.00万元，占0%;其他方式新增0.00万元，占0%。</w:t>
      </w:r>
    </w:p>
    <w:p w14:paraId="1A9E5B72">
      <w:pPr>
        <w:pStyle w:val="2"/>
        <w:spacing w:before="42" w:line="221" w:lineRule="auto"/>
        <w:ind w:left="639"/>
        <w:rPr>
          <w:sz w:val="34"/>
          <w:szCs w:val="34"/>
        </w:rPr>
      </w:pPr>
      <w:r>
        <w:rPr>
          <w:spacing w:val="-6"/>
          <w:sz w:val="34"/>
          <w:szCs w:val="34"/>
        </w:rPr>
        <w:t>我单位配置无形资产0.00万元。从资产类别分析</w:t>
      </w:r>
      <w:r>
        <w:rPr>
          <w:spacing w:val="-7"/>
          <w:sz w:val="34"/>
          <w:szCs w:val="34"/>
        </w:rPr>
        <w:t>，配</w:t>
      </w:r>
    </w:p>
    <w:p w14:paraId="0E05365D">
      <w:pPr>
        <w:spacing w:line="221" w:lineRule="auto"/>
        <w:rPr>
          <w:sz w:val="34"/>
          <w:szCs w:val="34"/>
        </w:rPr>
        <w:sectPr>
          <w:footerReference r:id="rId14" w:type="default"/>
          <w:pgSz w:w="11980" w:h="17000"/>
          <w:pgMar w:top="1445" w:right="1797" w:bottom="1300" w:left="1750" w:header="0" w:footer="1031" w:gutter="0"/>
          <w:cols w:space="720" w:num="1"/>
        </w:sectPr>
      </w:pPr>
    </w:p>
    <w:p w14:paraId="4191AFA9">
      <w:pPr>
        <w:pStyle w:val="2"/>
        <w:spacing w:before="178" w:line="311" w:lineRule="auto"/>
        <w:ind w:left="9" w:right="102"/>
        <w:jc w:val="both"/>
      </w:pPr>
      <w:r>
        <w:rPr>
          <w:spacing w:val="17"/>
        </w:rPr>
        <w:t>置专利0.00万元，占0%;配置非专利技术0.00万元，占</w:t>
      </w:r>
      <w:r>
        <w:rPr>
          <w:spacing w:val="2"/>
        </w:rPr>
        <w:t xml:space="preserve"> </w:t>
      </w:r>
      <w:r>
        <w:t>0%;配置土地使用权0.00万元，占0%;配置计算机软件0.00</w:t>
      </w:r>
      <w:r>
        <w:rPr>
          <w:spacing w:val="17"/>
        </w:rPr>
        <w:t xml:space="preserve"> </w:t>
      </w:r>
      <w:r>
        <w:rPr>
          <w:spacing w:val="6"/>
        </w:rPr>
        <w:t xml:space="preserve">万元，占0%。从配置方式分析，新购0.00万元，占0%;调 </w:t>
      </w:r>
      <w:r>
        <w:rPr>
          <w:spacing w:val="11"/>
        </w:rPr>
        <w:t>拨0.00万元，占0%;接受捐赠0.00万元，占0%;置换0.00</w:t>
      </w:r>
      <w:r>
        <w:rPr>
          <w:spacing w:val="3"/>
        </w:rPr>
        <w:t xml:space="preserve"> </w:t>
      </w:r>
      <w:r>
        <w:rPr>
          <w:spacing w:val="7"/>
        </w:rPr>
        <w:t>万元，占0%;其他方式新增0.00万元，占0%。</w:t>
      </w:r>
    </w:p>
    <w:p w14:paraId="11177FF9">
      <w:pPr>
        <w:pStyle w:val="2"/>
        <w:spacing w:before="48" w:line="310" w:lineRule="auto"/>
        <w:ind w:left="9" w:right="118" w:firstLine="620"/>
      </w:pPr>
      <w:r>
        <w:rPr>
          <w:spacing w:val="-11"/>
        </w:rPr>
        <w:t>2.行政事业性国有资产管理。我部门按照要求加</w:t>
      </w:r>
      <w:r>
        <w:rPr>
          <w:spacing w:val="-12"/>
        </w:rPr>
        <w:t>强资产</w:t>
      </w:r>
      <w:r>
        <w:t xml:space="preserve"> </w:t>
      </w:r>
      <w:r>
        <w:rPr>
          <w:spacing w:val="-13"/>
        </w:rPr>
        <w:t>基础管理工作，建立内控制度、由党政办公室股室负责设置</w:t>
      </w:r>
      <w:r>
        <w:rPr>
          <w:spacing w:val="9"/>
        </w:rPr>
        <w:t xml:space="preserve"> </w:t>
      </w:r>
      <w:r>
        <w:rPr>
          <w:spacing w:val="-13"/>
        </w:rPr>
        <w:t>专门的资产管理岗、资产系统卡片信息完整规范并通过系统</w:t>
      </w:r>
      <w:r>
        <w:rPr>
          <w:spacing w:val="11"/>
        </w:rPr>
        <w:t xml:space="preserve"> </w:t>
      </w:r>
      <w:r>
        <w:rPr>
          <w:spacing w:val="-12"/>
        </w:rPr>
        <w:t>检测；资产购置纳入年度部门预算，并按照规定程序报批；</w:t>
      </w:r>
      <w:r>
        <w:rPr>
          <w:spacing w:val="2"/>
        </w:rPr>
        <w:t xml:space="preserve"> </w:t>
      </w:r>
      <w:r>
        <w:rPr>
          <w:spacing w:val="-12"/>
        </w:rPr>
        <w:t>按规定报批国有资产出租出借、对外投资事项、收入足额上</w:t>
      </w:r>
      <w:r>
        <w:rPr>
          <w:spacing w:val="2"/>
        </w:rPr>
        <w:t xml:space="preserve"> </w:t>
      </w:r>
      <w:r>
        <w:rPr>
          <w:spacing w:val="-12"/>
        </w:rPr>
        <w:t>缴；按规定报批国有资产处置事项、及时足额</w:t>
      </w:r>
      <w:r>
        <w:rPr>
          <w:spacing w:val="-13"/>
        </w:rPr>
        <w:t>缴纳国有资产</w:t>
      </w:r>
      <w:r>
        <w:t xml:space="preserve"> </w:t>
      </w:r>
      <w:r>
        <w:rPr>
          <w:spacing w:val="-12"/>
        </w:rPr>
        <w:t>处置收入。2023年我部门按照财政部门要求，开展资产标识</w:t>
      </w:r>
      <w:r>
        <w:rPr>
          <w:spacing w:val="11"/>
        </w:rPr>
        <w:t xml:space="preserve"> </w:t>
      </w:r>
      <w:r>
        <w:rPr>
          <w:spacing w:val="-12"/>
        </w:rPr>
        <w:t>化工作，完成情况如下：对我单位和社区资产进行清查打印</w:t>
      </w:r>
      <w:r>
        <w:t xml:space="preserve"> </w:t>
      </w:r>
      <w:r>
        <w:rPr>
          <w:spacing w:val="-15"/>
        </w:rPr>
        <w:t>标签。</w:t>
      </w:r>
    </w:p>
    <w:p w14:paraId="5B5B69E6">
      <w:pPr>
        <w:spacing w:before="37" w:line="220" w:lineRule="auto"/>
        <w:ind w:left="83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(六)预算透明度情况，得分6分</w:t>
      </w:r>
    </w:p>
    <w:p w14:paraId="6AF88717">
      <w:pPr>
        <w:pStyle w:val="2"/>
        <w:spacing w:before="179" w:line="303" w:lineRule="auto"/>
        <w:ind w:left="9" w:right="106" w:firstLine="620"/>
        <w:jc w:val="both"/>
      </w:pPr>
      <w:r>
        <w:rPr>
          <w:spacing w:val="-12"/>
        </w:rPr>
        <w:t>我部门将预决算信息、绩效信息、债券信息等，按照财</w:t>
      </w:r>
      <w:r>
        <w:rPr>
          <w:spacing w:val="3"/>
        </w:rPr>
        <w:t xml:space="preserve"> </w:t>
      </w:r>
      <w:r>
        <w:rPr>
          <w:spacing w:val="-12"/>
        </w:rPr>
        <w:t>政部门的要求，完整、准确、规范、真实地在徐水区政府门</w:t>
      </w:r>
      <w:r>
        <w:rPr>
          <w:spacing w:val="14"/>
        </w:rPr>
        <w:t xml:space="preserve"> </w:t>
      </w:r>
      <w:r>
        <w:rPr>
          <w:spacing w:val="-17"/>
        </w:rPr>
        <w:t>户网站公开专栏进行了公开。</w:t>
      </w:r>
    </w:p>
    <w:p w14:paraId="52F075C4">
      <w:pPr>
        <w:spacing w:before="47" w:line="220" w:lineRule="auto"/>
        <w:ind w:left="81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(七)预算信息化情况，得分9.5分</w:t>
      </w:r>
    </w:p>
    <w:p w14:paraId="668E81FA">
      <w:pPr>
        <w:pStyle w:val="2"/>
        <w:spacing w:before="170" w:line="299" w:lineRule="auto"/>
        <w:ind w:left="9" w:right="136" w:firstLine="620"/>
        <w:jc w:val="both"/>
      </w:pPr>
      <w:r>
        <w:rPr>
          <w:spacing w:val="-12"/>
        </w:rPr>
        <w:t>我部门在日常工作中及时、规范的操作一体化系统。在</w:t>
      </w:r>
      <w:r>
        <w:t xml:space="preserve"> </w:t>
      </w:r>
      <w:r>
        <w:rPr>
          <w:spacing w:val="-13"/>
        </w:rPr>
        <w:t>内部财政业务网络与信息安全建设管理方面，财政内网终端</w:t>
      </w:r>
      <w:r>
        <w:rPr>
          <w:spacing w:val="10"/>
        </w:rPr>
        <w:t xml:space="preserve"> </w:t>
      </w:r>
      <w:r>
        <w:rPr>
          <w:spacing w:val="-15"/>
        </w:rPr>
        <w:t>全年未发生网络安全事件。</w:t>
      </w:r>
    </w:p>
    <w:p w14:paraId="391F94C6">
      <w:pPr>
        <w:spacing w:before="88" w:line="221" w:lineRule="auto"/>
        <w:ind w:left="63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三</w:t>
      </w:r>
      <w:r>
        <w:rPr>
          <w:rFonts w:ascii="黑体" w:hAnsi="黑体" w:eastAsia="黑体" w:cs="黑体"/>
          <w:spacing w:val="-76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、部门整体绩效目标实现情况</w:t>
      </w:r>
    </w:p>
    <w:p w14:paraId="7219C827">
      <w:pPr>
        <w:spacing w:line="221" w:lineRule="auto"/>
        <w:rPr>
          <w:rFonts w:ascii="黑体" w:hAnsi="黑体" w:eastAsia="黑体" w:cs="黑体"/>
          <w:sz w:val="33"/>
          <w:szCs w:val="33"/>
        </w:rPr>
        <w:sectPr>
          <w:footerReference r:id="rId15" w:type="default"/>
          <w:pgSz w:w="12000" w:h="17000"/>
          <w:pgMar w:top="1445" w:right="1800" w:bottom="1260" w:left="1800" w:header="0" w:footer="991" w:gutter="0"/>
          <w:cols w:space="720" w:num="1"/>
        </w:sectPr>
      </w:pPr>
    </w:p>
    <w:p w14:paraId="0CC1C1FE">
      <w:pPr>
        <w:pStyle w:val="2"/>
        <w:spacing w:before="281" w:line="216" w:lineRule="auto"/>
        <w:ind w:left="742"/>
      </w:pPr>
      <w:r>
        <w:rPr>
          <w:spacing w:val="-5"/>
        </w:rPr>
        <w:t>我部门2023年整体绩效目标实现情况如下：</w:t>
      </w:r>
    </w:p>
    <w:tbl>
      <w:tblPr>
        <w:tblStyle w:val="5"/>
        <w:tblW w:w="850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2137"/>
        <w:gridCol w:w="3186"/>
        <w:gridCol w:w="2133"/>
      </w:tblGrid>
      <w:tr w14:paraId="26E66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44" w:type="dxa"/>
            <w:vAlign w:val="top"/>
          </w:tcPr>
          <w:p w14:paraId="2AB025DB">
            <w:pPr>
              <w:pStyle w:val="6"/>
              <w:spacing w:before="136" w:line="221" w:lineRule="auto"/>
              <w:ind w:left="27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37" w:type="dxa"/>
            <w:vAlign w:val="top"/>
          </w:tcPr>
          <w:p w14:paraId="32753D28">
            <w:pPr>
              <w:pStyle w:val="6"/>
              <w:spacing w:before="126" w:line="220" w:lineRule="auto"/>
              <w:ind w:left="57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3186" w:type="dxa"/>
            <w:vAlign w:val="top"/>
          </w:tcPr>
          <w:p w14:paraId="16611A36">
            <w:pPr>
              <w:pStyle w:val="6"/>
              <w:spacing w:before="126" w:line="220" w:lineRule="auto"/>
              <w:ind w:left="110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绩效目标</w:t>
            </w:r>
          </w:p>
        </w:tc>
        <w:tc>
          <w:tcPr>
            <w:tcW w:w="2133" w:type="dxa"/>
            <w:vAlign w:val="top"/>
          </w:tcPr>
          <w:p w14:paraId="1D420BED">
            <w:pPr>
              <w:pStyle w:val="6"/>
              <w:spacing w:before="135" w:line="220" w:lineRule="auto"/>
              <w:ind w:left="57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实现情况</w:t>
            </w:r>
          </w:p>
        </w:tc>
      </w:tr>
      <w:tr w14:paraId="4557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4" w:type="dxa"/>
            <w:vAlign w:val="top"/>
          </w:tcPr>
          <w:p w14:paraId="5FD2C000">
            <w:pPr>
              <w:pStyle w:val="6"/>
              <w:spacing w:before="261" w:line="184" w:lineRule="auto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7" w:type="dxa"/>
            <w:vAlign w:val="top"/>
          </w:tcPr>
          <w:p w14:paraId="024E787E">
            <w:pPr>
              <w:pStyle w:val="6"/>
              <w:spacing w:before="218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社区建设管理</w:t>
            </w:r>
          </w:p>
        </w:tc>
        <w:tc>
          <w:tcPr>
            <w:tcW w:w="3186" w:type="dxa"/>
            <w:vAlign w:val="top"/>
          </w:tcPr>
          <w:p w14:paraId="34F378D4">
            <w:pPr>
              <w:pStyle w:val="6"/>
              <w:spacing w:before="218" w:line="219" w:lineRule="auto"/>
              <w:ind w:left="7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保证社区工作积极和谐健康发展。</w:t>
            </w:r>
          </w:p>
        </w:tc>
        <w:tc>
          <w:tcPr>
            <w:tcW w:w="2133" w:type="dxa"/>
            <w:vAlign w:val="top"/>
          </w:tcPr>
          <w:p w14:paraId="33A10265">
            <w:pPr>
              <w:pStyle w:val="6"/>
              <w:spacing w:before="28" w:line="287" w:lineRule="auto"/>
              <w:ind w:left="67" w:right="1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开展社区活动的频率≥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12</w:t>
            </w:r>
          </w:p>
        </w:tc>
      </w:tr>
      <w:tr w14:paraId="5E9EA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44" w:type="dxa"/>
            <w:vAlign w:val="top"/>
          </w:tcPr>
          <w:p w14:paraId="56D2066E">
            <w:pPr>
              <w:pStyle w:val="6"/>
              <w:spacing w:before="153" w:line="183" w:lineRule="auto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7" w:type="dxa"/>
            <w:vAlign w:val="top"/>
          </w:tcPr>
          <w:p w14:paraId="038BD824">
            <w:pPr>
              <w:pStyle w:val="6"/>
              <w:spacing w:before="119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征兵工作管理</w:t>
            </w:r>
          </w:p>
        </w:tc>
        <w:tc>
          <w:tcPr>
            <w:tcW w:w="3186" w:type="dxa"/>
            <w:vAlign w:val="top"/>
          </w:tcPr>
          <w:p w14:paraId="7BACF0F4">
            <w:pPr>
              <w:pStyle w:val="6"/>
              <w:spacing w:before="119" w:line="219" w:lineRule="auto"/>
              <w:ind w:left="7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按人武部要求完成</w:t>
            </w:r>
          </w:p>
        </w:tc>
        <w:tc>
          <w:tcPr>
            <w:tcW w:w="2133" w:type="dxa"/>
            <w:vAlign w:val="top"/>
          </w:tcPr>
          <w:p w14:paraId="3EEE5975">
            <w:pPr>
              <w:pStyle w:val="6"/>
              <w:spacing w:before="119" w:line="219" w:lineRule="auto"/>
              <w:ind w:left="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按人武部要求完成100%</w:t>
            </w:r>
          </w:p>
        </w:tc>
      </w:tr>
      <w:tr w14:paraId="7E30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4" w:type="dxa"/>
            <w:vAlign w:val="top"/>
          </w:tcPr>
          <w:p w14:paraId="09BA11DF">
            <w:pPr>
              <w:pStyle w:val="6"/>
              <w:spacing w:before="264" w:line="183" w:lineRule="auto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7" w:type="dxa"/>
            <w:vAlign w:val="top"/>
          </w:tcPr>
          <w:p w14:paraId="444D67C3">
            <w:pPr>
              <w:pStyle w:val="6"/>
              <w:spacing w:before="219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宣传引导</w:t>
            </w:r>
          </w:p>
        </w:tc>
        <w:tc>
          <w:tcPr>
            <w:tcW w:w="3186" w:type="dxa"/>
            <w:vAlign w:val="top"/>
          </w:tcPr>
          <w:p w14:paraId="756BFAD8">
            <w:pPr>
              <w:pStyle w:val="6"/>
              <w:spacing w:before="219" w:line="219" w:lineRule="auto"/>
              <w:ind w:left="7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安排组织宣传活动</w:t>
            </w:r>
          </w:p>
        </w:tc>
        <w:tc>
          <w:tcPr>
            <w:tcW w:w="2133" w:type="dxa"/>
            <w:vAlign w:val="top"/>
          </w:tcPr>
          <w:p w14:paraId="08992A64">
            <w:pPr>
              <w:pStyle w:val="6"/>
              <w:spacing w:before="30" w:line="286" w:lineRule="auto"/>
              <w:ind w:left="67" w:right="16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开展组织</w:t>
            </w:r>
            <w:r>
              <w:rPr>
                <w:rFonts w:hint="eastAsia"/>
                <w:spacing w:val="-1"/>
                <w:sz w:val="19"/>
                <w:szCs w:val="19"/>
                <w:lang w:val="en-US" w:eastAsia="zh-CN"/>
              </w:rPr>
              <w:t>宣</w:t>
            </w:r>
            <w:bookmarkStart w:id="0" w:name="_GoBack"/>
            <w:bookmarkEnd w:id="0"/>
            <w:r>
              <w:rPr>
                <w:spacing w:val="-1"/>
                <w:sz w:val="19"/>
                <w:szCs w:val="19"/>
              </w:rPr>
              <w:t>传活动的频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率≥12</w:t>
            </w:r>
          </w:p>
        </w:tc>
      </w:tr>
      <w:tr w14:paraId="6ABF8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44" w:type="dxa"/>
            <w:vAlign w:val="top"/>
          </w:tcPr>
          <w:p w14:paraId="6368DBB8">
            <w:pPr>
              <w:pStyle w:val="6"/>
              <w:spacing w:before="155" w:line="183" w:lineRule="auto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7" w:type="dxa"/>
            <w:vAlign w:val="top"/>
          </w:tcPr>
          <w:p w14:paraId="437383D0">
            <w:pPr>
              <w:pStyle w:val="6"/>
              <w:spacing w:before="121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排查不和谐因素</w:t>
            </w:r>
          </w:p>
        </w:tc>
        <w:tc>
          <w:tcPr>
            <w:tcW w:w="3186" w:type="dxa"/>
            <w:vAlign w:val="top"/>
          </w:tcPr>
          <w:p w14:paraId="514E17A2">
            <w:pPr>
              <w:pStyle w:val="6"/>
              <w:spacing w:before="122" w:line="221" w:lineRule="auto"/>
              <w:ind w:left="7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及时排查安全隐患</w:t>
            </w:r>
          </w:p>
        </w:tc>
        <w:tc>
          <w:tcPr>
            <w:tcW w:w="2133" w:type="dxa"/>
            <w:vAlign w:val="top"/>
          </w:tcPr>
          <w:p w14:paraId="79F3D7E5">
            <w:pPr>
              <w:pStyle w:val="6"/>
              <w:spacing w:before="122" w:line="220" w:lineRule="auto"/>
              <w:ind w:left="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无安全隐患问题0起</w:t>
            </w:r>
          </w:p>
        </w:tc>
      </w:tr>
      <w:tr w14:paraId="45B61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4" w:type="dxa"/>
            <w:vAlign w:val="top"/>
          </w:tcPr>
          <w:p w14:paraId="188E9C72">
            <w:pPr>
              <w:pStyle w:val="6"/>
              <w:spacing w:before="168" w:line="182" w:lineRule="auto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7" w:type="dxa"/>
            <w:vAlign w:val="top"/>
          </w:tcPr>
          <w:p w14:paraId="5FB90DA8">
            <w:pPr>
              <w:pStyle w:val="6"/>
              <w:spacing w:before="122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群众工作站管理</w:t>
            </w:r>
          </w:p>
        </w:tc>
        <w:tc>
          <w:tcPr>
            <w:tcW w:w="3186" w:type="dxa"/>
            <w:vAlign w:val="top"/>
          </w:tcPr>
          <w:p w14:paraId="3487741A">
            <w:pPr>
              <w:pStyle w:val="6"/>
              <w:spacing w:before="122" w:line="219" w:lineRule="auto"/>
              <w:ind w:left="7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妥善处理群众意见</w:t>
            </w:r>
          </w:p>
        </w:tc>
        <w:tc>
          <w:tcPr>
            <w:tcW w:w="2133" w:type="dxa"/>
            <w:vAlign w:val="top"/>
          </w:tcPr>
          <w:p w14:paraId="1320E210">
            <w:pPr>
              <w:pStyle w:val="6"/>
              <w:spacing w:before="122" w:line="219" w:lineRule="auto"/>
              <w:ind w:left="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处理群众意见件数≥150</w:t>
            </w:r>
          </w:p>
        </w:tc>
      </w:tr>
      <w:tr w14:paraId="17796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044" w:type="dxa"/>
            <w:vAlign w:val="top"/>
          </w:tcPr>
          <w:p w14:paraId="297801E8">
            <w:pPr>
              <w:spacing w:line="248" w:lineRule="auto"/>
              <w:rPr>
                <w:rFonts w:ascii="Arial"/>
                <w:sz w:val="21"/>
              </w:rPr>
            </w:pPr>
          </w:p>
          <w:p w14:paraId="6EBC8AB1">
            <w:pPr>
              <w:spacing w:line="248" w:lineRule="auto"/>
              <w:rPr>
                <w:rFonts w:ascii="Arial"/>
                <w:sz w:val="21"/>
              </w:rPr>
            </w:pPr>
          </w:p>
          <w:p w14:paraId="604AF44F">
            <w:pPr>
              <w:pStyle w:val="6"/>
              <w:spacing w:before="78" w:line="183" w:lineRule="auto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37" w:type="dxa"/>
            <w:vAlign w:val="top"/>
          </w:tcPr>
          <w:p w14:paraId="44305CC7">
            <w:pPr>
              <w:spacing w:line="467" w:lineRule="auto"/>
              <w:rPr>
                <w:rFonts w:ascii="Arial"/>
                <w:sz w:val="21"/>
              </w:rPr>
            </w:pPr>
          </w:p>
          <w:p w14:paraId="34680913">
            <w:pPr>
              <w:pStyle w:val="6"/>
              <w:spacing w:before="62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社会保障工作</w:t>
            </w:r>
          </w:p>
        </w:tc>
        <w:tc>
          <w:tcPr>
            <w:tcW w:w="3186" w:type="dxa"/>
            <w:vAlign w:val="top"/>
          </w:tcPr>
          <w:p w14:paraId="566BA970">
            <w:pPr>
              <w:spacing w:line="280" w:lineRule="auto"/>
              <w:rPr>
                <w:rFonts w:ascii="Arial"/>
                <w:sz w:val="21"/>
              </w:rPr>
            </w:pPr>
          </w:p>
          <w:p w14:paraId="61C97A58">
            <w:pPr>
              <w:pStyle w:val="6"/>
              <w:spacing w:before="61" w:line="287" w:lineRule="auto"/>
              <w:ind w:left="73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协助收缴城镇居民医疗保险、城乡居民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社会养老保险工作。</w:t>
            </w:r>
          </w:p>
        </w:tc>
        <w:tc>
          <w:tcPr>
            <w:tcW w:w="2133" w:type="dxa"/>
            <w:vAlign w:val="top"/>
          </w:tcPr>
          <w:p w14:paraId="7E2378A9">
            <w:pPr>
              <w:pStyle w:val="6"/>
              <w:spacing w:before="43" w:line="290" w:lineRule="auto"/>
              <w:ind w:left="67" w:firstLine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辖区内符合条件居民参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加城镇居民医疗保险、城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乡居民社会养老保险参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保率≥90%</w:t>
            </w:r>
          </w:p>
        </w:tc>
      </w:tr>
      <w:tr w14:paraId="1792C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44" w:type="dxa"/>
            <w:vAlign w:val="top"/>
          </w:tcPr>
          <w:p w14:paraId="509ACE9F">
            <w:pPr>
              <w:spacing w:line="341" w:lineRule="auto"/>
              <w:rPr>
                <w:rFonts w:ascii="Arial"/>
                <w:sz w:val="21"/>
              </w:rPr>
            </w:pPr>
          </w:p>
          <w:p w14:paraId="51254AE8">
            <w:pPr>
              <w:pStyle w:val="6"/>
              <w:spacing w:before="78" w:line="182" w:lineRule="auto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37" w:type="dxa"/>
            <w:vAlign w:val="top"/>
          </w:tcPr>
          <w:p w14:paraId="646BA9BA">
            <w:pPr>
              <w:spacing w:line="321" w:lineRule="auto"/>
              <w:rPr>
                <w:rFonts w:ascii="Arial"/>
                <w:sz w:val="21"/>
              </w:rPr>
            </w:pPr>
          </w:p>
          <w:p w14:paraId="59C41038">
            <w:pPr>
              <w:pStyle w:val="6"/>
              <w:spacing w:before="62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社会福利事业管理</w:t>
            </w:r>
          </w:p>
        </w:tc>
        <w:tc>
          <w:tcPr>
            <w:tcW w:w="3186" w:type="dxa"/>
            <w:vAlign w:val="top"/>
          </w:tcPr>
          <w:p w14:paraId="2C60129F">
            <w:pPr>
              <w:pStyle w:val="6"/>
              <w:spacing w:before="46" w:line="287" w:lineRule="auto"/>
              <w:ind w:left="73" w:firstLine="10"/>
              <w:jc w:val="both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做好城市低保、廉租房、大病救助、高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龄补贴、独生子女退休一次性奖励等的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统计、申报及初审工作</w:t>
            </w:r>
          </w:p>
        </w:tc>
        <w:tc>
          <w:tcPr>
            <w:tcW w:w="2133" w:type="dxa"/>
            <w:vAlign w:val="top"/>
          </w:tcPr>
          <w:p w14:paraId="6633F0C3">
            <w:pPr>
              <w:pStyle w:val="6"/>
              <w:spacing w:before="206" w:line="330" w:lineRule="auto"/>
              <w:ind w:left="67" w:right="35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社会福利资金发放率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100%</w:t>
            </w:r>
          </w:p>
        </w:tc>
      </w:tr>
    </w:tbl>
    <w:p w14:paraId="0564488D">
      <w:pPr>
        <w:spacing w:line="309" w:lineRule="auto"/>
        <w:rPr>
          <w:rFonts w:ascii="Arial"/>
          <w:sz w:val="21"/>
        </w:rPr>
      </w:pPr>
    </w:p>
    <w:p w14:paraId="15550535">
      <w:pPr>
        <w:spacing w:line="310" w:lineRule="auto"/>
        <w:rPr>
          <w:rFonts w:ascii="Arial"/>
          <w:sz w:val="21"/>
        </w:rPr>
      </w:pPr>
    </w:p>
    <w:p w14:paraId="4632B894">
      <w:pPr>
        <w:spacing w:before="108" w:line="221" w:lineRule="auto"/>
        <w:ind w:left="747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7"/>
          <w:sz w:val="33"/>
          <w:szCs w:val="33"/>
        </w:rPr>
        <w:t>四</w:t>
      </w:r>
      <w:r>
        <w:rPr>
          <w:rFonts w:ascii="黑体" w:hAnsi="黑体" w:eastAsia="黑体" w:cs="黑体"/>
          <w:spacing w:val="-27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7"/>
          <w:sz w:val="33"/>
          <w:szCs w:val="33"/>
        </w:rPr>
        <w:t>、绩效自评发现的问题</w:t>
      </w:r>
    </w:p>
    <w:p w14:paraId="7B0D0A8C">
      <w:pPr>
        <w:pStyle w:val="2"/>
        <w:spacing w:before="135" w:line="225" w:lineRule="auto"/>
        <w:ind w:left="742"/>
      </w:pPr>
      <w:r>
        <w:t>无</w:t>
      </w:r>
    </w:p>
    <w:p w14:paraId="5EB8A03B">
      <w:pPr>
        <w:spacing w:before="178" w:line="222" w:lineRule="auto"/>
        <w:ind w:left="737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五、改进措施及相关建议</w:t>
      </w:r>
    </w:p>
    <w:p w14:paraId="5BAAEDF5">
      <w:pPr>
        <w:pStyle w:val="2"/>
        <w:spacing w:before="144" w:line="272" w:lineRule="auto"/>
        <w:ind w:left="122" w:right="1647" w:firstLine="759"/>
      </w:pPr>
      <w:r>
        <w:rPr>
          <w:spacing w:val="-4"/>
        </w:rPr>
        <w:t>(一)要加强对项目工作的全面领导，便于及时发现项</w:t>
      </w:r>
      <w:r>
        <w:t xml:space="preserve"> </w:t>
      </w:r>
      <w:r>
        <w:rPr>
          <w:spacing w:val="-15"/>
        </w:rPr>
        <w:t>目运行过程中出现的问题并加以改进。</w:t>
      </w:r>
    </w:p>
    <w:p w14:paraId="49AF0B89">
      <w:pPr>
        <w:pStyle w:val="2"/>
        <w:spacing w:before="165" w:line="287" w:lineRule="auto"/>
        <w:ind w:left="122" w:right="1621" w:firstLine="759"/>
      </w:pPr>
      <w:r>
        <w:rPr>
          <w:spacing w:val="-3"/>
        </w:rPr>
        <w:t>(二)严格按项目规范要求，做到专款专用，确保项目</w:t>
      </w:r>
      <w:r>
        <w:rPr>
          <w:spacing w:val="1"/>
        </w:rPr>
        <w:t xml:space="preserve"> </w:t>
      </w:r>
      <w:r>
        <w:rPr>
          <w:spacing w:val="-13"/>
        </w:rPr>
        <w:t>工作顺利开展。对进展缓慢，预期绩效目标较差的项目，及</w:t>
      </w:r>
      <w:r>
        <w:rPr>
          <w:spacing w:val="10"/>
        </w:rPr>
        <w:t xml:space="preserve"> </w:t>
      </w:r>
      <w:r>
        <w:rPr>
          <w:spacing w:val="-12"/>
        </w:rPr>
        <w:t>时进行协调，提出整改措施，确保项目正常运行，达</w:t>
      </w:r>
      <w:r>
        <w:rPr>
          <w:spacing w:val="-13"/>
        </w:rPr>
        <w:t>到预期</w:t>
      </w:r>
      <w:r>
        <w:t xml:space="preserve"> </w:t>
      </w:r>
      <w:r>
        <w:rPr>
          <w:spacing w:val="-17"/>
        </w:rPr>
        <w:t>绩效目标。</w:t>
      </w:r>
    </w:p>
    <w:p w14:paraId="5A7F20E5">
      <w:pPr>
        <w:pStyle w:val="2"/>
        <w:spacing w:before="169" w:line="266" w:lineRule="auto"/>
        <w:ind w:left="122" w:right="1621" w:firstLine="759"/>
      </w:pPr>
      <w:r>
        <w:rPr>
          <w:spacing w:val="-3"/>
        </w:rPr>
        <w:t>(三)对日常工作加强规范和监督，防止在项目执行过</w:t>
      </w:r>
      <w:r>
        <w:rPr>
          <w:spacing w:val="1"/>
        </w:rPr>
        <w:t xml:space="preserve"> </w:t>
      </w:r>
      <w:r>
        <w:rPr>
          <w:spacing w:val="-17"/>
        </w:rPr>
        <w:t>程中出现偏差。</w:t>
      </w:r>
    </w:p>
    <w:sectPr>
      <w:footerReference r:id="rId16" w:type="default"/>
      <w:pgSz w:w="12250" w:h="17150"/>
      <w:pgMar w:top="1457" w:right="388" w:bottom="1334" w:left="1837" w:header="0" w:footer="10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659BC">
    <w:pPr>
      <w:pStyle w:val="2"/>
      <w:spacing w:line="174" w:lineRule="auto"/>
      <w:ind w:left="8960"/>
      <w:rPr>
        <w:sz w:val="27"/>
        <w:szCs w:val="27"/>
      </w:rPr>
    </w:pPr>
    <w:r>
      <w:rPr>
        <w:spacing w:val="-9"/>
        <w:sz w:val="27"/>
        <w:szCs w:val="27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3986D">
    <w:pPr>
      <w:spacing w:before="1"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F9AC8">
    <w:pPr>
      <w:spacing w:before="1" w:line="176" w:lineRule="auto"/>
      <w:ind w:left="756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A942A">
    <w:pPr>
      <w:spacing w:line="177" w:lineRule="auto"/>
      <w:ind w:left="122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5"/>
        <w:sz w:val="29"/>
        <w:szCs w:val="29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11820">
    <w:pPr>
      <w:spacing w:line="176" w:lineRule="auto"/>
      <w:ind w:left="6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0BB66">
    <w:pPr>
      <w:spacing w:before="1" w:line="176" w:lineRule="auto"/>
      <w:ind w:left="77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1"/>
        <w:w w:val="95"/>
        <w:sz w:val="29"/>
        <w:szCs w:val="2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0087D">
    <w:pPr>
      <w:spacing w:line="176" w:lineRule="auto"/>
      <w:ind w:left="2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b/>
        <w:bCs/>
        <w:spacing w:val="-19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181D">
    <w:pPr>
      <w:spacing w:before="1" w:line="174" w:lineRule="auto"/>
      <w:ind w:left="76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9"/>
        <w:w w:val="98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C3FCE">
    <w:pPr>
      <w:spacing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3B8B0">
    <w:pPr>
      <w:spacing w:before="1" w:line="174" w:lineRule="auto"/>
      <w:ind w:right="31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E1211">
    <w:pPr>
      <w:spacing w:line="176" w:lineRule="auto"/>
      <w:ind w:left="3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b/>
        <w:bCs/>
        <w:spacing w:val="-17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2992C">
    <w:pPr>
      <w:spacing w:line="176" w:lineRule="auto"/>
      <w:ind w:left="77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spacing w:val="-17"/>
        <w:w w:val="96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051BC"/>
    <w:rsid w:val="0F43175F"/>
    <w:rsid w:val="37D53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5467</Words>
  <Characters>6271</Characters>
  <TotalTime>1</TotalTime>
  <ScaleCrop>false</ScaleCrop>
  <LinksUpToDate>false</LinksUpToDate>
  <CharactersWithSpaces>6512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2024-11-21T11:08:00Z</dcterms:created>
  <dc:creator>Kingsoft-PDF</dc:creator>
  <cp:lastModifiedBy>Lenovo</cp:lastModifiedBy>
  <dcterms:modified xsi:type="dcterms:W3CDTF">2025-05-12T06:16:32Z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2024-11-21T11:08:08Z</vt:filetime>
  </property>
  <property fmtid="{D5CDD505-2E9C-101B-9397-08002B2CF9AE}" pid="4" name="UsrData">
    <vt:lpwstr>673ea414af0f66001f53bb9bwl</vt:lpwstr>
  </property>
  <property fmtid="{D5CDD505-2E9C-101B-9397-08002B2CF9AE}" pid="5" name="KSOProductBuildVer">
    <vt:lpwstr>2052-12.1.0.21171</vt:lpwstr>
  </property>
  <property fmtid="{D5CDD505-2E9C-101B-9397-08002B2CF9AE}" pid="6" name="ICV">
    <vt:lpwstr>5A4A57ED39A94D7587709FD07328EAE9_12</vt:lpwstr>
  </property>
  <property fmtid="{D5CDD505-2E9C-101B-9397-08002B2CF9AE}" pid="7" name="KSOTemplateDocerSaveRecord">
    <vt:lpwstr>eyJoZGlkIjoiZDNlM2I5MDQyYjA4MzJiNWNhM2YzNzZkMjkyZjM2MjkifQ==</vt:lpwstr>
  </property>
</Properties>
</file>