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4FC29">
      <w:pPr>
        <w:widowControl/>
        <w:spacing w:line="578" w:lineRule="exact"/>
        <w:jc w:val="left"/>
        <w:rPr>
          <w:rFonts w:ascii="仿宋_GB2312" w:hAnsi="宋体" w:cs="宋体"/>
          <w:color w:val="000000"/>
          <w:sz w:val="32"/>
          <w:szCs w:val="32"/>
        </w:rPr>
      </w:pPr>
    </w:p>
    <w:p w14:paraId="4906A454">
      <w:pPr>
        <w:spacing w:line="360" w:lineRule="auto"/>
        <w:jc w:val="center"/>
        <w:rPr>
          <w:rFonts w:ascii="宋体" w:hAnsi="宋体" w:eastAsia="宋体"/>
          <w:b/>
          <w:sz w:val="44"/>
          <w:szCs w:val="44"/>
        </w:rPr>
      </w:pPr>
      <w:bookmarkStart w:id="2" w:name="_GoBack"/>
      <w:r>
        <w:rPr>
          <w:rFonts w:hint="eastAsia" w:ascii="宋体" w:hAnsi="宋体" w:eastAsia="宋体"/>
          <w:b/>
          <w:sz w:val="44"/>
          <w:szCs w:val="44"/>
        </w:rPr>
        <w:t>保定市徐水区高</w:t>
      </w:r>
      <w:r>
        <w:rPr>
          <w:rFonts w:ascii="宋体" w:hAnsi="宋体" w:eastAsia="宋体"/>
          <w:b/>
          <w:sz w:val="44"/>
          <w:szCs w:val="44"/>
        </w:rPr>
        <w:t>林村镇</w:t>
      </w:r>
      <w:r>
        <w:rPr>
          <w:rFonts w:hint="eastAsia" w:ascii="宋体" w:hAnsi="宋体" w:eastAsia="宋体"/>
          <w:b/>
          <w:sz w:val="44"/>
          <w:szCs w:val="44"/>
        </w:rPr>
        <w:t>政</w:t>
      </w:r>
      <w:r>
        <w:rPr>
          <w:rFonts w:ascii="宋体" w:hAnsi="宋体" w:eastAsia="宋体"/>
          <w:b/>
          <w:sz w:val="44"/>
          <w:szCs w:val="44"/>
        </w:rPr>
        <w:t>府</w:t>
      </w:r>
    </w:p>
    <w:p w14:paraId="682BDE9D">
      <w:pPr>
        <w:spacing w:line="360" w:lineRule="auto"/>
        <w:jc w:val="center"/>
        <w:rPr>
          <w:rFonts w:ascii="宋体" w:hAnsi="宋体" w:eastAsia="宋体"/>
          <w:b/>
          <w:sz w:val="44"/>
          <w:szCs w:val="44"/>
        </w:rPr>
      </w:pPr>
      <w:r>
        <w:rPr>
          <w:rFonts w:hint="eastAsia" w:ascii="宋体" w:hAnsi="宋体" w:eastAsia="宋体"/>
          <w:b/>
          <w:sz w:val="44"/>
          <w:szCs w:val="44"/>
        </w:rPr>
        <w:t xml:space="preserve"> (事</w:t>
      </w:r>
      <w:r>
        <w:rPr>
          <w:rFonts w:ascii="宋体" w:hAnsi="宋体" w:eastAsia="宋体"/>
          <w:b/>
          <w:sz w:val="44"/>
          <w:szCs w:val="44"/>
        </w:rPr>
        <w:t>业</w:t>
      </w:r>
      <w:r>
        <w:rPr>
          <w:rFonts w:hint="eastAsia" w:ascii="宋体" w:hAnsi="宋体" w:eastAsia="宋体"/>
          <w:b/>
          <w:sz w:val="44"/>
          <w:szCs w:val="44"/>
        </w:rPr>
        <w:t>)</w:t>
      </w:r>
      <w:r>
        <w:rPr>
          <w:rFonts w:ascii="宋体" w:hAnsi="宋体" w:eastAsia="宋体"/>
          <w:b/>
          <w:sz w:val="44"/>
          <w:szCs w:val="44"/>
        </w:rPr>
        <w:t xml:space="preserve"> 2022年预算公开说明</w:t>
      </w:r>
    </w:p>
    <w:bookmarkEnd w:id="2"/>
    <w:p w14:paraId="0947FE56">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32E26C90">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预算法》、《地方预决算公开操作规程》等文件规定，现将我单位预算信息公开如下：</w:t>
      </w:r>
    </w:p>
    <w:p w14:paraId="066EA409">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rPr>
        <w:t>单位</w:t>
      </w:r>
      <w:r>
        <w:rPr>
          <w:rFonts w:ascii="方正小标宋_GBK" w:eastAsia="方正小标宋_GBK"/>
          <w:sz w:val="44"/>
        </w:rPr>
        <w:t>职责及机构设置情况</w:t>
      </w:r>
    </w:p>
    <w:p w14:paraId="11CF1B91">
      <w:pPr>
        <w:spacing w:line="360" w:lineRule="auto"/>
        <w:ind w:firstLine="643" w:firstLineChars="200"/>
        <w:rPr>
          <w:rFonts w:ascii="仿宋" w:hAnsi="仿宋" w:eastAsia="仿宋"/>
          <w:b/>
          <w:sz w:val="32"/>
          <w:szCs w:val="32"/>
        </w:rPr>
      </w:pPr>
      <w:r>
        <w:rPr>
          <w:rFonts w:hint="eastAsia" w:ascii="仿宋" w:hAnsi="仿宋" w:eastAsia="仿宋"/>
          <w:b/>
          <w:sz w:val="32"/>
          <w:szCs w:val="32"/>
        </w:rPr>
        <w:t>一、单位职责</w:t>
      </w:r>
    </w:p>
    <w:p w14:paraId="27701591">
      <w:pPr>
        <w:spacing w:line="500" w:lineRule="exact"/>
        <w:ind w:firstLine="480" w:firstLineChars="150"/>
        <w:jc w:val="left"/>
        <w:rPr>
          <w:rFonts w:ascii="仿宋" w:hAnsi="仿宋" w:eastAsia="仿宋"/>
          <w:sz w:val="32"/>
          <w:szCs w:val="32"/>
        </w:rPr>
      </w:pPr>
      <w:r>
        <w:rPr>
          <w:rFonts w:ascii="仿宋" w:hAnsi="仿宋" w:eastAsia="仿宋"/>
          <w:sz w:val="32"/>
          <w:szCs w:val="32"/>
        </w:rP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33A93F52">
      <w:pPr>
        <w:spacing w:line="500" w:lineRule="exact"/>
        <w:ind w:firstLine="480" w:firstLineChars="150"/>
        <w:jc w:val="left"/>
        <w:rPr>
          <w:rFonts w:ascii="仿宋" w:hAnsi="仿宋" w:eastAsia="仿宋"/>
          <w:sz w:val="32"/>
          <w:szCs w:val="32"/>
        </w:rPr>
      </w:pPr>
      <w:r>
        <w:rPr>
          <w:rFonts w:ascii="仿宋" w:hAnsi="仿宋" w:eastAsia="仿宋"/>
          <w:sz w:val="32"/>
          <w:szCs w:val="32"/>
        </w:rPr>
        <w:t>（二）加强党对基层治理的全面领导，统筹抓好基层党建工作和基层党组织各项制度建设。推进全面从严治党，强化“两个责任”，确保党的路线方针政策在基层得到全面贯彻落实。</w:t>
      </w:r>
    </w:p>
    <w:p w14:paraId="1E1D4BB4">
      <w:pPr>
        <w:spacing w:line="500" w:lineRule="exact"/>
        <w:ind w:firstLine="480" w:firstLineChars="150"/>
        <w:jc w:val="left"/>
        <w:rPr>
          <w:rFonts w:ascii="仿宋" w:hAnsi="仿宋" w:eastAsia="仿宋"/>
          <w:sz w:val="32"/>
          <w:szCs w:val="32"/>
        </w:rPr>
      </w:pPr>
      <w:r>
        <w:rPr>
          <w:rFonts w:ascii="仿宋" w:hAnsi="仿宋" w:eastAsia="仿宋"/>
          <w:sz w:val="32"/>
          <w:szCs w:val="32"/>
        </w:rPr>
        <w:t>（三）讨论和决定本乡镇经济建设、政治建设、文化建设、社会建设、生态文明建设和党的建设以及乡村振兴中的重大问题。</w:t>
      </w:r>
    </w:p>
    <w:p w14:paraId="6B810B61">
      <w:pPr>
        <w:spacing w:line="500" w:lineRule="exact"/>
        <w:ind w:firstLine="480" w:firstLineChars="150"/>
        <w:jc w:val="left"/>
        <w:rPr>
          <w:rFonts w:ascii="仿宋" w:hAnsi="仿宋" w:eastAsia="仿宋"/>
          <w:sz w:val="32"/>
          <w:szCs w:val="32"/>
        </w:rPr>
      </w:pPr>
      <w:r>
        <w:rPr>
          <w:rFonts w:ascii="仿宋" w:hAnsi="仿宋" w:eastAsia="仿宋"/>
          <w:sz w:val="32"/>
          <w:szCs w:val="32"/>
        </w:rPr>
        <w:t>（四）组织召开本级人民代表大会，充分行使重大事项决定权、监督权和任免权，做好人大代表工作，联系选民、反映群众意见和要求。</w:t>
      </w:r>
    </w:p>
    <w:p w14:paraId="642A62B4">
      <w:pPr>
        <w:spacing w:line="500" w:lineRule="exact"/>
        <w:ind w:firstLine="480" w:firstLineChars="150"/>
        <w:jc w:val="left"/>
        <w:rPr>
          <w:rFonts w:ascii="仿宋" w:hAnsi="仿宋" w:eastAsia="仿宋"/>
          <w:sz w:val="32"/>
          <w:szCs w:val="32"/>
        </w:rPr>
      </w:pPr>
      <w:r>
        <w:rPr>
          <w:rFonts w:ascii="仿宋" w:hAnsi="仿宋" w:eastAsia="仿宋"/>
          <w:sz w:val="32"/>
          <w:szCs w:val="32"/>
        </w:rP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058B0079">
      <w:pPr>
        <w:spacing w:line="500" w:lineRule="exact"/>
        <w:ind w:firstLine="320" w:firstLineChars="100"/>
        <w:jc w:val="left"/>
        <w:rPr>
          <w:rFonts w:ascii="仿宋" w:hAnsi="仿宋" w:eastAsia="仿宋"/>
          <w:sz w:val="32"/>
          <w:szCs w:val="32"/>
        </w:rPr>
      </w:pPr>
      <w:r>
        <w:rPr>
          <w:rFonts w:ascii="仿宋" w:hAnsi="仿宋" w:eastAsia="仿宋"/>
          <w:sz w:val="32"/>
          <w:szCs w:val="32"/>
        </w:rP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67DD1663">
      <w:pPr>
        <w:spacing w:line="500" w:lineRule="exact"/>
        <w:ind w:firstLine="160" w:firstLineChars="50"/>
        <w:jc w:val="left"/>
        <w:rPr>
          <w:rFonts w:ascii="仿宋" w:hAnsi="仿宋" w:eastAsia="仿宋"/>
          <w:sz w:val="32"/>
          <w:szCs w:val="32"/>
        </w:rPr>
      </w:pPr>
      <w:r>
        <w:rPr>
          <w:rFonts w:ascii="仿宋" w:hAnsi="仿宋" w:eastAsia="仿宋"/>
          <w:sz w:val="32"/>
          <w:szCs w:val="32"/>
        </w:rP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4B5EC066">
      <w:pPr>
        <w:spacing w:line="500" w:lineRule="exact"/>
        <w:ind w:firstLine="160" w:firstLineChars="50"/>
        <w:jc w:val="left"/>
        <w:rPr>
          <w:rFonts w:ascii="仿宋" w:hAnsi="仿宋" w:eastAsia="仿宋"/>
          <w:sz w:val="32"/>
          <w:szCs w:val="32"/>
        </w:rPr>
      </w:pPr>
      <w:r>
        <w:rPr>
          <w:rFonts w:ascii="仿宋" w:hAnsi="仿宋" w:eastAsia="仿宋"/>
          <w:sz w:val="32"/>
          <w:szCs w:val="32"/>
        </w:rPr>
        <w:t>（八）加强乡镇党委自身建设和村党组织建设，以及其他录属乡镇党委的党组织建设，抓好发展党员工作，加强党员队伍建设。维护和执行党的纪律，监督党员干部和其他任何工作人员严格遵守国家法律法规。</w:t>
      </w:r>
    </w:p>
    <w:p w14:paraId="6AEF7198">
      <w:pPr>
        <w:spacing w:line="500" w:lineRule="exact"/>
        <w:ind w:firstLine="160" w:firstLineChars="50"/>
        <w:jc w:val="left"/>
        <w:rPr>
          <w:rFonts w:ascii="仿宋" w:hAnsi="仿宋" w:eastAsia="仿宋"/>
          <w:sz w:val="32"/>
          <w:szCs w:val="32"/>
        </w:rPr>
      </w:pPr>
      <w:r>
        <w:rPr>
          <w:rFonts w:ascii="仿宋" w:hAnsi="仿宋" w:eastAsia="仿宋"/>
          <w:sz w:val="32"/>
          <w:szCs w:val="32"/>
        </w:rPr>
        <w:t>（九）按照干部管理权限，负责对干部的教育、培训、选拔、考核和监督工作。协助管理上级有关部门驻乡镇单位的干部。做好人才服务工作。</w:t>
      </w:r>
    </w:p>
    <w:p w14:paraId="2F1B2661">
      <w:pPr>
        <w:spacing w:line="500" w:lineRule="exact"/>
        <w:ind w:firstLine="160" w:firstLineChars="50"/>
        <w:jc w:val="left"/>
        <w:rPr>
          <w:rFonts w:ascii="仿宋" w:hAnsi="仿宋" w:eastAsia="仿宋"/>
          <w:sz w:val="32"/>
          <w:szCs w:val="32"/>
        </w:rPr>
      </w:pPr>
      <w:r>
        <w:rPr>
          <w:rFonts w:ascii="仿宋" w:hAnsi="仿宋" w:eastAsia="仿宋"/>
          <w:sz w:val="32"/>
          <w:szCs w:val="32"/>
        </w:rP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63A79A66">
      <w:pPr>
        <w:spacing w:line="500" w:lineRule="exact"/>
        <w:ind w:firstLine="160" w:firstLineChars="50"/>
        <w:jc w:val="left"/>
        <w:rPr>
          <w:rFonts w:ascii="仿宋" w:hAnsi="仿宋" w:eastAsia="仿宋"/>
          <w:sz w:val="32"/>
          <w:szCs w:val="32"/>
        </w:rPr>
      </w:pPr>
      <w:r>
        <w:rPr>
          <w:rFonts w:ascii="仿宋" w:hAnsi="仿宋" w:eastAsia="仿宋"/>
          <w:sz w:val="32"/>
          <w:szCs w:val="32"/>
        </w:rP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4C16AA87">
      <w:pPr>
        <w:spacing w:line="500" w:lineRule="exact"/>
        <w:ind w:firstLine="160" w:firstLineChars="50"/>
        <w:jc w:val="left"/>
        <w:rPr>
          <w:rFonts w:ascii="仿宋" w:hAnsi="仿宋" w:eastAsia="仿宋"/>
          <w:b/>
          <w:sz w:val="32"/>
          <w:szCs w:val="32"/>
        </w:rPr>
      </w:pPr>
      <w:r>
        <w:rPr>
          <w:rFonts w:ascii="仿宋" w:hAnsi="仿宋" w:eastAsia="仿宋"/>
          <w:sz w:val="32"/>
          <w:szCs w:val="32"/>
        </w:rPr>
        <w:t>（十二）承办上级党委、人大、政府交办的其他事项</w:t>
      </w:r>
      <w:r>
        <w:rPr>
          <w:rFonts w:ascii="仿宋" w:hAnsi="仿宋" w:eastAsia="仿宋"/>
          <w:b/>
          <w:sz w:val="32"/>
          <w:szCs w:val="32"/>
        </w:rPr>
        <w:t>。</w:t>
      </w:r>
    </w:p>
    <w:p w14:paraId="5B1D5D1B">
      <w:pPr>
        <w:spacing w:line="360" w:lineRule="auto"/>
        <w:ind w:firstLine="640" w:firstLineChars="200"/>
        <w:rPr>
          <w:rFonts w:ascii="仿宋" w:hAnsi="仿宋" w:eastAsia="仿宋"/>
          <w:sz w:val="32"/>
          <w:szCs w:val="32"/>
        </w:rPr>
      </w:pPr>
    </w:p>
    <w:p w14:paraId="37D6CA59">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8"/>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7F427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3D623B3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706DDD3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23F35F1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7567295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12913D7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5DF13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1542717">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716A8287">
            <w:pPr>
              <w:jc w:val="center"/>
              <w:rPr>
                <w:rFonts w:ascii="仿宋_GB2312" w:hAnsi="仿宋" w:eastAsia="仿宋_GB2312"/>
                <w:bCs/>
                <w:sz w:val="24"/>
                <w:szCs w:val="24"/>
              </w:rPr>
            </w:pPr>
            <w:r>
              <w:rPr>
                <w:rFonts w:hint="eastAsia" w:ascii="仿宋_GB2312" w:hAnsi="仿宋" w:eastAsia="仿宋_GB2312"/>
                <w:bCs/>
                <w:sz w:val="24"/>
                <w:szCs w:val="24"/>
              </w:rPr>
              <w:t>高</w:t>
            </w:r>
            <w:r>
              <w:rPr>
                <w:rFonts w:ascii="仿宋_GB2312" w:hAnsi="仿宋" w:eastAsia="仿宋_GB2312"/>
                <w:bCs/>
                <w:sz w:val="24"/>
                <w:szCs w:val="24"/>
              </w:rPr>
              <w:t>林村镇（</w:t>
            </w:r>
            <w:r>
              <w:rPr>
                <w:rFonts w:hint="eastAsia" w:ascii="仿宋_GB2312" w:hAnsi="仿宋" w:eastAsia="仿宋_GB2312"/>
                <w:bCs/>
                <w:sz w:val="24"/>
                <w:szCs w:val="24"/>
              </w:rPr>
              <w:t>事业</w:t>
            </w:r>
            <w:r>
              <w:rPr>
                <w:rFonts w:ascii="仿宋_GB2312" w:hAnsi="仿宋" w:eastAsia="仿宋_GB2312"/>
                <w:bCs/>
                <w:sz w:val="24"/>
                <w:szCs w:val="24"/>
              </w:rPr>
              <w:t>）</w:t>
            </w:r>
          </w:p>
        </w:tc>
        <w:tc>
          <w:tcPr>
            <w:tcW w:w="1701" w:type="dxa"/>
            <w:vAlign w:val="center"/>
          </w:tcPr>
          <w:p w14:paraId="7B02F981">
            <w:pPr>
              <w:jc w:val="center"/>
              <w:rPr>
                <w:rFonts w:ascii="仿宋_GB2312" w:hAnsi="仿宋" w:eastAsia="仿宋_GB2312"/>
                <w:bCs/>
                <w:sz w:val="24"/>
                <w:szCs w:val="24"/>
              </w:rPr>
            </w:pPr>
            <w:r>
              <w:rPr>
                <w:rFonts w:hint="eastAsia" w:ascii="仿宋_GB2312" w:hAnsi="仿宋" w:eastAsia="仿宋_GB2312"/>
                <w:bCs/>
                <w:sz w:val="24"/>
                <w:szCs w:val="24"/>
              </w:rPr>
              <w:t>事</w:t>
            </w:r>
            <w:r>
              <w:rPr>
                <w:rFonts w:ascii="仿宋_GB2312" w:hAnsi="仿宋" w:eastAsia="仿宋_GB2312"/>
                <w:bCs/>
                <w:sz w:val="24"/>
                <w:szCs w:val="24"/>
              </w:rPr>
              <w:t>业</w:t>
            </w:r>
          </w:p>
        </w:tc>
        <w:tc>
          <w:tcPr>
            <w:tcW w:w="1418" w:type="dxa"/>
            <w:vAlign w:val="center"/>
          </w:tcPr>
          <w:p w14:paraId="657B011D">
            <w:pPr>
              <w:jc w:val="center"/>
              <w:rPr>
                <w:rFonts w:ascii="仿宋_GB2312" w:hAnsi="仿宋" w:eastAsia="仿宋_GB2312"/>
                <w:bCs/>
                <w:sz w:val="24"/>
                <w:szCs w:val="24"/>
              </w:rPr>
            </w:pPr>
            <w:r>
              <w:rPr>
                <w:rFonts w:hint="eastAsia" w:ascii="仿宋_GB2312" w:hAnsi="仿宋" w:eastAsia="仿宋_GB2312"/>
                <w:bCs/>
                <w:sz w:val="24"/>
                <w:szCs w:val="24"/>
              </w:rPr>
              <w:t>正</w:t>
            </w:r>
            <w:r>
              <w:rPr>
                <w:rFonts w:ascii="仿宋_GB2312" w:hAnsi="仿宋" w:eastAsia="仿宋_GB2312"/>
                <w:bCs/>
                <w:sz w:val="24"/>
                <w:szCs w:val="24"/>
              </w:rPr>
              <w:t>科级</w:t>
            </w:r>
          </w:p>
        </w:tc>
        <w:tc>
          <w:tcPr>
            <w:tcW w:w="3260" w:type="dxa"/>
            <w:vAlign w:val="center"/>
          </w:tcPr>
          <w:p w14:paraId="61A160C1">
            <w:pPr>
              <w:jc w:val="center"/>
              <w:rPr>
                <w:rFonts w:ascii="仿宋_GB2312" w:hAnsi="仿宋" w:eastAsia="仿宋_GB2312"/>
                <w:bCs/>
                <w:sz w:val="24"/>
                <w:szCs w:val="24"/>
              </w:rPr>
            </w:pPr>
            <w:r>
              <w:rPr>
                <w:rFonts w:hint="eastAsia" w:ascii="仿宋_GB2312" w:hAnsi="仿宋" w:eastAsia="仿宋_GB2312"/>
                <w:bCs/>
                <w:sz w:val="24"/>
                <w:szCs w:val="24"/>
              </w:rPr>
              <w:t>财政性</w:t>
            </w:r>
            <w:r>
              <w:rPr>
                <w:rFonts w:ascii="仿宋_GB2312" w:hAnsi="仿宋" w:eastAsia="仿宋_GB2312"/>
                <w:bCs/>
                <w:sz w:val="24"/>
                <w:szCs w:val="24"/>
              </w:rPr>
              <w:t>资金基本保障</w:t>
            </w:r>
          </w:p>
        </w:tc>
      </w:tr>
    </w:tbl>
    <w:p w14:paraId="208F676C">
      <w:pPr>
        <w:spacing w:line="360" w:lineRule="auto"/>
        <w:rPr>
          <w:rFonts w:ascii="仿宋" w:hAnsi="仿宋" w:eastAsia="仿宋"/>
          <w:b/>
          <w:sz w:val="32"/>
          <w:szCs w:val="32"/>
        </w:rPr>
      </w:pPr>
    </w:p>
    <w:p w14:paraId="517FD3BD">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r>
        <w:rPr>
          <w:rFonts w:ascii="方正小标宋_GBK" w:eastAsia="方正小标宋_GBK"/>
          <w:sz w:val="44"/>
        </w:rPr>
        <w:t xml:space="preserve"> </w:t>
      </w:r>
    </w:p>
    <w:p w14:paraId="5676B31E">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w:t>
      </w:r>
    </w:p>
    <w:p w14:paraId="7CAFF126">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21F17976">
      <w:pPr>
        <w:spacing w:line="360" w:lineRule="auto"/>
        <w:ind w:firstLine="640" w:firstLineChars="200"/>
        <w:rPr>
          <w:rFonts w:ascii="仿宋" w:hAnsi="仿宋" w:eastAsia="仿宋"/>
          <w:sz w:val="32"/>
          <w:szCs w:val="32"/>
        </w:rPr>
      </w:pPr>
      <w:r>
        <w:rPr>
          <w:rFonts w:ascii="仿宋" w:hAnsi="仿宋" w:eastAsia="仿宋"/>
          <w:sz w:val="32"/>
          <w:szCs w:val="32"/>
        </w:rPr>
        <w:t>2022年预算收入为1302.18万元,其中：一般公共预算收入1302.18万元，基金预算收入0万元，财政专户收入0万元，其他来源收入0万元。</w:t>
      </w:r>
    </w:p>
    <w:p w14:paraId="0F8712A2">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092B86BA">
      <w:pPr>
        <w:spacing w:line="360" w:lineRule="auto"/>
        <w:ind w:firstLine="640" w:firstLineChars="200"/>
        <w:rPr>
          <w:rFonts w:ascii="仿宋" w:hAnsi="仿宋" w:eastAsia="仿宋"/>
          <w:sz w:val="32"/>
          <w:szCs w:val="32"/>
        </w:rPr>
      </w:pPr>
      <w:r>
        <w:rPr>
          <w:rFonts w:ascii="仿宋" w:hAnsi="仿宋" w:eastAsia="仿宋"/>
          <w:sz w:val="32"/>
          <w:szCs w:val="32"/>
        </w:rPr>
        <w:t>2022年</w:t>
      </w:r>
      <w:r>
        <w:rPr>
          <w:rFonts w:hint="eastAsia" w:ascii="仿宋" w:hAnsi="仿宋" w:eastAsia="仿宋"/>
          <w:sz w:val="32"/>
          <w:szCs w:val="32"/>
        </w:rPr>
        <w:t>我单位</w:t>
      </w:r>
      <w:r>
        <w:rPr>
          <w:rFonts w:ascii="仿宋" w:hAnsi="仿宋" w:eastAsia="仿宋"/>
          <w:sz w:val="32"/>
          <w:szCs w:val="32"/>
        </w:rPr>
        <w:t>支出预算1302.18万元</w:t>
      </w:r>
    </w:p>
    <w:p w14:paraId="7BDA5953">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基本支出1302.18万元</w:t>
      </w:r>
    </w:p>
    <w:p w14:paraId="14C009A0">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其中：人员经费1259.57万元</w:t>
      </w:r>
    </w:p>
    <w:p w14:paraId="748AD35F">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日常公用经费42.61万元</w:t>
      </w:r>
    </w:p>
    <w:p w14:paraId="147BA03E">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0万元</w:t>
      </w:r>
    </w:p>
    <w:p w14:paraId="4EF9D41E">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其中：本级支出0万元</w:t>
      </w:r>
    </w:p>
    <w:p w14:paraId="36AA0887">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3827F4F2">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本年度预算收支安排1302.18万元，较上年增加</w:t>
      </w:r>
      <w:r>
        <w:rPr>
          <w:rFonts w:ascii="仿宋" w:hAnsi="仿宋" w:eastAsia="仿宋"/>
          <w:sz w:val="32"/>
          <w:szCs w:val="32"/>
        </w:rPr>
        <w:t>371.16万元。其中:基本支出增加</w:t>
      </w:r>
      <w:r>
        <w:rPr>
          <w:rFonts w:hint="eastAsia" w:ascii="仿宋" w:hAnsi="仿宋" w:eastAsia="仿宋"/>
          <w:sz w:val="32"/>
          <w:szCs w:val="32"/>
        </w:rPr>
        <w:t>371.16</w:t>
      </w:r>
      <w:r>
        <w:rPr>
          <w:rFonts w:ascii="仿宋" w:hAnsi="仿宋" w:eastAsia="仿宋"/>
          <w:sz w:val="32"/>
          <w:szCs w:val="32"/>
        </w:rPr>
        <w:t>万元，主要原因是</w:t>
      </w:r>
      <w:r>
        <w:rPr>
          <w:rFonts w:hint="eastAsia" w:ascii="仿宋" w:hAnsi="仿宋" w:eastAsia="仿宋"/>
          <w:sz w:val="32"/>
          <w:szCs w:val="32"/>
        </w:rPr>
        <w:t>人员</w:t>
      </w:r>
      <w:r>
        <w:rPr>
          <w:rFonts w:ascii="仿宋" w:hAnsi="仿宋" w:eastAsia="仿宋"/>
          <w:sz w:val="32"/>
          <w:szCs w:val="32"/>
        </w:rPr>
        <w:t>经费</w:t>
      </w:r>
      <w:r>
        <w:rPr>
          <w:rFonts w:hint="eastAsia" w:ascii="仿宋" w:hAnsi="仿宋" w:eastAsia="仿宋"/>
          <w:sz w:val="32"/>
          <w:szCs w:val="32"/>
        </w:rPr>
        <w:t>增</w:t>
      </w:r>
      <w:r>
        <w:rPr>
          <w:rFonts w:ascii="仿宋" w:hAnsi="仿宋" w:eastAsia="仿宋"/>
          <w:sz w:val="32"/>
          <w:szCs w:val="32"/>
        </w:rPr>
        <w:t>加；项目支出</w:t>
      </w:r>
      <w:r>
        <w:rPr>
          <w:rFonts w:hint="eastAsia" w:ascii="仿宋" w:hAnsi="仿宋" w:eastAsia="仿宋"/>
          <w:sz w:val="32"/>
          <w:szCs w:val="32"/>
        </w:rPr>
        <w:t>0</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 xml:space="preserve"> </w:t>
      </w:r>
    </w:p>
    <w:p w14:paraId="521A6B6C">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3011AA5F">
      <w:pPr>
        <w:spacing w:line="360" w:lineRule="auto"/>
        <w:ind w:firstLine="640" w:firstLineChars="200"/>
        <w:rPr>
          <w:rFonts w:ascii="仿宋" w:hAnsi="仿宋" w:eastAsia="仿宋"/>
          <w:b/>
          <w:sz w:val="32"/>
          <w:szCs w:val="32"/>
        </w:rPr>
      </w:pPr>
      <w:r>
        <w:rPr>
          <w:rFonts w:ascii="仿宋" w:hAnsi="仿宋" w:eastAsia="仿宋"/>
          <w:sz w:val="32"/>
          <w:szCs w:val="32"/>
        </w:rPr>
        <w:t>2022年我</w:t>
      </w:r>
      <w:r>
        <w:rPr>
          <w:rFonts w:hint="eastAsia" w:ascii="仿宋" w:hAnsi="仿宋" w:eastAsia="仿宋"/>
          <w:sz w:val="32"/>
          <w:szCs w:val="32"/>
        </w:rPr>
        <w:t>单位</w:t>
      </w:r>
      <w:r>
        <w:rPr>
          <w:rFonts w:ascii="仿宋" w:hAnsi="仿宋" w:eastAsia="仿宋"/>
          <w:sz w:val="32"/>
          <w:szCs w:val="32"/>
        </w:rPr>
        <w:t>机关运行经费安排42.61万元，其中办公费24.62万元，邮电费0.86万元，工会经费</w:t>
      </w:r>
      <w:r>
        <w:rPr>
          <w:rFonts w:hint="eastAsia" w:ascii="仿宋" w:hAnsi="仿宋" w:eastAsia="仿宋"/>
          <w:sz w:val="32"/>
          <w:szCs w:val="32"/>
        </w:rPr>
        <w:t>9.82万</w:t>
      </w:r>
      <w:r>
        <w:rPr>
          <w:rFonts w:ascii="仿宋" w:hAnsi="仿宋" w:eastAsia="仿宋"/>
          <w:sz w:val="32"/>
          <w:szCs w:val="32"/>
        </w:rPr>
        <w:t>元、福利费6.57万元，其他支出0.74万元。</w:t>
      </w:r>
    </w:p>
    <w:p w14:paraId="2C014582">
      <w:pPr>
        <w:spacing w:line="360" w:lineRule="auto"/>
        <w:jc w:val="center"/>
        <w:rPr>
          <w:rFonts w:ascii="黑体" w:hAnsi="黑体" w:eastAsia="黑体" w:cs="Times New Roman"/>
          <w:sz w:val="32"/>
          <w:szCs w:val="32"/>
        </w:rPr>
      </w:pPr>
    </w:p>
    <w:p w14:paraId="6CF8FF3A">
      <w:pPr>
        <w:spacing w:line="360" w:lineRule="auto"/>
        <w:jc w:val="center"/>
        <w:rPr>
          <w:rFonts w:ascii="黑体" w:hAnsi="黑体" w:eastAsia="黑体" w:cs="Times New Roman"/>
          <w:sz w:val="32"/>
          <w:szCs w:val="32"/>
        </w:rPr>
      </w:pPr>
    </w:p>
    <w:p w14:paraId="0A656FC7">
      <w:pPr>
        <w:jc w:val="center"/>
        <w:outlineLvl w:val="0"/>
        <w:rPr>
          <w:rFonts w:ascii="方正小标宋_GBK" w:eastAsia="方正小标宋_GBK"/>
          <w:sz w:val="44"/>
        </w:rPr>
      </w:pPr>
    </w:p>
    <w:p w14:paraId="5F96C202">
      <w:pPr>
        <w:jc w:val="center"/>
        <w:outlineLvl w:val="0"/>
        <w:rPr>
          <w:rFonts w:hint="eastAsia" w:ascii="方正小标宋_GBK" w:eastAsia="方正小标宋_GBK"/>
          <w:sz w:val="44"/>
          <w:lang w:val="en-US" w:eastAsia="zh-CN"/>
        </w:rPr>
      </w:pPr>
      <w:r>
        <w:rPr>
          <w:rFonts w:hint="eastAsia" w:ascii="方正小标宋_GBK" w:eastAsia="方正小标宋_GBK"/>
          <w:sz w:val="44"/>
        </w:rPr>
        <w:t>第四部分：财政拨款“三公”经费预算情况及增减变化原因</w:t>
      </w:r>
      <w:r>
        <w:rPr>
          <w:rFonts w:hint="eastAsia" w:ascii="方正小标宋_GBK" w:eastAsia="方正小标宋_GBK"/>
          <w:sz w:val="44"/>
          <w:lang w:val="en-US" w:eastAsia="zh-CN"/>
        </w:rPr>
        <w:t>情况</w:t>
      </w:r>
    </w:p>
    <w:tbl>
      <w:tblPr>
        <w:tblStyle w:val="8"/>
        <w:tblW w:w="5000" w:type="pct"/>
        <w:tblInd w:w="0" w:type="dxa"/>
        <w:tblLayout w:type="autofit"/>
        <w:tblCellMar>
          <w:top w:w="0" w:type="dxa"/>
          <w:left w:w="108" w:type="dxa"/>
          <w:bottom w:w="0" w:type="dxa"/>
          <w:right w:w="108" w:type="dxa"/>
        </w:tblCellMar>
      </w:tblPr>
      <w:tblGrid>
        <w:gridCol w:w="9515"/>
      </w:tblGrid>
      <w:tr w14:paraId="3A86C0B3">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8"/>
              <w:tblW w:w="0" w:type="auto"/>
              <w:jc w:val="center"/>
              <w:tblLayout w:type="autofit"/>
              <w:tblCellMar>
                <w:top w:w="0" w:type="dxa"/>
                <w:left w:w="108" w:type="dxa"/>
                <w:bottom w:w="0" w:type="dxa"/>
                <w:right w:w="108" w:type="dxa"/>
              </w:tblCellMar>
            </w:tblPr>
            <w:tblGrid>
              <w:gridCol w:w="2163"/>
              <w:gridCol w:w="1276"/>
              <w:gridCol w:w="1418"/>
              <w:gridCol w:w="1206"/>
              <w:gridCol w:w="2027"/>
            </w:tblGrid>
            <w:tr w14:paraId="51062A75">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64C6436A">
                  <w:pPr>
                    <w:spacing w:line="360" w:lineRule="auto"/>
                    <w:rPr>
                      <w:rFonts w:ascii="黑体" w:hAnsi="黑体" w:eastAsia="黑体" w:cs="宋体"/>
                      <w:kern w:val="0"/>
                      <w:sz w:val="32"/>
                      <w:szCs w:val="32"/>
                    </w:rPr>
                  </w:pPr>
                </w:p>
              </w:tc>
            </w:tr>
            <w:tr w14:paraId="035507EC">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7B87B610">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49805044">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2DB79FDB">
                  <w:pPr>
                    <w:widowControl/>
                    <w:jc w:val="left"/>
                    <w:rPr>
                      <w:rFonts w:ascii="宋体" w:hAnsi="宋体" w:cs="宋体"/>
                      <w:kern w:val="0"/>
                      <w:sz w:val="24"/>
                      <w:szCs w:val="24"/>
                    </w:rPr>
                  </w:pPr>
                </w:p>
              </w:tc>
              <w:tc>
                <w:tcPr>
                  <w:tcW w:w="1206" w:type="dxa"/>
                  <w:tcBorders>
                    <w:top w:val="nil"/>
                    <w:left w:val="nil"/>
                    <w:bottom w:val="nil"/>
                    <w:right w:val="nil"/>
                  </w:tcBorders>
                  <w:vAlign w:val="center"/>
                </w:tcPr>
                <w:p w14:paraId="6AC4304E">
                  <w:pPr>
                    <w:widowControl/>
                    <w:jc w:val="left"/>
                    <w:rPr>
                      <w:rFonts w:ascii="宋体" w:hAnsi="宋体" w:cs="宋体"/>
                      <w:kern w:val="0"/>
                      <w:sz w:val="24"/>
                      <w:szCs w:val="24"/>
                    </w:rPr>
                  </w:pPr>
                </w:p>
              </w:tc>
              <w:tc>
                <w:tcPr>
                  <w:tcW w:w="2027" w:type="dxa"/>
                  <w:tcBorders>
                    <w:top w:val="nil"/>
                    <w:left w:val="nil"/>
                    <w:bottom w:val="nil"/>
                    <w:right w:val="nil"/>
                  </w:tcBorders>
                  <w:vAlign w:val="center"/>
                </w:tcPr>
                <w:p w14:paraId="54607C00">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117B0264">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0428CE72">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1F407F8F">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5FE5E0CF">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1206" w:type="dxa"/>
                  <w:tcBorders>
                    <w:top w:val="single" w:color="auto" w:sz="4" w:space="0"/>
                    <w:left w:val="nil"/>
                    <w:bottom w:val="single" w:color="auto" w:sz="4" w:space="0"/>
                    <w:right w:val="single" w:color="auto" w:sz="4" w:space="0"/>
                  </w:tcBorders>
                  <w:vAlign w:val="center"/>
                </w:tcPr>
                <w:p w14:paraId="495A9449">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027" w:type="dxa"/>
                  <w:tcBorders>
                    <w:top w:val="single" w:color="auto" w:sz="4" w:space="0"/>
                    <w:left w:val="nil"/>
                    <w:bottom w:val="single" w:color="auto" w:sz="4" w:space="0"/>
                    <w:right w:val="single" w:color="auto" w:sz="4" w:space="0"/>
                  </w:tcBorders>
                  <w:vAlign w:val="center"/>
                </w:tcPr>
                <w:p w14:paraId="2B8D307B">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2146498A">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0228BBC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165B93DC">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6084BF4C">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206" w:type="dxa"/>
                  <w:tcBorders>
                    <w:top w:val="nil"/>
                    <w:left w:val="nil"/>
                    <w:bottom w:val="single" w:color="auto" w:sz="4" w:space="0"/>
                    <w:right w:val="single" w:color="auto" w:sz="4" w:space="0"/>
                  </w:tcBorders>
                  <w:vAlign w:val="center"/>
                </w:tcPr>
                <w:p w14:paraId="3FD6E46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027" w:type="dxa"/>
                  <w:tcBorders>
                    <w:top w:val="nil"/>
                    <w:left w:val="nil"/>
                    <w:bottom w:val="single" w:color="auto" w:sz="4" w:space="0"/>
                    <w:right w:val="single" w:color="auto" w:sz="4" w:space="0"/>
                  </w:tcBorders>
                  <w:vAlign w:val="center"/>
                </w:tcPr>
                <w:p w14:paraId="3B934430">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5533FE01">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7F8192A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07515B09">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4C37E6C9">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206" w:type="dxa"/>
                  <w:tcBorders>
                    <w:top w:val="nil"/>
                    <w:left w:val="nil"/>
                    <w:bottom w:val="single" w:color="auto" w:sz="4" w:space="0"/>
                    <w:right w:val="single" w:color="auto" w:sz="4" w:space="0"/>
                  </w:tcBorders>
                  <w:vAlign w:val="center"/>
                </w:tcPr>
                <w:p w14:paraId="3C78207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027" w:type="dxa"/>
                  <w:tcBorders>
                    <w:top w:val="nil"/>
                    <w:left w:val="nil"/>
                    <w:bottom w:val="single" w:color="auto" w:sz="4" w:space="0"/>
                    <w:right w:val="single" w:color="auto" w:sz="4" w:space="0"/>
                  </w:tcBorders>
                  <w:vAlign w:val="center"/>
                </w:tcPr>
                <w:p w14:paraId="5BC2316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4D200B83">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1A6E254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2ADE17AD">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67BE562C">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206" w:type="dxa"/>
                  <w:tcBorders>
                    <w:top w:val="nil"/>
                    <w:left w:val="nil"/>
                    <w:bottom w:val="single" w:color="auto" w:sz="4" w:space="0"/>
                    <w:right w:val="single" w:color="auto" w:sz="4" w:space="0"/>
                  </w:tcBorders>
                  <w:vAlign w:val="center"/>
                </w:tcPr>
                <w:p w14:paraId="4932ADF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027" w:type="dxa"/>
                  <w:tcBorders>
                    <w:top w:val="nil"/>
                    <w:left w:val="nil"/>
                    <w:bottom w:val="single" w:color="auto" w:sz="4" w:space="0"/>
                    <w:right w:val="single" w:color="auto" w:sz="4" w:space="0"/>
                  </w:tcBorders>
                  <w:vAlign w:val="center"/>
                </w:tcPr>
                <w:p w14:paraId="2410687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2C19E912">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0C7B240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7040E719">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7C25DD9F">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206" w:type="dxa"/>
                  <w:tcBorders>
                    <w:top w:val="nil"/>
                    <w:left w:val="nil"/>
                    <w:bottom w:val="single" w:color="auto" w:sz="4" w:space="0"/>
                    <w:right w:val="single" w:color="auto" w:sz="4" w:space="0"/>
                  </w:tcBorders>
                  <w:vAlign w:val="center"/>
                </w:tcPr>
                <w:p w14:paraId="1C502CA0">
                  <w:pPr>
                    <w:widowControl/>
                    <w:ind w:firstLine="360" w:firstLineChars="150"/>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w:t>
                  </w:r>
                </w:p>
              </w:tc>
              <w:tc>
                <w:tcPr>
                  <w:tcW w:w="2027" w:type="dxa"/>
                  <w:tcBorders>
                    <w:top w:val="nil"/>
                    <w:left w:val="nil"/>
                    <w:bottom w:val="single" w:color="auto" w:sz="4" w:space="0"/>
                    <w:right w:val="single" w:color="auto" w:sz="4" w:space="0"/>
                  </w:tcBorders>
                  <w:vAlign w:val="center"/>
                </w:tcPr>
                <w:p w14:paraId="7659A16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59F37F82">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56D7646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11259F0B">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34ED56D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206" w:type="dxa"/>
                  <w:tcBorders>
                    <w:top w:val="nil"/>
                    <w:left w:val="nil"/>
                    <w:bottom w:val="single" w:color="auto" w:sz="4" w:space="0"/>
                    <w:right w:val="single" w:color="auto" w:sz="4" w:space="0"/>
                  </w:tcBorders>
                  <w:vAlign w:val="center"/>
                </w:tcPr>
                <w:p w14:paraId="4E2A34E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027" w:type="dxa"/>
                  <w:tcBorders>
                    <w:top w:val="nil"/>
                    <w:left w:val="nil"/>
                    <w:bottom w:val="single" w:color="auto" w:sz="4" w:space="0"/>
                    <w:right w:val="single" w:color="auto" w:sz="4" w:space="0"/>
                  </w:tcBorders>
                  <w:vAlign w:val="center"/>
                </w:tcPr>
                <w:p w14:paraId="46B9B67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3AF59B68">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4F8E3106">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33E09374">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6029CB2C">
                  <w:pPr>
                    <w:widowControl/>
                    <w:jc w:val="left"/>
                    <w:rPr>
                      <w:rFonts w:ascii="宋体" w:hAnsi="宋体" w:cs="宋体"/>
                      <w:kern w:val="0"/>
                      <w:sz w:val="24"/>
                      <w:szCs w:val="24"/>
                    </w:rPr>
                  </w:pPr>
                </w:p>
              </w:tc>
              <w:tc>
                <w:tcPr>
                  <w:tcW w:w="1206" w:type="dxa"/>
                  <w:tcBorders>
                    <w:top w:val="nil"/>
                    <w:left w:val="nil"/>
                    <w:bottom w:val="nil"/>
                    <w:right w:val="nil"/>
                  </w:tcBorders>
                  <w:vAlign w:val="center"/>
                </w:tcPr>
                <w:p w14:paraId="07DE785D">
                  <w:pPr>
                    <w:widowControl/>
                    <w:jc w:val="left"/>
                    <w:rPr>
                      <w:rFonts w:ascii="宋体" w:hAnsi="宋体" w:cs="宋体"/>
                      <w:kern w:val="0"/>
                      <w:sz w:val="24"/>
                      <w:szCs w:val="24"/>
                    </w:rPr>
                  </w:pPr>
                </w:p>
              </w:tc>
              <w:tc>
                <w:tcPr>
                  <w:tcW w:w="2027" w:type="dxa"/>
                  <w:tcBorders>
                    <w:top w:val="nil"/>
                    <w:left w:val="nil"/>
                    <w:bottom w:val="nil"/>
                    <w:right w:val="nil"/>
                  </w:tcBorders>
                  <w:vAlign w:val="center"/>
                </w:tcPr>
                <w:p w14:paraId="35ADC76C">
                  <w:pPr>
                    <w:widowControl/>
                    <w:jc w:val="left"/>
                    <w:rPr>
                      <w:rFonts w:ascii="宋体" w:hAnsi="宋体" w:cs="宋体"/>
                      <w:kern w:val="0"/>
                      <w:sz w:val="24"/>
                      <w:szCs w:val="24"/>
                    </w:rPr>
                  </w:pPr>
                </w:p>
              </w:tc>
            </w:tr>
          </w:tbl>
          <w:p w14:paraId="6E0C93A5">
            <w:pPr>
              <w:widowControl/>
              <w:spacing w:line="520" w:lineRule="exact"/>
              <w:ind w:right="480"/>
              <w:rPr>
                <w:rFonts w:ascii="仿宋" w:hAnsi="仿宋" w:eastAsia="仿宋" w:cs="宋体"/>
                <w:kern w:val="0"/>
                <w:sz w:val="24"/>
                <w:szCs w:val="24"/>
              </w:rPr>
            </w:pPr>
          </w:p>
        </w:tc>
      </w:tr>
    </w:tbl>
    <w:p w14:paraId="775384FA">
      <w:pPr>
        <w:spacing w:line="360" w:lineRule="auto"/>
        <w:rPr>
          <w:rFonts w:ascii="黑体" w:hAnsi="黑体" w:eastAsia="黑体" w:cs="Times New Roman"/>
          <w:sz w:val="32"/>
          <w:szCs w:val="32"/>
        </w:rPr>
      </w:pPr>
    </w:p>
    <w:p w14:paraId="1121DB87">
      <w:pPr>
        <w:spacing w:line="360" w:lineRule="auto"/>
        <w:rPr>
          <w:rFonts w:ascii="黑体" w:hAnsi="黑体" w:eastAsia="黑体" w:cs="Times New Roman"/>
          <w:sz w:val="32"/>
          <w:szCs w:val="32"/>
        </w:rPr>
      </w:pPr>
    </w:p>
    <w:p w14:paraId="00C7A17F">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7622F06B">
      <w:pPr>
        <w:spacing w:line="360" w:lineRule="auto"/>
        <w:jc w:val="center"/>
        <w:rPr>
          <w:rFonts w:ascii="黑体" w:hAnsi="黑体" w:eastAsia="黑体" w:cs="Times New Roman"/>
          <w:sz w:val="32"/>
          <w:szCs w:val="32"/>
        </w:rPr>
      </w:pPr>
    </w:p>
    <w:p w14:paraId="0374CA7C">
      <w:pPr>
        <w:jc w:val="center"/>
        <w:outlineLvl w:val="0"/>
        <w:rPr>
          <w:rFonts w:ascii="方正小标宋_GBK" w:eastAsia="方正小标宋_GBK"/>
          <w:sz w:val="44"/>
        </w:rPr>
      </w:pPr>
      <w:r>
        <w:rPr>
          <w:rFonts w:hint="eastAsia" w:ascii="方正小标宋_GBK" w:eastAsia="方正小标宋_GBK"/>
          <w:sz w:val="44"/>
        </w:rPr>
        <w:t>单位整体</w:t>
      </w:r>
      <w:r>
        <w:rPr>
          <w:rFonts w:ascii="方正小标宋_GBK" w:eastAsia="方正小标宋_GBK"/>
          <w:sz w:val="44"/>
        </w:rPr>
        <w:t>绩效目标</w:t>
      </w:r>
    </w:p>
    <w:p w14:paraId="61793608">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紧紧围绕区委、区政府的重要部署，深入贯彻落实党的十九届五中全会精神和习近平新时代中国特色社会主义思想，全面提升党建工作，加强党风廉政建设；推进规模化农业生产, 着力改善农业生产条件，加快结构调整，因地制宜，科学规划，不断壮大产业规模；健全信访综治网络平台，全面推进“四个覆盖”，充分发挥综治平台作用，强化矛盾纠纷排查化解工作，打造和谐稳定的社会环境；积极服务保障雄安新区建设，全力做好容易线建设的配合工作；扎实推进大气污染防治工作，统筹安排扬尘治理、</w:t>
      </w:r>
      <w:r>
        <w:rPr>
          <w:rFonts w:hint="eastAsia" w:ascii="仿宋" w:hAnsi="仿宋" w:eastAsia="仿宋" w:cstheme="minorBidi"/>
          <w:kern w:val="2"/>
          <w:sz w:val="32"/>
          <w:szCs w:val="32"/>
          <w:lang w:eastAsia="zh-CN"/>
        </w:rPr>
        <w:t>秸秆</w:t>
      </w:r>
      <w:r>
        <w:rPr>
          <w:rFonts w:ascii="仿宋" w:hAnsi="仿宋" w:eastAsia="仿宋" w:cstheme="minorBidi"/>
          <w:kern w:val="2"/>
          <w:sz w:val="32"/>
          <w:szCs w:val="32"/>
          <w:lang w:eastAsia="zh-CN"/>
        </w:rPr>
        <w:t>焚烧，排查污染企业，加强管控与治理，改善人居环境。加强对企业和社会安全的管理，确保辖区内生产安全、社会和谐统筹安排; 扎实推动建档立卡扶贫工作，保证建档立卡户脱贫不脱政策，防止返贫。扎实做好人大、政协、工会、共青团、武装、环保、土地、教育、卫生等各项工作，努力实现全乡各项事业持续发展。</w:t>
      </w:r>
    </w:p>
    <w:p w14:paraId="77DFE8F8">
      <w:pPr>
        <w:spacing w:line="360" w:lineRule="auto"/>
        <w:ind w:firstLine="640" w:firstLineChars="200"/>
        <w:rPr>
          <w:rFonts w:ascii="仿宋" w:hAnsi="仿宋" w:eastAsia="仿宋"/>
          <w:sz w:val="32"/>
          <w:szCs w:val="32"/>
        </w:rPr>
      </w:pPr>
    </w:p>
    <w:p w14:paraId="2A27147A">
      <w:pPr>
        <w:spacing w:line="500" w:lineRule="exact"/>
        <w:ind w:firstLine="640" w:firstLineChars="200"/>
        <w:jc w:val="left"/>
        <w:outlineLvl w:val="1"/>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、工作保障措施</w:t>
      </w:r>
      <w:r>
        <w:rPr>
          <w:rFonts w:ascii="仿宋" w:hAnsi="仿宋" w:eastAsia="仿宋"/>
          <w:sz w:val="32"/>
          <w:szCs w:val="32"/>
        </w:rPr>
        <w:fldChar w:fldCharType="begin"/>
      </w:r>
      <w:r>
        <w:rPr>
          <w:rFonts w:ascii="仿宋" w:hAnsi="仿宋" w:eastAsia="仿宋"/>
          <w:sz w:val="32"/>
          <w:szCs w:val="32"/>
        </w:rPr>
        <w:instrText xml:space="preserve"> TC </w:instrText>
      </w:r>
      <w:bookmarkStart w:id="0" w:name="_Toc31368857"/>
      <w:r>
        <w:rPr>
          <w:rFonts w:ascii="仿宋" w:hAnsi="仿宋" w:eastAsia="仿宋"/>
          <w:sz w:val="32"/>
          <w:szCs w:val="32"/>
        </w:rPr>
        <w:instrText xml:space="preserve">工作保障措施</w:instrText>
      </w:r>
      <w:bookmarkEnd w:id="0"/>
      <w:r>
        <w:rPr>
          <w:rFonts w:ascii="仿宋" w:hAnsi="仿宋" w:eastAsia="仿宋"/>
          <w:sz w:val="32"/>
          <w:szCs w:val="32"/>
        </w:rPr>
        <w:instrText xml:space="preserve"> \f A \l 1 </w:instrText>
      </w:r>
      <w:r>
        <w:rPr>
          <w:rFonts w:ascii="仿宋" w:hAnsi="仿宋" w:eastAsia="仿宋"/>
          <w:sz w:val="32"/>
          <w:szCs w:val="32"/>
        </w:rPr>
        <w:fldChar w:fldCharType="end"/>
      </w:r>
    </w:p>
    <w:p w14:paraId="1284338B">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（一）强化政治理论武装，健全完善制度机制</w:t>
      </w:r>
    </w:p>
    <w:p w14:paraId="5381DF24">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14:paraId="2B9DD0A8">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（二）加强预算支出管理，确保支出进度达标</w:t>
      </w:r>
    </w:p>
    <w:p w14:paraId="356E66AF">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编细编实预算，将项目细化到可执行程度，确保批复即可执行。调整优化支出结构，按规定对</w:t>
      </w:r>
      <w:r>
        <w:rPr>
          <w:rFonts w:ascii="仿宋" w:hAnsi="仿宋" w:eastAsia="仿宋"/>
          <w:sz w:val="32"/>
          <w:szCs w:val="32"/>
        </w:rPr>
        <w:t>“</w:t>
      </w:r>
      <w:r>
        <w:rPr>
          <w:rFonts w:hint="eastAsia" w:ascii="仿宋" w:hAnsi="仿宋" w:eastAsia="仿宋"/>
          <w:sz w:val="32"/>
          <w:szCs w:val="32"/>
        </w:rPr>
        <w:t>三公</w:t>
      </w:r>
      <w:r>
        <w:rPr>
          <w:rFonts w:ascii="仿宋" w:hAnsi="仿宋" w:eastAsia="仿宋"/>
          <w:sz w:val="32"/>
          <w:szCs w:val="32"/>
        </w:rPr>
        <w:t>”</w:t>
      </w:r>
      <w:r>
        <w:rPr>
          <w:rFonts w:hint="eastAsia" w:ascii="仿宋" w:hAnsi="仿宋" w:eastAsia="仿宋"/>
          <w:sz w:val="32"/>
          <w:szCs w:val="32"/>
        </w:rPr>
        <w:t>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313D0C13">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（三）加强内部监督管理，确保资金安全有效</w:t>
      </w:r>
    </w:p>
    <w:p w14:paraId="5FECED86">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14:paraId="0BE71868">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（四）加强宣传培训调研，确保绩效目标实现</w:t>
      </w:r>
    </w:p>
    <w:p w14:paraId="3B3092F0">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3630FF15">
      <w:pPr>
        <w:spacing w:line="500" w:lineRule="exact"/>
        <w:ind w:firstLine="640" w:firstLineChars="200"/>
        <w:jc w:val="left"/>
        <w:rPr>
          <w:rFonts w:ascii="仿宋" w:hAnsi="仿宋" w:eastAsia="仿宋"/>
          <w:sz w:val="32"/>
          <w:szCs w:val="32"/>
        </w:rPr>
      </w:pPr>
    </w:p>
    <w:p w14:paraId="1882EFF3">
      <w:pPr>
        <w:ind w:firstLine="640" w:firstLineChars="200"/>
        <w:jc w:val="center"/>
        <w:rPr>
          <w:rFonts w:ascii="仿宋" w:hAnsi="仿宋" w:eastAsia="仿宋"/>
          <w:sz w:val="32"/>
          <w:szCs w:val="32"/>
        </w:rPr>
      </w:pPr>
      <w:r>
        <w:rPr>
          <w:rFonts w:ascii="仿宋" w:hAnsi="仿宋" w:eastAsia="仿宋"/>
          <w:sz w:val="32"/>
          <w:szCs w:val="32"/>
        </w:rPr>
        <w:t xml:space="preserve"> </w:t>
      </w:r>
    </w:p>
    <w:p w14:paraId="493BB034">
      <w:pPr>
        <w:ind w:firstLine="640" w:firstLineChars="200"/>
        <w:jc w:val="center"/>
        <w:rPr>
          <w:rFonts w:ascii="仿宋" w:hAnsi="仿宋" w:eastAsia="仿宋"/>
          <w:sz w:val="32"/>
          <w:szCs w:val="32"/>
        </w:rPr>
        <w:sectPr>
          <w:footerReference r:id="rId3" w:type="default"/>
          <w:pgSz w:w="11907" w:h="16839"/>
          <w:pgMar w:top="1984" w:right="1304" w:bottom="1134" w:left="1304" w:header="851" w:footer="992" w:gutter="0"/>
          <w:pgNumType w:start="1"/>
          <w:cols w:space="425" w:num="1"/>
          <w:docGrid w:type="lines" w:linePitch="312" w:charSpace="0"/>
        </w:sectPr>
      </w:pPr>
    </w:p>
    <w:p w14:paraId="207E17B5">
      <w:pPr>
        <w:outlineLvl w:val="0"/>
        <w:rPr>
          <w:rFonts w:ascii="方正小标宋_GBK" w:eastAsia="方正小标宋_GBK"/>
          <w:sz w:val="44"/>
        </w:rPr>
      </w:pPr>
    </w:p>
    <w:p w14:paraId="0D223C03">
      <w:pPr>
        <w:jc w:val="center"/>
        <w:outlineLvl w:val="0"/>
        <w:rPr>
          <w:rFonts w:ascii="方正小标宋_GBK" w:eastAsia="方正小标宋_GBK"/>
          <w:sz w:val="44"/>
        </w:rPr>
      </w:pPr>
    </w:p>
    <w:p w14:paraId="4A3F3F79"/>
    <w:p w14:paraId="4B32B626">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0248DC0A">
      <w:pPr>
        <w:spacing w:line="360" w:lineRule="auto"/>
        <w:ind w:firstLine="640" w:firstLineChars="200"/>
        <w:rPr>
          <w:rFonts w:ascii="仿宋" w:hAnsi="仿宋" w:eastAsia="仿宋"/>
          <w:sz w:val="32"/>
          <w:szCs w:val="32"/>
        </w:rPr>
      </w:pPr>
      <w:r>
        <w:rPr>
          <w:rFonts w:ascii="仿宋" w:hAnsi="仿宋" w:eastAsia="仿宋"/>
          <w:sz w:val="32"/>
          <w:szCs w:val="32"/>
        </w:rPr>
        <w:t>2022年，我</w:t>
      </w:r>
      <w:r>
        <w:rPr>
          <w:rFonts w:hint="eastAsia" w:ascii="仿宋" w:hAnsi="仿宋" w:eastAsia="仿宋"/>
          <w:sz w:val="32"/>
          <w:szCs w:val="32"/>
        </w:rPr>
        <w:t>单位</w:t>
      </w:r>
      <w:r>
        <w:rPr>
          <w:rFonts w:ascii="仿宋" w:hAnsi="仿宋" w:eastAsia="仿宋"/>
          <w:sz w:val="32"/>
          <w:szCs w:val="32"/>
        </w:rPr>
        <w:t>无政府采购预算，空表列示。</w:t>
      </w:r>
    </w:p>
    <w:p w14:paraId="1353591B">
      <w:pPr>
        <w:spacing w:line="360" w:lineRule="auto"/>
        <w:ind w:firstLine="640" w:firstLineChars="200"/>
        <w:rPr>
          <w:rFonts w:ascii="仿宋" w:hAnsi="仿宋" w:eastAsia="仿宋"/>
          <w:sz w:val="32"/>
          <w:szCs w:val="32"/>
        </w:rPr>
      </w:pPr>
    </w:p>
    <w:p w14:paraId="3E442E11">
      <w:pPr>
        <w:spacing w:line="360" w:lineRule="auto"/>
        <w:ind w:firstLine="640" w:firstLineChars="200"/>
        <w:rPr>
          <w:rFonts w:ascii="仿宋" w:hAnsi="仿宋" w:eastAsia="仿宋"/>
          <w:sz w:val="32"/>
          <w:szCs w:val="32"/>
        </w:rPr>
        <w:sectPr>
          <w:footerReference r:id="rId4" w:type="default"/>
          <w:pgSz w:w="16838" w:h="11906" w:orient="landscape"/>
          <w:pgMar w:top="1797" w:right="1440" w:bottom="1797" w:left="1440" w:header="851" w:footer="992" w:gutter="0"/>
          <w:cols w:space="425" w:num="1"/>
          <w:docGrid w:type="linesAndChars" w:linePitch="312" w:charSpace="0"/>
        </w:sectPr>
      </w:pPr>
      <w:bookmarkStart w:id="1" w:name="_MON_1719821311"/>
      <w:bookmarkEnd w:id="1"/>
      <w:r>
        <w:rPr>
          <w:rFonts w:ascii="仿宋" w:hAnsi="仿宋" w:eastAsia="仿宋"/>
          <w:sz w:val="32"/>
          <w:szCs w:val="32"/>
        </w:rPr>
        <w:object>
          <v:shape id="_x0000_i1025" o:spt="75" type="#_x0000_t75" style="height:142.5pt;width:673.5pt;" o:ole="t" filled="f" o:preferrelative="t" stroked="f" coordsize="21600,21600">
            <v:path/>
            <v:fill on="f" focussize="0,0"/>
            <v:stroke on="f" joinstyle="miter"/>
            <v:imagedata r:id="rId7" o:title=""/>
            <o:lock v:ext="edit" aspectratio="t"/>
            <w10:wrap type="none"/>
            <w10:anchorlock/>
          </v:shape>
          <o:OLEObject Type="Embed" ProgID="Excel.Sheet.12" ShapeID="_x0000_i1025" DrawAspect="Content" ObjectID="_1468075725" r:id="rId6">
            <o:LockedField>false</o:LockedField>
          </o:OLEObject>
        </w:object>
      </w:r>
    </w:p>
    <w:p w14:paraId="26BB56D9">
      <w:pPr>
        <w:spacing w:line="360" w:lineRule="auto"/>
        <w:rPr>
          <w:rFonts w:ascii="仿宋" w:hAnsi="仿宋" w:eastAsia="仿宋"/>
          <w:sz w:val="32"/>
          <w:szCs w:val="32"/>
        </w:rPr>
      </w:pPr>
    </w:p>
    <w:p w14:paraId="194E1478">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3E5FF23E">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上年末我单位固定资产总金额为0万元（详见下表）。我单位本年度无国有资产购置计划，拟购置金额为</w:t>
      </w:r>
      <w:r>
        <w:rPr>
          <w:rFonts w:ascii="仿宋" w:hAnsi="仿宋" w:eastAsia="仿宋"/>
          <w:sz w:val="32"/>
          <w:szCs w:val="32"/>
        </w:rPr>
        <w:t>0。</w:t>
      </w:r>
    </w:p>
    <w:tbl>
      <w:tblPr>
        <w:tblStyle w:val="8"/>
        <w:tblW w:w="10084" w:type="dxa"/>
        <w:jc w:val="center"/>
        <w:tblLayout w:type="autofit"/>
        <w:tblCellMar>
          <w:top w:w="0" w:type="dxa"/>
          <w:left w:w="108" w:type="dxa"/>
          <w:bottom w:w="0" w:type="dxa"/>
          <w:right w:w="108" w:type="dxa"/>
        </w:tblCellMar>
      </w:tblPr>
      <w:tblGrid>
        <w:gridCol w:w="4788"/>
        <w:gridCol w:w="1035"/>
        <w:gridCol w:w="4261"/>
      </w:tblGrid>
      <w:tr w14:paraId="1C52AAB0">
        <w:trPr>
          <w:trHeight w:val="510" w:hRule="atLeast"/>
          <w:jc w:val="center"/>
        </w:trPr>
        <w:tc>
          <w:tcPr>
            <w:tcW w:w="10084" w:type="dxa"/>
            <w:gridSpan w:val="3"/>
            <w:tcBorders>
              <w:top w:val="nil"/>
              <w:left w:val="nil"/>
              <w:bottom w:val="nil"/>
              <w:right w:val="nil"/>
            </w:tcBorders>
            <w:shd w:val="clear" w:color="auto" w:fill="auto"/>
            <w:noWrap/>
            <w:vAlign w:val="center"/>
          </w:tcPr>
          <w:p w14:paraId="2FAE5C32">
            <w:pPr>
              <w:widowControl/>
              <w:jc w:val="center"/>
              <w:rPr>
                <w:rFonts w:ascii="宋体" w:hAnsi="宋体" w:cs="宋体"/>
                <w:kern w:val="0"/>
                <w:sz w:val="28"/>
                <w:szCs w:val="28"/>
              </w:rPr>
            </w:pPr>
            <w:r>
              <w:rPr>
                <w:rFonts w:hint="eastAsia" w:ascii="宋体" w:hAnsi="宋体"/>
                <w:sz w:val="32"/>
                <w:szCs w:val="32"/>
              </w:rPr>
              <w:t>固定资产占用情况表</w:t>
            </w:r>
          </w:p>
        </w:tc>
      </w:tr>
      <w:tr w14:paraId="50FD1DD3">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47B71266">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14:paraId="0A15454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65F6E5D">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0C529B3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0087A7D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583829B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43C1CF4">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23911014">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1863262F">
            <w:pPr>
              <w:widowControl/>
              <w:jc w:val="center"/>
              <w:rPr>
                <w:rFonts w:ascii="仿宋_GB2312" w:hAnsi="仿宋" w:eastAsia="仿宋_GB2312" w:cs="宋体"/>
                <w:b/>
                <w:kern w:val="0"/>
                <w:sz w:val="24"/>
                <w:szCs w:val="24"/>
              </w:rPr>
            </w:pPr>
            <w:r>
              <w:rPr>
                <w:rFonts w:ascii="仿宋_GB2312" w:hAnsi="仿宋" w:eastAsia="仿宋_GB2312" w:cs="宋体"/>
                <w:b/>
                <w:kern w:val="0"/>
                <w:sz w:val="24"/>
                <w:szCs w:val="24"/>
              </w:rPr>
              <w:t>0</w:t>
            </w:r>
          </w:p>
        </w:tc>
      </w:tr>
      <w:tr w14:paraId="1908330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862993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6228C20B">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7C02D362">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0</w:t>
            </w:r>
          </w:p>
        </w:tc>
      </w:tr>
      <w:tr w14:paraId="0C23F956">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CC832">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A16B770">
            <w:pPr>
              <w:jc w:val="center"/>
              <w:rPr>
                <w:rFonts w:ascii="仿宋_GB2312" w:hAnsi="仿宋" w:eastAsia="仿宋_GB2312" w:cs="宋体"/>
                <w:kern w:val="0"/>
                <w:sz w:val="24"/>
                <w:szCs w:val="24"/>
              </w:rPr>
            </w:pPr>
            <w:r>
              <w:rPr>
                <w:rFonts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BCDAD9E">
            <w:pPr>
              <w:jc w:val="center"/>
              <w:rPr>
                <w:rFonts w:ascii="仿宋_GB2312" w:hAnsi="仿宋" w:eastAsia="仿宋_GB2312" w:cs="宋体"/>
                <w:kern w:val="0"/>
                <w:sz w:val="24"/>
                <w:szCs w:val="24"/>
              </w:rPr>
            </w:pPr>
            <w:r>
              <w:rPr>
                <w:rFonts w:ascii="仿宋_GB2312" w:hAnsi="仿宋" w:eastAsia="仿宋_GB2312" w:cs="宋体"/>
                <w:kern w:val="0"/>
                <w:sz w:val="24"/>
                <w:szCs w:val="24"/>
              </w:rPr>
              <w:t>0</w:t>
            </w:r>
          </w:p>
        </w:tc>
      </w:tr>
      <w:tr w14:paraId="0C6D93C9">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F66E84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532F5BA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5BF8ABE4">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0</w:t>
            </w:r>
          </w:p>
        </w:tc>
      </w:tr>
      <w:tr w14:paraId="517472B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68040B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7EBFCF5F">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6D8B578E">
            <w:pPr>
              <w:widowControl/>
              <w:jc w:val="center"/>
              <w:rPr>
                <w:rFonts w:ascii="仿宋_GB2312" w:hAnsi="仿宋" w:eastAsia="仿宋_GB2312" w:cs="宋体"/>
                <w:kern w:val="0"/>
                <w:sz w:val="24"/>
                <w:szCs w:val="24"/>
              </w:rPr>
            </w:pPr>
          </w:p>
        </w:tc>
      </w:tr>
      <w:tr w14:paraId="4B34FF75">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F57B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E3FA6">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F4F47">
            <w:pPr>
              <w:widowControl/>
              <w:jc w:val="center"/>
              <w:rPr>
                <w:rFonts w:ascii="仿宋_GB2312" w:hAnsi="仿宋" w:eastAsia="仿宋_GB2312" w:cs="宋体"/>
                <w:kern w:val="0"/>
                <w:sz w:val="24"/>
                <w:szCs w:val="24"/>
              </w:rPr>
            </w:pPr>
          </w:p>
        </w:tc>
      </w:tr>
      <w:tr w14:paraId="7D7E44FE">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C92A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36FF24C">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8033F84">
            <w:pPr>
              <w:widowControl/>
              <w:jc w:val="center"/>
              <w:rPr>
                <w:rFonts w:ascii="仿宋_GB2312" w:hAnsi="仿宋" w:eastAsia="仿宋_GB2312" w:cs="宋体"/>
                <w:kern w:val="0"/>
                <w:sz w:val="24"/>
                <w:szCs w:val="24"/>
              </w:rPr>
            </w:pPr>
          </w:p>
        </w:tc>
      </w:tr>
      <w:tr w14:paraId="683BF83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B515B">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42336FC">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8B2A38B">
            <w:pPr>
              <w:jc w:val="center"/>
              <w:rPr>
                <w:rFonts w:ascii="仿宋_GB2312" w:hAnsi="仿宋" w:eastAsia="仿宋_GB2312" w:cs="宋体"/>
                <w:kern w:val="0"/>
                <w:sz w:val="24"/>
                <w:szCs w:val="24"/>
              </w:rPr>
            </w:pPr>
            <w:r>
              <w:rPr>
                <w:rFonts w:ascii="仿宋_GB2312" w:hAnsi="仿宋" w:eastAsia="仿宋_GB2312" w:cs="宋体"/>
                <w:kern w:val="0"/>
                <w:sz w:val="24"/>
                <w:szCs w:val="24"/>
              </w:rPr>
              <w:t>0</w:t>
            </w:r>
          </w:p>
        </w:tc>
      </w:tr>
    </w:tbl>
    <w:p w14:paraId="018CBA90">
      <w:pPr>
        <w:spacing w:line="360" w:lineRule="auto"/>
        <w:rPr>
          <w:rFonts w:ascii="黑体" w:hAnsi="黑体" w:eastAsia="黑体" w:cs="Times New Roman"/>
          <w:sz w:val="32"/>
          <w:szCs w:val="32"/>
        </w:rPr>
      </w:pPr>
    </w:p>
    <w:p w14:paraId="3C2062A3">
      <w:pPr>
        <w:jc w:val="center"/>
        <w:outlineLvl w:val="0"/>
        <w:rPr>
          <w:rFonts w:ascii="方正小标宋_GBK" w:eastAsia="方正小标宋_GBK"/>
          <w:sz w:val="44"/>
        </w:rPr>
      </w:pPr>
    </w:p>
    <w:p w14:paraId="0D1C6714">
      <w:pPr>
        <w:jc w:val="center"/>
        <w:outlineLvl w:val="0"/>
        <w:rPr>
          <w:rFonts w:ascii="方正小标宋_GBK" w:eastAsia="方正小标宋_GBK"/>
          <w:sz w:val="44"/>
        </w:rPr>
      </w:pPr>
    </w:p>
    <w:p w14:paraId="46D026B9">
      <w:pPr>
        <w:jc w:val="center"/>
        <w:outlineLvl w:val="0"/>
        <w:rPr>
          <w:rFonts w:ascii="方正小标宋_GBK" w:eastAsia="方正小标宋_GBK"/>
          <w:sz w:val="44"/>
        </w:rPr>
      </w:pPr>
      <w:r>
        <w:rPr>
          <w:rFonts w:hint="eastAsia" w:ascii="方正小标宋_GBK" w:eastAsia="方正小标宋_GBK"/>
          <w:sz w:val="44"/>
        </w:rPr>
        <w:t>第八部分：名词解释</w:t>
      </w:r>
    </w:p>
    <w:p w14:paraId="1C8CEF04">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7BC8837B">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6609CBCD">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095EC394">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635B78DE">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F2DB503">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8403DE5">
      <w:pPr>
        <w:spacing w:line="360" w:lineRule="auto"/>
        <w:jc w:val="center"/>
        <w:rPr>
          <w:rFonts w:ascii="黑体" w:hAnsi="黑体" w:eastAsia="黑体" w:cs="Times New Roman"/>
          <w:sz w:val="32"/>
          <w:szCs w:val="32"/>
        </w:rPr>
      </w:pPr>
    </w:p>
    <w:p w14:paraId="3385C6FF">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181900FD">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73BC1">
    <w:pPr>
      <w:pStyle w:val="3"/>
      <w:framePr w:wrap="around" w:vAnchor="text" w:hAnchor="margin" w:xAlign="outside" w:y="1"/>
      <w:rPr>
        <w:rStyle w:val="11"/>
      </w:rPr>
    </w:pPr>
    <w:r>
      <w:rPr>
        <w:rStyle w:val="11"/>
      </w:rPr>
      <w:fldChar w:fldCharType="begin"/>
    </w:r>
    <w:r>
      <w:rPr>
        <w:rStyle w:val="11"/>
      </w:rPr>
      <w:instrText xml:space="preserve"> PAGE </w:instrText>
    </w:r>
    <w:r>
      <w:rPr>
        <w:rStyle w:val="11"/>
      </w:rPr>
      <w:fldChar w:fldCharType="separate"/>
    </w:r>
    <w:r>
      <w:rPr>
        <w:rStyle w:val="11"/>
      </w:rPr>
      <w:t>7</w:t>
    </w:r>
    <w:r>
      <w:rPr>
        <w:rStyle w:val="11"/>
      </w:rPr>
      <w:fldChar w:fldCharType="end"/>
    </w:r>
  </w:p>
  <w:p w14:paraId="308A1441">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497F29AF">
        <w:pPr>
          <w:pStyle w:val="3"/>
          <w:jc w:val="center"/>
        </w:pPr>
        <w:r>
          <w:fldChar w:fldCharType="begin"/>
        </w:r>
        <w:r>
          <w:instrText xml:space="preserve">PAGE   \* MERGEFORMAT</w:instrText>
        </w:r>
        <w:r>
          <w:fldChar w:fldCharType="separate"/>
        </w:r>
        <w:r>
          <w:rPr>
            <w:lang w:val="zh-CN"/>
          </w:rPr>
          <w:t>9</w:t>
        </w:r>
        <w:r>
          <w:fldChar w:fldCharType="end"/>
        </w:r>
      </w:p>
    </w:sdtContent>
  </w:sdt>
  <w:p w14:paraId="0B9F606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2NDNjN2UzNTcwMzU4M2E2MDUwYWI2OTZlMDAxZWEifQ=="/>
  </w:docVars>
  <w:rsids>
    <w:rsidRoot w:val="00055F1F"/>
    <w:rsid w:val="00013B8A"/>
    <w:rsid w:val="00037EB6"/>
    <w:rsid w:val="00044FBC"/>
    <w:rsid w:val="00047017"/>
    <w:rsid w:val="00055F1F"/>
    <w:rsid w:val="000577EF"/>
    <w:rsid w:val="00057F18"/>
    <w:rsid w:val="000973BC"/>
    <w:rsid w:val="000A445D"/>
    <w:rsid w:val="000C178B"/>
    <w:rsid w:val="000F2A71"/>
    <w:rsid w:val="001145E0"/>
    <w:rsid w:val="0011523A"/>
    <w:rsid w:val="00131DEC"/>
    <w:rsid w:val="00136AB3"/>
    <w:rsid w:val="001462BD"/>
    <w:rsid w:val="00152380"/>
    <w:rsid w:val="00162A2A"/>
    <w:rsid w:val="001638BE"/>
    <w:rsid w:val="00164810"/>
    <w:rsid w:val="00172C7A"/>
    <w:rsid w:val="00181777"/>
    <w:rsid w:val="001B44DE"/>
    <w:rsid w:val="001B4688"/>
    <w:rsid w:val="001B5E24"/>
    <w:rsid w:val="001B6235"/>
    <w:rsid w:val="001C32FA"/>
    <w:rsid w:val="001D10FA"/>
    <w:rsid w:val="001D7B10"/>
    <w:rsid w:val="001E2D3D"/>
    <w:rsid w:val="001F4875"/>
    <w:rsid w:val="002037C0"/>
    <w:rsid w:val="00212335"/>
    <w:rsid w:val="00224B91"/>
    <w:rsid w:val="002438D6"/>
    <w:rsid w:val="00245B32"/>
    <w:rsid w:val="002908BB"/>
    <w:rsid w:val="002918C6"/>
    <w:rsid w:val="00291EF3"/>
    <w:rsid w:val="00296524"/>
    <w:rsid w:val="002D7701"/>
    <w:rsid w:val="002E01F6"/>
    <w:rsid w:val="002F1ACB"/>
    <w:rsid w:val="002F530F"/>
    <w:rsid w:val="002F7096"/>
    <w:rsid w:val="00305E97"/>
    <w:rsid w:val="00310532"/>
    <w:rsid w:val="00326EA7"/>
    <w:rsid w:val="0032782B"/>
    <w:rsid w:val="00340B3D"/>
    <w:rsid w:val="0034253A"/>
    <w:rsid w:val="003669CF"/>
    <w:rsid w:val="00367A30"/>
    <w:rsid w:val="00371DEF"/>
    <w:rsid w:val="003943FA"/>
    <w:rsid w:val="003A06D2"/>
    <w:rsid w:val="003A4557"/>
    <w:rsid w:val="003A6366"/>
    <w:rsid w:val="003C2317"/>
    <w:rsid w:val="003C442E"/>
    <w:rsid w:val="003D1092"/>
    <w:rsid w:val="003D37CD"/>
    <w:rsid w:val="003E5531"/>
    <w:rsid w:val="003E555C"/>
    <w:rsid w:val="003E6AF3"/>
    <w:rsid w:val="003F19F2"/>
    <w:rsid w:val="0040243C"/>
    <w:rsid w:val="00406BD1"/>
    <w:rsid w:val="00426C19"/>
    <w:rsid w:val="00450FD9"/>
    <w:rsid w:val="00453CE0"/>
    <w:rsid w:val="00470736"/>
    <w:rsid w:val="00470BBB"/>
    <w:rsid w:val="00472B64"/>
    <w:rsid w:val="0048611E"/>
    <w:rsid w:val="004B6929"/>
    <w:rsid w:val="004B6BDE"/>
    <w:rsid w:val="004E2DCC"/>
    <w:rsid w:val="004E2F43"/>
    <w:rsid w:val="004E3572"/>
    <w:rsid w:val="004F3C52"/>
    <w:rsid w:val="00501087"/>
    <w:rsid w:val="00510A1E"/>
    <w:rsid w:val="005158E2"/>
    <w:rsid w:val="00524204"/>
    <w:rsid w:val="00550049"/>
    <w:rsid w:val="00553F7E"/>
    <w:rsid w:val="00570142"/>
    <w:rsid w:val="0057599B"/>
    <w:rsid w:val="00586C35"/>
    <w:rsid w:val="005B1B6F"/>
    <w:rsid w:val="005B5E29"/>
    <w:rsid w:val="005B6CCB"/>
    <w:rsid w:val="005C54AA"/>
    <w:rsid w:val="005C7B89"/>
    <w:rsid w:val="00604542"/>
    <w:rsid w:val="00612371"/>
    <w:rsid w:val="00612F09"/>
    <w:rsid w:val="00621EFC"/>
    <w:rsid w:val="0062546F"/>
    <w:rsid w:val="0062788A"/>
    <w:rsid w:val="006350B9"/>
    <w:rsid w:val="00636C7A"/>
    <w:rsid w:val="00641F8A"/>
    <w:rsid w:val="0064555F"/>
    <w:rsid w:val="00651226"/>
    <w:rsid w:val="0066383B"/>
    <w:rsid w:val="00672554"/>
    <w:rsid w:val="006A6FA2"/>
    <w:rsid w:val="006B5117"/>
    <w:rsid w:val="006C62DF"/>
    <w:rsid w:val="006F0E4E"/>
    <w:rsid w:val="006F5104"/>
    <w:rsid w:val="006F6549"/>
    <w:rsid w:val="0071393D"/>
    <w:rsid w:val="00714F2A"/>
    <w:rsid w:val="00723F4A"/>
    <w:rsid w:val="00725187"/>
    <w:rsid w:val="00733D22"/>
    <w:rsid w:val="00735609"/>
    <w:rsid w:val="00735B02"/>
    <w:rsid w:val="007657C8"/>
    <w:rsid w:val="00767A77"/>
    <w:rsid w:val="00771E49"/>
    <w:rsid w:val="00782208"/>
    <w:rsid w:val="00791938"/>
    <w:rsid w:val="007A5999"/>
    <w:rsid w:val="007C7FD7"/>
    <w:rsid w:val="007F1964"/>
    <w:rsid w:val="007F3746"/>
    <w:rsid w:val="0080087F"/>
    <w:rsid w:val="00811188"/>
    <w:rsid w:val="00815C7C"/>
    <w:rsid w:val="00833132"/>
    <w:rsid w:val="00845C67"/>
    <w:rsid w:val="00861138"/>
    <w:rsid w:val="0086454E"/>
    <w:rsid w:val="008672EA"/>
    <w:rsid w:val="0086776C"/>
    <w:rsid w:val="008806E3"/>
    <w:rsid w:val="00891680"/>
    <w:rsid w:val="008A0099"/>
    <w:rsid w:val="008A0B5F"/>
    <w:rsid w:val="008A2B3E"/>
    <w:rsid w:val="008B5402"/>
    <w:rsid w:val="008D11BC"/>
    <w:rsid w:val="0090527E"/>
    <w:rsid w:val="00905BB7"/>
    <w:rsid w:val="0090620C"/>
    <w:rsid w:val="00912DA4"/>
    <w:rsid w:val="0092231C"/>
    <w:rsid w:val="00924E16"/>
    <w:rsid w:val="009302B8"/>
    <w:rsid w:val="009305C6"/>
    <w:rsid w:val="00942297"/>
    <w:rsid w:val="009752AE"/>
    <w:rsid w:val="00982F3D"/>
    <w:rsid w:val="00983232"/>
    <w:rsid w:val="00986465"/>
    <w:rsid w:val="009A278A"/>
    <w:rsid w:val="009B6368"/>
    <w:rsid w:val="009F63C4"/>
    <w:rsid w:val="00A16957"/>
    <w:rsid w:val="00A2739A"/>
    <w:rsid w:val="00A346A0"/>
    <w:rsid w:val="00A6155C"/>
    <w:rsid w:val="00A8079E"/>
    <w:rsid w:val="00A90328"/>
    <w:rsid w:val="00A92D66"/>
    <w:rsid w:val="00A943A5"/>
    <w:rsid w:val="00AA4262"/>
    <w:rsid w:val="00AA5466"/>
    <w:rsid w:val="00AB0AA7"/>
    <w:rsid w:val="00AB5A90"/>
    <w:rsid w:val="00AB7449"/>
    <w:rsid w:val="00AD1948"/>
    <w:rsid w:val="00AE4AA5"/>
    <w:rsid w:val="00AE7FA9"/>
    <w:rsid w:val="00B147EB"/>
    <w:rsid w:val="00B22155"/>
    <w:rsid w:val="00B310AF"/>
    <w:rsid w:val="00B76AA9"/>
    <w:rsid w:val="00B80FAB"/>
    <w:rsid w:val="00B81C88"/>
    <w:rsid w:val="00BA5C83"/>
    <w:rsid w:val="00BC6A7D"/>
    <w:rsid w:val="00BD4829"/>
    <w:rsid w:val="00BD6002"/>
    <w:rsid w:val="00BD719F"/>
    <w:rsid w:val="00BE01A7"/>
    <w:rsid w:val="00BF4D6A"/>
    <w:rsid w:val="00BF5442"/>
    <w:rsid w:val="00C06445"/>
    <w:rsid w:val="00C177A5"/>
    <w:rsid w:val="00C2427A"/>
    <w:rsid w:val="00C35FEE"/>
    <w:rsid w:val="00C50535"/>
    <w:rsid w:val="00C512BA"/>
    <w:rsid w:val="00C56B4C"/>
    <w:rsid w:val="00C6153C"/>
    <w:rsid w:val="00C73AE1"/>
    <w:rsid w:val="00C906EF"/>
    <w:rsid w:val="00CC7261"/>
    <w:rsid w:val="00CC7D74"/>
    <w:rsid w:val="00CE5B00"/>
    <w:rsid w:val="00CE70A8"/>
    <w:rsid w:val="00D02F97"/>
    <w:rsid w:val="00D30787"/>
    <w:rsid w:val="00D377EA"/>
    <w:rsid w:val="00D428B1"/>
    <w:rsid w:val="00D45530"/>
    <w:rsid w:val="00D45A0E"/>
    <w:rsid w:val="00D45D23"/>
    <w:rsid w:val="00D723D1"/>
    <w:rsid w:val="00D80C60"/>
    <w:rsid w:val="00D8525F"/>
    <w:rsid w:val="00DA0C4D"/>
    <w:rsid w:val="00DA49E9"/>
    <w:rsid w:val="00DA5DA7"/>
    <w:rsid w:val="00DB649B"/>
    <w:rsid w:val="00DD4C3E"/>
    <w:rsid w:val="00DE3935"/>
    <w:rsid w:val="00DE6B32"/>
    <w:rsid w:val="00DF26B8"/>
    <w:rsid w:val="00E12C68"/>
    <w:rsid w:val="00E22121"/>
    <w:rsid w:val="00E2325B"/>
    <w:rsid w:val="00E24075"/>
    <w:rsid w:val="00E270C9"/>
    <w:rsid w:val="00E35F38"/>
    <w:rsid w:val="00E42F0E"/>
    <w:rsid w:val="00E46F27"/>
    <w:rsid w:val="00E509CC"/>
    <w:rsid w:val="00E56DC0"/>
    <w:rsid w:val="00E71A04"/>
    <w:rsid w:val="00E7586D"/>
    <w:rsid w:val="00E75F4E"/>
    <w:rsid w:val="00E90DA6"/>
    <w:rsid w:val="00E96342"/>
    <w:rsid w:val="00EA2D11"/>
    <w:rsid w:val="00EA2FEA"/>
    <w:rsid w:val="00EA56CB"/>
    <w:rsid w:val="00EA7853"/>
    <w:rsid w:val="00EB681A"/>
    <w:rsid w:val="00EC56CD"/>
    <w:rsid w:val="00ED6785"/>
    <w:rsid w:val="00ED7D28"/>
    <w:rsid w:val="00F000B1"/>
    <w:rsid w:val="00F012D3"/>
    <w:rsid w:val="00F044C3"/>
    <w:rsid w:val="00F07247"/>
    <w:rsid w:val="00F10D04"/>
    <w:rsid w:val="00F169E3"/>
    <w:rsid w:val="00F35D4B"/>
    <w:rsid w:val="00F3746B"/>
    <w:rsid w:val="00F565BD"/>
    <w:rsid w:val="00F572CB"/>
    <w:rsid w:val="00F621AF"/>
    <w:rsid w:val="00F661A7"/>
    <w:rsid w:val="00F7685F"/>
    <w:rsid w:val="00F8024E"/>
    <w:rsid w:val="00F82447"/>
    <w:rsid w:val="00F868E5"/>
    <w:rsid w:val="00FA0FF9"/>
    <w:rsid w:val="00FA4643"/>
    <w:rsid w:val="00FB2F32"/>
    <w:rsid w:val="00FC1AB0"/>
    <w:rsid w:val="00FC3191"/>
    <w:rsid w:val="00FC480E"/>
    <w:rsid w:val="00FE0F1F"/>
    <w:rsid w:val="00FE4962"/>
    <w:rsid w:val="00FF61F3"/>
    <w:rsid w:val="01927C6B"/>
    <w:rsid w:val="056705DC"/>
    <w:rsid w:val="0A214432"/>
    <w:rsid w:val="27733670"/>
    <w:rsid w:val="7717132E"/>
    <w:rsid w:val="7A030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4"/>
    <w:autoRedefine/>
    <w:semiHidden/>
    <w:unhideWhenUsed/>
    <w:qFormat/>
    <w:uiPriority w:val="99"/>
    <w:rPr>
      <w:sz w:val="18"/>
      <w:szCs w:val="18"/>
    </w:r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qFormat/>
    <w:uiPriority w:val="0"/>
    <w:pPr>
      <w:widowControl/>
      <w:spacing w:before="120"/>
      <w:jc w:val="left"/>
    </w:pPr>
    <w:rPr>
      <w:rFonts w:ascii="Times New Roman" w:hAnsi="Times New Roman" w:eastAsia="方正仿宋_GBK" w:cs="Times New Roman"/>
      <w:color w:val="000000"/>
      <w:kern w:val="0"/>
      <w:sz w:val="28"/>
      <w:szCs w:val="24"/>
      <w:lang w:eastAsia="uk-UA"/>
    </w:rPr>
  </w:style>
  <w:style w:type="paragraph" w:styleId="6">
    <w:name w:val="toc 4"/>
    <w:basedOn w:val="1"/>
    <w:next w:val="1"/>
    <w:autoRedefine/>
    <w:qFormat/>
    <w:uiPriority w:val="0"/>
    <w:pPr>
      <w:widowControl/>
      <w:ind w:left="720"/>
      <w:jc w:val="left"/>
    </w:pPr>
    <w:rPr>
      <w:rFonts w:ascii="Times New Roman" w:hAnsi="Times New Roman" w:eastAsia="Times New Roman" w:cs="Times New Roman"/>
      <w:kern w:val="0"/>
      <w:sz w:val="24"/>
      <w:szCs w:val="24"/>
      <w:lang w:eastAsia="uk-UA"/>
    </w:rPr>
  </w:style>
  <w:style w:type="paragraph" w:styleId="7">
    <w:name w:val="toc 2"/>
    <w:basedOn w:val="1"/>
    <w:next w:val="1"/>
    <w:autoRedefine/>
    <w:qFormat/>
    <w:uiPriority w:val="0"/>
    <w:pPr>
      <w:widowControl/>
      <w:ind w:left="240"/>
      <w:jc w:val="left"/>
    </w:pPr>
    <w:rPr>
      <w:rFonts w:ascii="Times New Roman" w:hAnsi="Times New Roman" w:eastAsia="Times New Roman" w:cs="Times New Roman"/>
      <w:kern w:val="0"/>
      <w:sz w:val="24"/>
      <w:szCs w:val="24"/>
      <w:lang w:eastAsia="uk-UA"/>
    </w:rPr>
  </w:style>
  <w:style w:type="table" w:styleId="9">
    <w:name w:val="Table Grid"/>
    <w:basedOn w:val="8"/>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semiHidden/>
    <w:unhideWhenUsed/>
    <w:qFormat/>
    <w:uiPriority w:val="99"/>
  </w:style>
  <w:style w:type="character" w:customStyle="1" w:styleId="12">
    <w:name w:val="页眉 Char"/>
    <w:basedOn w:val="10"/>
    <w:link w:val="4"/>
    <w:qFormat/>
    <w:uiPriority w:val="99"/>
    <w:rPr>
      <w:sz w:val="18"/>
      <w:szCs w:val="18"/>
    </w:rPr>
  </w:style>
  <w:style w:type="character" w:customStyle="1" w:styleId="13">
    <w:name w:val="页脚 Char"/>
    <w:basedOn w:val="10"/>
    <w:link w:val="3"/>
    <w:qFormat/>
    <w:uiPriority w:val="99"/>
    <w:rPr>
      <w:sz w:val="18"/>
      <w:szCs w:val="18"/>
    </w:rPr>
  </w:style>
  <w:style w:type="character" w:customStyle="1" w:styleId="14">
    <w:name w:val="批注框文本 Char"/>
    <w:basedOn w:val="10"/>
    <w:link w:val="2"/>
    <w:semiHidden/>
    <w:qFormat/>
    <w:uiPriority w:val="99"/>
    <w:rPr>
      <w:sz w:val="18"/>
      <w:szCs w:val="18"/>
    </w:rPr>
  </w:style>
  <w:style w:type="paragraph" w:customStyle="1" w:styleId="15">
    <w:name w:val="插入文本样式-插入总体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6">
    <w:name w:val="插入文本样式-插入职责分类绩效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7">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8">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19">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20">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21">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22">
    <w:name w:val="单元格样式3"/>
    <w:basedOn w:val="1"/>
    <w:qFormat/>
    <w:uiPriority w:val="0"/>
    <w:pPr>
      <w:widowControl/>
      <w:jc w:val="center"/>
    </w:pPr>
    <w:rPr>
      <w:rFonts w:ascii="方正书宋_GBK" w:hAnsi="方正书宋_GBK" w:eastAsia="方正书宋_GBK" w:cs="方正书宋_GBK"/>
      <w:kern w:val="0"/>
      <w:szCs w:val="24"/>
      <w:lang w:eastAsia="uk-UA"/>
    </w:rPr>
  </w:style>
  <w:style w:type="character" w:customStyle="1" w:styleId="23">
    <w:name w:val="页脚 字符"/>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package" Target="embeddings/Workbook1.xlsx"/><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BE48C-7A47-4A2A-BBB6-03363D750D3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3677</Words>
  <Characters>3778</Characters>
  <Lines>28</Lines>
  <Paragraphs>8</Paragraphs>
  <TotalTime>1029</TotalTime>
  <ScaleCrop>false</ScaleCrop>
  <LinksUpToDate>false</LinksUpToDate>
  <CharactersWithSpaces>3850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2021-04-14T02:06:00Z</cp:lastPrinted>
  <dcterms:modified xsi:type="dcterms:W3CDTF">2025-05-12T02:18:19Z</dcterms:modified>
  <cp:revision>283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76EAFEA3433E47EF9BBEB116C4FC5C2C</vt:lpwstr>
  </property>
  <property fmtid="{D5CDD505-2E9C-101B-9397-08002B2CF9AE}" pid="4" name="KSOTemplateDocerSaveRecord">
    <vt:lpwstr>eyJoZGlkIjoiYWVmNTAxY2I3MDZlODM2ZThjMTA0NzYwMjQ2ZGI2OGEifQ==</vt:lpwstr>
  </property>
</Properties>
</file>