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94C53">
      <w:pPr>
        <w:jc w:val="center"/>
        <w:rPr>
          <w:b/>
          <w:sz w:val="44"/>
          <w:szCs w:val="44"/>
        </w:rPr>
      </w:pPr>
      <w:r>
        <w:rPr>
          <w:rFonts w:hint="eastAsia"/>
          <w:b/>
          <w:sz w:val="44"/>
          <w:szCs w:val="44"/>
        </w:rPr>
        <w:t>第一部分  留村乡部门</w:t>
      </w:r>
      <w:r>
        <w:rPr>
          <w:b/>
          <w:sz w:val="44"/>
          <w:szCs w:val="44"/>
        </w:rPr>
        <w:t>概况</w:t>
      </w:r>
    </w:p>
    <w:p w14:paraId="32299D47">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、部门职责</w:t>
      </w:r>
    </w:p>
    <w:p w14:paraId="2A8EAB98">
      <w:pPr>
        <w:ind w:firstLine="560" w:firstLineChars="200"/>
        <w:jc w:val="left"/>
        <w:rPr>
          <w:rFonts w:ascii="Calibri" w:hAnsi="Calibri" w:eastAsia="宋体" w:cs="Times New Roman"/>
          <w:snapToGrid w:val="0"/>
          <w:kern w:val="0"/>
          <w:sz w:val="28"/>
          <w:szCs w:val="28"/>
        </w:rPr>
      </w:pPr>
      <w:r>
        <w:rPr>
          <w:rFonts w:hint="eastAsia" w:ascii="Calibri" w:hAnsi="Calibri" w:eastAsia="宋体" w:cs="Times New Roman"/>
          <w:snapToGrid w:val="0"/>
          <w:kern w:val="0"/>
          <w:sz w:val="28"/>
          <w:szCs w:val="28"/>
        </w:rPr>
        <w:t>根据保定市人民政府办公厅《关于印发保定市城乡规划管理局主要职责内设机构和人员编制规定的通知》（保市政办[2010]36号），现将我局部门概况说明如下：</w:t>
      </w:r>
    </w:p>
    <w:p w14:paraId="248E630F">
      <w:pPr>
        <w:ind w:firstLine="560" w:firstLineChars="200"/>
        <w:jc w:val="left"/>
        <w:rPr>
          <w:rFonts w:ascii="Calibri" w:hAnsi="Calibri" w:eastAsia="宋体" w:cs="Times New Roman"/>
          <w:snapToGrid w:val="0"/>
          <w:kern w:val="0"/>
          <w:sz w:val="28"/>
          <w:szCs w:val="28"/>
        </w:rPr>
      </w:pPr>
      <w:r>
        <w:rPr>
          <w:rFonts w:hint="eastAsia" w:ascii="Calibri" w:hAnsi="Calibri" w:eastAsia="宋体" w:cs="Times New Roman"/>
          <w:snapToGrid w:val="0"/>
          <w:kern w:val="0"/>
          <w:sz w:val="28"/>
          <w:szCs w:val="28"/>
        </w:rPr>
        <w:t>（一）检查监督代表法、选举法及实施办报贯彻实施；承担人大换届选举及人事任免服务工作；负责对乡乡政府组成人员和乡乡人民法院主要负责人的目标责任书、述职报告的督办工作。</w:t>
      </w:r>
    </w:p>
    <w:p w14:paraId="70A4DB3F">
      <w:pPr>
        <w:ind w:firstLine="560" w:firstLineChars="200"/>
        <w:jc w:val="left"/>
        <w:rPr>
          <w:rFonts w:ascii="Calibri" w:hAnsi="Calibri" w:eastAsia="宋体" w:cs="Times New Roman"/>
          <w:snapToGrid w:val="0"/>
          <w:kern w:val="0"/>
          <w:sz w:val="28"/>
          <w:szCs w:val="28"/>
        </w:rPr>
      </w:pPr>
      <w:r>
        <w:rPr>
          <w:rFonts w:ascii="Calibri" w:hAnsi="Calibri" w:eastAsia="宋体" w:cs="Times New Roman"/>
          <w:snapToGrid w:val="0"/>
          <w:kern w:val="0"/>
          <w:sz w:val="28"/>
          <w:szCs w:val="28"/>
        </w:rPr>
        <w:t>（二）</w:t>
      </w:r>
      <w:r>
        <w:rPr>
          <w:rFonts w:hint="eastAsia" w:ascii="Calibri" w:hAnsi="Calibri" w:eastAsia="宋体" w:cs="Times New Roman"/>
          <w:snapToGrid w:val="0"/>
          <w:kern w:val="0"/>
          <w:sz w:val="28"/>
          <w:szCs w:val="28"/>
        </w:rPr>
        <w:t>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p w14:paraId="57224598">
      <w:pPr>
        <w:ind w:firstLine="560" w:firstLineChars="200"/>
        <w:jc w:val="left"/>
        <w:rPr>
          <w:rFonts w:ascii="Calibri" w:hAnsi="Calibri" w:eastAsia="宋体" w:cs="Times New Roman"/>
          <w:snapToGrid w:val="0"/>
          <w:kern w:val="0"/>
          <w:sz w:val="28"/>
          <w:szCs w:val="28"/>
        </w:rPr>
      </w:pPr>
      <w:r>
        <w:rPr>
          <w:rFonts w:ascii="Calibri" w:hAnsi="Calibri" w:eastAsia="宋体" w:cs="Times New Roman"/>
          <w:snapToGrid w:val="0"/>
          <w:kern w:val="0"/>
          <w:sz w:val="28"/>
          <w:szCs w:val="28"/>
        </w:rPr>
        <w:t>（三）</w:t>
      </w:r>
      <w:r>
        <w:rPr>
          <w:rFonts w:hint="eastAsia" w:ascii="Calibri" w:hAnsi="Calibri" w:eastAsia="宋体" w:cs="Times New Roman"/>
          <w:snapToGrid w:val="0"/>
          <w:kern w:val="0"/>
          <w:sz w:val="28"/>
          <w:szCs w:val="28"/>
        </w:rPr>
        <w:t>贯彻实施国家安全战略，推进国家安全法制建设，贯彻落实国家安全工作方针，研究解决涉及国家安全工作的重大问题；推进社会治安综合治理，维护社会稳定，有效地维护本乡乡的可持续稳定。同时抓好全民普法工作，推进依法治理；加强政法队伍建设和领导班子建设；受理并查处涉法信访案件工作，促进司法公正；坚持社会治安综合治理属地管理原则，抓好目标管理责任制、领导责任制、责任追究和一票否决权等制度的落实，抓好中小学校的社会治安综合治理和所辖乡乡铁路汉安联防护路等工作；依法打击并取缔各种非法宗教活动；矛盾纠纷排查并及时化解。</w:t>
      </w:r>
    </w:p>
    <w:p w14:paraId="37578E71">
      <w:pPr>
        <w:ind w:firstLine="560" w:firstLineChars="200"/>
        <w:jc w:val="left"/>
        <w:rPr>
          <w:rFonts w:ascii="Calibri" w:hAnsi="Calibri" w:eastAsia="宋体" w:cs="Times New Roman"/>
          <w:snapToGrid w:val="0"/>
          <w:kern w:val="0"/>
          <w:sz w:val="28"/>
          <w:szCs w:val="28"/>
        </w:rPr>
      </w:pPr>
      <w:r>
        <w:rPr>
          <w:rFonts w:ascii="Calibri" w:hAnsi="Calibri" w:eastAsia="宋体" w:cs="Times New Roman"/>
          <w:snapToGrid w:val="0"/>
          <w:kern w:val="0"/>
          <w:sz w:val="28"/>
          <w:szCs w:val="28"/>
        </w:rPr>
        <w:t>（四）</w:t>
      </w:r>
      <w:r>
        <w:rPr>
          <w:rFonts w:hint="eastAsia" w:ascii="Calibri" w:hAnsi="Calibri" w:eastAsia="宋体" w:cs="Times New Roman"/>
          <w:snapToGrid w:val="0"/>
          <w:kern w:val="0"/>
          <w:sz w:val="28"/>
          <w:szCs w:val="28"/>
        </w:rPr>
        <w:t>组织指导基层政权和社区建设；推进社会工作人员队伍建设。</w:t>
      </w:r>
    </w:p>
    <w:p w14:paraId="60FC1EB5">
      <w:pPr>
        <w:ind w:firstLine="560" w:firstLineChars="200"/>
        <w:jc w:val="left"/>
        <w:rPr>
          <w:rFonts w:ascii="Calibri" w:hAnsi="Calibri" w:eastAsia="宋体" w:cs="Times New Roman"/>
          <w:snapToGrid w:val="0"/>
          <w:kern w:val="0"/>
          <w:sz w:val="28"/>
          <w:szCs w:val="28"/>
        </w:rPr>
      </w:pPr>
      <w:r>
        <w:rPr>
          <w:rFonts w:ascii="Calibri" w:hAnsi="Calibri" w:eastAsia="宋体" w:cs="Times New Roman"/>
          <w:snapToGrid w:val="0"/>
          <w:kern w:val="0"/>
          <w:sz w:val="28"/>
          <w:szCs w:val="28"/>
        </w:rPr>
        <w:t>（五）</w:t>
      </w:r>
      <w:r>
        <w:rPr>
          <w:rFonts w:hint="eastAsia" w:ascii="Calibri" w:hAnsi="Calibri" w:eastAsia="宋体" w:cs="Times New Roman"/>
          <w:snapToGrid w:val="0"/>
          <w:kern w:val="0"/>
          <w:sz w:val="28"/>
          <w:szCs w:val="28"/>
        </w:rPr>
        <w:t>政府采购、农村综合改革、政府债务、综合治税、政府购买服务、规范津补贴等政府专项工作的服务与管理。</w:t>
      </w:r>
    </w:p>
    <w:p w14:paraId="3583BDC9">
      <w:pPr>
        <w:ind w:firstLine="560" w:firstLineChars="200"/>
        <w:jc w:val="left"/>
        <w:rPr>
          <w:rFonts w:ascii="Calibri" w:hAnsi="Calibri" w:eastAsia="宋体" w:cs="Times New Roman"/>
          <w:snapToGrid w:val="0"/>
          <w:kern w:val="0"/>
          <w:sz w:val="28"/>
          <w:szCs w:val="28"/>
        </w:rPr>
      </w:pPr>
      <w:r>
        <w:rPr>
          <w:rFonts w:ascii="Calibri" w:hAnsi="Calibri" w:eastAsia="宋体" w:cs="Times New Roman"/>
          <w:snapToGrid w:val="0"/>
          <w:kern w:val="0"/>
          <w:sz w:val="28"/>
          <w:szCs w:val="28"/>
        </w:rPr>
        <w:t>（六）</w:t>
      </w:r>
      <w:r>
        <w:rPr>
          <w:rFonts w:hint="eastAsia" w:ascii="Calibri" w:hAnsi="Calibri" w:eastAsia="宋体" w:cs="Times New Roman"/>
          <w:snapToGrid w:val="0"/>
          <w:kern w:val="0"/>
          <w:sz w:val="28"/>
          <w:szCs w:val="28"/>
        </w:rPr>
        <w:t>水利水电项目的建设与维护管理。</w:t>
      </w:r>
    </w:p>
    <w:p w14:paraId="4FB56DC1">
      <w:pPr>
        <w:ind w:firstLine="560" w:firstLineChars="200"/>
        <w:jc w:val="left"/>
        <w:rPr>
          <w:rFonts w:ascii="Calibri" w:hAnsi="Calibri" w:eastAsia="宋体" w:cs="Times New Roman"/>
          <w:snapToGrid w:val="0"/>
          <w:kern w:val="0"/>
          <w:sz w:val="28"/>
          <w:szCs w:val="28"/>
        </w:rPr>
      </w:pPr>
      <w:r>
        <w:rPr>
          <w:rFonts w:ascii="Calibri" w:hAnsi="Calibri" w:eastAsia="宋体" w:cs="Times New Roman"/>
          <w:snapToGrid w:val="0"/>
          <w:kern w:val="0"/>
          <w:sz w:val="28"/>
          <w:szCs w:val="28"/>
        </w:rPr>
        <w:t>（七）</w:t>
      </w:r>
      <w:r>
        <w:rPr>
          <w:rFonts w:hint="eastAsia" w:ascii="Calibri" w:hAnsi="Calibri" w:eastAsia="宋体" w:cs="Times New Roman"/>
          <w:snapToGrid w:val="0"/>
          <w:kern w:val="0"/>
          <w:sz w:val="28"/>
          <w:szCs w:val="28"/>
        </w:rPr>
        <w:t>负责乡防汛抗旱组织建设，应急调度，建设应急度汛、抗旱应急、海堤、山洪灾害防治项目，储备管理防汛抗旱物资，建设水利信息化基础设施，提高乡乡抗御水旱灾害能力。</w:t>
      </w:r>
    </w:p>
    <w:p w14:paraId="6560EDB9">
      <w:pPr>
        <w:ind w:firstLine="560" w:firstLineChars="200"/>
        <w:jc w:val="left"/>
        <w:rPr>
          <w:rFonts w:ascii="Calibri" w:hAnsi="Calibri" w:eastAsia="宋体" w:cs="Times New Roman"/>
          <w:snapToGrid w:val="0"/>
          <w:kern w:val="0"/>
          <w:sz w:val="28"/>
          <w:szCs w:val="28"/>
        </w:rPr>
      </w:pPr>
      <w:r>
        <w:rPr>
          <w:rFonts w:ascii="Calibri" w:hAnsi="Calibri" w:eastAsia="宋体" w:cs="Times New Roman"/>
          <w:snapToGrid w:val="0"/>
          <w:kern w:val="0"/>
          <w:sz w:val="28"/>
          <w:szCs w:val="28"/>
        </w:rPr>
        <w:t>（八）</w:t>
      </w:r>
      <w:r>
        <w:rPr>
          <w:rFonts w:hint="eastAsia" w:ascii="Calibri" w:hAnsi="Calibri" w:eastAsia="宋体" w:cs="Times New Roman"/>
          <w:snapToGrid w:val="0"/>
          <w:kern w:val="0"/>
          <w:sz w:val="28"/>
          <w:szCs w:val="28"/>
        </w:rPr>
        <w:t>负责乡公用设施建设、安全和应急管理；落实村庄的小城乡建设政策；指导农村住房建设、住房安全和危房改造；发送小城乡和村庄人居环境。</w:t>
      </w:r>
      <w:r>
        <w:rPr>
          <w:rFonts w:ascii="Calibri" w:hAnsi="Calibri" w:eastAsia="宋体" w:cs="Times New Roman"/>
          <w:snapToGrid w:val="0"/>
          <w:kern w:val="0"/>
          <w:sz w:val="28"/>
          <w:szCs w:val="28"/>
        </w:rPr>
        <w:t xml:space="preserve"> </w:t>
      </w:r>
    </w:p>
    <w:p w14:paraId="65FF6016">
      <w:pPr>
        <w:ind w:firstLine="560" w:firstLineChars="200"/>
        <w:jc w:val="left"/>
        <w:rPr>
          <w:rFonts w:ascii="Calibri" w:hAnsi="Calibri" w:eastAsia="宋体" w:cs="Times New Roman"/>
          <w:snapToGrid w:val="0"/>
          <w:kern w:val="0"/>
          <w:sz w:val="28"/>
          <w:szCs w:val="28"/>
        </w:rPr>
      </w:pPr>
      <w:r>
        <w:rPr>
          <w:rFonts w:ascii="Calibri" w:hAnsi="Calibri" w:eastAsia="宋体" w:cs="Times New Roman"/>
          <w:snapToGrid w:val="0"/>
          <w:kern w:val="0"/>
          <w:sz w:val="28"/>
          <w:szCs w:val="28"/>
        </w:rPr>
        <w:t>（九）</w:t>
      </w:r>
      <w:r>
        <w:rPr>
          <w:rFonts w:hint="eastAsia" w:ascii="Calibri" w:hAnsi="Calibri" w:eastAsia="宋体" w:cs="Times New Roman"/>
          <w:snapToGrid w:val="0"/>
          <w:kern w:val="0"/>
          <w:sz w:val="28"/>
          <w:szCs w:val="28"/>
        </w:rPr>
        <w:t>完成交通基础设施投资；管理乡乡重点工程建设、工程质量和安全生产，对项目招投标活动进行监督管理。</w:t>
      </w:r>
    </w:p>
    <w:p w14:paraId="75E58473">
      <w:pPr>
        <w:ind w:firstLine="560" w:firstLineChars="200"/>
        <w:jc w:val="left"/>
        <w:rPr>
          <w:rFonts w:ascii="Calibri" w:hAnsi="Calibri" w:eastAsia="宋体" w:cs="Times New Roman"/>
          <w:snapToGrid w:val="0"/>
          <w:kern w:val="0"/>
          <w:sz w:val="28"/>
          <w:szCs w:val="28"/>
        </w:rPr>
      </w:pPr>
      <w:r>
        <w:rPr>
          <w:rFonts w:ascii="Calibri" w:hAnsi="Calibri" w:eastAsia="宋体" w:cs="Times New Roman"/>
          <w:snapToGrid w:val="0"/>
          <w:kern w:val="0"/>
          <w:sz w:val="28"/>
          <w:szCs w:val="28"/>
        </w:rPr>
        <w:t>（十）</w:t>
      </w:r>
      <w:r>
        <w:rPr>
          <w:rFonts w:hint="eastAsia" w:ascii="Calibri" w:hAnsi="Calibri" w:eastAsia="宋体" w:cs="Times New Roman"/>
          <w:snapToGrid w:val="0"/>
          <w:kern w:val="0"/>
          <w:sz w:val="28"/>
          <w:szCs w:val="28"/>
        </w:rPr>
        <w:t>协助完成国家下达的广播电视直播卫星户户通工程、农村电影工作、数字影院升级改造、农家书屋建设、全民阅读活动、老放映员生活补助以及应急广播体系建设等任务目标。</w:t>
      </w:r>
    </w:p>
    <w:p w14:paraId="056B7AFB">
      <w:pPr>
        <w:ind w:firstLine="560" w:firstLineChars="200"/>
        <w:jc w:val="left"/>
        <w:rPr>
          <w:rFonts w:ascii="Calibri" w:hAnsi="Calibri" w:eastAsia="宋体" w:cs="Times New Roman"/>
          <w:snapToGrid w:val="0"/>
          <w:kern w:val="0"/>
          <w:sz w:val="28"/>
          <w:szCs w:val="28"/>
        </w:rPr>
      </w:pPr>
      <w:r>
        <w:rPr>
          <w:rFonts w:ascii="Calibri" w:hAnsi="Calibri" w:eastAsia="宋体" w:cs="Times New Roman"/>
          <w:snapToGrid w:val="0"/>
          <w:kern w:val="0"/>
          <w:sz w:val="28"/>
          <w:szCs w:val="28"/>
        </w:rPr>
        <w:t>（十一）</w:t>
      </w:r>
      <w:r>
        <w:rPr>
          <w:rFonts w:hint="eastAsia" w:ascii="Calibri" w:hAnsi="Calibri" w:eastAsia="宋体" w:cs="Times New Roman"/>
          <w:snapToGrid w:val="0"/>
          <w:kern w:val="0"/>
          <w:sz w:val="28"/>
          <w:szCs w:val="28"/>
        </w:rPr>
        <w:t>通过贯彻实施新型农村合作医疗、疾病应急救助、城乡居民大病保险以及公费医疗等制度，保障人民群众公平享有所需医疗服务权益。</w:t>
      </w:r>
    </w:p>
    <w:p w14:paraId="426E8C6A">
      <w:pPr>
        <w:ind w:firstLine="560" w:firstLineChars="200"/>
        <w:jc w:val="left"/>
        <w:rPr>
          <w:rFonts w:ascii="Calibri" w:hAnsi="Calibri" w:eastAsia="宋体" w:cs="Times New Roman"/>
          <w:snapToGrid w:val="0"/>
          <w:kern w:val="0"/>
          <w:sz w:val="28"/>
          <w:szCs w:val="28"/>
        </w:rPr>
      </w:pPr>
      <w:r>
        <w:rPr>
          <w:rFonts w:ascii="Calibri" w:hAnsi="Calibri" w:eastAsia="宋体" w:cs="Times New Roman"/>
          <w:snapToGrid w:val="0"/>
          <w:kern w:val="0"/>
          <w:sz w:val="28"/>
          <w:szCs w:val="28"/>
        </w:rPr>
        <w:t>（十二）</w:t>
      </w:r>
      <w:r>
        <w:rPr>
          <w:rFonts w:hint="eastAsia" w:ascii="Calibri" w:hAnsi="Calibri" w:eastAsia="宋体" w:cs="Times New Roman"/>
          <w:snapToGrid w:val="0"/>
          <w:kern w:val="0"/>
          <w:sz w:val="28"/>
          <w:szCs w:val="28"/>
        </w:rPr>
        <w:t>提供各类计划生育技术服务，开展出生人口性别比治理以及流动人口计划生育管理等各项工作。</w:t>
      </w:r>
    </w:p>
    <w:p w14:paraId="1F2DC7F9">
      <w:pPr>
        <w:ind w:firstLine="560" w:firstLineChars="200"/>
        <w:jc w:val="left"/>
        <w:rPr>
          <w:rFonts w:ascii="Calibri" w:hAnsi="Calibri" w:eastAsia="宋体" w:cs="Times New Roman"/>
          <w:snapToGrid w:val="0"/>
          <w:kern w:val="0"/>
          <w:sz w:val="28"/>
          <w:szCs w:val="28"/>
        </w:rPr>
      </w:pPr>
      <w:r>
        <w:rPr>
          <w:rFonts w:ascii="Calibri" w:hAnsi="Calibri" w:eastAsia="宋体" w:cs="Times New Roman"/>
          <w:snapToGrid w:val="0"/>
          <w:kern w:val="0"/>
          <w:sz w:val="28"/>
          <w:szCs w:val="28"/>
        </w:rPr>
        <w:t>（十三）</w:t>
      </w:r>
      <w:r>
        <w:rPr>
          <w:rFonts w:hint="eastAsia" w:ascii="Calibri" w:hAnsi="Calibri" w:eastAsia="宋体" w:cs="Times New Roman"/>
          <w:snapToGrid w:val="0"/>
          <w:kern w:val="0"/>
          <w:sz w:val="28"/>
          <w:szCs w:val="28"/>
        </w:rPr>
        <w:t>承担系统综合业务管理和部门综合事务管理。</w:t>
      </w:r>
    </w:p>
    <w:p w14:paraId="6587CD89">
      <w:pPr>
        <w:ind w:firstLine="560" w:firstLineChars="200"/>
        <w:jc w:val="left"/>
        <w:rPr>
          <w:rFonts w:ascii="Calibri" w:hAnsi="Calibri" w:eastAsia="宋体" w:cs="Times New Roman"/>
          <w:snapToGrid w:val="0"/>
          <w:kern w:val="0"/>
          <w:sz w:val="28"/>
          <w:szCs w:val="28"/>
        </w:rPr>
      </w:pPr>
      <w:r>
        <w:rPr>
          <w:rFonts w:ascii="Calibri" w:hAnsi="Calibri" w:eastAsia="宋体" w:cs="Times New Roman"/>
          <w:snapToGrid w:val="0"/>
          <w:kern w:val="0"/>
          <w:sz w:val="28"/>
          <w:szCs w:val="28"/>
        </w:rPr>
        <w:t>（十四）</w:t>
      </w:r>
      <w:r>
        <w:rPr>
          <w:rFonts w:hint="eastAsia" w:ascii="Calibri" w:hAnsi="Calibri" w:eastAsia="宋体" w:cs="Times New Roman"/>
          <w:snapToGrid w:val="0"/>
          <w:kern w:val="0"/>
          <w:sz w:val="28"/>
          <w:szCs w:val="28"/>
        </w:rPr>
        <w:t>贯彻落实大气、水体、固体废物、化学品、机动车等污染防治管理制度，开展饮用水水源地环境保护；强化生态保护和监察监管，提高自然保护区建设水平，加强生物多样性保护力度，提升农村生态环境质量；解决影响群众生活和健康较为直接的饮用水安全保障、生活垃圾和汗水治理、率领养殖污染治理防治等突出环境问题，发送环境重点、敏感区域的农村人居和生态环境质量。</w:t>
      </w:r>
    </w:p>
    <w:p w14:paraId="6DCDD04D">
      <w:pPr>
        <w:ind w:firstLine="560" w:firstLineChars="200"/>
        <w:jc w:val="left"/>
        <w:rPr>
          <w:rFonts w:ascii="Calibri" w:hAnsi="Calibri" w:eastAsia="宋体" w:cs="Times New Roman"/>
          <w:snapToGrid w:val="0"/>
          <w:kern w:val="0"/>
          <w:sz w:val="28"/>
          <w:szCs w:val="28"/>
        </w:rPr>
      </w:pPr>
      <w:r>
        <w:rPr>
          <w:rFonts w:hint="eastAsia" w:ascii="Calibri" w:hAnsi="Calibri" w:eastAsia="宋体" w:cs="Times New Roman"/>
          <w:snapToGrid w:val="0"/>
          <w:kern w:val="0"/>
          <w:sz w:val="28"/>
          <w:szCs w:val="28"/>
        </w:rPr>
        <w:t>（十五）负责正常信访、非访、突发性及群体性事件的办理；提供相关服务保障；协助区信访局处理群众进京上访；信访事项督查、复查复核、听证。</w:t>
      </w:r>
    </w:p>
    <w:p w14:paraId="126F5D12">
      <w:pPr>
        <w:ind w:firstLine="560" w:firstLineChars="200"/>
        <w:jc w:val="left"/>
        <w:rPr>
          <w:rFonts w:ascii="Calibri" w:hAnsi="Calibri" w:eastAsia="宋体" w:cs="Times New Roman"/>
          <w:snapToGrid w:val="0"/>
          <w:kern w:val="0"/>
          <w:sz w:val="28"/>
          <w:szCs w:val="28"/>
        </w:rPr>
      </w:pPr>
      <w:r>
        <w:rPr>
          <w:rFonts w:hint="eastAsia" w:ascii="Calibri" w:hAnsi="Calibri" w:eastAsia="宋体" w:cs="Times New Roman"/>
          <w:snapToGrid w:val="0"/>
          <w:kern w:val="0"/>
          <w:sz w:val="28"/>
          <w:szCs w:val="28"/>
        </w:rPr>
        <w:t>（十六）加强后备力量建设，培养“劳武”两用人才的人民武装建设的基地。</w:t>
      </w:r>
    </w:p>
    <w:p w14:paraId="7A0C3787">
      <w:pPr>
        <w:ind w:firstLine="560" w:firstLineChars="200"/>
        <w:jc w:val="left"/>
        <w:rPr>
          <w:rFonts w:ascii="Calibri" w:hAnsi="Calibri" w:eastAsia="宋体" w:cs="Times New Roman"/>
          <w:snapToGrid w:val="0"/>
          <w:kern w:val="0"/>
          <w:sz w:val="28"/>
          <w:szCs w:val="28"/>
        </w:rPr>
      </w:pPr>
      <w:r>
        <w:rPr>
          <w:rFonts w:hint="eastAsia" w:ascii="Calibri" w:hAnsi="Calibri" w:eastAsia="宋体" w:cs="Times New Roman"/>
          <w:snapToGrid w:val="0"/>
          <w:kern w:val="0"/>
          <w:sz w:val="28"/>
          <w:szCs w:val="28"/>
        </w:rPr>
        <w:t>（十七）以农村教育为重点，推进义务教育均衡发展，建立中小学校舍安全保障机制，发送薄弱学校办学条件，促进公共教育资源向农村和经济欠发达地区倾斜。</w:t>
      </w:r>
    </w:p>
    <w:p w14:paraId="6295946D">
      <w:pPr>
        <w:ind w:firstLine="560" w:firstLineChars="200"/>
        <w:jc w:val="left"/>
        <w:rPr>
          <w:rFonts w:ascii="Calibri" w:hAnsi="Calibri" w:eastAsia="宋体" w:cs="Times New Roman"/>
          <w:snapToGrid w:val="0"/>
          <w:kern w:val="0"/>
          <w:sz w:val="28"/>
          <w:szCs w:val="28"/>
        </w:rPr>
      </w:pPr>
      <w:r>
        <w:rPr>
          <w:rFonts w:hint="eastAsia" w:ascii="Calibri" w:hAnsi="Calibri" w:eastAsia="宋体" w:cs="Times New Roman"/>
          <w:snapToGrid w:val="0"/>
          <w:kern w:val="0"/>
          <w:sz w:val="28"/>
          <w:szCs w:val="28"/>
        </w:rPr>
        <w:t>（十八）承担全乡安全生产综合监督管理责任，依法行使综合监督管理职权；根据《中华人民共和国安全生产法</w:t>
      </w:r>
      <w:bookmarkStart w:id="0" w:name="_GoBack"/>
      <w:bookmarkEnd w:id="0"/>
      <w:r>
        <w:rPr>
          <w:rFonts w:hint="eastAsia" w:ascii="Calibri" w:hAnsi="Calibri" w:eastAsia="宋体" w:cs="Times New Roman"/>
          <w:snapToGrid w:val="0"/>
          <w:kern w:val="0"/>
          <w:sz w:val="28"/>
          <w:szCs w:val="28"/>
        </w:rPr>
        <w:t>》、《安全生产违法行为行政处罚办法》等法律法规，依法开展热源检查工作，对发现的安全生产违法行为依法进行行政处罚，遏制重特大事故发生，确保全乡安全生产形势稳定好转；对食品制作流通各环节进行监管，及时发现和排除食品安全问题，确保大型活动期间的餐饮安全。</w:t>
      </w:r>
    </w:p>
    <w:p w14:paraId="6095A618">
      <w:pPr>
        <w:ind w:firstLine="560" w:firstLineChars="200"/>
        <w:jc w:val="left"/>
        <w:rPr>
          <w:rFonts w:ascii="Calibri" w:hAnsi="Calibri" w:eastAsia="宋体" w:cs="Times New Roman"/>
          <w:snapToGrid w:val="0"/>
          <w:kern w:val="0"/>
          <w:sz w:val="28"/>
          <w:szCs w:val="28"/>
        </w:rPr>
      </w:pPr>
      <w:r>
        <w:rPr>
          <w:rFonts w:hint="eastAsia" w:ascii="Calibri" w:hAnsi="Calibri" w:eastAsia="宋体" w:cs="Times New Roman"/>
          <w:snapToGrid w:val="0"/>
          <w:kern w:val="0"/>
          <w:sz w:val="28"/>
          <w:szCs w:val="28"/>
        </w:rPr>
        <w:t>（十九）统计、汇总、核查、会商灾情，统一发布灾情；组织协调紧急转移安置灾民；承办救灾款物分配和监管，物资调运，组织民房恢复重建及灾民生活救助，指导紧急救灾和灾后生产恢复。</w:t>
      </w:r>
    </w:p>
    <w:p w14:paraId="04BEBCF2">
      <w:pPr>
        <w:ind w:firstLine="560" w:firstLineChars="200"/>
        <w:jc w:val="left"/>
        <w:rPr>
          <w:rFonts w:ascii="Calibri" w:hAnsi="Calibri" w:eastAsia="宋体" w:cs="Times New Roman"/>
          <w:snapToGrid w:val="0"/>
          <w:kern w:val="0"/>
          <w:sz w:val="28"/>
          <w:szCs w:val="28"/>
        </w:rPr>
      </w:pPr>
      <w:r>
        <w:rPr>
          <w:rFonts w:hint="eastAsia" w:ascii="Calibri" w:hAnsi="Calibri" w:eastAsia="宋体" w:cs="Times New Roman"/>
          <w:snapToGrid w:val="0"/>
          <w:kern w:val="0"/>
          <w:sz w:val="28"/>
          <w:szCs w:val="28"/>
        </w:rPr>
        <w:t>（二十）按照国家、省部署，对全乡主要粮食作物和猪、牛、羊、鸡等畜产品生产实施良种补贴。</w:t>
      </w:r>
    </w:p>
    <w:p w14:paraId="4DAC1FDB">
      <w:pPr>
        <w:ind w:firstLine="560" w:firstLineChars="200"/>
        <w:jc w:val="left"/>
        <w:rPr>
          <w:rFonts w:ascii="Calibri" w:hAnsi="Calibri" w:eastAsia="宋体" w:cs="Times New Roman"/>
          <w:snapToGrid w:val="0"/>
          <w:kern w:val="0"/>
          <w:sz w:val="28"/>
          <w:szCs w:val="28"/>
        </w:rPr>
      </w:pPr>
      <w:r>
        <w:rPr>
          <w:rFonts w:hint="eastAsia" w:ascii="Calibri" w:hAnsi="Calibri" w:eastAsia="宋体" w:cs="Times New Roman"/>
          <w:snapToGrid w:val="0"/>
          <w:kern w:val="0"/>
          <w:sz w:val="28"/>
          <w:szCs w:val="28"/>
        </w:rPr>
        <w:t>（二十一）推进农村集体产权制度改革，完善农村土地承包制度，引导农村土地合理流转。创新农业经营主体；根据国家要求开展农村土地承包经营确权登记试点，并逐步向全乡全面推开。</w:t>
      </w:r>
    </w:p>
    <w:p w14:paraId="30B0990A">
      <w:pPr>
        <w:ind w:firstLine="560" w:firstLineChars="200"/>
        <w:jc w:val="left"/>
        <w:rPr>
          <w:rFonts w:ascii="Calibri" w:hAnsi="Calibri" w:eastAsia="宋体" w:cs="Times New Roman"/>
          <w:snapToGrid w:val="0"/>
          <w:kern w:val="0"/>
          <w:sz w:val="28"/>
          <w:szCs w:val="28"/>
        </w:rPr>
      </w:pPr>
      <w:r>
        <w:rPr>
          <w:rFonts w:hint="eastAsia" w:ascii="Calibri" w:hAnsi="Calibri" w:eastAsia="宋体" w:cs="Times New Roman"/>
          <w:snapToGrid w:val="0"/>
          <w:kern w:val="0"/>
          <w:sz w:val="28"/>
          <w:szCs w:val="28"/>
        </w:rPr>
        <w:t>（二十二）贯彻执行国家、省、关于林业及其生态建设的方针、政策和法律法规；组织落实林业及其生态环境建设、森林资源保护、国土绿化、荒漠化防潮和林业产业发展的政策，并组织实施监督和检查，组织开展森林资源、承担林业生态文明建设的有关工作。</w:t>
      </w:r>
    </w:p>
    <w:p w14:paraId="7D48A799">
      <w:pPr>
        <w:ind w:firstLine="560" w:firstLineChars="200"/>
        <w:jc w:val="left"/>
        <w:rPr>
          <w:rFonts w:ascii="Calibri" w:hAnsi="Calibri" w:eastAsia="宋体" w:cs="Times New Roman"/>
          <w:snapToGrid w:val="0"/>
          <w:kern w:val="0"/>
          <w:sz w:val="28"/>
          <w:szCs w:val="28"/>
        </w:rPr>
      </w:pPr>
      <w:r>
        <w:rPr>
          <w:rFonts w:hint="eastAsia" w:ascii="Calibri" w:hAnsi="Calibri" w:eastAsia="宋体" w:cs="Times New Roman"/>
          <w:snapToGrid w:val="0"/>
          <w:kern w:val="0"/>
          <w:sz w:val="28"/>
          <w:szCs w:val="28"/>
        </w:rPr>
        <w:t>（二十三）通过实施农村面貌改造提升行动，加快建设社会主义新农村。</w:t>
      </w:r>
    </w:p>
    <w:p w14:paraId="7888CA30">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、部门决算单位构成</w:t>
      </w:r>
    </w:p>
    <w:p w14:paraId="32CB9560">
      <w:pPr>
        <w:adjustRightInd w:val="0"/>
        <w:snapToGrid w:val="0"/>
        <w:spacing w:line="600" w:lineRule="exact"/>
        <w:ind w:firstLine="560" w:firstLineChars="200"/>
        <w:rPr>
          <w:snapToGrid w:val="0"/>
          <w:kern w:val="0"/>
          <w:sz w:val="28"/>
          <w:szCs w:val="28"/>
        </w:rPr>
      </w:pPr>
      <w:r>
        <w:rPr>
          <w:rFonts w:hint="eastAsia"/>
          <w:snapToGrid w:val="0"/>
          <w:kern w:val="0"/>
          <w:sz w:val="28"/>
          <w:szCs w:val="28"/>
        </w:rPr>
        <w:t>我</w:t>
      </w:r>
      <w:r>
        <w:rPr>
          <w:snapToGrid w:val="0"/>
          <w:kern w:val="0"/>
          <w:sz w:val="28"/>
          <w:szCs w:val="28"/>
        </w:rPr>
        <w:t>部门独立核算</w:t>
      </w:r>
      <w:r>
        <w:rPr>
          <w:rFonts w:hint="eastAsia"/>
          <w:snapToGrid w:val="0"/>
          <w:kern w:val="0"/>
          <w:sz w:val="28"/>
          <w:szCs w:val="28"/>
        </w:rPr>
        <w:t>机构1个</w:t>
      </w:r>
      <w:r>
        <w:rPr>
          <w:snapToGrid w:val="0"/>
          <w:kern w:val="0"/>
          <w:sz w:val="28"/>
          <w:szCs w:val="28"/>
        </w:rPr>
        <w:t>，年末</w:t>
      </w:r>
      <w:r>
        <w:rPr>
          <w:rFonts w:hint="eastAsia"/>
          <w:snapToGrid w:val="0"/>
          <w:kern w:val="0"/>
          <w:sz w:val="28"/>
          <w:szCs w:val="28"/>
        </w:rPr>
        <w:t>实</w:t>
      </w:r>
      <w:r>
        <w:rPr>
          <w:snapToGrid w:val="0"/>
          <w:kern w:val="0"/>
          <w:sz w:val="28"/>
          <w:szCs w:val="28"/>
        </w:rPr>
        <w:t>有人数</w:t>
      </w:r>
      <w:r>
        <w:rPr>
          <w:rFonts w:hint="eastAsia"/>
          <w:snapToGrid w:val="0"/>
          <w:kern w:val="0"/>
          <w:sz w:val="28"/>
          <w:szCs w:val="28"/>
        </w:rPr>
        <w:t>93人</w:t>
      </w:r>
      <w:r>
        <w:rPr>
          <w:snapToGrid w:val="0"/>
          <w:kern w:val="0"/>
          <w:sz w:val="28"/>
          <w:szCs w:val="28"/>
        </w:rPr>
        <w:t>，</w:t>
      </w:r>
      <w:r>
        <w:rPr>
          <w:rFonts w:hint="eastAsia"/>
          <w:snapToGrid w:val="0"/>
          <w:kern w:val="0"/>
          <w:sz w:val="28"/>
          <w:szCs w:val="28"/>
        </w:rPr>
        <w:t>其中</w:t>
      </w:r>
      <w:r>
        <w:rPr>
          <w:snapToGrid w:val="0"/>
          <w:kern w:val="0"/>
          <w:sz w:val="28"/>
          <w:szCs w:val="28"/>
        </w:rPr>
        <w:t>在职人员</w:t>
      </w:r>
      <w:r>
        <w:rPr>
          <w:rFonts w:hint="eastAsia"/>
          <w:snapToGrid w:val="0"/>
          <w:kern w:val="0"/>
          <w:sz w:val="28"/>
          <w:szCs w:val="28"/>
        </w:rPr>
        <w:t>70人</w:t>
      </w:r>
      <w:r>
        <w:rPr>
          <w:snapToGrid w:val="0"/>
          <w:kern w:val="0"/>
          <w:sz w:val="28"/>
          <w:szCs w:val="28"/>
        </w:rPr>
        <w:t>，离休人员</w:t>
      </w:r>
      <w:r>
        <w:rPr>
          <w:rFonts w:hint="eastAsia"/>
          <w:snapToGrid w:val="0"/>
          <w:kern w:val="0"/>
          <w:sz w:val="28"/>
          <w:szCs w:val="28"/>
        </w:rPr>
        <w:t>1人</w:t>
      </w:r>
      <w:r>
        <w:rPr>
          <w:snapToGrid w:val="0"/>
          <w:kern w:val="0"/>
          <w:sz w:val="28"/>
          <w:szCs w:val="28"/>
        </w:rPr>
        <w:t>，退休人员</w:t>
      </w:r>
      <w:r>
        <w:rPr>
          <w:rFonts w:hint="eastAsia"/>
          <w:snapToGrid w:val="0"/>
          <w:kern w:val="0"/>
          <w:sz w:val="28"/>
          <w:szCs w:val="28"/>
        </w:rPr>
        <w:t>22人</w:t>
      </w:r>
      <w:r>
        <w:rPr>
          <w:snapToGrid w:val="0"/>
          <w:kern w:val="0"/>
          <w:sz w:val="28"/>
          <w:szCs w:val="28"/>
        </w:rPr>
        <w:t>。</w:t>
      </w:r>
    </w:p>
    <w:p w14:paraId="6119701D">
      <w:pPr>
        <w:ind w:firstLine="560" w:firstLineChars="200"/>
        <w:jc w:val="left"/>
        <w:rPr>
          <w:rFonts w:ascii="Calibri" w:hAnsi="Calibri" w:eastAsia="宋体" w:cs="Times New Roman"/>
          <w:snapToGrid w:val="0"/>
          <w:kern w:val="0"/>
          <w:sz w:val="28"/>
          <w:szCs w:val="28"/>
        </w:rPr>
      </w:pPr>
      <w:r>
        <w:rPr>
          <w:rFonts w:hint="eastAsia" w:ascii="Calibri" w:hAnsi="Calibri" w:eastAsia="宋体" w:cs="Times New Roman"/>
          <w:snapToGrid w:val="0"/>
          <w:kern w:val="0"/>
          <w:sz w:val="28"/>
          <w:szCs w:val="28"/>
        </w:rPr>
        <w:t>1.根据上述职责，我单位设6个内设机构：党政办公室、经济发展办公室、社会治安综合治理办公室、社会事务办公室、计划生育服务中心、综合文化服务中心。</w:t>
      </w:r>
    </w:p>
    <w:p w14:paraId="5D6CA9EC">
      <w:pPr>
        <w:ind w:firstLine="560" w:firstLineChars="200"/>
        <w:jc w:val="left"/>
        <w:rPr>
          <w:rFonts w:ascii="Calibri" w:hAnsi="Calibri" w:eastAsia="宋体" w:cs="Times New Roman"/>
          <w:snapToGrid w:val="0"/>
          <w:kern w:val="0"/>
          <w:sz w:val="28"/>
          <w:szCs w:val="28"/>
        </w:rPr>
      </w:pPr>
      <w:r>
        <w:rPr>
          <w:rFonts w:hint="eastAsia" w:ascii="Calibri" w:hAnsi="Calibri" w:eastAsia="宋体" w:cs="Times New Roman"/>
          <w:snapToGrid w:val="0"/>
          <w:kern w:val="0"/>
          <w:sz w:val="28"/>
          <w:szCs w:val="28"/>
        </w:rPr>
        <w:t>2.下属事业单位0个。</w:t>
      </w:r>
    </w:p>
    <w:p w14:paraId="2F8ED979">
      <w:pPr>
        <w:jc w:val="center"/>
        <w:rPr>
          <w:b/>
          <w:sz w:val="44"/>
          <w:szCs w:val="44"/>
        </w:rPr>
      </w:pPr>
      <w:r>
        <w:rPr>
          <w:rFonts w:hint="eastAsia"/>
          <w:b/>
          <w:sz w:val="44"/>
          <w:szCs w:val="44"/>
        </w:rPr>
        <w:t>第二部分  留村乡部门2016年</w:t>
      </w:r>
      <w:r>
        <w:rPr>
          <w:b/>
          <w:sz w:val="44"/>
          <w:szCs w:val="44"/>
        </w:rPr>
        <w:t>部门决算</w:t>
      </w:r>
    </w:p>
    <w:p w14:paraId="4687B102">
      <w:pPr>
        <w:jc w:val="center"/>
        <w:rPr>
          <w:b/>
          <w:sz w:val="44"/>
          <w:szCs w:val="44"/>
        </w:rPr>
      </w:pPr>
      <w:r>
        <w:rPr>
          <w:rFonts w:hint="eastAsia"/>
          <w:b/>
          <w:sz w:val="44"/>
          <w:szCs w:val="44"/>
        </w:rPr>
        <w:t xml:space="preserve">       </w:t>
      </w:r>
      <w:r>
        <w:rPr>
          <w:b/>
          <w:sz w:val="44"/>
          <w:szCs w:val="44"/>
        </w:rPr>
        <w:t>情况说明</w:t>
      </w:r>
    </w:p>
    <w:p w14:paraId="76D09CC4">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收入支出决算总体情况说明</w:t>
      </w:r>
    </w:p>
    <w:p w14:paraId="53D35916">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本部门2016年本</w:t>
      </w:r>
      <w:r>
        <w:rPr>
          <w:snapToGrid w:val="0"/>
          <w:kern w:val="0"/>
          <w:sz w:val="28"/>
          <w:szCs w:val="28"/>
        </w:rPr>
        <w:t>年收入总计</w:t>
      </w:r>
      <w:r>
        <w:rPr>
          <w:rFonts w:hint="eastAsia"/>
          <w:snapToGrid w:val="0"/>
          <w:kern w:val="0"/>
          <w:sz w:val="28"/>
          <w:szCs w:val="28"/>
        </w:rPr>
        <w:t>1658.47万</w:t>
      </w:r>
      <w:r>
        <w:rPr>
          <w:snapToGrid w:val="0"/>
          <w:kern w:val="0"/>
          <w:sz w:val="28"/>
          <w:szCs w:val="28"/>
        </w:rPr>
        <w:t>元，</w:t>
      </w:r>
      <w:r>
        <w:rPr>
          <w:rFonts w:hint="eastAsia"/>
          <w:snapToGrid w:val="0"/>
          <w:kern w:val="0"/>
          <w:sz w:val="28"/>
          <w:szCs w:val="28"/>
        </w:rPr>
        <w:t>较</w:t>
      </w:r>
      <w:r>
        <w:rPr>
          <w:snapToGrid w:val="0"/>
          <w:kern w:val="0"/>
          <w:sz w:val="28"/>
          <w:szCs w:val="28"/>
        </w:rPr>
        <w:t>上年增长</w:t>
      </w:r>
      <w:r>
        <w:rPr>
          <w:rFonts w:hint="eastAsia"/>
          <w:snapToGrid w:val="0"/>
          <w:kern w:val="0"/>
          <w:sz w:val="28"/>
          <w:szCs w:val="28"/>
        </w:rPr>
        <w:t>5</w:t>
      </w:r>
      <w:r>
        <w:rPr>
          <w:snapToGrid w:val="0"/>
          <w:kern w:val="0"/>
          <w:sz w:val="28"/>
          <w:szCs w:val="28"/>
        </w:rPr>
        <w:t>%，增</w:t>
      </w:r>
      <w:r>
        <w:rPr>
          <w:rFonts w:hint="eastAsia"/>
          <w:snapToGrid w:val="0"/>
          <w:kern w:val="0"/>
          <w:sz w:val="28"/>
          <w:szCs w:val="28"/>
        </w:rPr>
        <w:t>收80.89万</w:t>
      </w:r>
      <w:r>
        <w:rPr>
          <w:snapToGrid w:val="0"/>
          <w:kern w:val="0"/>
          <w:sz w:val="28"/>
          <w:szCs w:val="28"/>
        </w:rPr>
        <w:t>元；</w:t>
      </w:r>
      <w:r>
        <w:rPr>
          <w:rFonts w:hint="eastAsia"/>
          <w:snapToGrid w:val="0"/>
          <w:kern w:val="0"/>
          <w:sz w:val="28"/>
          <w:szCs w:val="28"/>
        </w:rPr>
        <w:t>本</w:t>
      </w:r>
      <w:r>
        <w:rPr>
          <w:snapToGrid w:val="0"/>
          <w:kern w:val="0"/>
          <w:sz w:val="28"/>
          <w:szCs w:val="28"/>
        </w:rPr>
        <w:t>年支出总计</w:t>
      </w:r>
      <w:r>
        <w:rPr>
          <w:rFonts w:hint="eastAsia"/>
          <w:snapToGrid w:val="0"/>
          <w:kern w:val="0"/>
          <w:sz w:val="28"/>
          <w:szCs w:val="28"/>
        </w:rPr>
        <w:t>1658.47万</w:t>
      </w:r>
      <w:r>
        <w:rPr>
          <w:snapToGrid w:val="0"/>
          <w:kern w:val="0"/>
          <w:sz w:val="28"/>
          <w:szCs w:val="28"/>
        </w:rPr>
        <w:t>元，较上年增长</w:t>
      </w:r>
      <w:r>
        <w:rPr>
          <w:rFonts w:hint="eastAsia"/>
          <w:snapToGrid w:val="0"/>
          <w:kern w:val="0"/>
          <w:sz w:val="28"/>
          <w:szCs w:val="28"/>
        </w:rPr>
        <w:t>16</w:t>
      </w:r>
      <w:r>
        <w:rPr>
          <w:snapToGrid w:val="0"/>
          <w:kern w:val="0"/>
          <w:sz w:val="28"/>
          <w:szCs w:val="28"/>
        </w:rPr>
        <w:t>%，增支</w:t>
      </w:r>
      <w:r>
        <w:rPr>
          <w:rFonts w:hint="eastAsia"/>
          <w:snapToGrid w:val="0"/>
          <w:kern w:val="0"/>
          <w:sz w:val="28"/>
          <w:szCs w:val="28"/>
        </w:rPr>
        <w:t>233.57万</w:t>
      </w:r>
      <w:r>
        <w:rPr>
          <w:snapToGrid w:val="0"/>
          <w:kern w:val="0"/>
          <w:sz w:val="28"/>
          <w:szCs w:val="28"/>
        </w:rPr>
        <w:t>元</w:t>
      </w:r>
      <w:r>
        <w:rPr>
          <w:rFonts w:hint="eastAsia"/>
          <w:snapToGrid w:val="0"/>
          <w:kern w:val="0"/>
          <w:sz w:val="28"/>
          <w:szCs w:val="28"/>
        </w:rPr>
        <w:t>，</w:t>
      </w:r>
      <w:r>
        <w:rPr>
          <w:snapToGrid w:val="0"/>
          <w:kern w:val="0"/>
          <w:sz w:val="28"/>
          <w:szCs w:val="28"/>
        </w:rPr>
        <w:t>年末结转结余</w:t>
      </w:r>
      <w:r>
        <w:rPr>
          <w:rFonts w:hint="eastAsia"/>
          <w:snapToGrid w:val="0"/>
          <w:kern w:val="0"/>
          <w:sz w:val="28"/>
          <w:szCs w:val="28"/>
        </w:rPr>
        <w:t>0万</w:t>
      </w:r>
      <w:r>
        <w:rPr>
          <w:snapToGrid w:val="0"/>
          <w:kern w:val="0"/>
          <w:sz w:val="28"/>
          <w:szCs w:val="28"/>
        </w:rPr>
        <w:t>元。</w:t>
      </w:r>
      <w:r>
        <w:rPr>
          <w:rFonts w:hint="eastAsia"/>
          <w:snapToGrid w:val="0"/>
          <w:kern w:val="0"/>
          <w:sz w:val="28"/>
          <w:szCs w:val="28"/>
        </w:rPr>
        <w:t>原因：本年度人员工资调整补发调标工资。</w:t>
      </w:r>
    </w:p>
    <w:p w14:paraId="46A6B042">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w:t>
      </w:r>
      <w:r>
        <w:rPr>
          <w:rFonts w:hint="eastAsia" w:ascii="黑体" w:hAnsi="黑体" w:eastAsia="黑体"/>
          <w:snapToGrid w:val="0"/>
          <w:kern w:val="0"/>
          <w:sz w:val="28"/>
          <w:szCs w:val="28"/>
        </w:rPr>
        <w:t>收入</w:t>
      </w:r>
      <w:r>
        <w:rPr>
          <w:rFonts w:ascii="黑体" w:hAnsi="黑体" w:eastAsia="黑体"/>
          <w:snapToGrid w:val="0"/>
          <w:kern w:val="0"/>
          <w:sz w:val="28"/>
          <w:szCs w:val="28"/>
        </w:rPr>
        <w:t>决算情况说明</w:t>
      </w:r>
    </w:p>
    <w:p w14:paraId="4EF5156E">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w:t>
      </w:r>
      <w:r>
        <w:rPr>
          <w:rFonts w:hint="eastAsia"/>
          <w:snapToGrid w:val="0"/>
          <w:kern w:val="0"/>
          <w:sz w:val="28"/>
          <w:szCs w:val="28"/>
        </w:rPr>
        <w:t>收</w:t>
      </w:r>
      <w:r>
        <w:rPr>
          <w:snapToGrid w:val="0"/>
          <w:kern w:val="0"/>
          <w:sz w:val="28"/>
          <w:szCs w:val="28"/>
        </w:rPr>
        <w:t>入总计</w:t>
      </w:r>
      <w:r>
        <w:rPr>
          <w:rFonts w:hint="eastAsia"/>
          <w:snapToGrid w:val="0"/>
          <w:kern w:val="0"/>
          <w:sz w:val="28"/>
          <w:szCs w:val="28"/>
        </w:rPr>
        <w:t>1658.47万元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Pr>
          <w:rFonts w:hint="eastAsia"/>
          <w:snapToGrid w:val="0"/>
          <w:kern w:val="0"/>
          <w:sz w:val="28"/>
          <w:szCs w:val="28"/>
        </w:rPr>
        <w:t xml:space="preserve">    1470.04万元</w:t>
      </w:r>
      <w:r>
        <w:rPr>
          <w:snapToGrid w:val="0"/>
          <w:kern w:val="0"/>
          <w:sz w:val="28"/>
          <w:szCs w:val="28"/>
        </w:rPr>
        <w:t>，</w:t>
      </w:r>
      <w:r>
        <w:rPr>
          <w:rFonts w:hint="eastAsia"/>
          <w:snapToGrid w:val="0"/>
          <w:kern w:val="0"/>
          <w:sz w:val="28"/>
          <w:szCs w:val="28"/>
        </w:rPr>
        <w:t>较上年减少3</w:t>
      </w:r>
      <w:r>
        <w:rPr>
          <w:snapToGrid w:val="0"/>
          <w:kern w:val="0"/>
          <w:sz w:val="28"/>
          <w:szCs w:val="28"/>
        </w:rPr>
        <w:t>%，</w:t>
      </w:r>
      <w:r>
        <w:rPr>
          <w:rFonts w:hint="eastAsia"/>
          <w:snapToGrid w:val="0"/>
          <w:kern w:val="0"/>
          <w:sz w:val="28"/>
          <w:szCs w:val="28"/>
        </w:rPr>
        <w:t>减少 44.86万元，</w:t>
      </w:r>
      <w:r>
        <w:rPr>
          <w:snapToGrid w:val="0"/>
          <w:kern w:val="0"/>
          <w:sz w:val="28"/>
          <w:szCs w:val="28"/>
        </w:rPr>
        <w:t>主要原因</w:t>
      </w:r>
      <w:r>
        <w:rPr>
          <w:rFonts w:hint="eastAsia"/>
          <w:snapToGrid w:val="0"/>
          <w:kern w:val="0"/>
          <w:sz w:val="28"/>
          <w:szCs w:val="28"/>
        </w:rPr>
        <w:t>工资调标，人员经费增加；</w:t>
      </w:r>
      <w:r>
        <w:rPr>
          <w:snapToGrid w:val="0"/>
          <w:kern w:val="0"/>
          <w:sz w:val="28"/>
          <w:szCs w:val="28"/>
        </w:rPr>
        <w:t>其他收入</w:t>
      </w:r>
      <w:r>
        <w:rPr>
          <w:rFonts w:hint="eastAsia"/>
          <w:snapToGrid w:val="0"/>
          <w:kern w:val="0"/>
          <w:sz w:val="28"/>
          <w:szCs w:val="28"/>
        </w:rPr>
        <w:t>2.71万</w:t>
      </w:r>
      <w:r>
        <w:rPr>
          <w:snapToGrid w:val="0"/>
          <w:kern w:val="0"/>
          <w:sz w:val="28"/>
          <w:szCs w:val="28"/>
        </w:rPr>
        <w:t>元</w:t>
      </w:r>
      <w:r>
        <w:rPr>
          <w:rFonts w:hint="eastAsia"/>
          <w:snapToGrid w:val="0"/>
          <w:kern w:val="0"/>
          <w:sz w:val="28"/>
          <w:szCs w:val="28"/>
        </w:rPr>
        <w:t>，</w:t>
      </w:r>
      <w:r>
        <w:rPr>
          <w:snapToGrid w:val="0"/>
          <w:kern w:val="0"/>
          <w:sz w:val="28"/>
          <w:szCs w:val="28"/>
        </w:rPr>
        <w:t>较上年增长</w:t>
      </w:r>
      <w:r>
        <w:rPr>
          <w:rFonts w:hint="eastAsia"/>
          <w:snapToGrid w:val="0"/>
          <w:kern w:val="0"/>
          <w:sz w:val="28"/>
          <w:szCs w:val="28"/>
        </w:rPr>
        <w:t>130</w:t>
      </w:r>
      <w:r>
        <w:rPr>
          <w:snapToGrid w:val="0"/>
          <w:kern w:val="0"/>
          <w:sz w:val="28"/>
          <w:szCs w:val="28"/>
        </w:rPr>
        <w:t>%，增收</w:t>
      </w:r>
      <w:r>
        <w:rPr>
          <w:rFonts w:hint="eastAsia"/>
          <w:snapToGrid w:val="0"/>
          <w:kern w:val="0"/>
          <w:sz w:val="28"/>
          <w:szCs w:val="28"/>
        </w:rPr>
        <w:t>1.54万元，</w:t>
      </w:r>
      <w:r>
        <w:rPr>
          <w:snapToGrid w:val="0"/>
          <w:kern w:val="0"/>
          <w:sz w:val="28"/>
          <w:szCs w:val="28"/>
        </w:rPr>
        <w:t>主要原因</w:t>
      </w:r>
      <w:r>
        <w:rPr>
          <w:rFonts w:hint="eastAsia"/>
          <w:snapToGrid w:val="0"/>
          <w:kern w:val="0"/>
          <w:sz w:val="28"/>
          <w:szCs w:val="28"/>
        </w:rPr>
        <w:t>账</w:t>
      </w:r>
      <w:r>
        <w:rPr>
          <w:snapToGrid w:val="0"/>
          <w:kern w:val="0"/>
          <w:sz w:val="28"/>
          <w:szCs w:val="28"/>
        </w:rPr>
        <w:t>户</w:t>
      </w:r>
      <w:r>
        <w:rPr>
          <w:rFonts w:hint="eastAsia"/>
          <w:snapToGrid w:val="0"/>
          <w:kern w:val="0"/>
          <w:sz w:val="28"/>
          <w:szCs w:val="28"/>
        </w:rPr>
        <w:t>银</w:t>
      </w:r>
      <w:r>
        <w:rPr>
          <w:snapToGrid w:val="0"/>
          <w:kern w:val="0"/>
          <w:sz w:val="28"/>
          <w:szCs w:val="28"/>
        </w:rPr>
        <w:t>行存款利息收入</w:t>
      </w:r>
      <w:r>
        <w:rPr>
          <w:rFonts w:hint="eastAsia"/>
          <w:snapToGrid w:val="0"/>
          <w:kern w:val="0"/>
          <w:sz w:val="28"/>
          <w:szCs w:val="28"/>
        </w:rPr>
        <w:t>。。</w:t>
      </w:r>
    </w:p>
    <w:p w14:paraId="15023292">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三</w:t>
      </w:r>
      <w:r>
        <w:rPr>
          <w:rFonts w:ascii="黑体" w:hAnsi="黑体" w:eastAsia="黑体"/>
          <w:snapToGrid w:val="0"/>
          <w:kern w:val="0"/>
          <w:sz w:val="28"/>
          <w:szCs w:val="28"/>
        </w:rPr>
        <w:t>、支出决算情况说明</w:t>
      </w:r>
    </w:p>
    <w:p w14:paraId="04FB0619">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度支出总计</w:t>
      </w:r>
      <w:r>
        <w:rPr>
          <w:rFonts w:hint="eastAsia"/>
          <w:snapToGrid w:val="0"/>
          <w:kern w:val="0"/>
          <w:sz w:val="28"/>
          <w:szCs w:val="28"/>
        </w:rPr>
        <w:t>1658.47万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Pr>
          <w:rFonts w:hint="eastAsia"/>
          <w:snapToGrid w:val="0"/>
          <w:kern w:val="0"/>
          <w:sz w:val="28"/>
          <w:szCs w:val="28"/>
        </w:rPr>
        <w:t>935.26万</w:t>
      </w:r>
      <w:r>
        <w:rPr>
          <w:snapToGrid w:val="0"/>
          <w:kern w:val="0"/>
          <w:sz w:val="28"/>
          <w:szCs w:val="28"/>
        </w:rPr>
        <w:t>元，</w:t>
      </w:r>
      <w:r>
        <w:rPr>
          <w:rFonts w:hint="eastAsia"/>
          <w:snapToGrid w:val="0"/>
          <w:kern w:val="0"/>
          <w:sz w:val="28"/>
          <w:szCs w:val="28"/>
        </w:rPr>
        <w:t>占</w:t>
      </w:r>
      <w:r>
        <w:rPr>
          <w:snapToGrid w:val="0"/>
          <w:kern w:val="0"/>
          <w:sz w:val="28"/>
          <w:szCs w:val="28"/>
        </w:rPr>
        <w:t>总支出</w:t>
      </w:r>
      <w:r>
        <w:rPr>
          <w:rFonts w:hint="eastAsia"/>
          <w:snapToGrid w:val="0"/>
          <w:kern w:val="0"/>
          <w:sz w:val="28"/>
          <w:szCs w:val="28"/>
        </w:rPr>
        <w:t>56</w:t>
      </w:r>
      <w:r>
        <w:rPr>
          <w:snapToGrid w:val="0"/>
          <w:kern w:val="0"/>
          <w:sz w:val="28"/>
          <w:szCs w:val="28"/>
        </w:rPr>
        <w:t>%</w:t>
      </w:r>
      <w:r>
        <w:rPr>
          <w:rFonts w:hint="eastAsia"/>
          <w:snapToGrid w:val="0"/>
          <w:kern w:val="0"/>
          <w:sz w:val="28"/>
          <w:szCs w:val="28"/>
        </w:rPr>
        <w:t>；</w:t>
      </w:r>
      <w:r>
        <w:rPr>
          <w:snapToGrid w:val="0"/>
          <w:kern w:val="0"/>
          <w:sz w:val="28"/>
          <w:szCs w:val="28"/>
        </w:rPr>
        <w:t>项目支出</w:t>
      </w:r>
      <w:r>
        <w:rPr>
          <w:rFonts w:hint="eastAsia"/>
          <w:snapToGrid w:val="0"/>
          <w:kern w:val="0"/>
          <w:sz w:val="28"/>
          <w:szCs w:val="28"/>
        </w:rPr>
        <w:t>723.21万</w:t>
      </w:r>
      <w:r>
        <w:rPr>
          <w:snapToGrid w:val="0"/>
          <w:kern w:val="0"/>
          <w:sz w:val="28"/>
          <w:szCs w:val="28"/>
        </w:rPr>
        <w:t>元</w:t>
      </w:r>
      <w:r>
        <w:rPr>
          <w:rFonts w:hint="eastAsia"/>
          <w:snapToGrid w:val="0"/>
          <w:kern w:val="0"/>
          <w:sz w:val="28"/>
          <w:szCs w:val="28"/>
        </w:rPr>
        <w:t>，</w:t>
      </w:r>
      <w:r>
        <w:rPr>
          <w:snapToGrid w:val="0"/>
          <w:kern w:val="0"/>
          <w:sz w:val="28"/>
          <w:szCs w:val="28"/>
        </w:rPr>
        <w:t>占总支出</w:t>
      </w:r>
      <w:r>
        <w:rPr>
          <w:rFonts w:hint="eastAsia"/>
          <w:snapToGrid w:val="0"/>
          <w:kern w:val="0"/>
          <w:sz w:val="28"/>
          <w:szCs w:val="28"/>
        </w:rPr>
        <w:t>44</w:t>
      </w:r>
      <w:r>
        <w:rPr>
          <w:snapToGrid w:val="0"/>
          <w:kern w:val="0"/>
          <w:sz w:val="28"/>
          <w:szCs w:val="28"/>
        </w:rPr>
        <w:t>%</w:t>
      </w:r>
      <w:r>
        <w:rPr>
          <w:rFonts w:hint="eastAsia"/>
          <w:snapToGrid w:val="0"/>
          <w:kern w:val="0"/>
          <w:sz w:val="28"/>
          <w:szCs w:val="28"/>
        </w:rPr>
        <w:t>。</w:t>
      </w:r>
    </w:p>
    <w:p w14:paraId="7281070E">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四</w:t>
      </w:r>
      <w:r>
        <w:rPr>
          <w:rFonts w:ascii="黑体" w:hAnsi="黑体" w:eastAsia="黑体"/>
          <w:snapToGrid w:val="0"/>
          <w:kern w:val="0"/>
          <w:sz w:val="28"/>
          <w:szCs w:val="28"/>
        </w:rPr>
        <w:t>、财政拨款收入支出</w:t>
      </w:r>
      <w:r>
        <w:rPr>
          <w:rFonts w:hint="eastAsia" w:ascii="黑体" w:hAnsi="黑体" w:eastAsia="黑体"/>
          <w:snapToGrid w:val="0"/>
          <w:kern w:val="0"/>
          <w:sz w:val="28"/>
          <w:szCs w:val="28"/>
        </w:rPr>
        <w:t>决算</w:t>
      </w:r>
      <w:r>
        <w:rPr>
          <w:rFonts w:ascii="黑体" w:hAnsi="黑体" w:eastAsia="黑体"/>
          <w:snapToGrid w:val="0"/>
          <w:kern w:val="0"/>
          <w:sz w:val="28"/>
          <w:szCs w:val="28"/>
        </w:rPr>
        <w:t>总体情况说明</w:t>
      </w:r>
    </w:p>
    <w:p w14:paraId="55BCF0E8">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Pr>
          <w:rFonts w:hint="eastAsia"/>
          <w:snapToGrid w:val="0"/>
          <w:kern w:val="0"/>
          <w:sz w:val="28"/>
          <w:szCs w:val="28"/>
        </w:rPr>
        <w:t>1655.76万</w:t>
      </w:r>
      <w:r>
        <w:rPr>
          <w:snapToGrid w:val="0"/>
          <w:kern w:val="0"/>
          <w:sz w:val="28"/>
          <w:szCs w:val="28"/>
        </w:rPr>
        <w:t>元，较上年增长</w:t>
      </w:r>
      <w:r>
        <w:rPr>
          <w:rFonts w:hint="eastAsia"/>
          <w:snapToGrid w:val="0"/>
          <w:kern w:val="0"/>
          <w:sz w:val="28"/>
          <w:szCs w:val="28"/>
        </w:rPr>
        <w:t>5</w:t>
      </w:r>
      <w:r>
        <w:rPr>
          <w:snapToGrid w:val="0"/>
          <w:kern w:val="0"/>
          <w:sz w:val="28"/>
          <w:szCs w:val="28"/>
        </w:rPr>
        <w:t>%，增收</w:t>
      </w:r>
      <w:r>
        <w:rPr>
          <w:rFonts w:hint="eastAsia"/>
          <w:snapToGrid w:val="0"/>
          <w:kern w:val="0"/>
          <w:sz w:val="28"/>
          <w:szCs w:val="28"/>
        </w:rPr>
        <w:t>80.08万</w:t>
      </w:r>
      <w:r>
        <w:rPr>
          <w:snapToGrid w:val="0"/>
          <w:kern w:val="0"/>
          <w:sz w:val="28"/>
          <w:szCs w:val="28"/>
        </w:rPr>
        <w:t>元</w:t>
      </w:r>
      <w:r>
        <w:rPr>
          <w:rFonts w:hint="eastAsia"/>
          <w:snapToGrid w:val="0"/>
          <w:kern w:val="0"/>
          <w:sz w:val="28"/>
          <w:szCs w:val="28"/>
        </w:rPr>
        <w:t>；</w:t>
      </w:r>
      <w:r>
        <w:rPr>
          <w:snapToGrid w:val="0"/>
          <w:kern w:val="0"/>
          <w:sz w:val="28"/>
          <w:szCs w:val="28"/>
        </w:rPr>
        <w:t>财政拨款支出总计</w:t>
      </w:r>
      <w:r>
        <w:rPr>
          <w:rFonts w:hint="eastAsia"/>
          <w:snapToGrid w:val="0"/>
          <w:kern w:val="0"/>
          <w:sz w:val="28"/>
          <w:szCs w:val="28"/>
        </w:rPr>
        <w:t xml:space="preserve"> 1655.76万</w:t>
      </w:r>
      <w:r>
        <w:rPr>
          <w:snapToGrid w:val="0"/>
          <w:kern w:val="0"/>
          <w:sz w:val="28"/>
          <w:szCs w:val="28"/>
        </w:rPr>
        <w:t>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增</w:t>
      </w:r>
      <w:r>
        <w:rPr>
          <w:snapToGrid w:val="0"/>
          <w:kern w:val="0"/>
          <w:sz w:val="28"/>
          <w:szCs w:val="28"/>
        </w:rPr>
        <w:t>长</w:t>
      </w:r>
      <w:r>
        <w:rPr>
          <w:rFonts w:hint="eastAsia"/>
          <w:snapToGrid w:val="0"/>
          <w:kern w:val="0"/>
          <w:sz w:val="28"/>
          <w:szCs w:val="28"/>
        </w:rPr>
        <w:t>16</w:t>
      </w:r>
      <w:r>
        <w:rPr>
          <w:snapToGrid w:val="0"/>
          <w:kern w:val="0"/>
          <w:sz w:val="28"/>
          <w:szCs w:val="28"/>
        </w:rPr>
        <w:t>%，增支</w:t>
      </w:r>
      <w:r>
        <w:rPr>
          <w:rFonts w:hint="eastAsia"/>
          <w:snapToGrid w:val="0"/>
          <w:kern w:val="0"/>
          <w:sz w:val="28"/>
          <w:szCs w:val="28"/>
        </w:rPr>
        <w:t>23.76万</w:t>
      </w:r>
      <w:r>
        <w:rPr>
          <w:snapToGrid w:val="0"/>
          <w:kern w:val="0"/>
          <w:sz w:val="28"/>
          <w:szCs w:val="28"/>
        </w:rPr>
        <w:t>元，</w:t>
      </w:r>
      <w:r>
        <w:rPr>
          <w:rFonts w:hint="eastAsia"/>
          <w:snapToGrid w:val="0"/>
          <w:kern w:val="0"/>
          <w:sz w:val="28"/>
          <w:szCs w:val="28"/>
        </w:rPr>
        <w:t>年</w:t>
      </w:r>
      <w:r>
        <w:rPr>
          <w:snapToGrid w:val="0"/>
          <w:kern w:val="0"/>
          <w:sz w:val="28"/>
          <w:szCs w:val="28"/>
        </w:rPr>
        <w:t>末财政拨款结转结余</w:t>
      </w:r>
      <w:r>
        <w:rPr>
          <w:rFonts w:hint="eastAsia"/>
          <w:snapToGrid w:val="0"/>
          <w:kern w:val="0"/>
          <w:sz w:val="28"/>
          <w:szCs w:val="28"/>
        </w:rPr>
        <w:t>0万</w:t>
      </w:r>
      <w:r>
        <w:rPr>
          <w:snapToGrid w:val="0"/>
          <w:kern w:val="0"/>
          <w:sz w:val="28"/>
          <w:szCs w:val="28"/>
        </w:rPr>
        <w:t>元。</w:t>
      </w:r>
      <w:r>
        <w:rPr>
          <w:rFonts w:hint="eastAsia"/>
          <w:snapToGrid w:val="0"/>
          <w:kern w:val="0"/>
          <w:sz w:val="28"/>
          <w:szCs w:val="28"/>
        </w:rPr>
        <w:t>主要原因是：本年度基金项目支出减少。</w:t>
      </w:r>
    </w:p>
    <w:p w14:paraId="20A634F8">
      <w:pPr>
        <w:adjustRightInd w:val="0"/>
        <w:snapToGrid w:val="0"/>
        <w:spacing w:line="600" w:lineRule="exact"/>
        <w:ind w:firstLine="560" w:firstLineChars="200"/>
        <w:rPr>
          <w:snapToGrid w:val="0"/>
          <w:kern w:val="0"/>
          <w:sz w:val="28"/>
          <w:szCs w:val="28"/>
        </w:rPr>
      </w:pPr>
      <w:r>
        <w:rPr>
          <w:rFonts w:hint="eastAsia"/>
          <w:snapToGrid w:val="0"/>
          <w:kern w:val="0"/>
          <w:sz w:val="28"/>
          <w:szCs w:val="28"/>
        </w:rPr>
        <w:t>2016年财政拨款支出年初预算数为977.64万元，本年支出决算数为1655.76万元，占年初预算数的169.36%，主要原因：本年度人员工资调整补发调标工资。</w:t>
      </w:r>
    </w:p>
    <w:p w14:paraId="05E78D27">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五</w:t>
      </w:r>
      <w:r>
        <w:rPr>
          <w:rFonts w:ascii="黑体" w:hAnsi="黑体" w:eastAsia="黑体"/>
          <w:snapToGrid w:val="0"/>
          <w:kern w:val="0"/>
          <w:sz w:val="28"/>
          <w:szCs w:val="28"/>
        </w:rPr>
        <w:t>、一般公共预算财政拨款“三公”经费支出决算情况说明</w:t>
      </w:r>
    </w:p>
    <w:p w14:paraId="2F026D26">
      <w:pPr>
        <w:adjustRightInd w:val="0"/>
        <w:snapToGrid w:val="0"/>
        <w:spacing w:line="560" w:lineRule="exact"/>
        <w:ind w:firstLine="560" w:firstLineChars="200"/>
        <w:rPr>
          <w:snapToGrid w:val="0"/>
          <w:kern w:val="0"/>
          <w:sz w:val="28"/>
          <w:szCs w:val="28"/>
        </w:rPr>
      </w:pPr>
      <w:r>
        <w:rPr>
          <w:snapToGrid w:val="0"/>
          <w:kern w:val="0"/>
          <w:sz w:val="28"/>
          <w:szCs w:val="28"/>
        </w:rPr>
        <w:t>2016</w:t>
      </w:r>
      <w:r>
        <w:rPr>
          <w:rFonts w:hint="eastAsia"/>
          <w:snapToGrid w:val="0"/>
          <w:kern w:val="0"/>
          <w:sz w:val="28"/>
          <w:szCs w:val="28"/>
        </w:rPr>
        <w:t>年，在做好各项工作的前提下，节省各项开支，尤其严格控制</w:t>
      </w:r>
      <w:r>
        <w:rPr>
          <w:snapToGrid w:val="0"/>
          <w:kern w:val="0"/>
          <w:sz w:val="28"/>
          <w:szCs w:val="28"/>
        </w:rPr>
        <w:t>“</w:t>
      </w:r>
      <w:r>
        <w:rPr>
          <w:rFonts w:hint="eastAsia"/>
          <w:snapToGrid w:val="0"/>
          <w:kern w:val="0"/>
          <w:sz w:val="28"/>
          <w:szCs w:val="28"/>
        </w:rPr>
        <w:t>三公</w:t>
      </w:r>
      <w:r>
        <w:rPr>
          <w:snapToGrid w:val="0"/>
          <w:kern w:val="0"/>
          <w:sz w:val="28"/>
          <w:szCs w:val="28"/>
        </w:rPr>
        <w:t>”</w:t>
      </w:r>
      <w:r>
        <w:rPr>
          <w:rFonts w:hint="eastAsia"/>
          <w:snapToGrid w:val="0"/>
          <w:kern w:val="0"/>
          <w:sz w:val="28"/>
          <w:szCs w:val="28"/>
        </w:rPr>
        <w:t>经费的支出，全年一般公共预算财政拨款</w:t>
      </w:r>
      <w:r>
        <w:rPr>
          <w:snapToGrid w:val="0"/>
          <w:kern w:val="0"/>
          <w:sz w:val="28"/>
          <w:szCs w:val="28"/>
        </w:rPr>
        <w:t>“</w:t>
      </w:r>
      <w:r>
        <w:rPr>
          <w:rFonts w:hint="eastAsia"/>
          <w:snapToGrid w:val="0"/>
          <w:kern w:val="0"/>
          <w:sz w:val="28"/>
          <w:szCs w:val="28"/>
        </w:rPr>
        <w:t>三公</w:t>
      </w:r>
      <w:r>
        <w:rPr>
          <w:snapToGrid w:val="0"/>
          <w:kern w:val="0"/>
          <w:sz w:val="28"/>
          <w:szCs w:val="28"/>
        </w:rPr>
        <w:t>”</w:t>
      </w:r>
      <w:r>
        <w:rPr>
          <w:rFonts w:hint="eastAsia"/>
          <w:snapToGrid w:val="0"/>
          <w:kern w:val="0"/>
          <w:sz w:val="28"/>
          <w:szCs w:val="28"/>
        </w:rPr>
        <w:t>经费支出合计</w:t>
      </w:r>
      <w:r>
        <w:rPr>
          <w:snapToGrid w:val="0"/>
          <w:kern w:val="0"/>
          <w:sz w:val="28"/>
          <w:szCs w:val="28"/>
        </w:rPr>
        <w:t>25.82</w:t>
      </w:r>
      <w:r>
        <w:rPr>
          <w:rFonts w:hint="eastAsia"/>
          <w:snapToGrid w:val="0"/>
          <w:kern w:val="0"/>
          <w:sz w:val="28"/>
          <w:szCs w:val="28"/>
        </w:rPr>
        <w:t>万元，较</w:t>
      </w:r>
      <w:r>
        <w:rPr>
          <w:snapToGrid w:val="0"/>
          <w:kern w:val="0"/>
          <w:sz w:val="28"/>
          <w:szCs w:val="28"/>
        </w:rPr>
        <w:t>2015</w:t>
      </w:r>
      <w:r>
        <w:rPr>
          <w:rFonts w:hint="eastAsia"/>
          <w:snapToGrid w:val="0"/>
          <w:kern w:val="0"/>
          <w:sz w:val="28"/>
          <w:szCs w:val="28"/>
        </w:rPr>
        <w:t>年减少</w:t>
      </w:r>
      <w:r>
        <w:rPr>
          <w:snapToGrid w:val="0"/>
          <w:kern w:val="0"/>
          <w:sz w:val="28"/>
          <w:szCs w:val="28"/>
        </w:rPr>
        <w:t>15.09</w:t>
      </w:r>
      <w:r>
        <w:rPr>
          <w:rFonts w:hint="eastAsia"/>
          <w:snapToGrid w:val="0"/>
          <w:kern w:val="0"/>
          <w:sz w:val="28"/>
          <w:szCs w:val="28"/>
        </w:rPr>
        <w:t>万元，减少</w:t>
      </w:r>
      <w:r>
        <w:rPr>
          <w:snapToGrid w:val="0"/>
          <w:kern w:val="0"/>
          <w:sz w:val="28"/>
          <w:szCs w:val="28"/>
        </w:rPr>
        <w:t>36.89%</w:t>
      </w:r>
      <w:r>
        <w:rPr>
          <w:rFonts w:hint="eastAsia"/>
          <w:snapToGrid w:val="0"/>
          <w:kern w:val="0"/>
          <w:sz w:val="28"/>
          <w:szCs w:val="28"/>
        </w:rPr>
        <w:t>。</w:t>
      </w:r>
    </w:p>
    <w:p w14:paraId="319E627C">
      <w:pPr>
        <w:adjustRightInd w:val="0"/>
        <w:snapToGrid w:val="0"/>
        <w:spacing w:line="560" w:lineRule="exact"/>
        <w:ind w:left="210" w:leftChars="100" w:firstLine="560" w:firstLineChars="200"/>
        <w:rPr>
          <w:snapToGrid w:val="0"/>
          <w:kern w:val="0"/>
          <w:sz w:val="28"/>
          <w:szCs w:val="28"/>
        </w:rPr>
      </w:pPr>
      <w:r>
        <w:rPr>
          <w:rFonts w:hint="eastAsia"/>
          <w:snapToGrid w:val="0"/>
          <w:kern w:val="0"/>
          <w:sz w:val="28"/>
          <w:szCs w:val="28"/>
        </w:rPr>
        <w:t>1、本部门2016年因公出国（境）费本年支出0万元，较预算压减0万元，增加0%，较2015年增加0万元，增加0 %。主要原因：无出国出境安排。因公出国（境）团组                                                                    0个，因公出国（境）人次数0人。</w:t>
      </w:r>
    </w:p>
    <w:p w14:paraId="4690364B">
      <w:pPr>
        <w:adjustRightInd w:val="0"/>
        <w:snapToGrid w:val="0"/>
        <w:spacing w:line="600" w:lineRule="exact"/>
        <w:ind w:left="105" w:leftChars="50" w:firstLine="560" w:firstLineChars="200"/>
        <w:rPr>
          <w:snapToGrid w:val="0"/>
          <w:kern w:val="0"/>
          <w:sz w:val="28"/>
          <w:szCs w:val="28"/>
        </w:rPr>
      </w:pPr>
      <w:r>
        <w:rPr>
          <w:snapToGrid w:val="0"/>
          <w:kern w:val="0"/>
          <w:sz w:val="28"/>
          <w:szCs w:val="28"/>
        </w:rPr>
        <w:t>2</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w:t>
      </w:r>
      <w:r>
        <w:rPr>
          <w:snapToGrid w:val="0"/>
          <w:kern w:val="0"/>
          <w:sz w:val="28"/>
          <w:szCs w:val="28"/>
        </w:rPr>
        <w:t>6</w:t>
      </w:r>
      <w:r>
        <w:rPr>
          <w:rFonts w:hint="eastAsia"/>
          <w:snapToGrid w:val="0"/>
          <w:kern w:val="0"/>
          <w:sz w:val="28"/>
          <w:szCs w:val="28"/>
        </w:rPr>
        <w:t>年</w:t>
      </w:r>
      <w:r>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及运行维护费本年</w:t>
      </w:r>
      <w:r>
        <w:rPr>
          <w:snapToGrid w:val="0"/>
          <w:kern w:val="0"/>
          <w:sz w:val="28"/>
          <w:szCs w:val="28"/>
        </w:rPr>
        <w:t>支出</w:t>
      </w:r>
      <w:r>
        <w:rPr>
          <w:rFonts w:hint="eastAsia"/>
          <w:snapToGrid w:val="0"/>
          <w:kern w:val="0"/>
          <w:sz w:val="28"/>
          <w:szCs w:val="28"/>
        </w:rPr>
        <w:t>20.24万元。（2016年度未购置公务用车，年末公务用车保有量4辆。）</w:t>
      </w:r>
    </w:p>
    <w:p w14:paraId="58B204B8">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公务用车购置费本年支出0万元；较预算压减0万元，减少0%；较2015年增加0万元，增加0%。主要原因：无公务用车购置。</w:t>
      </w:r>
    </w:p>
    <w:p w14:paraId="5154D4EA">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公务用车运行维护费本年支出20.24万</w:t>
      </w:r>
      <w:r>
        <w:rPr>
          <w:snapToGrid w:val="0"/>
          <w:kern w:val="0"/>
          <w:sz w:val="28"/>
          <w:szCs w:val="28"/>
        </w:rPr>
        <w:t>元</w:t>
      </w:r>
      <w:r>
        <w:rPr>
          <w:rFonts w:hint="eastAsia"/>
          <w:snapToGrid w:val="0"/>
          <w:kern w:val="0"/>
          <w:sz w:val="28"/>
          <w:szCs w:val="28"/>
        </w:rPr>
        <w:t>；较预算压减1</w:t>
      </w:r>
      <w:r>
        <w:rPr>
          <w:snapToGrid w:val="0"/>
          <w:kern w:val="0"/>
          <w:sz w:val="28"/>
          <w:szCs w:val="28"/>
        </w:rPr>
        <w:t>7.76</w:t>
      </w:r>
      <w:r>
        <w:rPr>
          <w:rFonts w:hint="eastAsia"/>
          <w:snapToGrid w:val="0"/>
          <w:kern w:val="0"/>
          <w:sz w:val="28"/>
          <w:szCs w:val="28"/>
        </w:rPr>
        <w:t xml:space="preserve"> 万元，减少42.17 %；较2015年减少0.7万元，减少3</w:t>
      </w:r>
      <w:r>
        <w:rPr>
          <w:snapToGrid w:val="0"/>
          <w:kern w:val="0"/>
          <w:sz w:val="28"/>
          <w:szCs w:val="28"/>
        </w:rPr>
        <w:t>.35</w:t>
      </w:r>
      <w:r>
        <w:rPr>
          <w:rFonts w:hint="eastAsia"/>
          <w:snapToGrid w:val="0"/>
          <w:kern w:val="0"/>
          <w:sz w:val="28"/>
          <w:szCs w:val="28"/>
        </w:rPr>
        <w:t>%。主要原因</w:t>
      </w:r>
      <w:r>
        <w:rPr>
          <w:rFonts w:hint="eastAsia" w:ascii="Calibri" w:hAnsi="Calibri" w:eastAsia="宋体" w:cs="Times New Roman"/>
          <w:snapToGrid w:val="0"/>
          <w:kern w:val="0"/>
          <w:sz w:val="28"/>
          <w:szCs w:val="28"/>
        </w:rPr>
        <w:t>执行中央八项规定，厉行节约</w:t>
      </w:r>
      <w:r>
        <w:rPr>
          <w:rFonts w:hint="eastAsia"/>
          <w:snapToGrid w:val="0"/>
          <w:kern w:val="0"/>
          <w:sz w:val="28"/>
          <w:szCs w:val="28"/>
        </w:rPr>
        <w:t>，压减支出。</w:t>
      </w:r>
    </w:p>
    <w:p w14:paraId="06575A71">
      <w:pPr>
        <w:adjustRightInd w:val="0"/>
        <w:snapToGrid w:val="0"/>
        <w:spacing w:line="600" w:lineRule="exact"/>
        <w:ind w:left="105" w:leftChars="50" w:firstLine="560" w:firstLineChars="200"/>
        <w:rPr>
          <w:snapToGrid w:val="0"/>
          <w:kern w:val="0"/>
          <w:sz w:val="28"/>
          <w:szCs w:val="28"/>
        </w:rPr>
      </w:pPr>
      <w:r>
        <w:rPr>
          <w:snapToGrid w:val="0"/>
          <w:kern w:val="0"/>
          <w:sz w:val="28"/>
          <w:szCs w:val="28"/>
        </w:rPr>
        <w:t>3</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2016年公务接待费全年支出5.59万元，较预算压减1</w:t>
      </w:r>
      <w:r>
        <w:rPr>
          <w:snapToGrid w:val="0"/>
          <w:kern w:val="0"/>
          <w:sz w:val="28"/>
          <w:szCs w:val="28"/>
        </w:rPr>
        <w:t>4.41</w:t>
      </w:r>
      <w:r>
        <w:rPr>
          <w:rFonts w:hint="eastAsia"/>
          <w:snapToGrid w:val="0"/>
          <w:kern w:val="0"/>
          <w:sz w:val="28"/>
          <w:szCs w:val="28"/>
        </w:rPr>
        <w:t>万元，减少7</w:t>
      </w:r>
      <w:r>
        <w:rPr>
          <w:snapToGrid w:val="0"/>
          <w:kern w:val="0"/>
          <w:sz w:val="28"/>
          <w:szCs w:val="28"/>
        </w:rPr>
        <w:t>2.05</w:t>
      </w:r>
      <w:r>
        <w:rPr>
          <w:rFonts w:hint="eastAsia"/>
          <w:snapToGrid w:val="0"/>
          <w:kern w:val="0"/>
          <w:sz w:val="28"/>
          <w:szCs w:val="28"/>
        </w:rPr>
        <w:t>%；较2015年减少14.39万元，减少72.03%。主要原因</w:t>
      </w:r>
      <w:r>
        <w:rPr>
          <w:rFonts w:hint="eastAsia" w:ascii="Calibri" w:hAnsi="Calibri" w:eastAsia="宋体" w:cs="Times New Roman"/>
          <w:snapToGrid w:val="0"/>
          <w:kern w:val="0"/>
          <w:sz w:val="28"/>
          <w:szCs w:val="28"/>
        </w:rPr>
        <w:t>执行中央八项规定，厉行节约</w:t>
      </w:r>
      <w:r>
        <w:rPr>
          <w:rFonts w:hint="eastAsia"/>
          <w:snapToGrid w:val="0"/>
          <w:kern w:val="0"/>
          <w:sz w:val="28"/>
          <w:szCs w:val="28"/>
        </w:rPr>
        <w:t>，压减支出。</w:t>
      </w:r>
    </w:p>
    <w:p w14:paraId="16FCFA49">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国内公务接待批次61个，国内公务接待人次798人；国外公务接待批次0个，国外公务接待人次0人。</w:t>
      </w:r>
    </w:p>
    <w:p w14:paraId="64566B6F">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六</w:t>
      </w:r>
      <w:r>
        <w:rPr>
          <w:rFonts w:ascii="黑体" w:hAnsi="黑体" w:eastAsia="黑体"/>
          <w:snapToGrid w:val="0"/>
          <w:kern w:val="0"/>
          <w:sz w:val="28"/>
          <w:szCs w:val="28"/>
        </w:rPr>
        <w:t>、</w:t>
      </w:r>
      <w:r>
        <w:rPr>
          <w:rFonts w:hint="eastAsia" w:ascii="黑体" w:hAnsi="黑体" w:eastAsia="黑体"/>
          <w:snapToGrid w:val="0"/>
          <w:kern w:val="0"/>
          <w:sz w:val="28"/>
          <w:szCs w:val="28"/>
        </w:rPr>
        <w:t>预算</w:t>
      </w:r>
      <w:r>
        <w:rPr>
          <w:rFonts w:ascii="黑体" w:hAnsi="黑体" w:eastAsia="黑体"/>
          <w:snapToGrid w:val="0"/>
          <w:kern w:val="0"/>
          <w:sz w:val="28"/>
          <w:szCs w:val="28"/>
        </w:rPr>
        <w:t>绩效管理工作开展情况说明</w:t>
      </w:r>
    </w:p>
    <w:p w14:paraId="46B8DA80">
      <w:pPr>
        <w:adjustRightInd w:val="0"/>
        <w:snapToGrid w:val="0"/>
        <w:spacing w:line="600" w:lineRule="exact"/>
        <w:ind w:firstLine="560" w:firstLineChars="200"/>
        <w:rPr>
          <w:snapToGrid w:val="0"/>
          <w:kern w:val="0"/>
          <w:sz w:val="28"/>
          <w:szCs w:val="28"/>
        </w:rPr>
      </w:pPr>
      <w:r>
        <w:rPr>
          <w:rFonts w:hint="eastAsia"/>
          <w:snapToGrid w:val="0"/>
          <w:kern w:val="0"/>
          <w:sz w:val="28"/>
          <w:szCs w:val="28"/>
        </w:rPr>
        <w:t>我单位</w:t>
      </w:r>
      <w:r>
        <w:rPr>
          <w:snapToGrid w:val="0"/>
          <w:kern w:val="0"/>
          <w:sz w:val="28"/>
          <w:szCs w:val="28"/>
        </w:rPr>
        <w:t>依托河北省政府财政管理信息系统，</w:t>
      </w:r>
      <w:r>
        <w:rPr>
          <w:rFonts w:hint="eastAsia"/>
          <w:snapToGrid w:val="0"/>
          <w:kern w:val="0"/>
          <w:sz w:val="28"/>
          <w:szCs w:val="28"/>
        </w:rPr>
        <w:t>确定</w:t>
      </w:r>
      <w:r>
        <w:rPr>
          <w:snapToGrid w:val="0"/>
          <w:kern w:val="0"/>
          <w:sz w:val="28"/>
          <w:szCs w:val="28"/>
        </w:rPr>
        <w:t>部门预算项目和预算额度，清晰描述预算项目开支范围和内容，确定预算项目的绩效目标</w:t>
      </w:r>
      <w:r>
        <w:rPr>
          <w:rFonts w:hint="eastAsia"/>
          <w:snapToGrid w:val="0"/>
          <w:kern w:val="0"/>
          <w:sz w:val="28"/>
          <w:szCs w:val="28"/>
        </w:rPr>
        <w:t>。如我单位</w:t>
      </w:r>
      <w:r>
        <w:rPr>
          <w:snapToGrid w:val="0"/>
          <w:kern w:val="0"/>
          <w:sz w:val="28"/>
          <w:szCs w:val="28"/>
        </w:rPr>
        <w:t>的</w:t>
      </w:r>
      <w:r>
        <w:rPr>
          <w:rFonts w:hint="eastAsia"/>
          <w:snapToGrid w:val="0"/>
          <w:kern w:val="0"/>
          <w:sz w:val="28"/>
          <w:szCs w:val="28"/>
        </w:rPr>
        <w:t>师庄村道路工程建设项目</w:t>
      </w:r>
      <w:r>
        <w:rPr>
          <w:snapToGrid w:val="0"/>
          <w:kern w:val="0"/>
          <w:sz w:val="28"/>
          <w:szCs w:val="28"/>
        </w:rPr>
        <w:t>，</w:t>
      </w:r>
      <w:r>
        <w:rPr>
          <w:rFonts w:hint="eastAsia"/>
          <w:snapToGrid w:val="0"/>
          <w:kern w:val="0"/>
          <w:sz w:val="28"/>
          <w:szCs w:val="28"/>
        </w:rPr>
        <w:t>该项目</w:t>
      </w:r>
      <w:r>
        <w:rPr>
          <w:snapToGrid w:val="0"/>
          <w:kern w:val="0"/>
          <w:sz w:val="28"/>
          <w:szCs w:val="28"/>
        </w:rPr>
        <w:t>年初预算安排</w:t>
      </w:r>
      <w:r>
        <w:rPr>
          <w:rFonts w:hint="eastAsia"/>
          <w:snapToGrid w:val="0"/>
          <w:kern w:val="0"/>
          <w:sz w:val="28"/>
          <w:szCs w:val="28"/>
        </w:rPr>
        <w:t xml:space="preserve">    80万元</w:t>
      </w:r>
      <w:r>
        <w:rPr>
          <w:snapToGrid w:val="0"/>
          <w:kern w:val="0"/>
          <w:sz w:val="28"/>
          <w:szCs w:val="28"/>
        </w:rPr>
        <w:t>，</w:t>
      </w:r>
      <w:r>
        <w:rPr>
          <w:rFonts w:hint="eastAsia"/>
          <w:snapToGrid w:val="0"/>
          <w:kern w:val="0"/>
          <w:sz w:val="28"/>
          <w:szCs w:val="28"/>
        </w:rPr>
        <w:t>截至年末</w:t>
      </w:r>
      <w:r>
        <w:rPr>
          <w:snapToGrid w:val="0"/>
          <w:kern w:val="0"/>
          <w:sz w:val="28"/>
          <w:szCs w:val="28"/>
        </w:rPr>
        <w:t>实际支出</w:t>
      </w:r>
      <w:r>
        <w:rPr>
          <w:rFonts w:hint="eastAsia"/>
          <w:snapToGrid w:val="0"/>
          <w:kern w:val="0"/>
          <w:sz w:val="28"/>
          <w:szCs w:val="28"/>
        </w:rPr>
        <w:t>80万元</w:t>
      </w:r>
      <w:r>
        <w:rPr>
          <w:snapToGrid w:val="0"/>
          <w:kern w:val="0"/>
          <w:sz w:val="28"/>
          <w:szCs w:val="28"/>
        </w:rPr>
        <w:t>。</w:t>
      </w:r>
      <w:r>
        <w:rPr>
          <w:rFonts w:hint="eastAsia"/>
          <w:snapToGrid w:val="0"/>
          <w:kern w:val="0"/>
          <w:sz w:val="28"/>
          <w:szCs w:val="28"/>
        </w:rPr>
        <w:t>有效改善了广大群众出行难问题，</w:t>
      </w:r>
      <w:r>
        <w:rPr>
          <w:snapToGrid w:val="0"/>
          <w:kern w:val="0"/>
          <w:sz w:val="28"/>
          <w:szCs w:val="28"/>
        </w:rPr>
        <w:t>较好的</w:t>
      </w:r>
      <w:r>
        <w:rPr>
          <w:rFonts w:hint="eastAsia"/>
          <w:snapToGrid w:val="0"/>
          <w:kern w:val="0"/>
          <w:sz w:val="28"/>
          <w:szCs w:val="28"/>
        </w:rPr>
        <w:t>实现了</w:t>
      </w:r>
      <w:r>
        <w:rPr>
          <w:snapToGrid w:val="0"/>
          <w:kern w:val="0"/>
          <w:sz w:val="28"/>
          <w:szCs w:val="28"/>
        </w:rPr>
        <w:t>预算项目绩效</w:t>
      </w:r>
      <w:r>
        <w:rPr>
          <w:rFonts w:hint="eastAsia"/>
          <w:snapToGrid w:val="0"/>
          <w:kern w:val="0"/>
          <w:sz w:val="28"/>
          <w:szCs w:val="28"/>
        </w:rPr>
        <w:t>目标</w:t>
      </w:r>
      <w:r>
        <w:rPr>
          <w:snapToGrid w:val="0"/>
          <w:kern w:val="0"/>
          <w:sz w:val="28"/>
          <w:szCs w:val="28"/>
        </w:rPr>
        <w:t>。</w:t>
      </w:r>
    </w:p>
    <w:p w14:paraId="6BB4552E">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七</w:t>
      </w:r>
      <w:r>
        <w:rPr>
          <w:rFonts w:ascii="黑体" w:hAnsi="黑体" w:eastAsia="黑体"/>
          <w:snapToGrid w:val="0"/>
          <w:kern w:val="0"/>
          <w:sz w:val="28"/>
          <w:szCs w:val="28"/>
        </w:rPr>
        <w:t>、</w:t>
      </w:r>
      <w:r>
        <w:rPr>
          <w:rFonts w:hint="eastAsia" w:ascii="黑体" w:hAnsi="黑体" w:eastAsia="黑体"/>
          <w:snapToGrid w:val="0"/>
          <w:kern w:val="0"/>
          <w:sz w:val="28"/>
          <w:szCs w:val="28"/>
        </w:rPr>
        <w:t>其他</w:t>
      </w:r>
      <w:r>
        <w:rPr>
          <w:rFonts w:ascii="黑体" w:hAnsi="黑体" w:eastAsia="黑体"/>
          <w:snapToGrid w:val="0"/>
          <w:kern w:val="0"/>
          <w:sz w:val="28"/>
          <w:szCs w:val="28"/>
        </w:rPr>
        <w:t>重要事项的说明</w:t>
      </w:r>
    </w:p>
    <w:p w14:paraId="2E3E41BB">
      <w:pPr>
        <w:adjustRightInd w:val="0"/>
        <w:snapToGrid w:val="0"/>
        <w:spacing w:line="600" w:lineRule="exact"/>
        <w:ind w:firstLine="560" w:firstLineChars="200"/>
        <w:rPr>
          <w:snapToGrid w:val="0"/>
          <w:kern w:val="0"/>
          <w:sz w:val="28"/>
          <w:szCs w:val="28"/>
        </w:rPr>
      </w:pPr>
      <w:r>
        <w:rPr>
          <w:snapToGrid w:val="0"/>
          <w:kern w:val="0"/>
          <w:sz w:val="28"/>
          <w:szCs w:val="28"/>
        </w:rPr>
        <w:t>1</w:t>
      </w:r>
      <w:r>
        <w:rPr>
          <w:rFonts w:hint="eastAsia"/>
          <w:snapToGrid w:val="0"/>
          <w:kern w:val="0"/>
          <w:sz w:val="28"/>
          <w:szCs w:val="28"/>
        </w:rPr>
        <w:t>、</w:t>
      </w:r>
      <w:r>
        <w:rPr>
          <w:snapToGrid w:val="0"/>
          <w:kern w:val="0"/>
          <w:sz w:val="28"/>
          <w:szCs w:val="28"/>
        </w:rPr>
        <w:t>机关运</w:t>
      </w:r>
      <w:r>
        <w:rPr>
          <w:rFonts w:hint="eastAsia"/>
          <w:snapToGrid w:val="0"/>
          <w:kern w:val="0"/>
          <w:sz w:val="28"/>
          <w:szCs w:val="28"/>
        </w:rPr>
        <w:t>行</w:t>
      </w:r>
      <w:r>
        <w:rPr>
          <w:snapToGrid w:val="0"/>
          <w:kern w:val="0"/>
          <w:sz w:val="28"/>
          <w:szCs w:val="28"/>
        </w:rPr>
        <w:t>经费</w:t>
      </w:r>
      <w:r>
        <w:rPr>
          <w:rFonts w:hint="eastAsia"/>
          <w:snapToGrid w:val="0"/>
          <w:kern w:val="0"/>
          <w:sz w:val="28"/>
          <w:szCs w:val="28"/>
        </w:rPr>
        <w:t>支出</w:t>
      </w:r>
      <w:r>
        <w:rPr>
          <w:snapToGrid w:val="0"/>
          <w:kern w:val="0"/>
          <w:sz w:val="28"/>
          <w:szCs w:val="28"/>
        </w:rPr>
        <w:t>情况说明</w:t>
      </w:r>
    </w:p>
    <w:p w14:paraId="140AC609">
      <w:pPr>
        <w:pStyle w:val="7"/>
        <w:adjustRightInd w:val="0"/>
        <w:snapToGrid w:val="0"/>
        <w:spacing w:line="600" w:lineRule="exact"/>
        <w:ind w:left="210" w:leftChars="100" w:firstLineChars="150"/>
        <w:rPr>
          <w:snapToGrid w:val="0"/>
          <w:kern w:val="0"/>
          <w:sz w:val="28"/>
          <w:szCs w:val="28"/>
        </w:rPr>
      </w:pPr>
      <w:r>
        <w:rPr>
          <w:rFonts w:hint="eastAsia"/>
          <w:snapToGrid w:val="0"/>
          <w:kern w:val="0"/>
          <w:sz w:val="28"/>
          <w:szCs w:val="28"/>
        </w:rPr>
        <w:t>201</w:t>
      </w:r>
      <w:r>
        <w:rPr>
          <w:snapToGrid w:val="0"/>
          <w:kern w:val="0"/>
          <w:sz w:val="28"/>
          <w:szCs w:val="28"/>
        </w:rPr>
        <w:t>6</w:t>
      </w:r>
      <w:r>
        <w:rPr>
          <w:rFonts w:hint="eastAsia"/>
          <w:snapToGrid w:val="0"/>
          <w:kern w:val="0"/>
          <w:sz w:val="28"/>
          <w:szCs w:val="28"/>
        </w:rPr>
        <w:t>年本部门机关运行经费支出</w:t>
      </w:r>
      <w:r>
        <w:rPr>
          <w:snapToGrid w:val="0"/>
          <w:kern w:val="0"/>
          <w:sz w:val="28"/>
          <w:szCs w:val="28"/>
        </w:rPr>
        <w:t>146.41</w:t>
      </w:r>
      <w:r>
        <w:rPr>
          <w:rFonts w:hint="eastAsia"/>
          <w:snapToGrid w:val="0"/>
          <w:kern w:val="0"/>
          <w:sz w:val="28"/>
          <w:szCs w:val="28"/>
        </w:rPr>
        <w:t>万元，比201</w:t>
      </w:r>
      <w:r>
        <w:rPr>
          <w:snapToGrid w:val="0"/>
          <w:kern w:val="0"/>
          <w:sz w:val="28"/>
          <w:szCs w:val="28"/>
        </w:rPr>
        <w:t>5</w:t>
      </w:r>
      <w:r>
        <w:rPr>
          <w:rFonts w:hint="eastAsia"/>
          <w:snapToGrid w:val="0"/>
          <w:kern w:val="0"/>
          <w:sz w:val="28"/>
          <w:szCs w:val="28"/>
        </w:rPr>
        <w:t>年减少</w:t>
      </w:r>
      <w:r>
        <w:rPr>
          <w:snapToGrid w:val="0"/>
          <w:kern w:val="0"/>
          <w:sz w:val="28"/>
          <w:szCs w:val="28"/>
        </w:rPr>
        <w:t>39.94</w:t>
      </w:r>
      <w:r>
        <w:rPr>
          <w:rFonts w:hint="eastAsia"/>
          <w:snapToGrid w:val="0"/>
          <w:kern w:val="0"/>
          <w:sz w:val="28"/>
          <w:szCs w:val="28"/>
        </w:rPr>
        <w:t>万元，下降</w:t>
      </w:r>
      <w:r>
        <w:rPr>
          <w:snapToGrid w:val="0"/>
          <w:kern w:val="0"/>
          <w:sz w:val="28"/>
          <w:szCs w:val="28"/>
        </w:rPr>
        <w:t>21.4</w:t>
      </w:r>
      <w:r>
        <w:rPr>
          <w:rFonts w:hint="eastAsia"/>
          <w:snapToGrid w:val="0"/>
          <w:kern w:val="0"/>
          <w:sz w:val="28"/>
          <w:szCs w:val="28"/>
        </w:rPr>
        <w:t>%。主要原因是：</w:t>
      </w:r>
      <w:r>
        <w:rPr>
          <w:rFonts w:hint="eastAsia" w:ascii="Calibri" w:hAnsi="Calibri" w:eastAsia="宋体" w:cs="Times New Roman"/>
          <w:snapToGrid w:val="0"/>
          <w:kern w:val="0"/>
          <w:sz w:val="28"/>
          <w:szCs w:val="28"/>
        </w:rPr>
        <w:t>执行中央八项规定，厉行节约</w:t>
      </w:r>
      <w:r>
        <w:rPr>
          <w:rFonts w:hint="eastAsia"/>
          <w:snapToGrid w:val="0"/>
          <w:kern w:val="0"/>
          <w:sz w:val="28"/>
          <w:szCs w:val="28"/>
        </w:rPr>
        <w:t>，压减支出。</w:t>
      </w:r>
    </w:p>
    <w:p w14:paraId="16E8700E">
      <w:pPr>
        <w:pStyle w:val="7"/>
        <w:adjustRightInd w:val="0"/>
        <w:snapToGrid w:val="0"/>
        <w:spacing w:line="600" w:lineRule="exact"/>
        <w:ind w:left="210" w:leftChars="100" w:firstLineChars="150"/>
        <w:rPr>
          <w:snapToGrid w:val="0"/>
          <w:kern w:val="0"/>
          <w:sz w:val="28"/>
          <w:szCs w:val="28"/>
        </w:rPr>
      </w:pPr>
      <w:r>
        <w:rPr>
          <w:rFonts w:hint="eastAsia"/>
          <w:snapToGrid w:val="0"/>
          <w:kern w:val="0"/>
          <w:sz w:val="28"/>
          <w:szCs w:val="28"/>
        </w:rPr>
        <w:t xml:space="preserve">2016年度公用经费总支出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类款项合计_本年支出基本支出日常公用经费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146.41</w:t>
      </w:r>
      <w:r>
        <w:rPr>
          <w:snapToGrid w:val="0"/>
          <w:kern w:val="0"/>
          <w:sz w:val="28"/>
          <w:szCs w:val="28"/>
        </w:rPr>
        <w:fldChar w:fldCharType="end"/>
      </w:r>
      <w:r>
        <w:rPr>
          <w:rFonts w:hint="eastAsia"/>
          <w:snapToGrid w:val="0"/>
          <w:kern w:val="0"/>
          <w:sz w:val="28"/>
          <w:szCs w:val="28"/>
        </w:rPr>
        <w:t>万元，其中办公费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类款项合计_商品和服务支出办公费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16.53</w:t>
      </w:r>
      <w:r>
        <w:rPr>
          <w:snapToGrid w:val="0"/>
          <w:kern w:val="0"/>
          <w:sz w:val="28"/>
          <w:szCs w:val="28"/>
        </w:rPr>
        <w:fldChar w:fldCharType="end"/>
      </w:r>
      <w:r>
        <w:rPr>
          <w:rFonts w:hint="eastAsia"/>
          <w:snapToGrid w:val="0"/>
          <w:kern w:val="0"/>
          <w:sz w:val="28"/>
          <w:szCs w:val="28"/>
        </w:rPr>
        <w:t xml:space="preserve"> 万元、印刷费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类款项合计_商品和服务支出印刷费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0.36</w:t>
      </w:r>
      <w:r>
        <w:rPr>
          <w:snapToGrid w:val="0"/>
          <w:kern w:val="0"/>
          <w:sz w:val="28"/>
          <w:szCs w:val="28"/>
        </w:rPr>
        <w:fldChar w:fldCharType="end"/>
      </w:r>
      <w:r>
        <w:rPr>
          <w:rFonts w:hint="eastAsia"/>
          <w:snapToGrid w:val="0"/>
          <w:kern w:val="0"/>
          <w:sz w:val="28"/>
          <w:szCs w:val="28"/>
        </w:rPr>
        <w:t>万元、水费</w:t>
      </w:r>
      <w:r>
        <w:rPr>
          <w:snapToGrid w:val="0"/>
          <w:kern w:val="0"/>
          <w:sz w:val="28"/>
          <w:szCs w:val="28"/>
        </w:rPr>
        <w:t>0</w:t>
      </w:r>
      <w:r>
        <w:rPr>
          <w:rFonts w:hint="eastAsia"/>
          <w:snapToGrid w:val="0"/>
          <w:kern w:val="0"/>
          <w:sz w:val="28"/>
          <w:szCs w:val="28"/>
        </w:rPr>
        <w:t>万元、电费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类款项合计_商品和服务支出电费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12.98</w:t>
      </w:r>
      <w:r>
        <w:rPr>
          <w:snapToGrid w:val="0"/>
          <w:kern w:val="0"/>
          <w:sz w:val="28"/>
          <w:szCs w:val="28"/>
        </w:rPr>
        <w:fldChar w:fldCharType="end"/>
      </w:r>
      <w:r>
        <w:rPr>
          <w:rFonts w:hint="eastAsia"/>
          <w:snapToGrid w:val="0"/>
          <w:kern w:val="0"/>
          <w:sz w:val="28"/>
          <w:szCs w:val="28"/>
        </w:rPr>
        <w:t>万元、邮电费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类款项合计_商品和服务支出邮电费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2.58</w:t>
      </w:r>
      <w:r>
        <w:rPr>
          <w:snapToGrid w:val="0"/>
          <w:kern w:val="0"/>
          <w:sz w:val="28"/>
          <w:szCs w:val="28"/>
        </w:rPr>
        <w:fldChar w:fldCharType="end"/>
      </w:r>
      <w:r>
        <w:rPr>
          <w:rFonts w:hint="eastAsia"/>
          <w:snapToGrid w:val="0"/>
          <w:kern w:val="0"/>
          <w:sz w:val="28"/>
          <w:szCs w:val="28"/>
        </w:rPr>
        <w:t xml:space="preserve"> 万元、取暖费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类款项合计_商品和服务支出取暖费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13.88</w:t>
      </w:r>
      <w:r>
        <w:rPr>
          <w:snapToGrid w:val="0"/>
          <w:kern w:val="0"/>
          <w:sz w:val="28"/>
          <w:szCs w:val="28"/>
        </w:rPr>
        <w:fldChar w:fldCharType="end"/>
      </w:r>
      <w:r>
        <w:rPr>
          <w:rFonts w:hint="eastAsia"/>
          <w:snapToGrid w:val="0"/>
          <w:kern w:val="0"/>
          <w:sz w:val="28"/>
          <w:szCs w:val="28"/>
        </w:rPr>
        <w:t xml:space="preserve">万元、差旅费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类款项合计_商品和服务支出差旅费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0.57</w:t>
      </w:r>
      <w:r>
        <w:rPr>
          <w:snapToGrid w:val="0"/>
          <w:kern w:val="0"/>
          <w:sz w:val="28"/>
          <w:szCs w:val="28"/>
        </w:rPr>
        <w:fldChar w:fldCharType="end"/>
      </w:r>
      <w:r>
        <w:rPr>
          <w:rFonts w:hint="eastAsia"/>
          <w:snapToGrid w:val="0"/>
          <w:kern w:val="0"/>
          <w:sz w:val="28"/>
          <w:szCs w:val="28"/>
        </w:rPr>
        <w:t xml:space="preserve">  万元、维修（护）费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类款项合计_商品和服务支出维修（护）费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35.79</w:t>
      </w:r>
      <w:r>
        <w:rPr>
          <w:snapToGrid w:val="0"/>
          <w:kern w:val="0"/>
          <w:sz w:val="28"/>
          <w:szCs w:val="28"/>
        </w:rPr>
        <w:fldChar w:fldCharType="end"/>
      </w:r>
      <w:r>
        <w:rPr>
          <w:rFonts w:hint="eastAsia"/>
          <w:snapToGrid w:val="0"/>
          <w:kern w:val="0"/>
          <w:sz w:val="28"/>
          <w:szCs w:val="28"/>
        </w:rPr>
        <w:t xml:space="preserve">万元、会议费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类款项合计_商品和服务支出会议费</w:instrText>
      </w:r>
      <w:r>
        <w:rPr>
          <w:snapToGrid w:val="0"/>
          <w:kern w:val="0"/>
          <w:sz w:val="28"/>
          <w:szCs w:val="28"/>
        </w:rPr>
        <w:instrText xml:space="preserve"> </w:instrText>
      </w:r>
      <w:r>
        <w:rPr>
          <w:snapToGrid w:val="0"/>
          <w:kern w:val="0"/>
          <w:sz w:val="28"/>
          <w:szCs w:val="28"/>
        </w:rPr>
        <w:fldChar w:fldCharType="end"/>
      </w:r>
      <w:r>
        <w:rPr>
          <w:snapToGrid w:val="0"/>
          <w:kern w:val="0"/>
          <w:sz w:val="28"/>
          <w:szCs w:val="28"/>
        </w:rPr>
        <w:t>0</w:t>
      </w:r>
      <w:r>
        <w:rPr>
          <w:rFonts w:hint="eastAsia"/>
          <w:snapToGrid w:val="0"/>
          <w:kern w:val="0"/>
          <w:sz w:val="28"/>
          <w:szCs w:val="28"/>
        </w:rPr>
        <w:t>万元、培训费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类款项合计_商品和服务支出培训费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0.12</w:t>
      </w:r>
      <w:r>
        <w:rPr>
          <w:snapToGrid w:val="0"/>
          <w:kern w:val="0"/>
          <w:sz w:val="28"/>
          <w:szCs w:val="28"/>
        </w:rPr>
        <w:fldChar w:fldCharType="end"/>
      </w:r>
      <w:r>
        <w:rPr>
          <w:rFonts w:hint="eastAsia"/>
          <w:snapToGrid w:val="0"/>
          <w:kern w:val="0"/>
          <w:sz w:val="28"/>
          <w:szCs w:val="28"/>
        </w:rPr>
        <w:t>万元、公务接待费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类款项合计_商品和服务支出公务接待费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1.95</w:t>
      </w:r>
      <w:r>
        <w:rPr>
          <w:snapToGrid w:val="0"/>
          <w:kern w:val="0"/>
          <w:sz w:val="28"/>
          <w:szCs w:val="28"/>
        </w:rPr>
        <w:fldChar w:fldCharType="end"/>
      </w:r>
      <w:r>
        <w:rPr>
          <w:rFonts w:hint="eastAsia"/>
          <w:snapToGrid w:val="0"/>
          <w:kern w:val="0"/>
          <w:sz w:val="28"/>
          <w:szCs w:val="28"/>
        </w:rPr>
        <w:t>万元、工会经费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类款项合计_商品和服务支出工会经费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2.33</w:t>
      </w:r>
      <w:r>
        <w:rPr>
          <w:snapToGrid w:val="0"/>
          <w:kern w:val="0"/>
          <w:sz w:val="28"/>
          <w:szCs w:val="28"/>
        </w:rPr>
        <w:fldChar w:fldCharType="end"/>
      </w:r>
      <w:r>
        <w:rPr>
          <w:rFonts w:hint="eastAsia"/>
          <w:snapToGrid w:val="0"/>
          <w:kern w:val="0"/>
          <w:sz w:val="28"/>
          <w:szCs w:val="28"/>
        </w:rPr>
        <w:t xml:space="preserve">万元、福利费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类款项合计_商品和服务支出福利费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4.45</w:t>
      </w:r>
      <w:r>
        <w:rPr>
          <w:snapToGrid w:val="0"/>
          <w:kern w:val="0"/>
          <w:sz w:val="28"/>
          <w:szCs w:val="28"/>
        </w:rPr>
        <w:fldChar w:fldCharType="end"/>
      </w:r>
      <w:r>
        <w:rPr>
          <w:rFonts w:hint="eastAsia"/>
          <w:snapToGrid w:val="0"/>
          <w:kern w:val="0"/>
          <w:sz w:val="28"/>
          <w:szCs w:val="28"/>
        </w:rPr>
        <w:t xml:space="preserve">万元、公务用车运行维护费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类款项合计_商品和服务支出公务用车运行维护费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15.69</w:t>
      </w:r>
      <w:r>
        <w:rPr>
          <w:snapToGrid w:val="0"/>
          <w:kern w:val="0"/>
          <w:sz w:val="28"/>
          <w:szCs w:val="28"/>
        </w:rPr>
        <w:fldChar w:fldCharType="end"/>
      </w:r>
      <w:r>
        <w:rPr>
          <w:rFonts w:hint="eastAsia"/>
          <w:snapToGrid w:val="0"/>
          <w:kern w:val="0"/>
          <w:sz w:val="28"/>
          <w:szCs w:val="28"/>
        </w:rPr>
        <w:t>万元、其他交通费用</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类款项合计_商品和服务支出其他交通费用</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10.14</w:t>
      </w:r>
      <w:r>
        <w:rPr>
          <w:snapToGrid w:val="0"/>
          <w:kern w:val="0"/>
          <w:sz w:val="28"/>
          <w:szCs w:val="28"/>
        </w:rPr>
        <w:fldChar w:fldCharType="end"/>
      </w:r>
      <w:r>
        <w:rPr>
          <w:rFonts w:hint="eastAsia"/>
          <w:snapToGrid w:val="0"/>
          <w:kern w:val="0"/>
          <w:sz w:val="28"/>
          <w:szCs w:val="28"/>
        </w:rPr>
        <w:t>万元等。</w:t>
      </w:r>
    </w:p>
    <w:p w14:paraId="678DAB9B">
      <w:pPr>
        <w:adjustRightInd w:val="0"/>
        <w:snapToGrid w:val="0"/>
        <w:spacing w:line="600" w:lineRule="exact"/>
        <w:ind w:firstLine="560" w:firstLineChars="200"/>
        <w:rPr>
          <w:snapToGrid w:val="0"/>
          <w:kern w:val="0"/>
          <w:sz w:val="28"/>
          <w:szCs w:val="28"/>
        </w:rPr>
      </w:pPr>
      <w:r>
        <w:rPr>
          <w:rFonts w:hint="eastAsia"/>
          <w:snapToGrid w:val="0"/>
          <w:kern w:val="0"/>
          <w:sz w:val="28"/>
          <w:szCs w:val="28"/>
        </w:rPr>
        <w:t>2</w:t>
      </w:r>
      <w:r>
        <w:rPr>
          <w:snapToGrid w:val="0"/>
          <w:kern w:val="0"/>
          <w:sz w:val="28"/>
          <w:szCs w:val="28"/>
        </w:rPr>
        <w:t>、政府采购情况说明</w:t>
      </w:r>
    </w:p>
    <w:p w14:paraId="1FA6EF42">
      <w:pPr>
        <w:pStyle w:val="7"/>
        <w:adjustRightInd w:val="0"/>
        <w:snapToGrid w:val="0"/>
        <w:spacing w:line="600" w:lineRule="exact"/>
        <w:ind w:left="105" w:leftChars="50" w:firstLine="560"/>
        <w:rPr>
          <w:snapToGrid w:val="0"/>
          <w:kern w:val="0"/>
          <w:sz w:val="28"/>
          <w:szCs w:val="28"/>
        </w:rPr>
      </w:pPr>
      <w:r>
        <w:rPr>
          <w:rFonts w:hint="eastAsia"/>
          <w:snapToGrid w:val="0"/>
          <w:kern w:val="0"/>
          <w:sz w:val="28"/>
          <w:szCs w:val="28"/>
        </w:rPr>
        <w:t>2016年政府采购预算总额为</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预算数</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0</w:t>
      </w:r>
      <w:r>
        <w:rPr>
          <w:snapToGrid w:val="0"/>
          <w:kern w:val="0"/>
          <w:sz w:val="28"/>
          <w:szCs w:val="28"/>
        </w:rPr>
        <w:fldChar w:fldCharType="end"/>
      </w:r>
      <w:r>
        <w:rPr>
          <w:rFonts w:hint="eastAsia"/>
          <w:snapToGrid w:val="0"/>
          <w:kern w:val="0"/>
          <w:sz w:val="28"/>
          <w:szCs w:val="28"/>
        </w:rPr>
        <w:t xml:space="preserve">万元，主要包括政府采购货物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货物_采购计划金额总计</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0</w:t>
      </w:r>
      <w:r>
        <w:rPr>
          <w:snapToGrid w:val="0"/>
          <w:kern w:val="0"/>
          <w:sz w:val="28"/>
          <w:szCs w:val="28"/>
        </w:rPr>
        <w:fldChar w:fldCharType="end"/>
      </w:r>
      <w:r>
        <w:rPr>
          <w:rFonts w:hint="eastAsia"/>
          <w:snapToGrid w:val="0"/>
          <w:kern w:val="0"/>
          <w:sz w:val="28"/>
          <w:szCs w:val="28"/>
        </w:rPr>
        <w:t xml:space="preserve">   万元，工程</w:t>
      </w:r>
      <w:r>
        <w:rPr>
          <w:snapToGrid w:val="0"/>
          <w:kern w:val="0"/>
          <w:sz w:val="28"/>
          <w:szCs w:val="28"/>
        </w:rPr>
        <w:t>0</w:t>
      </w:r>
      <w:r>
        <w:rPr>
          <w:rFonts w:hint="eastAsia"/>
          <w:snapToGrid w:val="0"/>
          <w:kern w:val="0"/>
          <w:sz w:val="28"/>
          <w:szCs w:val="28"/>
        </w:rPr>
        <w:t>万元及服务</w:t>
      </w:r>
      <w:r>
        <w:rPr>
          <w:snapToGrid w:val="0"/>
          <w:kern w:val="0"/>
          <w:sz w:val="28"/>
          <w:szCs w:val="28"/>
        </w:rPr>
        <w:t>0</w:t>
      </w:r>
      <w:r>
        <w:rPr>
          <w:rFonts w:hint="eastAsia"/>
          <w:snapToGrid w:val="0"/>
          <w:kern w:val="0"/>
          <w:sz w:val="28"/>
          <w:szCs w:val="28"/>
        </w:rPr>
        <w:t>万元。</w:t>
      </w:r>
    </w:p>
    <w:p w14:paraId="141A5F02">
      <w:pPr>
        <w:pStyle w:val="7"/>
        <w:adjustRightInd w:val="0"/>
        <w:snapToGrid w:val="0"/>
        <w:spacing w:line="600" w:lineRule="exact"/>
        <w:ind w:left="105" w:leftChars="50" w:firstLine="560"/>
        <w:rPr>
          <w:snapToGrid w:val="0"/>
          <w:kern w:val="0"/>
          <w:sz w:val="28"/>
          <w:szCs w:val="28"/>
        </w:rPr>
      </w:pPr>
      <w:r>
        <w:rPr>
          <w:rFonts w:hint="eastAsia"/>
          <w:snapToGrid w:val="0"/>
          <w:kern w:val="0"/>
          <w:sz w:val="28"/>
          <w:szCs w:val="28"/>
        </w:rPr>
        <w:t>201</w:t>
      </w:r>
      <w:r>
        <w:rPr>
          <w:snapToGrid w:val="0"/>
          <w:kern w:val="0"/>
          <w:sz w:val="28"/>
          <w:szCs w:val="28"/>
        </w:rPr>
        <w:t>6</w:t>
      </w:r>
      <w:r>
        <w:rPr>
          <w:rFonts w:hint="eastAsia"/>
          <w:snapToGrid w:val="0"/>
          <w:kern w:val="0"/>
          <w:sz w:val="28"/>
          <w:szCs w:val="28"/>
        </w:rPr>
        <w:t>年本部门政府采购支出总额</w:t>
      </w:r>
      <w:r>
        <w:rPr>
          <w:snapToGrid w:val="0"/>
          <w:kern w:val="0"/>
          <w:sz w:val="28"/>
          <w:szCs w:val="28"/>
        </w:rPr>
        <w:t xml:space="preserve"> </w:t>
      </w:r>
      <w:r>
        <w:rPr>
          <w:rFonts w:hint="eastAsia"/>
          <w:snapToGrid w:val="0"/>
          <w:kern w:val="0"/>
          <w:sz w:val="28"/>
          <w:szCs w:val="28"/>
        </w:rPr>
        <w:t>0万元，其中：政府采购货物支出0万元、政府采购工程支出0万元、政府采购服务支出0万元。</w:t>
      </w:r>
    </w:p>
    <w:p w14:paraId="2E99B60D">
      <w:pPr>
        <w:pStyle w:val="7"/>
        <w:adjustRightInd w:val="0"/>
        <w:snapToGrid w:val="0"/>
        <w:spacing w:line="600" w:lineRule="exact"/>
        <w:ind w:left="105" w:leftChars="50" w:firstLine="560"/>
        <w:rPr>
          <w:snapToGrid w:val="0"/>
          <w:kern w:val="0"/>
          <w:sz w:val="28"/>
          <w:szCs w:val="28"/>
        </w:rPr>
      </w:pPr>
      <w:r>
        <w:rPr>
          <w:rFonts w:hint="eastAsia"/>
          <w:snapToGrid w:val="0"/>
          <w:kern w:val="0"/>
          <w:sz w:val="28"/>
          <w:szCs w:val="28"/>
        </w:rPr>
        <w:t>3、</w:t>
      </w:r>
      <w:r>
        <w:rPr>
          <w:snapToGrid w:val="0"/>
          <w:kern w:val="0"/>
          <w:sz w:val="28"/>
          <w:szCs w:val="28"/>
        </w:rPr>
        <w:t>国有资产占用情况</w:t>
      </w:r>
    </w:p>
    <w:p w14:paraId="10E76FDE">
      <w:pPr>
        <w:pStyle w:val="7"/>
        <w:adjustRightInd w:val="0"/>
        <w:snapToGrid w:val="0"/>
        <w:spacing w:line="600" w:lineRule="exact"/>
        <w:ind w:left="105" w:leftChars="50" w:firstLine="560"/>
        <w:rPr>
          <w:snapToGrid w:val="0"/>
          <w:kern w:val="0"/>
          <w:sz w:val="28"/>
          <w:szCs w:val="28"/>
        </w:rPr>
      </w:pPr>
      <w:r>
        <w:rPr>
          <w:rFonts w:hint="eastAsia"/>
          <w:snapToGrid w:val="0"/>
          <w:kern w:val="0"/>
          <w:sz w:val="28"/>
          <w:szCs w:val="28"/>
        </w:rPr>
        <w:t>我单位2016年末固定资产总额为298.7万元，主要包括房屋4948平方米价值210.9万元，车辆4辆价值21.8万元，</w:t>
      </w:r>
      <w:r>
        <w:rPr>
          <w:snapToGrid w:val="0"/>
          <w:kern w:val="0"/>
          <w:sz w:val="28"/>
          <w:szCs w:val="28"/>
        </w:rPr>
        <w:t>单价在</w:t>
      </w:r>
      <w:r>
        <w:rPr>
          <w:rFonts w:hint="eastAsia"/>
          <w:snapToGrid w:val="0"/>
          <w:kern w:val="0"/>
          <w:sz w:val="28"/>
          <w:szCs w:val="28"/>
        </w:rPr>
        <w:t>50万元</w:t>
      </w:r>
      <w:r>
        <w:rPr>
          <w:snapToGrid w:val="0"/>
          <w:kern w:val="0"/>
          <w:sz w:val="28"/>
          <w:szCs w:val="28"/>
        </w:rPr>
        <w:t>以上的设备</w:t>
      </w:r>
      <w:r>
        <w:rPr>
          <w:rFonts w:hint="eastAsia"/>
          <w:snapToGrid w:val="0"/>
          <w:kern w:val="0"/>
          <w:sz w:val="28"/>
          <w:szCs w:val="28"/>
        </w:rPr>
        <w:t>0万元</w:t>
      </w:r>
      <w:r>
        <w:rPr>
          <w:snapToGrid w:val="0"/>
          <w:kern w:val="0"/>
          <w:sz w:val="28"/>
          <w:szCs w:val="28"/>
        </w:rPr>
        <w:t>，</w:t>
      </w:r>
      <w:r>
        <w:rPr>
          <w:rFonts w:hint="eastAsia"/>
          <w:snapToGrid w:val="0"/>
          <w:kern w:val="0"/>
          <w:sz w:val="28"/>
          <w:szCs w:val="28"/>
        </w:rPr>
        <w:t xml:space="preserve">及其他固定资产66万元。 </w:t>
      </w:r>
    </w:p>
    <w:p w14:paraId="50D2817A">
      <w:pPr>
        <w:pStyle w:val="7"/>
        <w:adjustRightInd w:val="0"/>
        <w:snapToGrid w:val="0"/>
        <w:spacing w:line="600" w:lineRule="exact"/>
        <w:ind w:left="105" w:leftChars="50" w:firstLine="560"/>
        <w:rPr>
          <w:snapToGrid w:val="0"/>
          <w:kern w:val="0"/>
          <w:sz w:val="28"/>
          <w:szCs w:val="28"/>
        </w:rPr>
      </w:pPr>
      <w:r>
        <w:rPr>
          <w:rFonts w:hint="eastAsia"/>
          <w:snapToGrid w:val="0"/>
          <w:kern w:val="0"/>
          <w:sz w:val="28"/>
          <w:szCs w:val="28"/>
        </w:rPr>
        <w:t>2016年资产变动情况：固定资产增加减少2.2万元，包括房屋增加0万元，车辆减少38.7万元，单价</w:t>
      </w:r>
      <w:r>
        <w:rPr>
          <w:snapToGrid w:val="0"/>
          <w:kern w:val="0"/>
          <w:sz w:val="28"/>
          <w:szCs w:val="28"/>
        </w:rPr>
        <w:t>在</w:t>
      </w:r>
      <w:r>
        <w:rPr>
          <w:rFonts w:hint="eastAsia"/>
          <w:snapToGrid w:val="0"/>
          <w:kern w:val="0"/>
          <w:sz w:val="28"/>
          <w:szCs w:val="28"/>
        </w:rPr>
        <w:t>50万元</w:t>
      </w:r>
      <w:r>
        <w:rPr>
          <w:snapToGrid w:val="0"/>
          <w:kern w:val="0"/>
          <w:sz w:val="28"/>
          <w:szCs w:val="28"/>
        </w:rPr>
        <w:t>以上的设备</w:t>
      </w:r>
      <w:r>
        <w:rPr>
          <w:rFonts w:hint="eastAsia"/>
          <w:snapToGrid w:val="0"/>
          <w:kern w:val="0"/>
          <w:sz w:val="28"/>
          <w:szCs w:val="28"/>
        </w:rPr>
        <w:t>增加0万元，</w:t>
      </w:r>
      <w:r>
        <w:rPr>
          <w:snapToGrid w:val="0"/>
          <w:kern w:val="0"/>
          <w:sz w:val="28"/>
          <w:szCs w:val="28"/>
        </w:rPr>
        <w:t>其他固定</w:t>
      </w:r>
      <w:r>
        <w:rPr>
          <w:rFonts w:hint="eastAsia"/>
          <w:snapToGrid w:val="0"/>
          <w:kern w:val="0"/>
          <w:sz w:val="28"/>
          <w:szCs w:val="28"/>
        </w:rPr>
        <w:t>资</w:t>
      </w:r>
      <w:r>
        <w:rPr>
          <w:snapToGrid w:val="0"/>
          <w:kern w:val="0"/>
          <w:sz w:val="28"/>
          <w:szCs w:val="28"/>
        </w:rPr>
        <w:t>产</w:t>
      </w:r>
      <w:r>
        <w:rPr>
          <w:rFonts w:hint="eastAsia"/>
          <w:snapToGrid w:val="0"/>
          <w:kern w:val="0"/>
          <w:sz w:val="28"/>
          <w:szCs w:val="28"/>
        </w:rPr>
        <w:t>增加36.5万元。</w:t>
      </w:r>
    </w:p>
    <w:p w14:paraId="0000BBDE">
      <w:pPr>
        <w:pStyle w:val="7"/>
        <w:adjustRightInd w:val="0"/>
        <w:snapToGrid w:val="0"/>
        <w:spacing w:line="600" w:lineRule="exact"/>
        <w:ind w:left="105" w:leftChars="50" w:firstLine="560"/>
        <w:rPr>
          <w:snapToGrid w:val="0"/>
          <w:kern w:val="0"/>
          <w:sz w:val="28"/>
          <w:szCs w:val="28"/>
        </w:rPr>
      </w:pPr>
      <w:r>
        <w:rPr>
          <w:rFonts w:hint="eastAsia"/>
          <w:snapToGrid w:val="0"/>
          <w:kern w:val="0"/>
          <w:sz w:val="28"/>
          <w:szCs w:val="28"/>
        </w:rPr>
        <w:t>4、</w:t>
      </w:r>
      <w:r>
        <w:rPr>
          <w:snapToGrid w:val="0"/>
          <w:kern w:val="0"/>
          <w:sz w:val="28"/>
          <w:szCs w:val="28"/>
        </w:rPr>
        <w:t>其他需要说明的</w:t>
      </w:r>
      <w:r>
        <w:rPr>
          <w:rFonts w:hint="eastAsia"/>
          <w:snapToGrid w:val="0"/>
          <w:kern w:val="0"/>
          <w:sz w:val="28"/>
          <w:szCs w:val="28"/>
        </w:rPr>
        <w:t>情况</w:t>
      </w:r>
    </w:p>
    <w:p w14:paraId="1FA71DFE">
      <w:pPr>
        <w:pStyle w:val="7"/>
        <w:adjustRightInd w:val="0"/>
        <w:snapToGrid w:val="0"/>
        <w:spacing w:line="600" w:lineRule="exact"/>
        <w:ind w:left="105" w:leftChars="50" w:firstLine="560"/>
        <w:rPr>
          <w:snapToGrid w:val="0"/>
          <w:kern w:val="0"/>
          <w:sz w:val="28"/>
          <w:szCs w:val="28"/>
        </w:rPr>
      </w:pPr>
      <w:r>
        <w:rPr>
          <w:rFonts w:hint="eastAsia"/>
          <w:snapToGrid w:val="0"/>
          <w:kern w:val="0"/>
          <w:sz w:val="28"/>
          <w:szCs w:val="28"/>
        </w:rPr>
        <w:t>无</w:t>
      </w:r>
    </w:p>
    <w:p w14:paraId="263937DD">
      <w:pPr>
        <w:jc w:val="center"/>
        <w:rPr>
          <w:b/>
          <w:sz w:val="44"/>
          <w:szCs w:val="44"/>
        </w:rPr>
      </w:pPr>
      <w:r>
        <w:rPr>
          <w:rFonts w:hint="eastAsia"/>
          <w:b/>
          <w:sz w:val="44"/>
          <w:szCs w:val="44"/>
        </w:rPr>
        <w:t>第三部分      名词</w:t>
      </w:r>
      <w:r>
        <w:rPr>
          <w:b/>
          <w:sz w:val="44"/>
          <w:szCs w:val="44"/>
        </w:rPr>
        <w:t>解释</w:t>
      </w:r>
    </w:p>
    <w:p w14:paraId="7E873528">
      <w:pPr>
        <w:pStyle w:val="4"/>
        <w:spacing w:before="0" w:beforeAutospacing="0" w:after="0" w:afterAutospacing="0" w:line="384" w:lineRule="atLeast"/>
        <w:ind w:firstLine="540"/>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（一）财政拨款收入：本年度从本级财政部门取得的财政拨款，包括一般公共预算财政拨款和政府性基金预算财政拨款。</w:t>
      </w:r>
    </w:p>
    <w:p w14:paraId="4583D3C9">
      <w:pPr>
        <w:pStyle w:val="4"/>
        <w:spacing w:before="0" w:beforeAutospacing="0" w:after="0" w:afterAutospacing="0" w:line="384" w:lineRule="atLeast"/>
        <w:ind w:firstLine="540"/>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（二）其他收入：指除上述“财政拨款收入”、“事业收入”、“经营收入”等以外的收入。</w:t>
      </w:r>
    </w:p>
    <w:p w14:paraId="04BC1835">
      <w:pPr>
        <w:pStyle w:val="4"/>
        <w:spacing w:before="0" w:beforeAutospacing="0" w:after="0" w:afterAutospacing="0" w:line="384" w:lineRule="atLeast"/>
        <w:ind w:firstLine="540"/>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（三）年初结转和结余：指以前年度尚未完成、结转到本年仍按原规定用途继续使用的资金，或项目已完成等产生的结余资金。</w:t>
      </w:r>
    </w:p>
    <w:p w14:paraId="19D32329">
      <w:pPr>
        <w:pStyle w:val="4"/>
        <w:spacing w:before="0" w:beforeAutospacing="0" w:after="0" w:afterAutospacing="0" w:line="384" w:lineRule="atLeast"/>
        <w:ind w:firstLine="540"/>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（四）年末结转和结余：指单位按有关规定结转到下年或以后年度继续使用的资金，或项目已完成等产生的结余资金。</w:t>
      </w:r>
    </w:p>
    <w:p w14:paraId="3A5D0725">
      <w:pPr>
        <w:pStyle w:val="4"/>
        <w:spacing w:before="0" w:beforeAutospacing="0" w:after="0" w:afterAutospacing="0" w:line="384" w:lineRule="atLeast"/>
        <w:ind w:firstLine="540"/>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（五）基本支出：填列单位为保障机构正常运转、完成日常工作任务而发生的各项支出。</w:t>
      </w:r>
    </w:p>
    <w:p w14:paraId="738C49F8">
      <w:pPr>
        <w:pStyle w:val="4"/>
        <w:spacing w:before="0" w:beforeAutospacing="0" w:after="0" w:afterAutospacing="0" w:line="384" w:lineRule="atLeast"/>
        <w:ind w:firstLine="540"/>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（六）项目支出：填列单位为完成特定的行政工作任务或事业发展目标，在基本支出之外发生的各项支出</w:t>
      </w:r>
    </w:p>
    <w:p w14:paraId="035B67A9">
      <w:pPr>
        <w:pStyle w:val="4"/>
        <w:spacing w:before="0" w:beforeAutospacing="0" w:after="0" w:afterAutospacing="0" w:line="384" w:lineRule="atLeast"/>
        <w:ind w:firstLine="540"/>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七）“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29FF32D2">
      <w:pPr>
        <w:pStyle w:val="4"/>
        <w:spacing w:before="0" w:beforeAutospacing="0" w:after="0" w:afterAutospacing="0" w:line="384" w:lineRule="atLeast"/>
        <w:ind w:firstLine="540"/>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八）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5DDAAAFD">
      <w:pPr>
        <w:pStyle w:val="7"/>
        <w:adjustRightInd w:val="0"/>
        <w:snapToGrid w:val="0"/>
        <w:spacing w:line="600" w:lineRule="exact"/>
        <w:ind w:left="105" w:leftChars="50" w:firstLine="560"/>
        <w:rPr>
          <w:snapToGrid w:val="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E3Yzk4NGZhNDQwMzQxNjY4ZTc5ZmI0NDNkZjVlOGQifQ=="/>
  </w:docVars>
  <w:rsids>
    <w:rsidRoot w:val="008423F5"/>
    <w:rsid w:val="000C162D"/>
    <w:rsid w:val="001041EE"/>
    <w:rsid w:val="00106DF7"/>
    <w:rsid w:val="0015089B"/>
    <w:rsid w:val="00152908"/>
    <w:rsid w:val="001647D9"/>
    <w:rsid w:val="001668F4"/>
    <w:rsid w:val="00172699"/>
    <w:rsid w:val="001C673D"/>
    <w:rsid w:val="001E68F2"/>
    <w:rsid w:val="00305517"/>
    <w:rsid w:val="003277A3"/>
    <w:rsid w:val="00372DF7"/>
    <w:rsid w:val="003A476F"/>
    <w:rsid w:val="003E4051"/>
    <w:rsid w:val="003F0B48"/>
    <w:rsid w:val="003F3B34"/>
    <w:rsid w:val="00413347"/>
    <w:rsid w:val="00471A6A"/>
    <w:rsid w:val="005210B8"/>
    <w:rsid w:val="00532CEC"/>
    <w:rsid w:val="0058572E"/>
    <w:rsid w:val="005B30BC"/>
    <w:rsid w:val="005B3169"/>
    <w:rsid w:val="0060361A"/>
    <w:rsid w:val="0062057E"/>
    <w:rsid w:val="006404FA"/>
    <w:rsid w:val="00653521"/>
    <w:rsid w:val="006B564B"/>
    <w:rsid w:val="006E71D0"/>
    <w:rsid w:val="00777E98"/>
    <w:rsid w:val="00791B38"/>
    <w:rsid w:val="00793A88"/>
    <w:rsid w:val="008026BF"/>
    <w:rsid w:val="0082704B"/>
    <w:rsid w:val="008423F5"/>
    <w:rsid w:val="00842CBB"/>
    <w:rsid w:val="00844686"/>
    <w:rsid w:val="0084752C"/>
    <w:rsid w:val="008B02F8"/>
    <w:rsid w:val="009271E7"/>
    <w:rsid w:val="00945D0B"/>
    <w:rsid w:val="00985214"/>
    <w:rsid w:val="009B74FB"/>
    <w:rsid w:val="009F6D0A"/>
    <w:rsid w:val="00A372C2"/>
    <w:rsid w:val="00A40A33"/>
    <w:rsid w:val="00A467AA"/>
    <w:rsid w:val="00A95F52"/>
    <w:rsid w:val="00AA21A2"/>
    <w:rsid w:val="00AF1EF0"/>
    <w:rsid w:val="00B005DA"/>
    <w:rsid w:val="00B17297"/>
    <w:rsid w:val="00B40ED6"/>
    <w:rsid w:val="00C222CB"/>
    <w:rsid w:val="00C82568"/>
    <w:rsid w:val="00C86553"/>
    <w:rsid w:val="00CA2480"/>
    <w:rsid w:val="00CB45AA"/>
    <w:rsid w:val="00CE26CD"/>
    <w:rsid w:val="00D6325B"/>
    <w:rsid w:val="00D7379E"/>
    <w:rsid w:val="00D9008B"/>
    <w:rsid w:val="00DA0281"/>
    <w:rsid w:val="00DB7E7C"/>
    <w:rsid w:val="00DC5EA2"/>
    <w:rsid w:val="00E56EF3"/>
    <w:rsid w:val="00E71A30"/>
    <w:rsid w:val="00EE49D5"/>
    <w:rsid w:val="00F00909"/>
    <w:rsid w:val="00F00F83"/>
    <w:rsid w:val="00F236B7"/>
    <w:rsid w:val="00F7078F"/>
    <w:rsid w:val="00FD1392"/>
    <w:rsid w:val="00FE626D"/>
    <w:rsid w:val="064A3FAD"/>
    <w:rsid w:val="0B6A15E4"/>
    <w:rsid w:val="0D6054DA"/>
    <w:rsid w:val="1AF90D88"/>
    <w:rsid w:val="1F545778"/>
    <w:rsid w:val="27947E1A"/>
    <w:rsid w:val="3576045D"/>
    <w:rsid w:val="39DE6958"/>
    <w:rsid w:val="4B31636B"/>
    <w:rsid w:val="62A02981"/>
    <w:rsid w:val="67317415"/>
    <w:rsid w:val="6D173E88"/>
    <w:rsid w:val="6DB55011"/>
    <w:rsid w:val="6E5238A6"/>
    <w:rsid w:val="70FA7241"/>
    <w:rsid w:val="739A1501"/>
    <w:rsid w:val="7C52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列出段落1"/>
    <w:basedOn w:val="1"/>
    <w:autoRedefine/>
    <w:qFormat/>
    <w:uiPriority w:val="34"/>
    <w:pPr>
      <w:ind w:firstLine="420" w:firstLineChars="200"/>
    </w:pPr>
  </w:style>
  <w:style w:type="paragraph" w:customStyle="1" w:styleId="8">
    <w:name w:val="列出段落2"/>
    <w:basedOn w:val="1"/>
    <w:autoRedefine/>
    <w:qFormat/>
    <w:uiPriority w:val="34"/>
    <w:pPr>
      <w:ind w:firstLine="420" w:firstLineChars="200"/>
    </w:pPr>
  </w:style>
  <w:style w:type="character" w:customStyle="1" w:styleId="9">
    <w:name w:val="页眉 Char"/>
    <w:basedOn w:val="6"/>
    <w:link w:val="3"/>
    <w:autoRedefine/>
    <w:qFormat/>
    <w:uiPriority w:val="99"/>
    <w:rPr>
      <w:rFonts w:asciiTheme="minorHAnsi" w:hAnsiTheme="minorHAnsi" w:eastAsiaTheme="minorEastAsia" w:cstheme="minorBidi"/>
      <w:kern w:val="2"/>
      <w:sz w:val="18"/>
      <w:szCs w:val="18"/>
    </w:rPr>
  </w:style>
  <w:style w:type="character" w:customStyle="1" w:styleId="10">
    <w:name w:val="页脚 Char"/>
    <w:basedOn w:val="6"/>
    <w:link w:val="2"/>
    <w:autoRedefine/>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2BAA3B-6CA3-45F8-BDD3-CB0FE1512E7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9</Pages>
  <Words>4254</Words>
  <Characters>4597</Characters>
  <Lines>37</Lines>
  <Paragraphs>10</Paragraphs>
  <TotalTime>11</TotalTime>
  <ScaleCrop>false</ScaleCrop>
  <LinksUpToDate>false</LinksUpToDate>
  <CharactersWithSpaces>4714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2015-11-03T02:02:00Z</dcterms:created>
  <dc:creator>yuanxiaowei</dc:creator>
  <cp:lastModifiedBy>回  忆</cp:lastModifiedBy>
  <cp:lastPrinted>2017-08-29T03:35:00Z</cp:lastPrinted>
  <dcterms:modified xsi:type="dcterms:W3CDTF">2025-05-12T01:09:57Z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BB14651D00824E0DA96358B00BCF993C_12</vt:lpwstr>
  </property>
  <property fmtid="{D5CDD505-2E9C-101B-9397-08002B2CF9AE}" pid="4" name="KSOTemplateDocerSaveRecord">
    <vt:lpwstr>eyJoZGlkIjoiOGI1YWFjNDI3YjViOWI4NjY0N2FkZDI5YjAxZDdlNTkiLCJ1c2VySWQiOiIxMDQxMjE4NDYyIn0=</vt:lpwstr>
  </property>
</Properties>
</file>