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2EFAA">
      <w:pPr>
        <w:widowControl w:val="0"/>
        <w:adjustRightInd/>
        <w:snapToGrid/>
        <w:spacing w:after="0" w:line="580" w:lineRule="exact"/>
        <w:jc w:val="center"/>
        <w:rPr>
          <w:rFonts w:ascii="黑体" w:hAnsi="黑体" w:eastAsia="黑体" w:cs="黑体"/>
          <w:bCs/>
          <w:kern w:val="2"/>
          <w:sz w:val="32"/>
          <w:szCs w:val="32"/>
        </w:rPr>
      </w:pPr>
    </w:p>
    <w:p w14:paraId="1EC7DA86">
      <w:pPr>
        <w:widowControl w:val="0"/>
        <w:adjustRightInd/>
        <w:snapToGrid/>
        <w:spacing w:after="0" w:line="580" w:lineRule="exact"/>
        <w:jc w:val="center"/>
        <w:rPr>
          <w:rFonts w:ascii="黑体" w:hAnsi="黑体" w:eastAsia="黑体" w:cs="黑体"/>
          <w:bCs/>
          <w:kern w:val="2"/>
          <w:sz w:val="32"/>
          <w:szCs w:val="32"/>
        </w:rPr>
      </w:pPr>
    </w:p>
    <w:p w14:paraId="40BED809">
      <w:pPr>
        <w:widowControl w:val="0"/>
        <w:adjustRightInd/>
        <w:snapToGrid/>
        <w:spacing w:after="0" w:line="580" w:lineRule="exact"/>
        <w:jc w:val="center"/>
        <w:rPr>
          <w:rFonts w:ascii="黑体" w:hAnsi="黑体" w:eastAsia="黑体" w:cs="黑体"/>
          <w:bCs/>
          <w:kern w:val="2"/>
          <w:sz w:val="32"/>
          <w:szCs w:val="32"/>
        </w:rPr>
      </w:pPr>
    </w:p>
    <w:p w14:paraId="2551C495">
      <w:pPr>
        <w:widowControl w:val="0"/>
        <w:adjustRightInd/>
        <w:snapToGrid/>
        <w:spacing w:after="0" w:line="580" w:lineRule="exact"/>
        <w:jc w:val="center"/>
        <w:rPr>
          <w:rFonts w:asciiTheme="majorEastAsia" w:hAnsiTheme="majorEastAsia" w:eastAsiaTheme="majorEastAsia" w:cstheme="majorEastAsia"/>
          <w:b/>
          <w:kern w:val="2"/>
          <w:sz w:val="44"/>
          <w:szCs w:val="44"/>
        </w:rPr>
      </w:pPr>
    </w:p>
    <w:tbl>
      <w:tblPr>
        <w:tblStyle w:val="24"/>
        <w:tblW w:w="93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22"/>
      </w:tblGrid>
      <w:tr w14:paraId="11A0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22" w:type="dxa"/>
          </w:tcPr>
          <w:p w14:paraId="3EDD8415">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保定市徐水区人民代表大会常务委员会</w:t>
            </w:r>
          </w:p>
        </w:tc>
      </w:tr>
    </w:tbl>
    <w:p w14:paraId="2F86E108">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202</w:t>
      </w:r>
      <w:r>
        <w:rPr>
          <w:rFonts w:asciiTheme="majorEastAsia" w:hAnsiTheme="majorEastAsia" w:eastAsiaTheme="majorEastAsia" w:cstheme="majorEastAsia"/>
          <w:b/>
          <w:kern w:val="2"/>
          <w:sz w:val="44"/>
          <w:szCs w:val="44"/>
        </w:rPr>
        <w:t>1</w:t>
      </w:r>
      <w:r>
        <w:rPr>
          <w:rFonts w:hint="eastAsia" w:asciiTheme="majorEastAsia" w:hAnsiTheme="majorEastAsia" w:eastAsiaTheme="majorEastAsia" w:cstheme="majorEastAsia"/>
          <w:b/>
          <w:kern w:val="2"/>
          <w:sz w:val="44"/>
          <w:szCs w:val="44"/>
        </w:rPr>
        <w:t>年部门整体支出绩效评价自评报告</w:t>
      </w:r>
    </w:p>
    <w:p w14:paraId="3A229883">
      <w:pPr>
        <w:widowControl w:val="0"/>
        <w:adjustRightInd/>
        <w:snapToGrid/>
        <w:spacing w:after="0" w:line="540" w:lineRule="exact"/>
        <w:ind w:firstLine="640" w:firstLineChars="200"/>
        <w:jc w:val="both"/>
        <w:rPr>
          <w:rFonts w:ascii="黑体" w:hAnsi="黑体" w:eastAsia="黑体" w:cs="Times New Roman"/>
          <w:bCs/>
          <w:kern w:val="2"/>
          <w:sz w:val="32"/>
          <w:szCs w:val="32"/>
        </w:rPr>
      </w:pPr>
    </w:p>
    <w:p w14:paraId="01E0766E">
      <w:pPr>
        <w:widowControl w:val="0"/>
        <w:adjustRightInd/>
        <w:snapToGrid/>
        <w:spacing w:after="0" w:line="540" w:lineRule="exact"/>
        <w:ind w:firstLine="640" w:firstLineChars="200"/>
        <w:jc w:val="both"/>
        <w:rPr>
          <w:rFonts w:ascii="黑体" w:hAnsi="黑体" w:eastAsia="黑体" w:cs="Times New Roman"/>
          <w:bCs/>
          <w:kern w:val="2"/>
          <w:sz w:val="32"/>
          <w:szCs w:val="32"/>
        </w:rPr>
      </w:pPr>
    </w:p>
    <w:p w14:paraId="63D6429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A71448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28528A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846BAC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7A1165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C2ED6F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467785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DE5A0D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A0F8D5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3B4462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A339F1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0921A0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9A58CB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60525C2">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22</w:t>
      </w:r>
      <w:r>
        <w:rPr>
          <w:rFonts w:hint="eastAsia" w:cs="Times New Roman" w:asciiTheme="minorEastAsia" w:hAnsiTheme="minorEastAsia" w:eastAsiaTheme="minorEastAsia"/>
          <w:bCs/>
          <w:kern w:val="2"/>
          <w:sz w:val="36"/>
          <w:szCs w:val="36"/>
        </w:rPr>
        <w:t>年</w:t>
      </w:r>
      <w:r>
        <w:rPr>
          <w:rFonts w:cs="Times New Roman" w:asciiTheme="minorEastAsia" w:hAnsiTheme="minorEastAsia" w:eastAsiaTheme="minorEastAsia"/>
          <w:bCs/>
          <w:kern w:val="2"/>
          <w:sz w:val="36"/>
          <w:szCs w:val="36"/>
        </w:rPr>
        <w:t>11</w:t>
      </w:r>
      <w:r>
        <w:rPr>
          <w:rFonts w:hint="eastAsia" w:cs="Times New Roman" w:asciiTheme="minorEastAsia" w:hAnsiTheme="minorEastAsia" w:eastAsiaTheme="minorEastAsia"/>
          <w:bCs/>
          <w:kern w:val="2"/>
          <w:sz w:val="36"/>
          <w:szCs w:val="36"/>
        </w:rPr>
        <w:t>月</w:t>
      </w:r>
    </w:p>
    <w:p w14:paraId="1F37A52B">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p>
    <w:p w14:paraId="6093A059">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p>
    <w:p w14:paraId="0EE42F89">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21CB3ECB">
          <w:pPr>
            <w:pStyle w:val="72"/>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0E91D1D8">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6E21936">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asciiTheme="majorEastAsia" w:hAnsiTheme="majorEastAsia" w:eastAsiaTheme="majorEastAsia" w:cstheme="majorEastAsia"/>
              <w:b/>
              <w:bCs/>
              <w:sz w:val="24"/>
            </w:rPr>
            <w:t>6</w:t>
          </w:r>
          <w:r>
            <w:rPr>
              <w:rFonts w:asciiTheme="majorEastAsia" w:hAnsiTheme="majorEastAsia" w:eastAsiaTheme="majorEastAsia" w:cstheme="majorEastAsia"/>
              <w:b/>
              <w:bCs/>
              <w:sz w:val="24"/>
            </w:rPr>
            <w:fldChar w:fldCharType="end"/>
          </w:r>
        </w:p>
        <w:p w14:paraId="4D57B503">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一、保定市徐水区人民代表大会常务委员会基本情况</w:t>
          </w:r>
          <w:r>
            <w:rPr>
              <w:rFonts w:hint="eastAsia" w:asciiTheme="majorEastAsia" w:hAnsiTheme="majorEastAsia" w:eastAsiaTheme="majorEastAsia" w:cstheme="majorEastAsia"/>
              <w:b/>
              <w:bCs/>
              <w:sz w:val="24"/>
            </w:rPr>
            <w:tab/>
          </w:r>
          <w:r>
            <w:rPr>
              <w:rFonts w:asciiTheme="majorEastAsia" w:hAnsiTheme="majorEastAsia" w:eastAsiaTheme="majorEastAsia" w:cstheme="majorEastAsia"/>
              <w:b/>
              <w:bCs/>
              <w:sz w:val="24"/>
            </w:rPr>
            <w:t>6</w:t>
          </w:r>
          <w:r>
            <w:rPr>
              <w:rFonts w:asciiTheme="majorEastAsia" w:hAnsiTheme="majorEastAsia" w:eastAsiaTheme="majorEastAsia" w:cstheme="majorEastAsia"/>
              <w:b/>
              <w:bCs/>
              <w:sz w:val="24"/>
            </w:rPr>
            <w:fldChar w:fldCharType="end"/>
          </w:r>
        </w:p>
        <w:p w14:paraId="1EE7A23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6</w:t>
          </w:r>
          <w:r>
            <w:rPr>
              <w:rFonts w:asciiTheme="majorEastAsia" w:hAnsiTheme="majorEastAsia" w:eastAsiaTheme="majorEastAsia" w:cstheme="majorEastAsia"/>
              <w:sz w:val="24"/>
            </w:rPr>
            <w:fldChar w:fldCharType="end"/>
          </w:r>
        </w:p>
        <w:p w14:paraId="6295838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8</w:t>
          </w:r>
          <w:r>
            <w:rPr>
              <w:rFonts w:asciiTheme="majorEastAsia" w:hAnsiTheme="majorEastAsia" w:eastAsiaTheme="majorEastAsia" w:cstheme="majorEastAsia"/>
              <w:sz w:val="24"/>
            </w:rPr>
            <w:fldChar w:fldCharType="end"/>
          </w:r>
        </w:p>
        <w:p w14:paraId="30946A1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9</w:t>
          </w:r>
          <w:r>
            <w:rPr>
              <w:rFonts w:asciiTheme="majorEastAsia" w:hAnsiTheme="majorEastAsia" w:eastAsiaTheme="majorEastAsia" w:cstheme="majorEastAsia"/>
              <w:sz w:val="24"/>
            </w:rPr>
            <w:fldChar w:fldCharType="end"/>
          </w:r>
        </w:p>
        <w:p w14:paraId="4D96268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11</w:t>
          </w:r>
          <w:r>
            <w:rPr>
              <w:rFonts w:asciiTheme="majorEastAsia" w:hAnsiTheme="majorEastAsia" w:eastAsiaTheme="majorEastAsia" w:cstheme="majorEastAsia"/>
              <w:sz w:val="24"/>
            </w:rPr>
            <w:fldChar w:fldCharType="end"/>
          </w:r>
        </w:p>
        <w:p w14:paraId="67FAB63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13</w:t>
          </w:r>
          <w:r>
            <w:rPr>
              <w:rFonts w:asciiTheme="majorEastAsia" w:hAnsiTheme="majorEastAsia" w:eastAsiaTheme="majorEastAsia" w:cstheme="majorEastAsia"/>
              <w:sz w:val="24"/>
            </w:rPr>
            <w:fldChar w:fldCharType="end"/>
          </w:r>
        </w:p>
        <w:p w14:paraId="060874F3">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asciiTheme="majorEastAsia" w:hAnsiTheme="majorEastAsia" w:eastAsiaTheme="majorEastAsia" w:cstheme="majorEastAsia"/>
              <w:b/>
              <w:bCs/>
              <w:sz w:val="24"/>
            </w:rPr>
            <w:t>14</w:t>
          </w:r>
          <w:r>
            <w:rPr>
              <w:rFonts w:asciiTheme="majorEastAsia" w:hAnsiTheme="majorEastAsia" w:eastAsiaTheme="majorEastAsia" w:cstheme="majorEastAsia"/>
              <w:b/>
              <w:bCs/>
              <w:sz w:val="24"/>
            </w:rPr>
            <w:fldChar w:fldCharType="end"/>
          </w:r>
        </w:p>
        <w:p w14:paraId="57BE2D6B">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15</w:t>
          </w:r>
          <w:r>
            <w:rPr>
              <w:rFonts w:asciiTheme="majorEastAsia" w:hAnsiTheme="majorEastAsia" w:eastAsiaTheme="majorEastAsia" w:cstheme="majorEastAsia"/>
              <w:sz w:val="24"/>
            </w:rPr>
            <w:fldChar w:fldCharType="end"/>
          </w:r>
        </w:p>
        <w:p w14:paraId="6C24175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15</w:t>
          </w:r>
          <w:r>
            <w:rPr>
              <w:rFonts w:asciiTheme="majorEastAsia" w:hAnsiTheme="majorEastAsia" w:eastAsiaTheme="majorEastAsia" w:cstheme="majorEastAsia"/>
              <w:sz w:val="24"/>
            </w:rPr>
            <w:fldChar w:fldCharType="end"/>
          </w:r>
        </w:p>
        <w:p w14:paraId="0E9B9EF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16</w:t>
          </w:r>
          <w:r>
            <w:rPr>
              <w:rFonts w:asciiTheme="majorEastAsia" w:hAnsiTheme="majorEastAsia" w:eastAsiaTheme="majorEastAsia" w:cstheme="majorEastAsia"/>
              <w:sz w:val="24"/>
            </w:rPr>
            <w:fldChar w:fldCharType="end"/>
          </w:r>
        </w:p>
        <w:p w14:paraId="4A63D36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16</w:t>
          </w:r>
          <w:r>
            <w:rPr>
              <w:rFonts w:asciiTheme="majorEastAsia" w:hAnsiTheme="majorEastAsia" w:eastAsiaTheme="majorEastAsia" w:cstheme="majorEastAsia"/>
              <w:sz w:val="24"/>
            </w:rPr>
            <w:fldChar w:fldCharType="end"/>
          </w:r>
        </w:p>
        <w:p w14:paraId="3D83ED33">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asciiTheme="majorEastAsia" w:hAnsiTheme="majorEastAsia" w:eastAsiaTheme="majorEastAsia" w:cstheme="majorEastAsia"/>
              <w:b/>
              <w:bCs/>
              <w:sz w:val="24"/>
            </w:rPr>
            <w:t>16</w:t>
          </w:r>
          <w:r>
            <w:rPr>
              <w:rFonts w:asciiTheme="majorEastAsia" w:hAnsiTheme="majorEastAsia" w:eastAsiaTheme="majorEastAsia" w:cstheme="majorEastAsia"/>
              <w:b/>
              <w:bCs/>
              <w:sz w:val="24"/>
            </w:rPr>
            <w:fldChar w:fldCharType="end"/>
          </w:r>
        </w:p>
        <w:p w14:paraId="79CA24F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16</w:t>
          </w:r>
          <w:r>
            <w:rPr>
              <w:rFonts w:asciiTheme="majorEastAsia" w:hAnsiTheme="majorEastAsia" w:eastAsiaTheme="majorEastAsia" w:cstheme="majorEastAsia"/>
              <w:sz w:val="24"/>
            </w:rPr>
            <w:fldChar w:fldCharType="end"/>
          </w:r>
        </w:p>
        <w:p w14:paraId="1602491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17</w:t>
          </w:r>
          <w:r>
            <w:rPr>
              <w:rFonts w:asciiTheme="majorEastAsia" w:hAnsiTheme="majorEastAsia" w:eastAsiaTheme="majorEastAsia" w:cstheme="majorEastAsia"/>
              <w:sz w:val="24"/>
            </w:rPr>
            <w:fldChar w:fldCharType="end"/>
          </w:r>
        </w:p>
        <w:p w14:paraId="03C4436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17</w:t>
          </w:r>
          <w:r>
            <w:rPr>
              <w:rFonts w:asciiTheme="majorEastAsia" w:hAnsiTheme="majorEastAsia" w:eastAsiaTheme="majorEastAsia" w:cstheme="majorEastAsia"/>
              <w:sz w:val="24"/>
            </w:rPr>
            <w:fldChar w:fldCharType="end"/>
          </w:r>
        </w:p>
        <w:p w14:paraId="5173C38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10A831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18</w:t>
          </w:r>
          <w:r>
            <w:rPr>
              <w:rFonts w:asciiTheme="majorEastAsia" w:hAnsiTheme="majorEastAsia" w:eastAsiaTheme="majorEastAsia" w:cstheme="majorEastAsia"/>
              <w:sz w:val="24"/>
            </w:rPr>
            <w:fldChar w:fldCharType="end"/>
          </w:r>
        </w:p>
        <w:p w14:paraId="6857DB1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19</w:t>
          </w:r>
          <w:r>
            <w:rPr>
              <w:rFonts w:asciiTheme="majorEastAsia" w:hAnsiTheme="majorEastAsia" w:eastAsiaTheme="majorEastAsia" w:cstheme="majorEastAsia"/>
              <w:sz w:val="24"/>
            </w:rPr>
            <w:fldChar w:fldCharType="end"/>
          </w:r>
        </w:p>
        <w:p w14:paraId="59D07CB3">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asciiTheme="majorEastAsia" w:hAnsiTheme="majorEastAsia" w:eastAsiaTheme="majorEastAsia" w:cstheme="majorEastAsia"/>
              <w:b/>
              <w:bCs/>
              <w:sz w:val="24"/>
            </w:rPr>
            <w:t>20</w:t>
          </w:r>
          <w:r>
            <w:rPr>
              <w:rFonts w:asciiTheme="majorEastAsia" w:hAnsiTheme="majorEastAsia" w:eastAsiaTheme="majorEastAsia" w:cstheme="majorEastAsia"/>
              <w:b/>
              <w:bCs/>
              <w:sz w:val="24"/>
            </w:rPr>
            <w:fldChar w:fldCharType="end"/>
          </w:r>
        </w:p>
        <w:p w14:paraId="217AB8A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20</w:t>
          </w:r>
          <w:r>
            <w:rPr>
              <w:rFonts w:asciiTheme="majorEastAsia" w:hAnsiTheme="majorEastAsia" w:eastAsiaTheme="majorEastAsia" w:cstheme="majorEastAsia"/>
              <w:sz w:val="24"/>
            </w:rPr>
            <w:fldChar w:fldCharType="end"/>
          </w:r>
        </w:p>
        <w:p w14:paraId="4E61D79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24</w:t>
          </w:r>
          <w:r>
            <w:rPr>
              <w:rFonts w:asciiTheme="majorEastAsia" w:hAnsiTheme="majorEastAsia" w:eastAsiaTheme="majorEastAsia" w:cstheme="majorEastAsia"/>
              <w:sz w:val="24"/>
            </w:rPr>
            <w:fldChar w:fldCharType="end"/>
          </w:r>
        </w:p>
        <w:p w14:paraId="4D5F384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30</w:t>
          </w:r>
          <w:r>
            <w:rPr>
              <w:rFonts w:asciiTheme="majorEastAsia" w:hAnsiTheme="majorEastAsia" w:eastAsiaTheme="majorEastAsia" w:cstheme="majorEastAsia"/>
              <w:sz w:val="24"/>
            </w:rPr>
            <w:fldChar w:fldCharType="end"/>
          </w:r>
        </w:p>
        <w:p w14:paraId="7785D50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asciiTheme="majorEastAsia" w:hAnsiTheme="majorEastAsia" w:eastAsiaTheme="majorEastAsia" w:cstheme="majorEastAsia"/>
              <w:sz w:val="24"/>
            </w:rPr>
            <w:t>31</w:t>
          </w:r>
          <w:r>
            <w:rPr>
              <w:rFonts w:asciiTheme="majorEastAsia" w:hAnsiTheme="majorEastAsia" w:eastAsiaTheme="majorEastAsia" w:cstheme="majorEastAsia"/>
              <w:sz w:val="24"/>
            </w:rPr>
            <w:fldChar w:fldCharType="end"/>
          </w:r>
        </w:p>
        <w:p w14:paraId="698B6B54">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asciiTheme="majorEastAsia" w:hAnsiTheme="majorEastAsia" w:eastAsiaTheme="majorEastAsia" w:cstheme="majorEastAsia"/>
              <w:b/>
              <w:bCs/>
              <w:sz w:val="24"/>
            </w:rPr>
            <w:t>33</w:t>
          </w:r>
          <w:r>
            <w:rPr>
              <w:rFonts w:asciiTheme="majorEastAsia" w:hAnsiTheme="majorEastAsia" w:eastAsiaTheme="majorEastAsia" w:cstheme="majorEastAsia"/>
              <w:b/>
              <w:bCs/>
              <w:sz w:val="24"/>
            </w:rPr>
            <w:fldChar w:fldCharType="end"/>
          </w:r>
        </w:p>
        <w:p w14:paraId="32940772">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C73C980">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73DC5B8E">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254CCB8B"/>
    <w:p w14:paraId="0967DC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2021</w:t>
      </w:r>
      <w:r>
        <w:rPr>
          <w:rFonts w:hint="eastAsia" w:ascii="仿宋_GB2312" w:eastAsia="仿宋_GB2312" w:cs="DengXian-Regular"/>
          <w:sz w:val="32"/>
          <w:szCs w:val="32"/>
        </w:rPr>
        <w:t>年部门整体支出情况开展了绩效自评价工作。</w:t>
      </w:r>
    </w:p>
    <w:p w14:paraId="78A4979F">
      <w:pPr>
        <w:spacing w:after="0" w:line="360" w:lineRule="auto"/>
        <w:ind w:firstLine="640" w:firstLineChars="200"/>
        <w:jc w:val="both"/>
        <w:textAlignment w:val="baseline"/>
        <w:rPr>
          <w:rFonts w:ascii="仿宋_GB2312" w:hAnsi="华文仿宋" w:eastAsia="仿宋_GB2312"/>
          <w:sz w:val="32"/>
          <w:szCs w:val="32"/>
        </w:rPr>
      </w:pPr>
      <w:r>
        <w:rPr>
          <w:rFonts w:hint="eastAsia" w:ascii="仿宋_GB2312" w:eastAsia="仿宋_GB2312" w:cs="DengXian-Regular"/>
          <w:sz w:val="32"/>
          <w:szCs w:val="32"/>
        </w:rPr>
        <w:t>保定市徐水区人民代表大会常务委员会</w:t>
      </w:r>
      <w:r>
        <w:rPr>
          <w:rFonts w:ascii="仿宋_GB2312" w:eastAsia="仿宋_GB2312" w:cs="DengXian-Regular"/>
          <w:sz w:val="32"/>
          <w:szCs w:val="32"/>
        </w:rPr>
        <w:t>（以下简称为区人大常委</w:t>
      </w:r>
      <w:r>
        <w:rPr>
          <w:rFonts w:hint="eastAsia" w:ascii="仿宋_GB2312" w:eastAsia="仿宋_GB2312" w:cs="DengXian-Regular"/>
          <w:sz w:val="32"/>
          <w:szCs w:val="32"/>
        </w:rPr>
        <w:t>会</w:t>
      </w:r>
      <w:r>
        <w:rPr>
          <w:rFonts w:ascii="仿宋_GB2312" w:eastAsia="仿宋_GB2312" w:cs="DengXian-Regular"/>
          <w:sz w:val="32"/>
          <w:szCs w:val="32"/>
        </w:rPr>
        <w:t>机关）</w:t>
      </w:r>
      <w:r>
        <w:rPr>
          <w:rFonts w:hint="eastAsia" w:ascii="仿宋_GB2312" w:eastAsia="仿宋_GB2312" w:cs="DengXian-Regular"/>
          <w:sz w:val="32"/>
          <w:szCs w:val="32"/>
        </w:rPr>
        <w:t>为正处级行政单位，经费保障形式为财政拨款，下设</w:t>
      </w:r>
      <w:r>
        <w:rPr>
          <w:rFonts w:ascii="仿宋_GB2312" w:eastAsia="仿宋_GB2312" w:cs="DengXian-Regular"/>
          <w:sz w:val="32"/>
          <w:szCs w:val="32"/>
        </w:rPr>
        <w:t>5</w:t>
      </w:r>
      <w:r>
        <w:rPr>
          <w:rFonts w:hint="eastAsia" w:ascii="仿宋_GB2312" w:eastAsia="仿宋_GB2312" w:cs="DengXian-Regular"/>
          <w:sz w:val="32"/>
          <w:szCs w:val="32"/>
        </w:rPr>
        <w:t>室，分别为</w:t>
      </w:r>
      <w:r>
        <w:rPr>
          <w:rFonts w:hint="eastAsia" w:ascii="仿宋_GB2312" w:hAnsi="华文仿宋" w:eastAsia="仿宋_GB2312"/>
          <w:sz w:val="32"/>
          <w:szCs w:val="32"/>
        </w:rPr>
        <w:t>办公室、法制工作委员会、财政经济工作委员会、社会建设工作委员会、选举任免代表工作委员会。</w:t>
      </w:r>
    </w:p>
    <w:p w14:paraId="70B83BE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w:t>
      </w:r>
      <w:r>
        <w:rPr>
          <w:rFonts w:ascii="仿宋_GB2312" w:eastAsia="仿宋_GB2312" w:cs="DengXian-Regular"/>
          <w:sz w:val="32"/>
          <w:szCs w:val="32"/>
        </w:rPr>
        <w:t>职责：</w:t>
      </w:r>
    </w:p>
    <w:p w14:paraId="3F56BF52">
      <w:pPr>
        <w:spacing w:line="600" w:lineRule="exact"/>
        <w:ind w:firstLine="640" w:firstLineChars="200"/>
        <w:rPr>
          <w:rFonts w:ascii="仿宋" w:hAnsi="仿宋" w:eastAsia="仿宋" w:cs="宋体"/>
          <w:color w:val="000000"/>
          <w:sz w:val="32"/>
          <w:szCs w:val="32"/>
        </w:rPr>
      </w:pPr>
      <w:r>
        <w:rPr>
          <w:rFonts w:ascii="仿宋" w:hAnsi="仿宋" w:eastAsia="仿宋" w:cs="宋体"/>
          <w:color w:val="000000"/>
          <w:sz w:val="32"/>
          <w:szCs w:val="32"/>
        </w:rPr>
        <w:t>（一）在本行政区域内，保证宪法、法律、行政法规和</w:t>
      </w:r>
      <w:r>
        <w:rPr>
          <w:rFonts w:hint="eastAsia" w:ascii="仿宋" w:hAnsi="仿宋" w:eastAsia="仿宋" w:cs="宋体"/>
          <w:color w:val="000000"/>
          <w:sz w:val="32"/>
          <w:szCs w:val="32"/>
        </w:rPr>
        <w:t>上级</w:t>
      </w:r>
      <w:r>
        <w:rPr>
          <w:rFonts w:ascii="仿宋" w:hAnsi="仿宋" w:eastAsia="仿宋" w:cs="宋体"/>
          <w:color w:val="000000"/>
          <w:sz w:val="32"/>
          <w:szCs w:val="32"/>
        </w:rPr>
        <w:t xml:space="preserve">人民代表大会及其常务委员会决议的遵守和执行； </w:t>
      </w:r>
    </w:p>
    <w:p w14:paraId="51ECFE81">
      <w:pPr>
        <w:spacing w:line="600" w:lineRule="exact"/>
        <w:ind w:firstLine="640" w:firstLineChars="200"/>
        <w:rPr>
          <w:rFonts w:ascii="仿宋" w:hAnsi="仿宋" w:eastAsia="仿宋" w:cs="宋体"/>
          <w:color w:val="000000"/>
          <w:sz w:val="32"/>
          <w:szCs w:val="32"/>
        </w:rPr>
      </w:pPr>
      <w:r>
        <w:rPr>
          <w:rFonts w:ascii="仿宋" w:hAnsi="仿宋" w:eastAsia="仿宋" w:cs="宋体"/>
          <w:color w:val="000000"/>
          <w:sz w:val="32"/>
          <w:szCs w:val="32"/>
        </w:rPr>
        <w:t>（二）领导或者主持</w:t>
      </w:r>
      <w:r>
        <w:rPr>
          <w:rFonts w:hint="eastAsia" w:ascii="仿宋" w:hAnsi="仿宋" w:eastAsia="仿宋" w:cs="宋体"/>
          <w:color w:val="000000"/>
          <w:sz w:val="32"/>
          <w:szCs w:val="32"/>
        </w:rPr>
        <w:t>区</w:t>
      </w:r>
      <w:r>
        <w:rPr>
          <w:rFonts w:ascii="仿宋" w:hAnsi="仿宋" w:eastAsia="仿宋" w:cs="宋体"/>
          <w:color w:val="000000"/>
          <w:sz w:val="32"/>
          <w:szCs w:val="32"/>
        </w:rPr>
        <w:t xml:space="preserve">人民代表大会代表的选举； </w:t>
      </w:r>
    </w:p>
    <w:p w14:paraId="2C6780DD">
      <w:pPr>
        <w:spacing w:line="600" w:lineRule="exact"/>
        <w:ind w:firstLine="640" w:firstLineChars="200"/>
        <w:rPr>
          <w:rFonts w:ascii="仿宋" w:hAnsi="仿宋" w:eastAsia="仿宋" w:cs="宋体"/>
          <w:color w:val="000000"/>
          <w:sz w:val="32"/>
          <w:szCs w:val="32"/>
        </w:rPr>
      </w:pPr>
      <w:r>
        <w:rPr>
          <w:rFonts w:ascii="仿宋" w:hAnsi="仿宋" w:eastAsia="仿宋" w:cs="宋体"/>
          <w:color w:val="000000"/>
          <w:sz w:val="32"/>
          <w:szCs w:val="32"/>
        </w:rPr>
        <w:t>（三）召集</w:t>
      </w:r>
      <w:r>
        <w:rPr>
          <w:rFonts w:hint="eastAsia" w:ascii="仿宋" w:hAnsi="仿宋" w:eastAsia="仿宋" w:cs="宋体"/>
          <w:color w:val="000000"/>
          <w:sz w:val="32"/>
          <w:szCs w:val="32"/>
        </w:rPr>
        <w:t>区</w:t>
      </w:r>
      <w:r>
        <w:rPr>
          <w:rFonts w:ascii="仿宋" w:hAnsi="仿宋" w:eastAsia="仿宋" w:cs="宋体"/>
          <w:color w:val="000000"/>
          <w:sz w:val="32"/>
          <w:szCs w:val="32"/>
        </w:rPr>
        <w:t xml:space="preserve">人民代表大会会议； </w:t>
      </w:r>
    </w:p>
    <w:p w14:paraId="580487CA">
      <w:pPr>
        <w:spacing w:line="600" w:lineRule="exact"/>
        <w:ind w:firstLine="640" w:firstLineChars="200"/>
        <w:rPr>
          <w:rFonts w:ascii="仿宋" w:hAnsi="仿宋" w:eastAsia="仿宋" w:cs="宋体"/>
          <w:color w:val="000000"/>
          <w:sz w:val="32"/>
          <w:szCs w:val="32"/>
        </w:rPr>
      </w:pPr>
      <w:r>
        <w:rPr>
          <w:rFonts w:ascii="仿宋" w:hAnsi="仿宋" w:eastAsia="仿宋" w:cs="宋体"/>
          <w:color w:val="000000"/>
          <w:sz w:val="32"/>
          <w:szCs w:val="32"/>
        </w:rPr>
        <w:t xml:space="preserve">（四）讨论、决定本行政区域内的政治、经济、教育、科学、文化、 卫生、环境和资源保护、民政、民族等工作的重大事项； </w:t>
      </w:r>
    </w:p>
    <w:p w14:paraId="6BD750FE">
      <w:pPr>
        <w:spacing w:line="600" w:lineRule="exact"/>
        <w:ind w:firstLine="640" w:firstLineChars="200"/>
        <w:rPr>
          <w:rFonts w:ascii="仿宋" w:hAnsi="仿宋" w:eastAsia="仿宋" w:cs="宋体"/>
          <w:color w:val="000000"/>
          <w:sz w:val="32"/>
          <w:szCs w:val="32"/>
        </w:rPr>
      </w:pPr>
      <w:r>
        <w:rPr>
          <w:rFonts w:ascii="仿宋" w:hAnsi="仿宋" w:eastAsia="仿宋" w:cs="宋体"/>
          <w:color w:val="000000"/>
          <w:sz w:val="32"/>
          <w:szCs w:val="32"/>
        </w:rPr>
        <w:t>（五）根据</w:t>
      </w:r>
      <w:r>
        <w:rPr>
          <w:rFonts w:hint="eastAsia" w:ascii="仿宋" w:hAnsi="仿宋" w:eastAsia="仿宋" w:cs="宋体"/>
          <w:color w:val="000000"/>
          <w:sz w:val="32"/>
          <w:szCs w:val="32"/>
        </w:rPr>
        <w:t>区</w:t>
      </w:r>
      <w:r>
        <w:rPr>
          <w:rFonts w:ascii="仿宋" w:hAnsi="仿宋" w:eastAsia="仿宋" w:cs="宋体"/>
          <w:color w:val="000000"/>
          <w:sz w:val="32"/>
          <w:szCs w:val="32"/>
        </w:rPr>
        <w:t xml:space="preserve">人民政府的建议，决定对本行政区域内的国民经济和社会发展计划、预算的部分变更； </w:t>
      </w:r>
    </w:p>
    <w:p w14:paraId="065A41AB">
      <w:pPr>
        <w:spacing w:line="600" w:lineRule="exact"/>
        <w:ind w:firstLine="640" w:firstLineChars="200"/>
        <w:rPr>
          <w:rFonts w:ascii="仿宋" w:hAnsi="仿宋" w:eastAsia="仿宋" w:cs="宋体"/>
          <w:color w:val="000000"/>
          <w:sz w:val="32"/>
          <w:szCs w:val="32"/>
        </w:rPr>
      </w:pPr>
      <w:r>
        <w:rPr>
          <w:rFonts w:ascii="仿宋" w:hAnsi="仿宋" w:eastAsia="仿宋" w:cs="宋体"/>
          <w:color w:val="000000"/>
          <w:sz w:val="32"/>
          <w:szCs w:val="32"/>
        </w:rPr>
        <w:t>（六）监督</w:t>
      </w:r>
      <w:r>
        <w:rPr>
          <w:rFonts w:hint="eastAsia" w:ascii="仿宋" w:hAnsi="仿宋" w:eastAsia="仿宋" w:cs="宋体"/>
          <w:color w:val="000000"/>
          <w:sz w:val="32"/>
          <w:szCs w:val="32"/>
        </w:rPr>
        <w:t>区“一府两院”</w:t>
      </w:r>
      <w:r>
        <w:rPr>
          <w:rFonts w:ascii="仿宋" w:hAnsi="仿宋" w:eastAsia="仿宋" w:cs="宋体"/>
          <w:color w:val="000000"/>
          <w:sz w:val="32"/>
          <w:szCs w:val="32"/>
        </w:rPr>
        <w:t>的工作，联系</w:t>
      </w:r>
      <w:r>
        <w:rPr>
          <w:rFonts w:hint="eastAsia" w:ascii="仿宋" w:hAnsi="仿宋" w:eastAsia="仿宋" w:cs="宋体"/>
          <w:color w:val="000000"/>
          <w:sz w:val="32"/>
          <w:szCs w:val="32"/>
        </w:rPr>
        <w:t>区</w:t>
      </w:r>
      <w:r>
        <w:rPr>
          <w:rFonts w:ascii="仿宋" w:hAnsi="仿宋" w:eastAsia="仿宋" w:cs="宋体"/>
          <w:color w:val="000000"/>
          <w:sz w:val="32"/>
          <w:szCs w:val="32"/>
        </w:rPr>
        <w:t>人民代表大会代表，受理人民群众</w:t>
      </w:r>
      <w:r>
        <w:rPr>
          <w:rFonts w:hint="eastAsia" w:ascii="仿宋" w:hAnsi="仿宋" w:eastAsia="仿宋" w:cs="宋体"/>
          <w:color w:val="000000"/>
          <w:sz w:val="32"/>
          <w:szCs w:val="32"/>
        </w:rPr>
        <w:t>来信来访</w:t>
      </w:r>
      <w:r>
        <w:rPr>
          <w:rFonts w:ascii="仿宋" w:hAnsi="仿宋" w:eastAsia="仿宋" w:cs="宋体"/>
          <w:color w:val="000000"/>
          <w:sz w:val="32"/>
          <w:szCs w:val="32"/>
        </w:rPr>
        <w:t xml:space="preserve">； </w:t>
      </w:r>
    </w:p>
    <w:p w14:paraId="6229A207">
      <w:pPr>
        <w:spacing w:line="600" w:lineRule="exact"/>
        <w:ind w:firstLine="640" w:firstLineChars="200"/>
        <w:rPr>
          <w:rFonts w:ascii="仿宋" w:hAnsi="仿宋" w:eastAsia="仿宋" w:cs="宋体"/>
          <w:color w:val="000000"/>
          <w:sz w:val="32"/>
          <w:szCs w:val="32"/>
        </w:rPr>
      </w:pPr>
      <w:r>
        <w:rPr>
          <w:rFonts w:ascii="仿宋" w:hAnsi="仿宋" w:eastAsia="仿宋" w:cs="宋体"/>
          <w:color w:val="000000"/>
          <w:sz w:val="32"/>
          <w:szCs w:val="32"/>
        </w:rPr>
        <w:t>（</w:t>
      </w:r>
      <w:r>
        <w:rPr>
          <w:rFonts w:hint="eastAsia" w:ascii="仿宋" w:hAnsi="仿宋" w:eastAsia="仿宋" w:cs="宋体"/>
          <w:color w:val="000000"/>
          <w:sz w:val="32"/>
          <w:szCs w:val="32"/>
        </w:rPr>
        <w:t>七</w:t>
      </w:r>
      <w:r>
        <w:rPr>
          <w:rFonts w:ascii="仿宋" w:hAnsi="仿宋" w:eastAsia="仿宋" w:cs="宋体"/>
          <w:color w:val="000000"/>
          <w:sz w:val="32"/>
          <w:szCs w:val="32"/>
        </w:rPr>
        <w:t>）在</w:t>
      </w:r>
      <w:r>
        <w:rPr>
          <w:rFonts w:hint="eastAsia" w:ascii="仿宋" w:hAnsi="仿宋" w:eastAsia="仿宋" w:cs="宋体"/>
          <w:color w:val="000000"/>
          <w:sz w:val="32"/>
          <w:szCs w:val="32"/>
        </w:rPr>
        <w:t>区</w:t>
      </w:r>
      <w:r>
        <w:rPr>
          <w:rFonts w:ascii="仿宋" w:hAnsi="仿宋" w:eastAsia="仿宋" w:cs="宋体"/>
          <w:color w:val="000000"/>
          <w:sz w:val="32"/>
          <w:szCs w:val="32"/>
        </w:rPr>
        <w:t>人民代表大会闭会期间，决定副</w:t>
      </w:r>
      <w:r>
        <w:rPr>
          <w:rFonts w:hint="eastAsia" w:ascii="仿宋" w:hAnsi="仿宋" w:eastAsia="仿宋" w:cs="宋体"/>
          <w:color w:val="000000"/>
          <w:sz w:val="32"/>
          <w:szCs w:val="32"/>
        </w:rPr>
        <w:t>区</w:t>
      </w:r>
      <w:r>
        <w:rPr>
          <w:rFonts w:ascii="仿宋" w:hAnsi="仿宋" w:eastAsia="仿宋" w:cs="宋体"/>
          <w:color w:val="000000"/>
          <w:sz w:val="32"/>
          <w:szCs w:val="32"/>
        </w:rPr>
        <w:t>长的个别任免；在</w:t>
      </w:r>
      <w:r>
        <w:rPr>
          <w:rFonts w:hint="eastAsia" w:ascii="仿宋" w:hAnsi="仿宋" w:eastAsia="仿宋" w:cs="宋体"/>
          <w:color w:val="000000"/>
          <w:sz w:val="32"/>
          <w:szCs w:val="32"/>
        </w:rPr>
        <w:t>区</w:t>
      </w:r>
      <w:r>
        <w:rPr>
          <w:rFonts w:ascii="仿宋" w:hAnsi="仿宋" w:eastAsia="仿宋" w:cs="宋体"/>
          <w:color w:val="000000"/>
          <w:sz w:val="32"/>
          <w:szCs w:val="32"/>
        </w:rPr>
        <w:t>长、</w:t>
      </w:r>
      <w:r>
        <w:rPr>
          <w:rFonts w:hint="eastAsia" w:ascii="仿宋" w:hAnsi="仿宋" w:eastAsia="仿宋" w:cs="宋体"/>
          <w:color w:val="000000"/>
          <w:sz w:val="32"/>
          <w:szCs w:val="32"/>
        </w:rPr>
        <w:t>区</w:t>
      </w:r>
      <w:r>
        <w:rPr>
          <w:rFonts w:ascii="仿宋" w:hAnsi="仿宋" w:eastAsia="仿宋" w:cs="宋体"/>
          <w:color w:val="000000"/>
          <w:sz w:val="32"/>
          <w:szCs w:val="32"/>
        </w:rPr>
        <w:t>人民法院院长、</w:t>
      </w:r>
      <w:r>
        <w:rPr>
          <w:rFonts w:hint="eastAsia" w:ascii="仿宋" w:hAnsi="仿宋" w:eastAsia="仿宋" w:cs="宋体"/>
          <w:color w:val="000000"/>
          <w:sz w:val="32"/>
          <w:szCs w:val="32"/>
        </w:rPr>
        <w:t>区</w:t>
      </w:r>
      <w:r>
        <w:rPr>
          <w:rFonts w:ascii="仿宋" w:hAnsi="仿宋" w:eastAsia="仿宋" w:cs="宋体"/>
          <w:color w:val="000000"/>
          <w:sz w:val="32"/>
          <w:szCs w:val="32"/>
        </w:rPr>
        <w:t>人民检察院检察长因故不能担任职务时，从</w:t>
      </w:r>
      <w:r>
        <w:rPr>
          <w:rFonts w:hint="eastAsia" w:ascii="仿宋" w:hAnsi="仿宋" w:eastAsia="仿宋" w:cs="宋体"/>
          <w:color w:val="000000"/>
          <w:sz w:val="32"/>
          <w:szCs w:val="32"/>
        </w:rPr>
        <w:t>区</w:t>
      </w:r>
      <w:r>
        <w:rPr>
          <w:rFonts w:ascii="仿宋" w:hAnsi="仿宋" w:eastAsia="仿宋" w:cs="宋体"/>
          <w:color w:val="000000"/>
          <w:sz w:val="32"/>
          <w:szCs w:val="32"/>
        </w:rPr>
        <w:t>人民政府、</w:t>
      </w:r>
      <w:r>
        <w:rPr>
          <w:rFonts w:hint="eastAsia" w:ascii="仿宋" w:hAnsi="仿宋" w:eastAsia="仿宋" w:cs="宋体"/>
          <w:color w:val="000000"/>
          <w:sz w:val="32"/>
          <w:szCs w:val="32"/>
        </w:rPr>
        <w:t>区</w:t>
      </w:r>
      <w:r>
        <w:rPr>
          <w:rFonts w:ascii="仿宋" w:hAnsi="仿宋" w:eastAsia="仿宋" w:cs="宋体"/>
          <w:color w:val="000000"/>
          <w:sz w:val="32"/>
          <w:szCs w:val="32"/>
        </w:rPr>
        <w:t>人民法院、</w:t>
      </w:r>
      <w:r>
        <w:rPr>
          <w:rFonts w:hint="eastAsia" w:ascii="仿宋" w:hAnsi="仿宋" w:eastAsia="仿宋" w:cs="宋体"/>
          <w:color w:val="000000"/>
          <w:sz w:val="32"/>
          <w:szCs w:val="32"/>
        </w:rPr>
        <w:t>区</w:t>
      </w:r>
      <w:r>
        <w:rPr>
          <w:rFonts w:ascii="仿宋" w:hAnsi="仿宋" w:eastAsia="仿宋" w:cs="宋体"/>
          <w:color w:val="000000"/>
          <w:sz w:val="32"/>
          <w:szCs w:val="32"/>
        </w:rPr>
        <w:t>人民检察院副职领导人员中决定代理的人选；决定代理检察长，须报</w:t>
      </w:r>
      <w:r>
        <w:rPr>
          <w:rFonts w:hint="eastAsia" w:ascii="仿宋" w:hAnsi="仿宋" w:eastAsia="仿宋" w:cs="宋体"/>
          <w:color w:val="000000"/>
          <w:sz w:val="32"/>
          <w:szCs w:val="32"/>
        </w:rPr>
        <w:t>市</w:t>
      </w:r>
      <w:r>
        <w:rPr>
          <w:rFonts w:ascii="仿宋" w:hAnsi="仿宋" w:eastAsia="仿宋" w:cs="宋体"/>
          <w:color w:val="000000"/>
          <w:sz w:val="32"/>
          <w:szCs w:val="32"/>
        </w:rPr>
        <w:t>人民检察院和</w:t>
      </w:r>
      <w:r>
        <w:rPr>
          <w:rFonts w:hint="eastAsia" w:ascii="仿宋" w:hAnsi="仿宋" w:eastAsia="仿宋" w:cs="宋体"/>
          <w:color w:val="000000"/>
          <w:sz w:val="32"/>
          <w:szCs w:val="32"/>
        </w:rPr>
        <w:t>市</w:t>
      </w:r>
      <w:r>
        <w:rPr>
          <w:rFonts w:ascii="仿宋" w:hAnsi="仿宋" w:eastAsia="仿宋" w:cs="宋体"/>
          <w:color w:val="000000"/>
          <w:sz w:val="32"/>
          <w:szCs w:val="32"/>
        </w:rPr>
        <w:t xml:space="preserve">人民代表大会常务委员会批准； </w:t>
      </w:r>
    </w:p>
    <w:p w14:paraId="3FF86A04">
      <w:pPr>
        <w:spacing w:line="600" w:lineRule="exact"/>
        <w:ind w:firstLine="640" w:firstLineChars="200"/>
        <w:rPr>
          <w:rFonts w:ascii="仿宋" w:hAnsi="仿宋" w:eastAsia="仿宋" w:cs="宋体"/>
          <w:color w:val="000000"/>
          <w:sz w:val="32"/>
          <w:szCs w:val="32"/>
        </w:rPr>
      </w:pPr>
      <w:r>
        <w:rPr>
          <w:rFonts w:ascii="仿宋" w:hAnsi="仿宋" w:eastAsia="仿宋" w:cs="宋体"/>
          <w:color w:val="000000"/>
          <w:sz w:val="32"/>
          <w:szCs w:val="32"/>
        </w:rPr>
        <w:t>（</w:t>
      </w:r>
      <w:r>
        <w:rPr>
          <w:rFonts w:hint="eastAsia" w:ascii="仿宋" w:hAnsi="仿宋" w:eastAsia="仿宋" w:cs="宋体"/>
          <w:color w:val="000000"/>
          <w:sz w:val="32"/>
          <w:szCs w:val="32"/>
        </w:rPr>
        <w:t>八</w:t>
      </w:r>
      <w:r>
        <w:rPr>
          <w:rFonts w:ascii="仿宋" w:hAnsi="仿宋" w:eastAsia="仿宋" w:cs="宋体"/>
          <w:color w:val="000000"/>
          <w:sz w:val="32"/>
          <w:szCs w:val="32"/>
        </w:rPr>
        <w:t>）根据</w:t>
      </w:r>
      <w:r>
        <w:rPr>
          <w:rFonts w:hint="eastAsia" w:ascii="仿宋" w:hAnsi="仿宋" w:eastAsia="仿宋" w:cs="宋体"/>
          <w:color w:val="000000"/>
          <w:sz w:val="32"/>
          <w:szCs w:val="32"/>
        </w:rPr>
        <w:t>区</w:t>
      </w:r>
      <w:r>
        <w:rPr>
          <w:rFonts w:ascii="仿宋" w:hAnsi="仿宋" w:eastAsia="仿宋" w:cs="宋体"/>
          <w:color w:val="000000"/>
          <w:sz w:val="32"/>
          <w:szCs w:val="32"/>
        </w:rPr>
        <w:t>长的提名，决定</w:t>
      </w:r>
      <w:r>
        <w:rPr>
          <w:rFonts w:hint="eastAsia" w:ascii="仿宋" w:hAnsi="仿宋" w:eastAsia="仿宋" w:cs="宋体"/>
          <w:color w:val="000000"/>
          <w:sz w:val="32"/>
          <w:szCs w:val="32"/>
        </w:rPr>
        <w:t>区</w:t>
      </w:r>
      <w:r>
        <w:rPr>
          <w:rFonts w:ascii="仿宋" w:hAnsi="仿宋" w:eastAsia="仿宋" w:cs="宋体"/>
          <w:color w:val="000000"/>
          <w:sz w:val="32"/>
          <w:szCs w:val="32"/>
        </w:rPr>
        <w:t>人民政府局长、委员会主任的任免，报</w:t>
      </w:r>
      <w:r>
        <w:rPr>
          <w:rFonts w:hint="eastAsia" w:ascii="仿宋" w:hAnsi="仿宋" w:eastAsia="仿宋" w:cs="宋体"/>
          <w:color w:val="000000"/>
          <w:sz w:val="32"/>
          <w:szCs w:val="32"/>
        </w:rPr>
        <w:t>市</w:t>
      </w:r>
      <w:r>
        <w:rPr>
          <w:rFonts w:ascii="仿宋" w:hAnsi="仿宋" w:eastAsia="仿宋" w:cs="宋体"/>
          <w:color w:val="000000"/>
          <w:sz w:val="32"/>
          <w:szCs w:val="32"/>
        </w:rPr>
        <w:t xml:space="preserve">人民政府备案； </w:t>
      </w:r>
    </w:p>
    <w:p w14:paraId="25401BB7">
      <w:pPr>
        <w:spacing w:line="600" w:lineRule="exact"/>
        <w:ind w:firstLine="640" w:firstLineChars="200"/>
        <w:rPr>
          <w:rFonts w:ascii="仿宋" w:hAnsi="仿宋" w:eastAsia="仿宋" w:cs="宋体"/>
          <w:color w:val="000000"/>
          <w:sz w:val="32"/>
          <w:szCs w:val="32"/>
        </w:rPr>
      </w:pPr>
      <w:r>
        <w:rPr>
          <w:rFonts w:ascii="仿宋" w:hAnsi="仿宋" w:eastAsia="仿宋" w:cs="宋体"/>
          <w:color w:val="000000"/>
          <w:sz w:val="32"/>
          <w:szCs w:val="32"/>
        </w:rPr>
        <w:t>（</w:t>
      </w:r>
      <w:r>
        <w:rPr>
          <w:rFonts w:hint="eastAsia" w:ascii="仿宋" w:hAnsi="仿宋" w:eastAsia="仿宋" w:cs="宋体"/>
          <w:color w:val="000000"/>
          <w:sz w:val="32"/>
          <w:szCs w:val="32"/>
        </w:rPr>
        <w:t>九</w:t>
      </w:r>
      <w:r>
        <w:rPr>
          <w:rFonts w:ascii="仿宋" w:hAnsi="仿宋" w:eastAsia="仿宋" w:cs="宋体"/>
          <w:color w:val="000000"/>
          <w:sz w:val="32"/>
          <w:szCs w:val="32"/>
        </w:rPr>
        <w:t>）按照人民法院组织法和人民检察院组织法的规定，任免</w:t>
      </w:r>
      <w:r>
        <w:rPr>
          <w:rFonts w:hint="eastAsia" w:ascii="仿宋" w:hAnsi="仿宋" w:eastAsia="仿宋" w:cs="宋体"/>
          <w:color w:val="000000"/>
          <w:sz w:val="32"/>
          <w:szCs w:val="32"/>
        </w:rPr>
        <w:t>区</w:t>
      </w:r>
      <w:r>
        <w:rPr>
          <w:rFonts w:ascii="仿宋" w:hAnsi="仿宋" w:eastAsia="仿宋" w:cs="宋体"/>
          <w:color w:val="000000"/>
          <w:sz w:val="32"/>
          <w:szCs w:val="32"/>
        </w:rPr>
        <w:t>人民法院副院长、庭长、副庭长、审判委员会委员、审判员，任免</w:t>
      </w:r>
      <w:r>
        <w:rPr>
          <w:rFonts w:hint="eastAsia" w:ascii="仿宋" w:hAnsi="仿宋" w:eastAsia="仿宋" w:cs="宋体"/>
          <w:color w:val="000000"/>
          <w:sz w:val="32"/>
          <w:szCs w:val="32"/>
        </w:rPr>
        <w:t>区</w:t>
      </w:r>
      <w:r>
        <w:rPr>
          <w:rFonts w:ascii="仿宋" w:hAnsi="仿宋" w:eastAsia="仿宋" w:cs="宋体"/>
          <w:color w:val="000000"/>
          <w:sz w:val="32"/>
          <w:szCs w:val="32"/>
        </w:rPr>
        <w:t>人民检察院副检察长、检察委员会委员、检察员</w:t>
      </w:r>
      <w:r>
        <w:rPr>
          <w:rFonts w:hint="eastAsia" w:ascii="仿宋" w:hAnsi="仿宋" w:eastAsia="仿宋" w:cs="宋体"/>
          <w:color w:val="000000"/>
          <w:sz w:val="32"/>
          <w:szCs w:val="32"/>
        </w:rPr>
        <w:t>；</w:t>
      </w:r>
    </w:p>
    <w:p w14:paraId="3332E6D9">
      <w:pPr>
        <w:spacing w:line="600" w:lineRule="exact"/>
        <w:ind w:firstLine="640" w:firstLineChars="200"/>
        <w:rPr>
          <w:rFonts w:ascii="仿宋" w:hAnsi="仿宋" w:eastAsia="仿宋" w:cs="宋体"/>
          <w:color w:val="000000"/>
          <w:sz w:val="32"/>
          <w:szCs w:val="32"/>
        </w:rPr>
      </w:pPr>
      <w:r>
        <w:rPr>
          <w:rFonts w:ascii="仿宋" w:hAnsi="仿宋" w:eastAsia="仿宋" w:cs="宋体"/>
          <w:color w:val="000000"/>
          <w:sz w:val="32"/>
          <w:szCs w:val="32"/>
        </w:rPr>
        <w:t>（十）在</w:t>
      </w:r>
      <w:r>
        <w:rPr>
          <w:rFonts w:hint="eastAsia" w:ascii="仿宋" w:hAnsi="仿宋" w:eastAsia="仿宋" w:cs="宋体"/>
          <w:color w:val="000000"/>
          <w:sz w:val="32"/>
          <w:szCs w:val="32"/>
        </w:rPr>
        <w:t>区</w:t>
      </w:r>
      <w:r>
        <w:rPr>
          <w:rFonts w:ascii="仿宋" w:hAnsi="仿宋" w:eastAsia="仿宋" w:cs="宋体"/>
          <w:color w:val="000000"/>
          <w:sz w:val="32"/>
          <w:szCs w:val="32"/>
        </w:rPr>
        <w:t>人民代表大会闭会期间，决定撤销个别副</w:t>
      </w:r>
      <w:r>
        <w:rPr>
          <w:rFonts w:hint="eastAsia" w:ascii="仿宋" w:hAnsi="仿宋" w:eastAsia="仿宋" w:cs="宋体"/>
          <w:color w:val="000000"/>
          <w:sz w:val="32"/>
          <w:szCs w:val="32"/>
        </w:rPr>
        <w:t>区</w:t>
      </w:r>
      <w:r>
        <w:rPr>
          <w:rFonts w:ascii="仿宋" w:hAnsi="仿宋" w:eastAsia="仿宋" w:cs="宋体"/>
          <w:color w:val="000000"/>
          <w:sz w:val="32"/>
          <w:szCs w:val="32"/>
        </w:rPr>
        <w:t>长的职务；决定撤销由它任命的</w:t>
      </w:r>
      <w:r>
        <w:rPr>
          <w:rFonts w:hint="eastAsia" w:ascii="仿宋" w:hAnsi="仿宋" w:eastAsia="仿宋" w:cs="宋体"/>
          <w:color w:val="000000"/>
          <w:sz w:val="32"/>
          <w:szCs w:val="32"/>
        </w:rPr>
        <w:t>区</w:t>
      </w:r>
      <w:r>
        <w:rPr>
          <w:rFonts w:ascii="仿宋" w:hAnsi="仿宋" w:eastAsia="仿宋" w:cs="宋体"/>
          <w:color w:val="000000"/>
          <w:sz w:val="32"/>
          <w:szCs w:val="32"/>
        </w:rPr>
        <w:t>人民政府其他组成人员和</w:t>
      </w:r>
      <w:r>
        <w:rPr>
          <w:rFonts w:hint="eastAsia" w:ascii="仿宋" w:hAnsi="仿宋" w:eastAsia="仿宋" w:cs="宋体"/>
          <w:color w:val="000000"/>
          <w:sz w:val="32"/>
          <w:szCs w:val="32"/>
        </w:rPr>
        <w:t>区</w:t>
      </w:r>
      <w:r>
        <w:rPr>
          <w:rFonts w:ascii="仿宋" w:hAnsi="仿宋" w:eastAsia="仿宋" w:cs="宋体"/>
          <w:color w:val="000000"/>
          <w:sz w:val="32"/>
          <w:szCs w:val="32"/>
        </w:rPr>
        <w:t>人民法院副院长、庭长、副庭长、审判委员会委员、审判员，</w:t>
      </w:r>
      <w:r>
        <w:rPr>
          <w:rFonts w:hint="eastAsia" w:ascii="仿宋" w:hAnsi="仿宋" w:eastAsia="仿宋" w:cs="宋体"/>
          <w:color w:val="000000"/>
          <w:sz w:val="32"/>
          <w:szCs w:val="32"/>
        </w:rPr>
        <w:t>区</w:t>
      </w:r>
      <w:r>
        <w:rPr>
          <w:rFonts w:ascii="仿宋" w:hAnsi="仿宋" w:eastAsia="仿宋" w:cs="宋体"/>
          <w:color w:val="000000"/>
          <w:sz w:val="32"/>
          <w:szCs w:val="32"/>
        </w:rPr>
        <w:t xml:space="preserve">人民检察院副检察长、检察委员会委员、检察员的职务； </w:t>
      </w:r>
    </w:p>
    <w:p w14:paraId="5AD5693E">
      <w:pPr>
        <w:spacing w:line="600" w:lineRule="exact"/>
        <w:ind w:firstLine="640" w:firstLineChars="200"/>
        <w:rPr>
          <w:rFonts w:ascii="仿宋" w:hAnsi="仿宋" w:eastAsia="仿宋" w:cs="宋体"/>
          <w:color w:val="000000"/>
          <w:sz w:val="32"/>
          <w:szCs w:val="32"/>
        </w:rPr>
      </w:pPr>
      <w:r>
        <w:rPr>
          <w:rFonts w:ascii="仿宋" w:hAnsi="仿宋" w:eastAsia="仿宋" w:cs="宋体"/>
          <w:color w:val="000000"/>
          <w:sz w:val="32"/>
          <w:szCs w:val="32"/>
        </w:rPr>
        <w:t>（十</w:t>
      </w:r>
      <w:r>
        <w:rPr>
          <w:rFonts w:hint="eastAsia" w:ascii="仿宋" w:hAnsi="仿宋" w:eastAsia="仿宋" w:cs="宋体"/>
          <w:color w:val="000000"/>
          <w:sz w:val="32"/>
          <w:szCs w:val="32"/>
        </w:rPr>
        <w:t>一</w:t>
      </w:r>
      <w:r>
        <w:rPr>
          <w:rFonts w:ascii="仿宋" w:hAnsi="仿宋" w:eastAsia="仿宋" w:cs="宋体"/>
          <w:color w:val="000000"/>
          <w:sz w:val="32"/>
          <w:szCs w:val="32"/>
        </w:rPr>
        <w:t>）在</w:t>
      </w:r>
      <w:r>
        <w:rPr>
          <w:rFonts w:hint="eastAsia" w:ascii="仿宋" w:hAnsi="仿宋" w:eastAsia="仿宋" w:cs="宋体"/>
          <w:color w:val="000000"/>
          <w:sz w:val="32"/>
          <w:szCs w:val="32"/>
        </w:rPr>
        <w:t>区</w:t>
      </w:r>
      <w:r>
        <w:rPr>
          <w:rFonts w:ascii="仿宋" w:hAnsi="仿宋" w:eastAsia="仿宋" w:cs="宋体"/>
          <w:color w:val="000000"/>
          <w:sz w:val="32"/>
          <w:szCs w:val="32"/>
        </w:rPr>
        <w:t>人民代表大会闭会期间，补选</w:t>
      </w:r>
      <w:r>
        <w:rPr>
          <w:rFonts w:hint="eastAsia" w:ascii="仿宋" w:hAnsi="仿宋" w:eastAsia="仿宋" w:cs="宋体"/>
          <w:color w:val="000000"/>
          <w:sz w:val="32"/>
          <w:szCs w:val="32"/>
        </w:rPr>
        <w:t>市</w:t>
      </w:r>
      <w:r>
        <w:rPr>
          <w:rFonts w:ascii="仿宋" w:hAnsi="仿宋" w:eastAsia="仿宋" w:cs="宋体"/>
          <w:color w:val="000000"/>
          <w:sz w:val="32"/>
          <w:szCs w:val="32"/>
        </w:rPr>
        <w:t>人民代表大会出缺的代表和罢免个别代表</w:t>
      </w:r>
      <w:r>
        <w:rPr>
          <w:rFonts w:hint="eastAsia" w:ascii="仿宋" w:hAnsi="仿宋" w:eastAsia="仿宋" w:cs="宋体"/>
          <w:color w:val="000000"/>
          <w:sz w:val="32"/>
          <w:szCs w:val="32"/>
        </w:rPr>
        <w:t>。</w:t>
      </w:r>
    </w:p>
    <w:p w14:paraId="494B6C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1B315C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66FDD7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区人大常委会</w:t>
      </w:r>
      <w:r>
        <w:rPr>
          <w:rFonts w:ascii="仿宋_GB2312" w:eastAsia="仿宋_GB2312" w:cs="DengXian-Regular"/>
          <w:sz w:val="32"/>
          <w:szCs w:val="32"/>
        </w:rPr>
        <w:t>机关</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年部门整体支出绩效评价工作。</w:t>
      </w:r>
    </w:p>
    <w:p w14:paraId="7A9E5E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区人大常委会机关202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指标体系共设置4个一级指标、7个二级指标、27个三级指标，从投入、过程、产出、效果四个方面对区人大常委会机关部门整体支出情况评分定级。指标体系设定满分为100分，绩效评价分值≥90为“优”；80≤分值＜90为“良”；60≤分值＜80为“合格”；60分以下为“差”。</w:t>
      </w:r>
    </w:p>
    <w:p w14:paraId="10FA76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区人大常委会机关202</w:t>
      </w:r>
      <w:r>
        <w:rPr>
          <w:rFonts w:ascii="仿宋_GB2312" w:eastAsia="仿宋_GB2312" w:cs="DengXian-Regular"/>
          <w:sz w:val="32"/>
          <w:szCs w:val="32"/>
        </w:rPr>
        <w:t>1</w:t>
      </w:r>
      <w:r>
        <w:rPr>
          <w:rFonts w:hint="eastAsia" w:ascii="仿宋_GB2312" w:eastAsia="仿宋_GB2312" w:cs="DengXian-Regular"/>
          <w:sz w:val="32"/>
          <w:szCs w:val="32"/>
        </w:rPr>
        <w:t>年部门整体支出综合评价得分为</w:t>
      </w:r>
      <w:r>
        <w:rPr>
          <w:rFonts w:ascii="仿宋_GB2312" w:eastAsia="仿宋_GB2312" w:cs="DengXian-Regular"/>
          <w:sz w:val="32"/>
          <w:szCs w:val="32"/>
        </w:rPr>
        <w:t>93</w:t>
      </w:r>
      <w:r>
        <w:rPr>
          <w:rFonts w:hint="eastAsia" w:ascii="仿宋_GB2312" w:eastAsia="仿宋_GB2312" w:cs="DengXian-Regular"/>
          <w:sz w:val="32"/>
          <w:szCs w:val="32"/>
        </w:rPr>
        <w:t>分，评价等级为“优”。</w:t>
      </w:r>
    </w:p>
    <w:p w14:paraId="69DA62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经评价，区人大常委会机关202</w:t>
      </w:r>
      <w:r>
        <w:rPr>
          <w:rFonts w:ascii="仿宋_GB2312" w:eastAsia="仿宋_GB2312" w:cs="DengXian-Regular"/>
          <w:sz w:val="32"/>
          <w:szCs w:val="32"/>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73A7A9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4E343A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14:paraId="117FB0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14:paraId="0B098A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771C6D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14:paraId="109563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14:paraId="5F3826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14:paraId="02E4BB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4E5B2A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22CCA6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152158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473AC1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3202D2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45357E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14:paraId="78A241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1B3843B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w:t>
      </w:r>
      <w:r>
        <w:rPr>
          <w:rFonts w:hint="eastAsia" w:ascii="仿宋_GB2312" w:eastAsia="仿宋_GB2312" w:cs="DengXian-Regular"/>
          <w:sz w:val="32"/>
          <w:szCs w:val="32"/>
        </w:rPr>
        <w:t>区人大常委会机关</w:t>
      </w:r>
      <w:r>
        <w:rPr>
          <w:rFonts w:hint="eastAsia" w:ascii="仿宋_GB2312" w:eastAsia="仿宋_GB2312" w:cs="Times New Roman" w:hAnsiTheme="minor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14:paraId="4FBD72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78D7C6CF">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0EEB2A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40B3C8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2021年基本支出决算数较预算数增加比例较大，主要原因为</w:t>
      </w:r>
      <w:r>
        <w:rPr>
          <w:rFonts w:hint="eastAsia" w:ascii="仿宋_GB2312" w:eastAsia="仿宋_GB2312" w:cs="DengXian-Regular"/>
          <w:sz w:val="32"/>
          <w:szCs w:val="32"/>
        </w:rPr>
        <w:t>人员调入</w:t>
      </w:r>
      <w:r>
        <w:rPr>
          <w:rFonts w:ascii="仿宋_GB2312" w:eastAsia="仿宋_GB2312" w:cs="DengXian-Regular"/>
          <w:sz w:val="32"/>
          <w:szCs w:val="32"/>
        </w:rPr>
        <w:t>，人员经费增加，建议2021年预算根据</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年实际发生人员经费支出、人员数量和工资标准适当安排人员经费预算。</w:t>
      </w:r>
    </w:p>
    <w:p w14:paraId="5E8B85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2021年项目支出资金使用决算数较预算数增加比例较大，</w:t>
      </w:r>
      <w:r>
        <w:rPr>
          <w:rFonts w:hint="eastAsia" w:ascii="仿宋_GB2312" w:eastAsia="仿宋_GB2312" w:cs="DengXian-Regular"/>
          <w:sz w:val="32"/>
          <w:szCs w:val="32"/>
        </w:rPr>
        <w:t>原因</w:t>
      </w:r>
      <w:r>
        <w:rPr>
          <w:rFonts w:ascii="仿宋_GB2312" w:eastAsia="仿宋_GB2312" w:cs="DengXian-Regular"/>
          <w:sz w:val="32"/>
          <w:szCs w:val="32"/>
        </w:rPr>
        <w:t>换届选举和增加了一次人代会，其他项目资金根据实际情况予以保持或适当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70D06F86">
      <w:pPr>
        <w:pStyle w:val="3"/>
        <w:spacing w:line="540" w:lineRule="exact"/>
        <w:jc w:val="center"/>
        <w:rPr>
          <w:rFonts w:ascii="黑体" w:hAnsi="黑体"/>
          <w:b w:val="0"/>
        </w:rPr>
      </w:pPr>
      <w:r>
        <w:rPr>
          <w:rFonts w:hint="eastAsia" w:ascii="黑体" w:hAnsi="黑体"/>
          <w:b w:val="0"/>
        </w:rPr>
        <w:t>第二部分   绩效评价报告</w:t>
      </w:r>
      <w:bookmarkEnd w:id="1"/>
    </w:p>
    <w:p w14:paraId="5D981542">
      <w:pPr>
        <w:pStyle w:val="3"/>
        <w:adjustRightInd w:val="0"/>
        <w:snapToGrid w:val="0"/>
        <w:spacing w:before="0" w:after="0" w:line="540" w:lineRule="exact"/>
        <w:ind w:firstLine="643" w:firstLineChars="200"/>
        <w:rPr>
          <w:rFonts w:ascii="楷体" w:hAnsi="楷体" w:eastAsia="楷体" w:cs="楷体"/>
        </w:rPr>
      </w:pPr>
      <w:bookmarkStart w:id="2" w:name="_Toc427"/>
      <w:bookmarkStart w:id="3" w:name="_Toc492652763"/>
      <w:bookmarkStart w:id="4" w:name="_Toc1678"/>
      <w:bookmarkStart w:id="5" w:name="_Toc465149500"/>
      <w:bookmarkStart w:id="6" w:name="_Toc492652766"/>
      <w:r>
        <w:rPr>
          <w:rFonts w:hint="eastAsia" w:ascii="楷体" w:hAnsi="楷体" w:eastAsia="楷体" w:cs="楷体"/>
        </w:rPr>
        <w:t>一、保定市徐水区人民代表大会常务委员会机关基本情况</w:t>
      </w:r>
      <w:bookmarkEnd w:id="2"/>
      <w:bookmarkEnd w:id="3"/>
      <w:bookmarkStart w:id="7" w:name="_Toc492652764"/>
    </w:p>
    <w:p w14:paraId="0B8D4A42">
      <w:pPr>
        <w:pStyle w:val="4"/>
        <w:adjustRightInd w:val="0"/>
        <w:snapToGrid w:val="0"/>
        <w:spacing w:before="0" w:after="0" w:line="540" w:lineRule="exact"/>
        <w:ind w:firstLine="643" w:firstLineChars="200"/>
        <w:jc w:val="both"/>
        <w:rPr>
          <w:rFonts w:ascii="仿宋_GB2312" w:hAnsi="Tahoma" w:cs="DengXian-Regular"/>
          <w:sz w:val="32"/>
        </w:rPr>
      </w:pPr>
      <w:bookmarkStart w:id="8" w:name="_Toc11473"/>
      <w:r>
        <w:rPr>
          <w:rFonts w:hint="eastAsia" w:ascii="仿宋_GB2312" w:hAnsi="Tahoma" w:cs="DengXian-Regular"/>
          <w:sz w:val="32"/>
        </w:rPr>
        <w:t>（一）部门职责和工作活动</w:t>
      </w:r>
      <w:bookmarkEnd w:id="7"/>
      <w:bookmarkEnd w:id="8"/>
    </w:p>
    <w:p w14:paraId="43C0DDA9">
      <w:pPr>
        <w:shd w:val="clear" w:color="auto" w:fill="FFFFFF"/>
        <w:overflowPunct w:val="0"/>
        <w:spacing w:line="540" w:lineRule="exact"/>
        <w:ind w:left="-178"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根据中共保定市徐水区委办公室关于印发《保定市徐水区人民代表大会常务委员会机关职能配置、内设机构和人员编制规定》的通知，区人大常委会机关为县处级单位，</w:t>
      </w:r>
      <w:r>
        <w:rPr>
          <w:rFonts w:ascii="仿宋_GB2312" w:eastAsia="仿宋_GB2312" w:cs="DengXian-Regular"/>
          <w:sz w:val="32"/>
          <w:szCs w:val="32"/>
        </w:rPr>
        <w:t>下设</w:t>
      </w:r>
      <w:r>
        <w:rPr>
          <w:rFonts w:hint="eastAsia" w:ascii="仿宋_GB2312" w:eastAsia="仿宋_GB2312" w:cs="DengXian-Regular"/>
          <w:sz w:val="32"/>
          <w:szCs w:val="32"/>
        </w:rPr>
        <w:t>5室。区人大常委会机关根据绩效预算管理改革的相关要求，按照“部门职责—工作活动绩效目标”的层级设立了绩效预算架构，职责活动包括：</w:t>
      </w:r>
    </w:p>
    <w:p w14:paraId="7D0FFB50">
      <w:pPr>
        <w:spacing w:after="0" w:line="540" w:lineRule="exact"/>
        <w:ind w:firstLine="482"/>
        <w:jc w:val="both"/>
        <w:rPr>
          <w:rFonts w:ascii="仿宋" w:hAnsi="仿宋" w:eastAsia="仿宋"/>
          <w:b/>
          <w:sz w:val="32"/>
          <w:szCs w:val="32"/>
        </w:rPr>
      </w:pPr>
      <w:r>
        <w:rPr>
          <w:rFonts w:hint="eastAsia" w:ascii="仿宋" w:hAnsi="仿宋" w:eastAsia="仿宋"/>
          <w:b/>
          <w:sz w:val="32"/>
          <w:szCs w:val="32"/>
        </w:rPr>
        <w:t>1、人大监督。</w:t>
      </w:r>
      <w:r>
        <w:rPr>
          <w:rFonts w:hint="eastAsia" w:ascii="仿宋" w:hAnsi="仿宋" w:eastAsia="仿宋"/>
          <w:sz w:val="32"/>
          <w:szCs w:val="32"/>
        </w:rPr>
        <w:t>进行执法调研和执法检查；围绕政府工作报告和</w:t>
      </w:r>
      <w:r>
        <w:rPr>
          <w:rFonts w:hint="cs" w:ascii="仿宋" w:hAnsi="仿宋" w:eastAsia="仿宋"/>
          <w:sz w:val="32"/>
          <w:szCs w:val="32"/>
          <w:cs/>
        </w:rPr>
        <w:t>“</w:t>
      </w:r>
      <w:r>
        <w:rPr>
          <w:rFonts w:hint="eastAsia" w:ascii="仿宋" w:hAnsi="仿宋" w:eastAsia="仿宋"/>
          <w:sz w:val="32"/>
          <w:szCs w:val="32"/>
        </w:rPr>
        <w:t>一府两院</w:t>
      </w:r>
      <w:r>
        <w:rPr>
          <w:rFonts w:hint="cs" w:ascii="仿宋" w:hAnsi="仿宋" w:eastAsia="仿宋"/>
          <w:sz w:val="32"/>
          <w:szCs w:val="32"/>
          <w:cs/>
        </w:rPr>
        <w:t>”</w:t>
      </w:r>
      <w:r>
        <w:rPr>
          <w:rFonts w:hint="eastAsia" w:ascii="仿宋" w:hAnsi="仿宋" w:eastAsia="仿宋"/>
          <w:sz w:val="32"/>
          <w:szCs w:val="32"/>
        </w:rPr>
        <w:t>专项工作报告涉及内容开展调查研究，开展专题询问和工作评议；对</w:t>
      </w:r>
      <w:r>
        <w:rPr>
          <w:rFonts w:hint="cs" w:ascii="仿宋" w:hAnsi="仿宋" w:eastAsia="仿宋"/>
          <w:sz w:val="32"/>
          <w:szCs w:val="32"/>
          <w:cs/>
        </w:rPr>
        <w:t>“</w:t>
      </w:r>
      <w:r>
        <w:rPr>
          <w:rFonts w:hint="eastAsia" w:ascii="仿宋" w:hAnsi="仿宋" w:eastAsia="仿宋"/>
          <w:sz w:val="32"/>
          <w:szCs w:val="32"/>
        </w:rPr>
        <w:t>一府两院</w:t>
      </w:r>
      <w:r>
        <w:rPr>
          <w:rFonts w:hint="cs" w:ascii="仿宋" w:hAnsi="仿宋" w:eastAsia="仿宋"/>
          <w:sz w:val="32"/>
          <w:szCs w:val="32"/>
          <w:cs/>
        </w:rPr>
        <w:t>”</w:t>
      </w:r>
      <w:r>
        <w:rPr>
          <w:rFonts w:hint="eastAsia" w:ascii="仿宋" w:hAnsi="仿宋" w:eastAsia="仿宋"/>
          <w:sz w:val="32"/>
          <w:szCs w:val="32"/>
        </w:rPr>
        <w:t>进行监督。</w:t>
      </w:r>
    </w:p>
    <w:p w14:paraId="7333C3BC">
      <w:pPr>
        <w:spacing w:line="540" w:lineRule="exact"/>
        <w:ind w:firstLine="482"/>
        <w:rPr>
          <w:rFonts w:ascii="仿宋" w:hAnsi="仿宋" w:eastAsia="仿宋"/>
          <w:sz w:val="32"/>
          <w:szCs w:val="32"/>
        </w:rPr>
      </w:pPr>
      <w:r>
        <w:rPr>
          <w:rFonts w:hint="eastAsia" w:ascii="仿宋" w:hAnsi="仿宋" w:eastAsia="仿宋"/>
          <w:sz w:val="32"/>
          <w:szCs w:val="32"/>
        </w:rPr>
        <w:t>（</w:t>
      </w:r>
      <w:r>
        <w:rPr>
          <w:rFonts w:hint="eastAsia" w:ascii="仿宋" w:hAnsi="仿宋" w:eastAsia="仿宋"/>
          <w:b/>
          <w:sz w:val="32"/>
          <w:szCs w:val="32"/>
        </w:rPr>
        <w:t>1）专门委员会、常委及代表活动。</w:t>
      </w:r>
      <w:r>
        <w:rPr>
          <w:rFonts w:hint="eastAsia" w:ascii="仿宋" w:hAnsi="仿宋" w:eastAsia="仿宋"/>
          <w:sz w:val="32"/>
          <w:szCs w:val="32"/>
        </w:rPr>
        <w:t>组织专门委员会委员、各工作委员会及特聘专家进行对法律实施情况进行执法检查；组织区人大常委</w:t>
      </w:r>
      <w:r>
        <w:rPr>
          <w:rFonts w:hint="eastAsia" w:ascii="仿宋" w:hAnsi="仿宋" w:eastAsia="仿宋"/>
          <w:sz w:val="32"/>
          <w:szCs w:val="32"/>
          <w:lang w:val="en-US" w:eastAsia="zh-CN"/>
        </w:rPr>
        <w:t>会委员</w:t>
      </w:r>
      <w:r>
        <w:rPr>
          <w:rFonts w:hint="eastAsia" w:ascii="仿宋" w:hAnsi="仿宋" w:eastAsia="仿宋"/>
          <w:sz w:val="32"/>
          <w:szCs w:val="32"/>
        </w:rPr>
        <w:t>及区人大代表进行执法检查和集中视察；开展代表建议督办；组织对常委及代表培训。</w:t>
      </w:r>
      <w:bookmarkStart w:id="9" w:name="_Toc465149499"/>
      <w:bookmarkStart w:id="10" w:name="_Toc492652765"/>
    </w:p>
    <w:p w14:paraId="7522F8BA">
      <w:pPr>
        <w:spacing w:line="540" w:lineRule="exact"/>
        <w:ind w:firstLine="482"/>
        <w:rPr>
          <w:rFonts w:ascii="仿宋" w:hAnsi="仿宋" w:eastAsia="仿宋"/>
          <w:sz w:val="32"/>
          <w:szCs w:val="32"/>
        </w:rPr>
      </w:pPr>
      <w:r>
        <w:rPr>
          <w:rFonts w:hint="eastAsia" w:ascii="仿宋" w:hAnsi="仿宋" w:eastAsia="仿宋"/>
          <w:b/>
          <w:sz w:val="32"/>
          <w:szCs w:val="32"/>
        </w:rPr>
        <w:t>2、人大会议。</w:t>
      </w:r>
      <w:r>
        <w:rPr>
          <w:rFonts w:hint="eastAsia" w:ascii="仿宋" w:hAnsi="仿宋" w:eastAsia="仿宋"/>
          <w:sz w:val="32"/>
          <w:szCs w:val="32"/>
        </w:rPr>
        <w:t>区人民代表大会和常务委员会各种会议的筹备、会务工作，负责常委会文件起草、审核把关，常委会会议、主任会议及常委会党组会议决定事项、工作部署、重要文件及领导批示的传达和督办。</w:t>
      </w:r>
    </w:p>
    <w:p w14:paraId="56F693A4">
      <w:pPr>
        <w:spacing w:line="540" w:lineRule="exact"/>
        <w:ind w:firstLine="482"/>
        <w:rPr>
          <w:rFonts w:ascii="仿宋" w:hAnsi="仿宋" w:eastAsia="仿宋"/>
          <w:sz w:val="32"/>
          <w:szCs w:val="32"/>
        </w:rPr>
      </w:pPr>
      <w:r>
        <w:rPr>
          <w:rFonts w:hint="eastAsia" w:ascii="仿宋" w:hAnsi="仿宋" w:eastAsia="仿宋"/>
          <w:b/>
          <w:sz w:val="32"/>
          <w:szCs w:val="32"/>
        </w:rPr>
        <w:t>3、选举和任免。</w:t>
      </w:r>
      <w:r>
        <w:rPr>
          <w:rFonts w:hint="eastAsia" w:ascii="仿宋" w:hAnsi="仿宋" w:eastAsia="仿宋"/>
          <w:sz w:val="32"/>
          <w:szCs w:val="32"/>
        </w:rPr>
        <w:t>检查监督代表法、选举法及其实施办法的贯彻实施；承担人大换届选举及人事任免服务工作；负责对区政府组成人员和区级人民法院、区人民检察院主要负责人的目标责任书、述职报告的督办工作。</w:t>
      </w:r>
    </w:p>
    <w:p w14:paraId="733D9BAE">
      <w:pPr>
        <w:spacing w:line="540" w:lineRule="exact"/>
        <w:ind w:firstLine="482"/>
        <w:rPr>
          <w:rFonts w:ascii="仿宋" w:hAnsi="仿宋" w:eastAsia="仿宋"/>
          <w:sz w:val="32"/>
          <w:szCs w:val="32"/>
        </w:rPr>
      </w:pPr>
      <w:r>
        <w:rPr>
          <w:rFonts w:hint="eastAsia" w:ascii="仿宋" w:hAnsi="仿宋" w:eastAsia="仿宋"/>
          <w:sz w:val="32"/>
          <w:szCs w:val="32"/>
        </w:rPr>
        <w:t>（1）</w:t>
      </w:r>
      <w:r>
        <w:rPr>
          <w:rFonts w:hint="eastAsia" w:ascii="仿宋" w:hAnsi="仿宋" w:eastAsia="仿宋"/>
          <w:b/>
          <w:sz w:val="32"/>
          <w:szCs w:val="32"/>
        </w:rPr>
        <w:t>换届选举及人事任免。</w:t>
      </w:r>
      <w:r>
        <w:rPr>
          <w:rFonts w:hint="eastAsia" w:ascii="仿宋" w:hAnsi="仿宋" w:eastAsia="仿宋"/>
          <w:sz w:val="32"/>
          <w:szCs w:val="32"/>
        </w:rPr>
        <w:t>承担区人大换届选举、区级国家机关领导人的选举和常委会人事任免的服务工作；指导市、区、乡人大换届选举工作；负责对区政府组成人员和区高级人民法院、区人民检察院主要负责人的目标责任书、述职报告的督办工作；对换届选举人员进行培训。</w:t>
      </w:r>
    </w:p>
    <w:p w14:paraId="5F4C78BC">
      <w:pPr>
        <w:spacing w:line="540" w:lineRule="exact"/>
        <w:ind w:firstLine="482"/>
        <w:rPr>
          <w:rFonts w:ascii="仿宋" w:hAnsi="仿宋" w:eastAsia="仿宋"/>
          <w:sz w:val="32"/>
          <w:szCs w:val="32"/>
        </w:rPr>
      </w:pPr>
      <w:r>
        <w:rPr>
          <w:rFonts w:hint="eastAsia" w:ascii="仿宋" w:hAnsi="仿宋" w:eastAsia="仿宋"/>
          <w:sz w:val="32"/>
          <w:szCs w:val="32"/>
        </w:rPr>
        <w:t>4、</w:t>
      </w:r>
      <w:r>
        <w:rPr>
          <w:rFonts w:hint="eastAsia" w:ascii="仿宋" w:hAnsi="仿宋" w:eastAsia="仿宋"/>
          <w:b/>
          <w:sz w:val="32"/>
          <w:szCs w:val="32"/>
        </w:rPr>
        <w:t>人大事务管理。</w:t>
      </w:r>
      <w:r>
        <w:rPr>
          <w:rFonts w:hint="eastAsia" w:ascii="仿宋" w:hAnsi="仿宋" w:eastAsia="仿宋"/>
          <w:sz w:val="32"/>
          <w:szCs w:val="32"/>
        </w:rPr>
        <w:t>新闻宣传和机关信息化建设与维护；人代会及常委会会议表决系统、机关基础设施建设与维护；区</w:t>
      </w:r>
      <w:r>
        <w:rPr>
          <w:rFonts w:hint="eastAsia" w:ascii="仿宋" w:hAnsi="仿宋" w:eastAsia="仿宋"/>
          <w:sz w:val="32"/>
          <w:szCs w:val="32"/>
          <w:lang w:eastAsia="zh-CN"/>
        </w:rPr>
        <w:t>人大常委会机关</w:t>
      </w:r>
      <w:r>
        <w:rPr>
          <w:rFonts w:hint="eastAsia" w:ascii="仿宋" w:hAnsi="仿宋" w:eastAsia="仿宋"/>
          <w:sz w:val="32"/>
          <w:szCs w:val="32"/>
        </w:rPr>
        <w:t>日常管理事务；公报、年检的编辑印刷；信访工作。</w:t>
      </w:r>
    </w:p>
    <w:p w14:paraId="5125F5A8">
      <w:pPr>
        <w:spacing w:line="54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b/>
          <w:sz w:val="32"/>
          <w:szCs w:val="32"/>
        </w:rPr>
        <w:t>综合业务管理。</w:t>
      </w:r>
      <w:r>
        <w:rPr>
          <w:rFonts w:hint="eastAsia" w:ascii="仿宋" w:hAnsi="仿宋" w:eastAsia="仿宋"/>
          <w:sz w:val="32"/>
          <w:szCs w:val="32"/>
        </w:rPr>
        <w:t>办理来信来访，日常外事活动和区人大代表团出访事务，内外宾接待，常委会新闻发布和对外宣传，人大系列工作的宣传报道；会议表决系统建设与维护；代表大会和常委会会议公报、人大工作年鉴、大事记和组织史的编写及印刷；负责区内外人大常委会联系；重大课题调研。</w:t>
      </w:r>
    </w:p>
    <w:p w14:paraId="380D3A68">
      <w:pPr>
        <w:spacing w:line="54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b/>
          <w:sz w:val="32"/>
          <w:szCs w:val="32"/>
        </w:rPr>
        <w:t>综合事务管理。</w:t>
      </w:r>
      <w:r>
        <w:rPr>
          <w:rFonts w:hint="eastAsia" w:ascii="仿宋" w:hAnsi="仿宋" w:eastAsia="仿宋"/>
          <w:sz w:val="32"/>
          <w:szCs w:val="32"/>
        </w:rPr>
        <w:t>负责机关文书档案印信管理和保密，机关人事、离退休人员服务，财务、基建、后勤服务及警卫工作；机关信息建设和办公自动化建设；负责对全区人大系统信息建设和办公自动化建设的指导、规划、组织、协调和人员培训工作；纪检组办案及培训；领导交办的其他工作。</w:t>
      </w:r>
    </w:p>
    <w:p w14:paraId="025226B7">
      <w:pPr>
        <w:spacing w:line="540" w:lineRule="exact"/>
        <w:ind w:firstLine="640" w:firstLineChars="200"/>
        <w:rPr>
          <w:rFonts w:ascii="仿宋" w:hAnsi="仿宋" w:eastAsia="仿宋"/>
          <w:sz w:val="32"/>
          <w:szCs w:val="32"/>
        </w:rPr>
      </w:pPr>
      <w:r>
        <w:rPr>
          <w:rFonts w:hint="eastAsia" w:ascii="仿宋" w:hAnsi="仿宋" w:eastAsia="仿宋"/>
          <w:sz w:val="32"/>
          <w:szCs w:val="32"/>
        </w:rPr>
        <w:t>共四</w:t>
      </w:r>
      <w:r>
        <w:rPr>
          <w:rFonts w:ascii="仿宋" w:hAnsi="仿宋" w:eastAsia="仿宋"/>
          <w:sz w:val="32"/>
          <w:szCs w:val="32"/>
        </w:rPr>
        <w:t>部分。</w:t>
      </w:r>
    </w:p>
    <w:p w14:paraId="45AC74CE">
      <w:pPr>
        <w:pStyle w:val="4"/>
        <w:adjustRightInd w:val="0"/>
        <w:snapToGrid w:val="0"/>
        <w:spacing w:before="0" w:after="0" w:line="600" w:lineRule="exact"/>
        <w:ind w:firstLine="643" w:firstLineChars="200"/>
        <w:jc w:val="both"/>
        <w:rPr>
          <w:rFonts w:ascii="仿宋_GB2312" w:hAnsi="Tahoma" w:cs="DengXian-Regular"/>
          <w:sz w:val="32"/>
        </w:rPr>
      </w:pPr>
      <w:bookmarkStart w:id="11" w:name="_Toc7075"/>
      <w:r>
        <w:rPr>
          <w:rFonts w:hint="eastAsia" w:ascii="仿宋_GB2312" w:hAnsi="Tahoma" w:cs="DengXian-Regular"/>
          <w:sz w:val="32"/>
        </w:rPr>
        <w:t>（二）</w:t>
      </w:r>
      <w:bookmarkEnd w:id="9"/>
      <w:r>
        <w:rPr>
          <w:rFonts w:hint="eastAsia" w:ascii="仿宋_GB2312" w:hAnsi="Tahoma" w:cs="DengXian-Regular"/>
          <w:sz w:val="32"/>
        </w:rPr>
        <w:t>部门年度发展规划总体目标和职责分类绩效目标</w:t>
      </w:r>
      <w:bookmarkEnd w:id="10"/>
      <w:bookmarkEnd w:id="11"/>
    </w:p>
    <w:p w14:paraId="2DA69C06">
      <w:pPr>
        <w:spacing w:after="0" w:line="6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w:t>
      </w:r>
      <w:r>
        <w:rPr>
          <w:rFonts w:ascii="仿宋_GB2312" w:eastAsia="仿宋_GB2312" w:cs="DengXian-Regular"/>
          <w:sz w:val="32"/>
          <w:szCs w:val="32"/>
        </w:rPr>
        <w:t>20</w:t>
      </w:r>
      <w:r>
        <w:rPr>
          <w:rFonts w:hint="eastAsia" w:ascii="仿宋_GB2312" w:eastAsia="仿宋_GB2312" w:cs="DengXian-Regular"/>
          <w:sz w:val="32"/>
          <w:szCs w:val="32"/>
        </w:rPr>
        <w:t>年绩效预算编制要求，区人大常委会机关设置的年度发展规划总体目标为：</w:t>
      </w:r>
    </w:p>
    <w:p w14:paraId="31033C72">
      <w:pPr>
        <w:spacing w:after="0" w:line="600" w:lineRule="exact"/>
        <w:ind w:firstLine="640" w:firstLineChars="200"/>
        <w:jc w:val="both"/>
        <w:rPr>
          <w:rFonts w:ascii="仿宋_GB2312" w:hAnsi="仿宋" w:eastAsia="仿宋_GB2312"/>
          <w:sz w:val="32"/>
          <w:szCs w:val="32"/>
        </w:rPr>
      </w:pPr>
      <w:r>
        <w:rPr>
          <w:rFonts w:hint="eastAsia" w:ascii="仿宋_GB2312" w:eastAsia="仿宋_GB2312" w:cs="DengXian-Regular"/>
          <w:sz w:val="32"/>
          <w:szCs w:val="32"/>
        </w:rPr>
        <w:t>负责贯彻执行党和国家关于制定人大工作要点，并监督实施，</w:t>
      </w:r>
      <w:r>
        <w:rPr>
          <w:rFonts w:hint="eastAsia" w:ascii="仿宋_GB2312" w:hAnsi="仿宋" w:eastAsia="仿宋_GB2312"/>
          <w:sz w:val="32"/>
          <w:szCs w:val="32"/>
        </w:rPr>
        <w:t>指导</w:t>
      </w:r>
      <w:r>
        <w:rPr>
          <w:rFonts w:ascii="仿宋_GB2312" w:hAnsi="仿宋" w:eastAsia="仿宋_GB2312"/>
          <w:sz w:val="32"/>
          <w:szCs w:val="32"/>
        </w:rPr>
        <w:t>全区人大工作</w:t>
      </w:r>
      <w:r>
        <w:rPr>
          <w:rFonts w:hint="eastAsia" w:ascii="仿宋_GB2312" w:hAnsi="仿宋" w:eastAsia="仿宋_GB2312"/>
          <w:sz w:val="32"/>
          <w:szCs w:val="32"/>
        </w:rPr>
        <w:t>，制定人大</w:t>
      </w:r>
      <w:r>
        <w:rPr>
          <w:rFonts w:ascii="仿宋_GB2312" w:hAnsi="仿宋" w:eastAsia="仿宋_GB2312"/>
          <w:sz w:val="32"/>
          <w:szCs w:val="32"/>
        </w:rPr>
        <w:t>工作</w:t>
      </w:r>
      <w:r>
        <w:rPr>
          <w:rFonts w:hint="eastAsia" w:ascii="仿宋_GB2312" w:hAnsi="仿宋" w:eastAsia="仿宋_GB2312"/>
          <w:sz w:val="32"/>
          <w:szCs w:val="32"/>
        </w:rPr>
        <w:t>规划</w:t>
      </w:r>
      <w:r>
        <w:rPr>
          <w:rFonts w:ascii="仿宋_GB2312" w:hAnsi="仿宋" w:eastAsia="仿宋_GB2312"/>
          <w:sz w:val="32"/>
          <w:szCs w:val="32"/>
        </w:rPr>
        <w:t>并组织实施</w:t>
      </w:r>
      <w:r>
        <w:rPr>
          <w:rFonts w:hint="eastAsia" w:ascii="仿宋_GB2312" w:hAnsi="仿宋" w:eastAsia="仿宋_GB2312"/>
          <w:sz w:val="32"/>
          <w:szCs w:val="32"/>
        </w:rPr>
        <w:t>。</w:t>
      </w:r>
    </w:p>
    <w:p w14:paraId="27627A07">
      <w:pPr>
        <w:spacing w:after="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职责分类</w:t>
      </w:r>
      <w:r>
        <w:rPr>
          <w:rFonts w:ascii="仿宋_GB2312" w:hAnsi="仿宋" w:eastAsia="仿宋_GB2312"/>
          <w:sz w:val="32"/>
          <w:szCs w:val="32"/>
        </w:rPr>
        <w:t>绩效目标为：</w:t>
      </w:r>
    </w:p>
    <w:p w14:paraId="66953339">
      <w:pPr>
        <w:spacing w:after="0" w:line="600" w:lineRule="exact"/>
        <w:ind w:firstLine="482"/>
        <w:jc w:val="both"/>
        <w:rPr>
          <w:rFonts w:ascii="仿宋" w:hAnsi="仿宋" w:eastAsia="仿宋"/>
          <w:sz w:val="32"/>
          <w:szCs w:val="32"/>
        </w:rPr>
      </w:pPr>
      <w:r>
        <w:rPr>
          <w:rFonts w:hint="eastAsia" w:ascii="仿宋_GB2312" w:hAnsi="仿宋" w:eastAsia="仿宋_GB2312"/>
          <w:b/>
          <w:sz w:val="32"/>
          <w:szCs w:val="32"/>
        </w:rPr>
        <w:t>1、</w:t>
      </w:r>
      <w:r>
        <w:rPr>
          <w:rFonts w:hint="eastAsia" w:ascii="仿宋" w:hAnsi="仿宋" w:eastAsia="仿宋"/>
          <w:b/>
          <w:sz w:val="32"/>
          <w:szCs w:val="32"/>
        </w:rPr>
        <w:t>人大监督。</w:t>
      </w:r>
      <w:r>
        <w:rPr>
          <w:rFonts w:hint="eastAsia" w:ascii="仿宋" w:hAnsi="仿宋" w:eastAsia="仿宋"/>
          <w:sz w:val="32"/>
          <w:szCs w:val="32"/>
        </w:rPr>
        <w:t>促进各项法律法规、人大决议、报告等的落实；促进</w:t>
      </w:r>
      <w:r>
        <w:rPr>
          <w:rFonts w:hint="cs" w:ascii="仿宋" w:hAnsi="仿宋" w:eastAsia="仿宋"/>
          <w:sz w:val="32"/>
          <w:szCs w:val="32"/>
          <w:cs/>
        </w:rPr>
        <w:t>“</w:t>
      </w:r>
      <w:r>
        <w:rPr>
          <w:rFonts w:hint="eastAsia" w:ascii="仿宋" w:hAnsi="仿宋" w:eastAsia="仿宋"/>
          <w:sz w:val="32"/>
          <w:szCs w:val="32"/>
        </w:rPr>
        <w:t>一府两院</w:t>
      </w:r>
      <w:r>
        <w:rPr>
          <w:rFonts w:hint="cs" w:ascii="仿宋" w:hAnsi="仿宋" w:eastAsia="仿宋"/>
          <w:sz w:val="32"/>
          <w:szCs w:val="32"/>
          <w:cs/>
        </w:rPr>
        <w:t>”</w:t>
      </w:r>
      <w:r>
        <w:rPr>
          <w:rFonts w:hint="eastAsia" w:ascii="仿宋" w:hAnsi="仿宋" w:eastAsia="仿宋"/>
          <w:sz w:val="32"/>
          <w:szCs w:val="32"/>
        </w:rPr>
        <w:t>改进工作；提高规范性文件质量；促进社会和谐稳定。</w:t>
      </w:r>
    </w:p>
    <w:p w14:paraId="457559D4">
      <w:pPr>
        <w:ind w:firstLine="482"/>
        <w:rPr>
          <w:rFonts w:ascii="仿宋" w:hAnsi="仿宋" w:eastAsia="仿宋"/>
          <w:sz w:val="32"/>
          <w:szCs w:val="32"/>
        </w:rPr>
      </w:pPr>
      <w:r>
        <w:rPr>
          <w:rFonts w:hint="eastAsia" w:ascii="仿宋_GB2312" w:eastAsia="仿宋_GB2312"/>
          <w:b/>
          <w:sz w:val="32"/>
          <w:szCs w:val="32"/>
        </w:rPr>
        <w:t>（1）</w:t>
      </w:r>
      <w:r>
        <w:rPr>
          <w:rFonts w:hint="eastAsia" w:ascii="仿宋" w:hAnsi="仿宋" w:eastAsia="仿宋"/>
          <w:b/>
          <w:sz w:val="32"/>
          <w:szCs w:val="32"/>
        </w:rPr>
        <w:t>专门委员会、常委及代表活动。</w:t>
      </w:r>
      <w:r>
        <w:rPr>
          <w:rFonts w:hint="eastAsia" w:ascii="仿宋" w:hAnsi="仿宋" w:eastAsia="仿宋"/>
          <w:sz w:val="32"/>
          <w:szCs w:val="32"/>
        </w:rPr>
        <w:t>发挥常委及代表的作用，集中反映民意，促进依法履职。</w:t>
      </w:r>
    </w:p>
    <w:p w14:paraId="00F683D7">
      <w:pPr>
        <w:ind w:firstLine="482"/>
        <w:rPr>
          <w:rFonts w:ascii="仿宋" w:hAnsi="仿宋" w:eastAsia="仿宋"/>
          <w:sz w:val="32"/>
          <w:szCs w:val="32"/>
        </w:rPr>
      </w:pPr>
      <w:r>
        <w:rPr>
          <w:rFonts w:hint="eastAsia" w:ascii="仿宋_GB2312" w:eastAsia="仿宋_GB2312"/>
          <w:b/>
          <w:sz w:val="32"/>
          <w:szCs w:val="32"/>
        </w:rPr>
        <w:t>2、</w:t>
      </w:r>
      <w:r>
        <w:rPr>
          <w:rFonts w:ascii="仿宋_GB2312" w:eastAsia="仿宋_GB2312"/>
          <w:b/>
          <w:sz w:val="32"/>
          <w:szCs w:val="32"/>
        </w:rPr>
        <w:t>人大会议。</w:t>
      </w:r>
      <w:r>
        <w:rPr>
          <w:rFonts w:hint="eastAsia" w:ascii="仿宋" w:hAnsi="仿宋" w:eastAsia="仿宋"/>
          <w:sz w:val="32"/>
          <w:szCs w:val="32"/>
        </w:rPr>
        <w:t>完善各项会议制度，规范会议程序，提高会议质量，提高人大代表及常委会审议水平。</w:t>
      </w:r>
    </w:p>
    <w:p w14:paraId="73E8E04F">
      <w:pPr>
        <w:ind w:firstLine="482"/>
        <w:rPr>
          <w:rFonts w:ascii="仿宋" w:hAnsi="仿宋" w:eastAsia="仿宋"/>
          <w:sz w:val="32"/>
          <w:szCs w:val="32"/>
        </w:rPr>
      </w:pPr>
      <w:r>
        <w:rPr>
          <w:rFonts w:hint="eastAsia" w:ascii="仿宋" w:hAnsi="仿宋" w:eastAsia="仿宋"/>
          <w:b/>
          <w:sz w:val="32"/>
          <w:szCs w:val="32"/>
        </w:rPr>
        <w:t>3、选举和任免。</w:t>
      </w:r>
      <w:r>
        <w:rPr>
          <w:rFonts w:hint="eastAsia" w:ascii="仿宋" w:hAnsi="仿宋" w:eastAsia="仿宋"/>
          <w:sz w:val="32"/>
          <w:szCs w:val="32"/>
        </w:rPr>
        <w:t>确保换届选举工作顺利完成，实现省市和区委人事安排部署；提高组织换届选举工作水平。换届选举及人事任免。确保区人大和乡人大换届选举工作顺利完成，提高组织换届选举工作水平；高质量完成国家机关领导人选举和常委会人事任免服务工作；高效督办有关部门负责人的目标责任书和述职报告。</w:t>
      </w:r>
    </w:p>
    <w:p w14:paraId="4FAF17E0">
      <w:pPr>
        <w:ind w:firstLine="482"/>
        <w:rPr>
          <w:rFonts w:ascii="仿宋" w:hAnsi="仿宋" w:eastAsia="仿宋"/>
          <w:sz w:val="32"/>
          <w:szCs w:val="32"/>
        </w:rPr>
      </w:pPr>
      <w:r>
        <w:rPr>
          <w:rFonts w:hint="eastAsia" w:ascii="仿宋" w:hAnsi="仿宋" w:eastAsia="仿宋"/>
          <w:b/>
          <w:sz w:val="32"/>
          <w:szCs w:val="32"/>
        </w:rPr>
        <w:t>4、人大事务管理。</w:t>
      </w:r>
      <w:r>
        <w:rPr>
          <w:rFonts w:hint="eastAsia" w:ascii="仿宋" w:hAnsi="仿宋" w:eastAsia="仿宋"/>
          <w:sz w:val="32"/>
          <w:szCs w:val="32"/>
        </w:rPr>
        <w:t>促进机关自身建设、服务保障能力进一步提升。</w:t>
      </w:r>
    </w:p>
    <w:p w14:paraId="676D66F8">
      <w:pPr>
        <w:ind w:firstLine="482"/>
        <w:rPr>
          <w:rFonts w:ascii="仿宋" w:hAnsi="仿宋" w:eastAsia="仿宋"/>
          <w:sz w:val="32"/>
          <w:szCs w:val="32"/>
        </w:rPr>
      </w:pPr>
      <w:r>
        <w:rPr>
          <w:rFonts w:hint="eastAsia" w:ascii="仿宋" w:hAnsi="仿宋" w:eastAsia="仿宋"/>
          <w:b/>
          <w:sz w:val="32"/>
          <w:szCs w:val="32"/>
        </w:rPr>
        <w:t>（1）综合业务管理。</w:t>
      </w:r>
      <w:r>
        <w:rPr>
          <w:rFonts w:hint="eastAsia" w:ascii="仿宋" w:hAnsi="仿宋" w:eastAsia="仿宋"/>
          <w:sz w:val="32"/>
          <w:szCs w:val="32"/>
        </w:rPr>
        <w:t>保障新闻宣传与新闻发布工作正常开展，提高人大信息透明度和影响力；保障会议表决系统正常运转；网络与办公平台正常运行；促进社会和谐稳定。</w:t>
      </w:r>
    </w:p>
    <w:p w14:paraId="216BA027">
      <w:pPr>
        <w:ind w:firstLine="482"/>
        <w:rPr>
          <w:rFonts w:ascii="仿宋_GB2312" w:eastAsia="仿宋_GB2312"/>
          <w:sz w:val="32"/>
          <w:szCs w:val="32"/>
        </w:rPr>
      </w:pPr>
      <w:r>
        <w:rPr>
          <w:rFonts w:hint="eastAsia" w:ascii="仿宋" w:hAnsi="仿宋" w:eastAsia="仿宋"/>
          <w:b/>
          <w:sz w:val="32"/>
          <w:szCs w:val="32"/>
        </w:rPr>
        <w:t>（2）综合事务管理。</w:t>
      </w:r>
      <w:r>
        <w:rPr>
          <w:rFonts w:hint="eastAsia" w:ascii="仿宋" w:hAnsi="仿宋" w:eastAsia="仿宋"/>
          <w:sz w:val="32"/>
          <w:szCs w:val="32"/>
        </w:rPr>
        <w:t>机关基础设施设备正常运转，信息化保障、老干部服务保障能力进一步提高。</w:t>
      </w:r>
    </w:p>
    <w:p w14:paraId="48016F00">
      <w:pPr>
        <w:spacing w:after="0" w:line="360" w:lineRule="auto"/>
        <w:ind w:firstLine="643" w:firstLineChars="200"/>
        <w:jc w:val="both"/>
        <w:textAlignment w:val="baseline"/>
        <w:rPr>
          <w:rFonts w:ascii="仿宋_GB2312" w:eastAsia="仿宋_GB2312" w:cs="DengXian-Regular"/>
          <w:b/>
          <w:sz w:val="32"/>
          <w:szCs w:val="32"/>
        </w:rPr>
      </w:pPr>
      <w:r>
        <w:rPr>
          <w:rFonts w:hint="eastAsia" w:ascii="仿宋_GB2312" w:eastAsia="仿宋_GB2312" w:cs="DengXian-Regular"/>
          <w:b/>
          <w:sz w:val="32"/>
          <w:szCs w:val="32"/>
        </w:rPr>
        <w:t>（三）部门预算收入及决算收入</w:t>
      </w:r>
      <w:bookmarkEnd w:id="4"/>
    </w:p>
    <w:p w14:paraId="65D665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年区人大常委会机关预算收入</w:t>
      </w:r>
      <w:r>
        <w:rPr>
          <w:rFonts w:ascii="仿宋_GB2312" w:eastAsia="仿宋_GB2312" w:cs="DengXian-Regular"/>
          <w:sz w:val="32"/>
          <w:szCs w:val="32"/>
        </w:rPr>
        <w:t>571.61</w:t>
      </w:r>
      <w:r>
        <w:rPr>
          <w:rFonts w:hint="eastAsia" w:ascii="仿宋_GB2312" w:eastAsia="仿宋_GB2312" w:cs="DengXian-Regular"/>
          <w:sz w:val="32"/>
          <w:szCs w:val="32"/>
        </w:rPr>
        <w:t>万元，均为一般公共预算拨款，其中：财政拨款</w:t>
      </w:r>
      <w:r>
        <w:rPr>
          <w:rFonts w:ascii="仿宋_GB2312" w:eastAsia="仿宋_GB2312" w:cs="DengXian-Regular"/>
          <w:sz w:val="32"/>
          <w:szCs w:val="32"/>
        </w:rPr>
        <w:t>571.61</w:t>
      </w:r>
      <w:r>
        <w:rPr>
          <w:rFonts w:hint="eastAsia" w:ascii="仿宋_GB2312" w:eastAsia="仿宋_GB2312" w:cs="DengXian-Regular"/>
          <w:sz w:val="32"/>
          <w:szCs w:val="32"/>
        </w:rPr>
        <w:t>万元。预算收入按功能分类包含：一般公共服务</w:t>
      </w:r>
      <w:r>
        <w:rPr>
          <w:rFonts w:ascii="仿宋_GB2312" w:eastAsia="仿宋_GB2312" w:cs="DengXian-Regular"/>
          <w:sz w:val="32"/>
          <w:szCs w:val="32"/>
        </w:rPr>
        <w:t>支出449.45</w:t>
      </w:r>
      <w:r>
        <w:rPr>
          <w:rFonts w:hint="eastAsia" w:ascii="仿宋_GB2312" w:eastAsia="仿宋_GB2312" w:cs="DengXian-Regular"/>
          <w:sz w:val="32"/>
          <w:szCs w:val="32"/>
        </w:rPr>
        <w:t>万元，社会保障和就业支出</w:t>
      </w:r>
      <w:r>
        <w:rPr>
          <w:rFonts w:ascii="仿宋_GB2312" w:eastAsia="仿宋_GB2312" w:cs="DengXian-Regular"/>
          <w:sz w:val="32"/>
          <w:szCs w:val="32"/>
        </w:rPr>
        <w:t>72.5</w:t>
      </w:r>
      <w:r>
        <w:rPr>
          <w:rFonts w:hint="eastAsia" w:ascii="仿宋_GB2312" w:eastAsia="仿宋_GB2312" w:cs="DengXian-Regular"/>
          <w:sz w:val="32"/>
          <w:szCs w:val="32"/>
        </w:rPr>
        <w:t>万元，卫生健康支出</w:t>
      </w:r>
      <w:r>
        <w:rPr>
          <w:rFonts w:ascii="仿宋_GB2312" w:eastAsia="仿宋_GB2312" w:cs="DengXian-Regular"/>
          <w:sz w:val="32"/>
          <w:szCs w:val="32"/>
        </w:rPr>
        <w:t>28.04</w:t>
      </w:r>
      <w:r>
        <w:rPr>
          <w:rFonts w:hint="eastAsia" w:ascii="仿宋_GB2312" w:eastAsia="仿宋_GB2312" w:cs="DengXian-Regular"/>
          <w:sz w:val="32"/>
          <w:szCs w:val="32"/>
        </w:rPr>
        <w:t>万元，住房保障支出</w:t>
      </w:r>
      <w:r>
        <w:rPr>
          <w:rFonts w:ascii="仿宋_GB2312" w:eastAsia="仿宋_GB2312" w:cs="DengXian-Regular"/>
          <w:sz w:val="32"/>
          <w:szCs w:val="32"/>
        </w:rPr>
        <w:t>21.62</w:t>
      </w:r>
      <w:r>
        <w:rPr>
          <w:rFonts w:hint="eastAsia" w:ascii="仿宋_GB2312" w:eastAsia="仿宋_GB2312" w:cs="DengXian-Regular"/>
          <w:sz w:val="32"/>
          <w:szCs w:val="32"/>
        </w:rPr>
        <w:t>万元。具体预算收入详见附件2。</w:t>
      </w:r>
    </w:p>
    <w:p w14:paraId="1FDFD7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年区人大常委会机关决算收入</w:t>
      </w:r>
      <w:r>
        <w:rPr>
          <w:rFonts w:ascii="仿宋_GB2312" w:eastAsia="仿宋_GB2312" w:cs="DengXian-Regular"/>
          <w:sz w:val="32"/>
          <w:szCs w:val="32"/>
        </w:rPr>
        <w:t>580.14</w:t>
      </w:r>
      <w:r>
        <w:rPr>
          <w:rFonts w:hint="eastAsia" w:ascii="仿宋_GB2312" w:eastAsia="仿宋_GB2312" w:cs="DengXian-Regular"/>
          <w:sz w:val="32"/>
          <w:szCs w:val="32"/>
        </w:rPr>
        <w:t>万元，其中：财政拨款收入</w:t>
      </w:r>
      <w:r>
        <w:rPr>
          <w:rFonts w:ascii="仿宋_GB2312" w:eastAsia="仿宋_GB2312" w:cs="DengXian-Regular"/>
          <w:sz w:val="32"/>
          <w:szCs w:val="32"/>
        </w:rPr>
        <w:t>580.09</w:t>
      </w:r>
      <w:r>
        <w:rPr>
          <w:rFonts w:hint="eastAsia" w:ascii="仿宋_GB2312" w:eastAsia="仿宋_GB2312" w:cs="DengXian-Regular"/>
          <w:sz w:val="32"/>
          <w:szCs w:val="32"/>
        </w:rPr>
        <w:t>万元，其他</w:t>
      </w:r>
      <w:r>
        <w:rPr>
          <w:rFonts w:ascii="仿宋_GB2312" w:eastAsia="仿宋_GB2312" w:cs="DengXian-Regular"/>
          <w:sz w:val="32"/>
          <w:szCs w:val="32"/>
        </w:rPr>
        <w:t>收入</w:t>
      </w:r>
      <w:r>
        <w:rPr>
          <w:rFonts w:hint="eastAsia" w:ascii="仿宋_GB2312" w:eastAsia="仿宋_GB2312" w:cs="DengXian-Regular"/>
          <w:sz w:val="32"/>
          <w:szCs w:val="32"/>
        </w:rPr>
        <w:t>0.05决算收入按功能分类包含：一般公共服务</w:t>
      </w:r>
      <w:r>
        <w:rPr>
          <w:rFonts w:ascii="仿宋_GB2312" w:eastAsia="仿宋_GB2312" w:cs="DengXian-Regular"/>
          <w:sz w:val="32"/>
          <w:szCs w:val="32"/>
        </w:rPr>
        <w:t>支出429.26</w:t>
      </w:r>
      <w:r>
        <w:rPr>
          <w:rFonts w:hint="eastAsia" w:ascii="仿宋_GB2312" w:eastAsia="仿宋_GB2312" w:cs="DengXian-Regular"/>
          <w:sz w:val="32"/>
          <w:szCs w:val="32"/>
        </w:rPr>
        <w:t>万元，占比</w:t>
      </w:r>
      <w:r>
        <w:rPr>
          <w:rFonts w:ascii="仿宋_GB2312" w:eastAsia="仿宋_GB2312" w:cs="DengXian-Regular"/>
          <w:sz w:val="32"/>
          <w:szCs w:val="32"/>
        </w:rPr>
        <w:t>73.99</w:t>
      </w:r>
      <w:r>
        <w:rPr>
          <w:rFonts w:hint="eastAsia" w:ascii="仿宋_GB2312" w:eastAsia="仿宋_GB2312" w:cs="DengXian-Regular"/>
          <w:sz w:val="32"/>
          <w:szCs w:val="32"/>
        </w:rPr>
        <w:t>%；社会保障和就业支出</w:t>
      </w:r>
      <w:r>
        <w:rPr>
          <w:rFonts w:ascii="仿宋_GB2312" w:eastAsia="仿宋_GB2312" w:cs="DengXian-Regular"/>
          <w:sz w:val="32"/>
          <w:szCs w:val="32"/>
        </w:rPr>
        <w:t>114.75</w:t>
      </w:r>
      <w:r>
        <w:rPr>
          <w:rFonts w:hint="eastAsia" w:ascii="仿宋_GB2312" w:eastAsia="仿宋_GB2312" w:cs="DengXian-Regular"/>
          <w:sz w:val="32"/>
          <w:szCs w:val="32"/>
        </w:rPr>
        <w:t>万元，占比</w:t>
      </w:r>
      <w:r>
        <w:rPr>
          <w:rFonts w:ascii="仿宋_GB2312" w:eastAsia="仿宋_GB2312" w:cs="DengXian-Regular"/>
          <w:sz w:val="32"/>
          <w:szCs w:val="32"/>
        </w:rPr>
        <w:t>19.78</w:t>
      </w:r>
      <w:r>
        <w:rPr>
          <w:rFonts w:hint="eastAsia" w:ascii="仿宋_GB2312" w:eastAsia="仿宋_GB2312" w:cs="DengXian-Regular"/>
          <w:sz w:val="32"/>
          <w:szCs w:val="32"/>
        </w:rPr>
        <w:t>%；卫生健康支出</w:t>
      </w:r>
      <w:r>
        <w:rPr>
          <w:rFonts w:ascii="仿宋_GB2312" w:eastAsia="仿宋_GB2312" w:cs="DengXian-Regular"/>
          <w:sz w:val="32"/>
          <w:szCs w:val="32"/>
        </w:rPr>
        <w:t>12.75</w:t>
      </w:r>
      <w:r>
        <w:rPr>
          <w:rFonts w:hint="eastAsia" w:ascii="仿宋_GB2312" w:eastAsia="仿宋_GB2312" w:cs="DengXian-Regular"/>
          <w:sz w:val="32"/>
          <w:szCs w:val="32"/>
        </w:rPr>
        <w:t>万元，占比</w:t>
      </w:r>
      <w:r>
        <w:rPr>
          <w:rFonts w:ascii="仿宋_GB2312" w:eastAsia="仿宋_GB2312" w:cs="DengXian-Regular"/>
          <w:sz w:val="32"/>
          <w:szCs w:val="32"/>
        </w:rPr>
        <w:t>2.20</w:t>
      </w:r>
      <w:r>
        <w:rPr>
          <w:rFonts w:hint="eastAsia" w:ascii="仿宋_GB2312" w:eastAsia="仿宋_GB2312" w:cs="DengXian-Regular"/>
          <w:sz w:val="32"/>
          <w:szCs w:val="32"/>
        </w:rPr>
        <w:t>%；住房保障支出</w:t>
      </w:r>
      <w:r>
        <w:rPr>
          <w:rFonts w:ascii="仿宋_GB2312" w:eastAsia="仿宋_GB2312" w:cs="DengXian-Regular"/>
          <w:sz w:val="32"/>
          <w:szCs w:val="32"/>
        </w:rPr>
        <w:t>23.38</w:t>
      </w:r>
      <w:r>
        <w:rPr>
          <w:rFonts w:hint="eastAsia" w:ascii="仿宋_GB2312" w:eastAsia="仿宋_GB2312" w:cs="DengXian-Regular"/>
          <w:sz w:val="32"/>
          <w:szCs w:val="32"/>
        </w:rPr>
        <w:t>万元，占比</w:t>
      </w:r>
      <w:r>
        <w:rPr>
          <w:rFonts w:ascii="仿宋_GB2312" w:eastAsia="仿宋_GB2312" w:cs="DengXian-Regular"/>
          <w:sz w:val="32"/>
          <w:szCs w:val="32"/>
        </w:rPr>
        <w:t>4.03</w:t>
      </w:r>
      <w:r>
        <w:rPr>
          <w:rFonts w:hint="eastAsia" w:ascii="仿宋_GB2312" w:eastAsia="仿宋_GB2312" w:cs="DengXian-Regular"/>
          <w:sz w:val="32"/>
          <w:szCs w:val="32"/>
        </w:rPr>
        <w:t>%。具体决算收入详见附件</w:t>
      </w:r>
    </w:p>
    <w:p w14:paraId="6A0E4D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决算收入结构如图1。</w:t>
      </w:r>
    </w:p>
    <w:p w14:paraId="493B27E4">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asciiTheme="minorEastAsia" w:hAnsiTheme="minorEastAsia" w:eastAsiaTheme="minorEastAsia" w:cstheme="minorEastAsia"/>
          <w:b/>
          <w:bCs/>
          <w:sz w:val="32"/>
          <w:szCs w:val="32"/>
        </w:rPr>
        <w:t>1</w:t>
      </w:r>
      <w:r>
        <w:rPr>
          <w:rFonts w:hint="eastAsia" w:asciiTheme="minorEastAsia" w:hAnsiTheme="minorEastAsia" w:eastAsiaTheme="minorEastAsia" w:cstheme="minorEastAsia"/>
          <w:b/>
          <w:bCs/>
          <w:sz w:val="32"/>
          <w:szCs w:val="32"/>
        </w:rPr>
        <w:t>年度区人大常委会机关决算收入结构图</w:t>
      </w:r>
    </w:p>
    <w:p w14:paraId="4D2D8B91">
      <w:pPr>
        <w:spacing w:after="0" w:line="360" w:lineRule="auto"/>
        <w:jc w:val="both"/>
        <w:rPr>
          <w:rFonts w:ascii="仿宋_GB2312" w:eastAsia="仿宋_GB2312" w:cs="DengXian-Regular"/>
          <w:sz w:val="32"/>
          <w:szCs w:val="32"/>
        </w:rPr>
      </w:pPr>
    </w:p>
    <w:p w14:paraId="04A9A476">
      <w:pPr>
        <w:spacing w:after="0" w:line="360" w:lineRule="auto"/>
        <w:ind w:firstLine="640" w:firstLineChars="200"/>
        <w:jc w:val="center"/>
        <w:rPr>
          <w:rFonts w:ascii="仿宋_GB2312" w:eastAsia="仿宋_GB2312" w:cs="DengXian-Regular"/>
          <w:sz w:val="32"/>
          <w:szCs w:val="32"/>
        </w:rPr>
      </w:pPr>
      <w:r>
        <w:rPr>
          <w:rFonts w:ascii="仿宋_GB2312" w:eastAsia="仿宋_GB2312" w:cs="DengXian-Regular"/>
          <w:sz w:val="32"/>
          <w:szCs w:val="32"/>
        </w:rPr>
        <w:drawing>
          <wp:inline distT="0" distB="0" distL="0" distR="0">
            <wp:extent cx="4533900" cy="307911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F1787B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区人大常委会机关一般公共预算财政拨款决算收入比年初预算增加8</w:t>
      </w:r>
      <w:r>
        <w:rPr>
          <w:rFonts w:ascii="仿宋_GB2312" w:eastAsia="仿宋_GB2312" w:cs="DengXian-Regular"/>
          <w:sz w:val="32"/>
          <w:szCs w:val="32"/>
        </w:rPr>
        <w:t>.48</w:t>
      </w:r>
      <w:r>
        <w:rPr>
          <w:rFonts w:hint="eastAsia" w:ascii="仿宋_GB2312" w:eastAsia="仿宋_GB2312" w:cs="DengXian-Regular"/>
          <w:sz w:val="32"/>
          <w:szCs w:val="32"/>
        </w:rPr>
        <w:t>万元，完成年初预算的</w:t>
      </w:r>
      <w:r>
        <w:rPr>
          <w:rFonts w:ascii="仿宋_GB2312" w:eastAsia="仿宋_GB2312" w:cs="DengXian-Regular"/>
          <w:sz w:val="32"/>
          <w:szCs w:val="32"/>
        </w:rPr>
        <w:t>101.48</w:t>
      </w:r>
      <w:r>
        <w:rPr>
          <w:rFonts w:hint="eastAsia" w:ascii="仿宋_GB2312" w:eastAsia="仿宋_GB2312" w:cs="DengXian-Regular"/>
          <w:sz w:val="32"/>
          <w:szCs w:val="32"/>
        </w:rPr>
        <w:t>%。决算收入大于预算收入的主要原因为202</w:t>
      </w:r>
      <w:r>
        <w:rPr>
          <w:rFonts w:ascii="仿宋_GB2312" w:eastAsia="仿宋_GB2312" w:cs="DengXian-Regular"/>
          <w:sz w:val="32"/>
          <w:szCs w:val="32"/>
        </w:rPr>
        <w:t>1</w:t>
      </w:r>
      <w:r>
        <w:rPr>
          <w:rFonts w:hint="eastAsia" w:ascii="仿宋_GB2312" w:eastAsia="仿宋_GB2312" w:cs="DengXian-Regular"/>
          <w:sz w:val="32"/>
          <w:szCs w:val="32"/>
        </w:rPr>
        <w:t>年度区人大常委会机关人员</w:t>
      </w:r>
      <w:r>
        <w:rPr>
          <w:rFonts w:ascii="仿宋_GB2312" w:eastAsia="仿宋_GB2312" w:cs="DengXian-Regular"/>
          <w:sz w:val="32"/>
          <w:szCs w:val="32"/>
        </w:rPr>
        <w:t>调入，人员经费增加</w:t>
      </w:r>
      <w:r>
        <w:rPr>
          <w:rFonts w:hint="eastAsia" w:ascii="仿宋_GB2312" w:eastAsia="仿宋_GB2312" w:cs="DengXian-Regular"/>
          <w:sz w:val="32"/>
          <w:szCs w:val="32"/>
        </w:rPr>
        <w:t>。预算收入与决算收入对比情况见图2。</w:t>
      </w:r>
    </w:p>
    <w:p w14:paraId="260106C4">
      <w:pPr>
        <w:spacing w:after="0" w:line="360" w:lineRule="auto"/>
        <w:jc w:val="center"/>
        <w:rPr>
          <w:rFonts w:asciiTheme="minorEastAsia" w:hAnsiTheme="minorEastAsia" w:eastAsiaTheme="minorEastAsia" w:cstheme="minorEastAsia"/>
          <w:b/>
          <w:spacing w:val="-14"/>
          <w:sz w:val="32"/>
          <w:szCs w:val="32"/>
          <w:u w:color="000000"/>
        </w:rPr>
      </w:pPr>
      <w:r>
        <w:rPr>
          <w:rFonts w:hint="eastAsia" w:asciiTheme="minorEastAsia" w:hAnsiTheme="minorEastAsia" w:eastAsiaTheme="minorEastAsia" w:cstheme="minorEastAsia"/>
          <w:b/>
          <w:sz w:val="32"/>
          <w:szCs w:val="32"/>
          <w:u w:color="000000"/>
        </w:rPr>
        <w:t xml:space="preserve">图2  </w:t>
      </w:r>
      <w:r>
        <w:rPr>
          <w:rFonts w:hint="eastAsia" w:asciiTheme="minorEastAsia" w:hAnsiTheme="minorEastAsia" w:eastAsiaTheme="minorEastAsia" w:cstheme="minorEastAsia"/>
          <w:b/>
          <w:spacing w:val="-14"/>
          <w:sz w:val="32"/>
          <w:szCs w:val="32"/>
          <w:u w:color="000000"/>
        </w:rPr>
        <w:t>202</w:t>
      </w:r>
      <w:r>
        <w:rPr>
          <w:rFonts w:asciiTheme="minorEastAsia" w:hAnsiTheme="minorEastAsia" w:eastAsiaTheme="minorEastAsia" w:cstheme="minorEastAsia"/>
          <w:b/>
          <w:spacing w:val="-14"/>
          <w:sz w:val="32"/>
          <w:szCs w:val="32"/>
          <w:u w:color="000000"/>
        </w:rPr>
        <w:t>1</w:t>
      </w:r>
      <w:r>
        <w:rPr>
          <w:rFonts w:hint="eastAsia" w:asciiTheme="minorEastAsia" w:hAnsiTheme="minorEastAsia" w:eastAsiaTheme="minorEastAsia" w:cstheme="minorEastAsia"/>
          <w:b/>
          <w:spacing w:val="-14"/>
          <w:sz w:val="32"/>
          <w:szCs w:val="32"/>
          <w:u w:color="000000"/>
        </w:rPr>
        <w:t>年度区人大常委会机关预算收入与决算收入对比图</w:t>
      </w:r>
    </w:p>
    <w:p w14:paraId="7FCF2FFB">
      <w:pPr>
        <w:spacing w:after="0" w:line="360" w:lineRule="auto"/>
        <w:jc w:val="center"/>
        <w:rPr>
          <w:rFonts w:asciiTheme="minorEastAsia" w:hAnsiTheme="minorEastAsia" w:eastAsiaTheme="minorEastAsia" w:cstheme="minorEastAsia"/>
          <w:b/>
          <w:spacing w:val="-14"/>
          <w:sz w:val="32"/>
          <w:szCs w:val="32"/>
          <w:u w:color="000000"/>
        </w:rPr>
      </w:pPr>
    </w:p>
    <w:p w14:paraId="2093D2BD">
      <w:pPr>
        <w:spacing w:after="0" w:line="360" w:lineRule="auto"/>
        <w:rPr>
          <w:rFonts w:ascii="仿宋_GB2312" w:eastAsia="仿宋_GB2312" w:cs="Times New Roman" w:hAnsiTheme="minorEastAsia"/>
          <w:bCs/>
          <w:spacing w:val="-14"/>
          <w:sz w:val="32"/>
          <w:szCs w:val="32"/>
          <w:u w:color="000000"/>
        </w:rPr>
      </w:pPr>
      <w:r>
        <w:rPr>
          <w:rFonts w:ascii="仿宋_GB2312" w:eastAsia="仿宋_GB2312" w:cs="Times New Roman" w:hAnsiTheme="minorEastAsia"/>
          <w:bCs/>
          <w:spacing w:val="-14"/>
          <w:sz w:val="32"/>
          <w:szCs w:val="32"/>
          <w:u w:color="000000"/>
        </w:rPr>
        <w:pict>
          <v:shape id="_x0000_s1028" o:spid="_x0000_s1028" o:spt="202" type="#_x0000_t202" style="position:absolute;left:0pt;margin-left:316.65pt;margin-top:41.6pt;height:27pt;width:78pt;z-index:251659264;mso-width-relative:page;mso-height-relative:page;" stroked="t" coordsize="21600,21600">
            <v:path/>
            <v:fill focussize="0,0"/>
            <v:stroke weight="0pt" color="#FFFFFF" joinstyle="miter"/>
            <v:imagedata o:title=""/>
            <o:lock v:ext="edit"/>
            <v:textbox>
              <w:txbxContent>
                <w:p w14:paraId="2ECA0C1C">
                  <w:r>
                    <w:rPr>
                      <w:rFonts w:hint="eastAsia"/>
                    </w:rPr>
                    <w:t>单位</w:t>
                  </w:r>
                  <w:r>
                    <w:t>：万元</w:t>
                  </w:r>
                </w:p>
              </w:txbxContent>
            </v:textbox>
          </v:shape>
        </w:pict>
      </w:r>
      <w:r>
        <w:rPr>
          <w:rFonts w:hint="eastAsia" w:ascii="仿宋_GB2312" w:eastAsia="仿宋_GB2312" w:cs="Times New Roman" w:hAnsiTheme="minorEastAsia"/>
          <w:bCs/>
          <w:spacing w:val="-14"/>
          <w:sz w:val="32"/>
          <w:szCs w:val="32"/>
          <w:u w:color="000000"/>
        </w:rPr>
        <w:drawing>
          <wp:inline distT="0" distB="0" distL="0" distR="0">
            <wp:extent cx="5278120" cy="3079115"/>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01F595">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5"/>
      <w:bookmarkEnd w:id="6"/>
      <w:r>
        <w:rPr>
          <w:rFonts w:hint="eastAsia" w:ascii="仿宋_GB2312" w:hAnsiTheme="minorEastAsia"/>
          <w:sz w:val="32"/>
        </w:rPr>
        <w:t>支出</w:t>
      </w:r>
      <w:bookmarkEnd w:id="12"/>
    </w:p>
    <w:p w14:paraId="7258A237">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年度区人大常委会机关</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571.61</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526.65</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44.96</w:t>
      </w:r>
      <w:r>
        <w:rPr>
          <w:rFonts w:hint="eastAsia" w:ascii="仿宋_GB2312" w:eastAsia="仿宋_GB2312" w:cs="Times New Roman" w:hAnsiTheme="minorEastAsia"/>
          <w:sz w:val="32"/>
          <w:szCs w:val="32"/>
          <w:u w:color="000000"/>
        </w:rPr>
        <w:t>万元。预算支出按功能分类包含：一般公共</w:t>
      </w:r>
      <w:r>
        <w:rPr>
          <w:rFonts w:ascii="仿宋_GB2312" w:eastAsia="仿宋_GB2312" w:cs="Times New Roman" w:hAnsiTheme="minorEastAsia"/>
          <w:sz w:val="32"/>
          <w:szCs w:val="32"/>
          <w:u w:color="000000"/>
        </w:rPr>
        <w:t>服务</w:t>
      </w:r>
      <w:r>
        <w:rPr>
          <w:rFonts w:hint="eastAsia" w:ascii="仿宋_GB2312" w:eastAsia="仿宋_GB2312" w:cs="Times New Roman" w:hAnsiTheme="minorEastAsia"/>
          <w:sz w:val="32"/>
          <w:szCs w:val="32"/>
          <w:u w:color="000000"/>
        </w:rPr>
        <w:t>支出</w:t>
      </w:r>
      <w:r>
        <w:rPr>
          <w:rFonts w:ascii="仿宋_GB2312" w:eastAsia="仿宋_GB2312" w:cs="Times New Roman" w:hAnsiTheme="minorEastAsia"/>
          <w:sz w:val="32"/>
          <w:szCs w:val="32"/>
          <w:u w:color="000000"/>
        </w:rPr>
        <w:t>449.45</w:t>
      </w:r>
      <w:r>
        <w:rPr>
          <w:rFonts w:hint="eastAsia" w:ascii="仿宋_GB2312" w:eastAsia="仿宋_GB2312" w:cs="Times New Roman" w:hAnsiTheme="minorEastAsia"/>
          <w:sz w:val="32"/>
          <w:szCs w:val="32"/>
          <w:u w:color="000000"/>
        </w:rPr>
        <w:t>万元，社会保障和就业支出</w:t>
      </w:r>
      <w:r>
        <w:rPr>
          <w:rFonts w:ascii="仿宋_GB2312" w:eastAsia="仿宋_GB2312" w:cs="Times New Roman" w:hAnsiTheme="minorEastAsia"/>
          <w:sz w:val="32"/>
          <w:szCs w:val="32"/>
          <w:u w:color="000000"/>
        </w:rPr>
        <w:t>72.5</w:t>
      </w:r>
      <w:r>
        <w:rPr>
          <w:rFonts w:hint="eastAsia" w:ascii="仿宋_GB2312" w:eastAsia="仿宋_GB2312" w:cs="Times New Roman" w:hAnsiTheme="minorEastAsia"/>
          <w:sz w:val="32"/>
          <w:szCs w:val="32"/>
          <w:u w:color="000000"/>
        </w:rPr>
        <w:t>万元，卫生健康支出</w:t>
      </w:r>
      <w:r>
        <w:rPr>
          <w:rFonts w:ascii="仿宋_GB2312" w:eastAsia="仿宋_GB2312" w:cs="Times New Roman" w:hAnsiTheme="minorEastAsia"/>
          <w:sz w:val="32"/>
          <w:szCs w:val="32"/>
          <w:u w:color="000000"/>
        </w:rPr>
        <w:t>28.04</w:t>
      </w:r>
      <w:r>
        <w:rPr>
          <w:rFonts w:hint="eastAsia" w:ascii="仿宋_GB2312" w:eastAsia="仿宋_GB2312" w:cs="Times New Roman" w:hAnsiTheme="minorEastAsia"/>
          <w:sz w:val="32"/>
          <w:szCs w:val="32"/>
          <w:u w:color="000000"/>
        </w:rPr>
        <w:t>万元，住房保障支出</w:t>
      </w:r>
      <w:r>
        <w:rPr>
          <w:rFonts w:ascii="仿宋_GB2312" w:eastAsia="仿宋_GB2312" w:cs="Times New Roman" w:hAnsiTheme="minorEastAsia"/>
          <w:sz w:val="32"/>
          <w:szCs w:val="32"/>
          <w:u w:color="000000"/>
        </w:rPr>
        <w:t>21.62</w:t>
      </w:r>
      <w:r>
        <w:rPr>
          <w:rFonts w:hint="eastAsia" w:ascii="仿宋_GB2312" w:eastAsia="仿宋_GB2312" w:cs="Times New Roman" w:hAnsiTheme="minorEastAsia"/>
          <w:sz w:val="32"/>
          <w:szCs w:val="32"/>
          <w:u w:color="000000"/>
        </w:rPr>
        <w:t>万元。具体预算支出详见附件2。</w:t>
      </w:r>
    </w:p>
    <w:p w14:paraId="6B1A9F18">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年度区人大常委会机关</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647.17</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496.25</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150.92</w:t>
      </w:r>
      <w:r>
        <w:rPr>
          <w:rFonts w:hint="eastAsia" w:ascii="仿宋_GB2312" w:eastAsia="仿宋_GB2312" w:cs="Times New Roman" w:hAnsiTheme="minorEastAsia"/>
          <w:sz w:val="32"/>
          <w:szCs w:val="32"/>
          <w:u w:color="000000"/>
        </w:rPr>
        <w:t>万元。决算支出按功能分类包含：一般公共</w:t>
      </w:r>
      <w:r>
        <w:rPr>
          <w:rFonts w:ascii="仿宋_GB2312" w:eastAsia="仿宋_GB2312" w:cs="Times New Roman" w:hAnsiTheme="minorEastAsia"/>
          <w:sz w:val="32"/>
          <w:szCs w:val="32"/>
          <w:u w:color="000000"/>
        </w:rPr>
        <w:t>服务支出452.61</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69.94</w:t>
      </w:r>
      <w:r>
        <w:rPr>
          <w:rFonts w:hint="eastAsia" w:ascii="仿宋_GB2312" w:eastAsia="仿宋_GB2312" w:cs="Times New Roman" w:hAnsiTheme="minorEastAsia"/>
          <w:sz w:val="32"/>
          <w:szCs w:val="32"/>
          <w:u w:color="000000"/>
        </w:rPr>
        <w:t>%；社会保障和就业支出</w:t>
      </w:r>
      <w:r>
        <w:rPr>
          <w:rFonts w:ascii="仿宋_GB2312" w:eastAsia="仿宋_GB2312" w:cs="Times New Roman" w:hAnsiTheme="minorEastAsia"/>
          <w:sz w:val="32"/>
          <w:szCs w:val="32"/>
          <w:u w:color="000000"/>
        </w:rPr>
        <w:t>158.42</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24.48</w:t>
      </w:r>
      <w:r>
        <w:rPr>
          <w:rFonts w:hint="eastAsia" w:ascii="仿宋_GB2312" w:eastAsia="仿宋_GB2312" w:cs="Times New Roman" w:hAnsiTheme="minorEastAsia"/>
          <w:sz w:val="32"/>
          <w:szCs w:val="32"/>
          <w:u w:color="000000"/>
        </w:rPr>
        <w:t>%；卫生健康支出</w:t>
      </w:r>
      <w:r>
        <w:rPr>
          <w:rFonts w:ascii="仿宋_GB2312" w:eastAsia="仿宋_GB2312" w:cs="Times New Roman" w:hAnsiTheme="minorEastAsia"/>
          <w:sz w:val="32"/>
          <w:szCs w:val="32"/>
          <w:u w:color="000000"/>
        </w:rPr>
        <w:t>12.75</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1.97</w:t>
      </w:r>
      <w:r>
        <w:rPr>
          <w:rFonts w:hint="eastAsia" w:ascii="仿宋_GB2312" w:eastAsia="仿宋_GB2312" w:cs="Times New Roman" w:hAnsiTheme="minorEastAsia"/>
          <w:sz w:val="32"/>
          <w:szCs w:val="32"/>
          <w:u w:color="000000"/>
        </w:rPr>
        <w:t>%；住房保障支出</w:t>
      </w:r>
      <w:r>
        <w:rPr>
          <w:rFonts w:ascii="仿宋_GB2312" w:eastAsia="仿宋_GB2312" w:cs="Times New Roman" w:hAnsiTheme="minorEastAsia"/>
          <w:sz w:val="32"/>
          <w:szCs w:val="32"/>
          <w:u w:color="000000"/>
        </w:rPr>
        <w:t>23.38</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3.61</w:t>
      </w:r>
      <w:r>
        <w:rPr>
          <w:rFonts w:hint="eastAsia" w:ascii="仿宋_GB2312" w:eastAsia="仿宋_GB2312" w:cs="Times New Roman" w:hAnsiTheme="minorEastAsia"/>
          <w:sz w:val="32"/>
          <w:szCs w:val="32"/>
          <w:u w:color="000000"/>
        </w:rPr>
        <w:t>%。具体决算支出详见附件2。</w:t>
      </w:r>
    </w:p>
    <w:p w14:paraId="552656CB">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3504CAC0">
      <w:pPr>
        <w:spacing w:after="0" w:line="360" w:lineRule="auto"/>
        <w:jc w:val="center"/>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图3  202</w:t>
      </w:r>
      <w:r>
        <w:rPr>
          <w:rFonts w:asciiTheme="minorEastAsia" w:hAnsiTheme="minorEastAsia" w:eastAsiaTheme="minorEastAsia" w:cstheme="minorEastAsia"/>
          <w:b/>
          <w:bCs/>
          <w:sz w:val="32"/>
          <w:szCs w:val="32"/>
          <w:u w:color="000000"/>
        </w:rPr>
        <w:t>1</w:t>
      </w:r>
      <w:r>
        <w:rPr>
          <w:rFonts w:hint="eastAsia" w:asciiTheme="minorEastAsia" w:hAnsiTheme="minorEastAsia" w:eastAsiaTheme="minorEastAsia" w:cstheme="minorEastAsia"/>
          <w:b/>
          <w:bCs/>
          <w:sz w:val="32"/>
          <w:szCs w:val="32"/>
          <w:u w:color="000000"/>
        </w:rPr>
        <w:t>年度区人大常委会机关决算支出结构图</w:t>
      </w:r>
    </w:p>
    <w:p w14:paraId="7EFF9F73">
      <w:pPr>
        <w:spacing w:after="0" w:line="360" w:lineRule="auto"/>
        <w:jc w:val="center"/>
        <w:rPr>
          <w:rFonts w:asciiTheme="minorEastAsia" w:hAnsiTheme="minorEastAsia" w:eastAsiaTheme="minorEastAsia" w:cstheme="minorEastAsia"/>
          <w:b/>
          <w:bCs/>
          <w:sz w:val="32"/>
          <w:szCs w:val="32"/>
          <w:u w:color="000000"/>
        </w:rPr>
      </w:pPr>
    </w:p>
    <w:p w14:paraId="5E746B51">
      <w:pPr>
        <w:spacing w:after="0" w:line="360" w:lineRule="auto"/>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pict>
          <v:shape id="_x0000_s1030" o:spid="_x0000_s1030" o:spt="202" type="#_x0000_t202" style="position:absolute;left:0pt;margin-left:307.05pt;margin-top:36.75pt;height:25.5pt;width:76.5pt;z-index:251660288;mso-width-relative:page;mso-height-relative:page;" stroked="t" coordsize="21600,21600">
            <v:path/>
            <v:fill focussize="0,0"/>
            <v:stroke weight="0pt" color="#FFFFFF" joinstyle="miter"/>
            <v:imagedata o:title=""/>
            <o:lock v:ext="edit"/>
            <v:textbox>
              <w:txbxContent>
                <w:p w14:paraId="3B4A575E">
                  <w:r>
                    <w:rPr>
                      <w:rFonts w:hint="eastAsia"/>
                    </w:rPr>
                    <w:t>单位</w:t>
                  </w:r>
                  <w:r>
                    <w:t>：万元</w:t>
                  </w:r>
                </w:p>
              </w:txbxContent>
            </v:textbox>
          </v:shape>
        </w:pict>
      </w:r>
      <w:r>
        <w:rPr>
          <w:rFonts w:hint="eastAsia" w:ascii="仿宋_GB2312" w:eastAsia="仿宋_GB2312" w:cs="Times New Roman" w:hAnsiTheme="minorEastAsia"/>
          <w:sz w:val="32"/>
          <w:szCs w:val="32"/>
          <w:u w:color="000000"/>
        </w:rPr>
        <w:drawing>
          <wp:inline distT="0" distB="0" distL="0" distR="0">
            <wp:extent cx="5278120" cy="307911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8D7DA3">
      <w:pPr>
        <w:spacing w:after="0" w:line="360" w:lineRule="auto"/>
        <w:ind w:firstLine="640" w:firstLineChars="200"/>
        <w:jc w:val="both"/>
        <w:rPr>
          <w:rFonts w:ascii="仿宋_GB2312" w:eastAsia="仿宋_GB2312" w:cs="DengXian-Regular"/>
          <w:sz w:val="32"/>
          <w:szCs w:val="32"/>
        </w:rPr>
      </w:pPr>
    </w:p>
    <w:p w14:paraId="0D68BA6E">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w:t>
      </w:r>
      <w:r>
        <w:rPr>
          <w:rFonts w:ascii="仿宋_GB2312" w:eastAsia="仿宋_GB2312" w:cs="DengXian-Regular"/>
          <w:sz w:val="32"/>
          <w:szCs w:val="32"/>
        </w:rPr>
        <w:t>75.56</w:t>
      </w:r>
      <w:r>
        <w:rPr>
          <w:rFonts w:hint="eastAsia" w:ascii="仿宋_GB2312" w:eastAsia="仿宋_GB2312" w:cs="DengXian-Regular"/>
          <w:sz w:val="32"/>
          <w:szCs w:val="32"/>
        </w:rPr>
        <w:t>万元。决算支出完成年初预算的</w:t>
      </w:r>
      <w:r>
        <w:rPr>
          <w:rFonts w:ascii="仿宋_GB2312" w:eastAsia="仿宋_GB2312" w:cs="DengXian-Regular"/>
          <w:sz w:val="32"/>
          <w:szCs w:val="32"/>
        </w:rPr>
        <w:t>113.22</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主要原因为202</w:t>
      </w:r>
      <w:r>
        <w:rPr>
          <w:rFonts w:ascii="仿宋_GB2312" w:eastAsia="仿宋_GB2312" w:cs="DengXian-Regular"/>
          <w:sz w:val="32"/>
          <w:szCs w:val="32"/>
        </w:rPr>
        <w:t>1</w:t>
      </w:r>
      <w:r>
        <w:rPr>
          <w:rFonts w:hint="eastAsia" w:ascii="仿宋_GB2312" w:eastAsia="仿宋_GB2312" w:cs="DengXian-Regular"/>
          <w:sz w:val="32"/>
          <w:szCs w:val="32"/>
        </w:rPr>
        <w:t>年度区人大常委会机关人员</w:t>
      </w:r>
      <w:r>
        <w:rPr>
          <w:rFonts w:ascii="仿宋_GB2312" w:eastAsia="仿宋_GB2312" w:cs="DengXian-Regular"/>
          <w:sz w:val="32"/>
          <w:szCs w:val="32"/>
        </w:rPr>
        <w:t>调入，人员经费</w:t>
      </w:r>
      <w:r>
        <w:rPr>
          <w:rFonts w:ascii="仿宋_GB2312" w:eastAsia="仿宋_GB2312" w:cs="DengXian-Regular"/>
          <w:spacing w:val="-10"/>
          <w:sz w:val="32"/>
          <w:szCs w:val="32"/>
        </w:rPr>
        <w:t>增加</w:t>
      </w:r>
      <w:r>
        <w:rPr>
          <w:rFonts w:hint="eastAsia" w:ascii="仿宋_GB2312" w:eastAsia="仿宋_GB2312" w:cs="DengXian-Regular"/>
          <w:spacing w:val="-10"/>
          <w:sz w:val="32"/>
          <w:szCs w:val="32"/>
        </w:rPr>
        <w:t>和</w:t>
      </w:r>
      <w:r>
        <w:rPr>
          <w:rFonts w:ascii="仿宋_GB2312" w:eastAsia="仿宋_GB2312" w:cs="DengXian-Regular"/>
          <w:spacing w:val="-10"/>
          <w:sz w:val="32"/>
          <w:szCs w:val="32"/>
        </w:rPr>
        <w:t>年初</w:t>
      </w:r>
      <w:r>
        <w:rPr>
          <w:rFonts w:hint="eastAsia" w:ascii="仿宋_GB2312" w:eastAsia="仿宋_GB2312" w:cs="DengXian-Regular"/>
          <w:spacing w:val="-10"/>
          <w:sz w:val="32"/>
          <w:szCs w:val="32"/>
        </w:rPr>
        <w:t>结转结余。</w:t>
      </w:r>
      <w:r>
        <w:rPr>
          <w:rFonts w:hint="eastAsia" w:ascii="仿宋" w:hAnsi="仿宋" w:eastAsia="仿宋"/>
          <w:snapToGrid w:val="0"/>
          <w:spacing w:val="-10"/>
          <w:sz w:val="32"/>
          <w:szCs w:val="32"/>
        </w:rPr>
        <w:t>预算支出与决算支出对比情况如图4。</w:t>
      </w:r>
    </w:p>
    <w:p w14:paraId="34942E0F">
      <w:pPr>
        <w:spacing w:after="0" w:line="360" w:lineRule="auto"/>
        <w:jc w:val="center"/>
        <w:rPr>
          <w:rFonts w:asciiTheme="minorEastAsia" w:hAnsiTheme="minorEastAsia" w:eastAsiaTheme="minorEastAsia" w:cstheme="minorEastAsia"/>
          <w:b/>
          <w:bCs/>
          <w:spacing w:val="-16"/>
          <w:sz w:val="32"/>
          <w:szCs w:val="32"/>
        </w:rPr>
      </w:pPr>
      <w:r>
        <w:rPr>
          <w:rFonts w:hint="eastAsia" w:asciiTheme="minorEastAsia" w:hAnsiTheme="minorEastAsia" w:eastAsiaTheme="minorEastAsia" w:cstheme="minorEastAsia"/>
          <w:b/>
          <w:bCs/>
          <w:sz w:val="32"/>
          <w:szCs w:val="32"/>
        </w:rPr>
        <w:t xml:space="preserve">图4  </w:t>
      </w:r>
      <w:r>
        <w:rPr>
          <w:rFonts w:hint="eastAsia" w:asciiTheme="minorEastAsia" w:hAnsiTheme="minorEastAsia" w:eastAsiaTheme="minorEastAsia" w:cstheme="minorEastAsia"/>
          <w:b/>
          <w:bCs/>
          <w:spacing w:val="-16"/>
          <w:sz w:val="32"/>
          <w:szCs w:val="32"/>
        </w:rPr>
        <w:t>202</w:t>
      </w:r>
      <w:r>
        <w:rPr>
          <w:rFonts w:asciiTheme="minorEastAsia" w:hAnsiTheme="minorEastAsia" w:eastAsiaTheme="minorEastAsia" w:cstheme="minorEastAsia"/>
          <w:b/>
          <w:bCs/>
          <w:spacing w:val="-16"/>
          <w:sz w:val="32"/>
          <w:szCs w:val="32"/>
        </w:rPr>
        <w:t>1</w:t>
      </w:r>
      <w:r>
        <w:rPr>
          <w:rFonts w:hint="eastAsia" w:asciiTheme="minorEastAsia" w:hAnsiTheme="minorEastAsia" w:eastAsiaTheme="minorEastAsia" w:cstheme="minorEastAsia"/>
          <w:b/>
          <w:bCs/>
          <w:spacing w:val="-16"/>
          <w:sz w:val="32"/>
          <w:szCs w:val="32"/>
        </w:rPr>
        <w:t>年度区人大常委会机关预算支出与决算支出对比图</w:t>
      </w:r>
    </w:p>
    <w:p w14:paraId="46D61C15">
      <w:pPr>
        <w:spacing w:after="0" w:line="360" w:lineRule="auto"/>
        <w:jc w:val="center"/>
        <w:rPr>
          <w:rFonts w:asciiTheme="minorEastAsia" w:hAnsiTheme="minorEastAsia" w:eastAsiaTheme="minorEastAsia" w:cstheme="minorEastAsia"/>
          <w:b/>
          <w:bCs/>
          <w:spacing w:val="-16"/>
          <w:sz w:val="32"/>
          <w:szCs w:val="32"/>
        </w:rPr>
      </w:pPr>
    </w:p>
    <w:p w14:paraId="638C92A7">
      <w:pPr>
        <w:spacing w:after="0" w:line="360" w:lineRule="auto"/>
        <w:rPr>
          <w:rFonts w:asciiTheme="minorEastAsia" w:hAnsiTheme="minorEastAsia" w:eastAsiaTheme="minorEastAsia" w:cstheme="minorEastAsia"/>
          <w:b/>
          <w:bCs/>
          <w:spacing w:val="-16"/>
          <w:sz w:val="32"/>
          <w:szCs w:val="32"/>
        </w:rPr>
      </w:pPr>
      <w:r>
        <w:rPr>
          <w:rFonts w:asciiTheme="minorEastAsia" w:hAnsiTheme="minorEastAsia" w:eastAsiaTheme="minorEastAsia" w:cstheme="minorEastAsia"/>
          <w:b/>
          <w:bCs/>
          <w:spacing w:val="-16"/>
          <w:sz w:val="32"/>
          <w:szCs w:val="32"/>
        </w:rPr>
        <w:pict>
          <v:shape id="_x0000_s1032" o:spid="_x0000_s1032" o:spt="202" type="#_x0000_t202" style="position:absolute;left:0pt;margin-left:296.25pt;margin-top:50.25pt;height:24.75pt;width:85.5pt;z-index:251661312;mso-width-relative:page;mso-height-relative:page;" stroked="t" coordsize="21600,21600">
            <v:path/>
            <v:fill focussize="0,0"/>
            <v:stroke weight="0pt" color="#FFFFFF" joinstyle="miter"/>
            <v:imagedata o:title=""/>
            <o:lock v:ext="edit"/>
            <v:textbox>
              <w:txbxContent>
                <w:p w14:paraId="1B45D62A">
                  <w:r>
                    <w:rPr>
                      <w:rFonts w:hint="eastAsia"/>
                    </w:rPr>
                    <w:t>单位</w:t>
                  </w:r>
                  <w:r>
                    <w:t>：万元</w:t>
                  </w:r>
                </w:p>
              </w:txbxContent>
            </v:textbox>
          </v:shape>
        </w:pict>
      </w:r>
      <w:r>
        <w:rPr>
          <w:rFonts w:asciiTheme="minorEastAsia" w:hAnsiTheme="minorEastAsia" w:eastAsiaTheme="minorEastAsia" w:cstheme="minorEastAsia"/>
          <w:b/>
          <w:bCs/>
          <w:spacing w:val="-16"/>
          <w:sz w:val="32"/>
          <w:szCs w:val="32"/>
        </w:rPr>
        <w:drawing>
          <wp:inline distT="0" distB="0" distL="0" distR="0">
            <wp:extent cx="5278120" cy="3079115"/>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7C4D71">
      <w:pPr>
        <w:spacing w:after="0" w:line="360" w:lineRule="auto"/>
        <w:ind w:firstLine="640" w:firstLineChars="200"/>
        <w:jc w:val="both"/>
        <w:rPr>
          <w:rFonts w:ascii="仿宋_GB2312" w:eastAsia="仿宋_GB2312" w:cs="DengXian-Regular"/>
          <w:sz w:val="32"/>
          <w:szCs w:val="32"/>
        </w:rPr>
      </w:pPr>
    </w:p>
    <w:p w14:paraId="2DC6B66B">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区人大常委会机关202</w:t>
      </w:r>
      <w:r>
        <w:rPr>
          <w:rFonts w:ascii="仿宋_GB2312" w:eastAsia="仿宋_GB2312" w:cs="DengXian-Regular"/>
          <w:sz w:val="32"/>
          <w:szCs w:val="32"/>
        </w:rPr>
        <w:t>1</w:t>
      </w:r>
      <w:r>
        <w:rPr>
          <w:rFonts w:hint="eastAsia" w:ascii="仿宋_GB2312" w:eastAsia="仿宋_GB2312" w:cs="DengXian-Regular"/>
          <w:sz w:val="32"/>
          <w:szCs w:val="32"/>
        </w:rPr>
        <w:t>年实际项目支出</w:t>
      </w:r>
      <w:r>
        <w:rPr>
          <w:rFonts w:ascii="仿宋_GB2312" w:eastAsia="仿宋_GB2312" w:cs="DengXian-Regular"/>
          <w:sz w:val="32"/>
          <w:szCs w:val="32"/>
        </w:rPr>
        <w:t>150.92</w:t>
      </w:r>
      <w:r>
        <w:rPr>
          <w:rFonts w:hint="eastAsia" w:ascii="仿宋_GB2312" w:eastAsia="仿宋_GB2312" w:cs="DengXian-Regular"/>
          <w:sz w:val="32"/>
          <w:szCs w:val="32"/>
        </w:rPr>
        <w:t>万元，决算报表中项目支出</w:t>
      </w:r>
      <w:r>
        <w:rPr>
          <w:rFonts w:ascii="仿宋_GB2312" w:eastAsia="仿宋_GB2312" w:cs="DengXian-Regular"/>
          <w:sz w:val="32"/>
          <w:szCs w:val="32"/>
        </w:rPr>
        <w:t>150.92</w:t>
      </w:r>
      <w:r>
        <w:rPr>
          <w:rFonts w:hint="eastAsia" w:ascii="仿宋_GB2312" w:eastAsia="仿宋_GB2312" w:cs="DengXian-Regular"/>
          <w:sz w:val="32"/>
          <w:szCs w:val="32"/>
        </w:rPr>
        <w:t>万元，实际支出与决算报表差</w:t>
      </w:r>
      <w:r>
        <w:rPr>
          <w:rFonts w:ascii="仿宋_GB2312" w:eastAsia="仿宋_GB2312" w:cs="DengXian-Regular"/>
          <w:sz w:val="32"/>
          <w:szCs w:val="32"/>
        </w:rPr>
        <w:t>0</w:t>
      </w:r>
      <w:r>
        <w:rPr>
          <w:rFonts w:hint="eastAsia" w:ascii="仿宋_GB2312" w:eastAsia="仿宋_GB2312" w:cs="DengXian-Regular"/>
          <w:sz w:val="32"/>
          <w:szCs w:val="32"/>
        </w:rPr>
        <w:t>万元。</w:t>
      </w:r>
    </w:p>
    <w:p w14:paraId="39748215">
      <w:pPr>
        <w:pStyle w:val="4"/>
        <w:spacing w:before="0" w:after="0"/>
        <w:ind w:firstLine="643" w:firstLineChars="200"/>
        <w:jc w:val="both"/>
        <w:rPr>
          <w:rFonts w:ascii="仿宋_GB2312" w:hAnsi="Tahoma" w:cs="DengXian-Regular"/>
          <w:sz w:val="32"/>
        </w:rPr>
      </w:pPr>
      <w:bookmarkStart w:id="13" w:name="_Toc19291"/>
      <w:bookmarkStart w:id="14" w:name="_Toc465149503"/>
      <w:bookmarkStart w:id="15" w:name="_Toc492652769"/>
      <w:r>
        <w:rPr>
          <w:rFonts w:hint="eastAsia" w:ascii="仿宋_GB2312" w:hAnsi="Tahoma" w:cs="DengXian-Regular"/>
          <w:sz w:val="32"/>
        </w:rPr>
        <w:t>（五）“三公”经费预算安排及支出情况</w:t>
      </w:r>
      <w:bookmarkEnd w:id="13"/>
      <w:bookmarkEnd w:id="14"/>
      <w:bookmarkEnd w:id="15"/>
    </w:p>
    <w:p w14:paraId="2726150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年区人大常委会机关“三公”经费预算</w:t>
      </w:r>
      <w:r>
        <w:rPr>
          <w:rFonts w:ascii="仿宋_GB2312" w:eastAsia="仿宋_GB2312" w:cs="DengXian-Regular"/>
          <w:sz w:val="32"/>
          <w:szCs w:val="32"/>
        </w:rPr>
        <w:t>13.76</w:t>
      </w:r>
      <w:r>
        <w:rPr>
          <w:rFonts w:hint="eastAsia" w:ascii="仿宋_GB2312" w:eastAsia="仿宋_GB2312" w:cs="DengXian-Regular"/>
          <w:sz w:val="32"/>
          <w:szCs w:val="32"/>
        </w:rPr>
        <w:t>万元（公务用车运行维护费</w:t>
      </w:r>
      <w:r>
        <w:rPr>
          <w:rFonts w:ascii="仿宋_GB2312" w:eastAsia="仿宋_GB2312" w:cs="DengXian-Regular"/>
          <w:sz w:val="32"/>
          <w:szCs w:val="32"/>
        </w:rPr>
        <w:t>11.76</w:t>
      </w:r>
      <w:r>
        <w:rPr>
          <w:rFonts w:hint="eastAsia" w:ascii="仿宋_GB2312" w:eastAsia="仿宋_GB2312" w:cs="DengXian-Regular"/>
          <w:sz w:val="32"/>
          <w:szCs w:val="32"/>
        </w:rPr>
        <w:t>万元，公务接待费</w:t>
      </w:r>
      <w:r>
        <w:rPr>
          <w:rFonts w:ascii="仿宋_GB2312" w:eastAsia="仿宋_GB2312" w:cs="DengXian-Regular"/>
          <w:sz w:val="32"/>
          <w:szCs w:val="32"/>
        </w:rPr>
        <w:t>2</w:t>
      </w:r>
      <w:r>
        <w:rPr>
          <w:rFonts w:hint="eastAsia" w:ascii="仿宋_GB2312" w:eastAsia="仿宋_GB2312" w:cs="DengXian-Regular"/>
          <w:sz w:val="32"/>
          <w:szCs w:val="32"/>
        </w:rPr>
        <w:t>万元），实际支出</w:t>
      </w:r>
      <w:r>
        <w:rPr>
          <w:rFonts w:ascii="仿宋_GB2312" w:eastAsia="仿宋_GB2312" w:cs="DengXian-Regular"/>
          <w:sz w:val="32"/>
          <w:szCs w:val="32"/>
        </w:rPr>
        <w:t>3.01</w:t>
      </w:r>
      <w:r>
        <w:rPr>
          <w:rFonts w:hint="eastAsia" w:ascii="仿宋_GB2312" w:eastAsia="仿宋_GB2312" w:cs="DengXian-Regular"/>
          <w:sz w:val="32"/>
          <w:szCs w:val="32"/>
        </w:rPr>
        <w:t>万元（公务用车运行维护费</w:t>
      </w:r>
      <w:r>
        <w:rPr>
          <w:rFonts w:ascii="仿宋_GB2312" w:eastAsia="仿宋_GB2312" w:cs="DengXian-Regular"/>
          <w:sz w:val="32"/>
          <w:szCs w:val="32"/>
        </w:rPr>
        <w:t>3.01</w:t>
      </w:r>
      <w:r>
        <w:rPr>
          <w:rFonts w:hint="eastAsia" w:ascii="仿宋_GB2312" w:eastAsia="仿宋_GB2312" w:cs="DengXian-Regular"/>
          <w:sz w:val="32"/>
          <w:szCs w:val="32"/>
        </w:rPr>
        <w:t>万元，公务接待费</w:t>
      </w:r>
      <w:r>
        <w:rPr>
          <w:rFonts w:ascii="仿宋_GB2312" w:eastAsia="仿宋_GB2312" w:cs="DengXian-Regular"/>
          <w:sz w:val="32"/>
          <w:szCs w:val="32"/>
        </w:rPr>
        <w:t>0</w:t>
      </w:r>
      <w:r>
        <w:rPr>
          <w:rFonts w:hint="eastAsia" w:ascii="仿宋_GB2312" w:eastAsia="仿宋_GB2312" w:cs="DengXian-Regular"/>
          <w:sz w:val="32"/>
          <w:szCs w:val="32"/>
        </w:rPr>
        <w:t>万元），比预算减少</w:t>
      </w:r>
      <w:r>
        <w:rPr>
          <w:rFonts w:ascii="仿宋_GB2312" w:eastAsia="仿宋_GB2312" w:cs="DengXian-Regular"/>
          <w:sz w:val="32"/>
          <w:szCs w:val="32"/>
        </w:rPr>
        <w:t>10.75</w:t>
      </w:r>
      <w:r>
        <w:rPr>
          <w:rFonts w:hint="eastAsia" w:ascii="仿宋_GB2312" w:eastAsia="仿宋_GB2312" w:cs="DengXian-Regular"/>
          <w:sz w:val="32"/>
          <w:szCs w:val="32"/>
        </w:rPr>
        <w:t>万元，节约率</w:t>
      </w:r>
      <w:r>
        <w:rPr>
          <w:rFonts w:ascii="仿宋_GB2312" w:eastAsia="仿宋_GB2312" w:cs="DengXian-Regular"/>
          <w:sz w:val="32"/>
          <w:szCs w:val="32"/>
        </w:rPr>
        <w:t>78.13</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2020</w:t>
      </w:r>
      <w:r>
        <w:rPr>
          <w:rFonts w:hint="eastAsia" w:ascii="仿宋_GB2312" w:eastAsia="仿宋_GB2312" w:cs="DengXian-Regular"/>
          <w:sz w:val="32"/>
          <w:szCs w:val="32"/>
        </w:rPr>
        <w:t>年预算数相有变化，决算数与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年实际支出相比，减少</w:t>
      </w:r>
      <w:r>
        <w:rPr>
          <w:rFonts w:ascii="仿宋_GB2312" w:eastAsia="仿宋_GB2312" w:cs="DengXian-Regular"/>
          <w:sz w:val="32"/>
          <w:szCs w:val="32"/>
        </w:rPr>
        <w:t>1.81</w:t>
      </w:r>
      <w:r>
        <w:rPr>
          <w:rFonts w:hint="eastAsia" w:ascii="仿宋_GB2312" w:eastAsia="仿宋_GB2312" w:cs="DengXian-Regular"/>
          <w:sz w:val="32"/>
          <w:szCs w:val="32"/>
        </w:rPr>
        <w:t>万元。具体详见表1。</w:t>
      </w:r>
    </w:p>
    <w:p w14:paraId="334E388B">
      <w:pPr>
        <w:spacing w:after="0" w:line="360" w:lineRule="auto"/>
        <w:ind w:firstLine="643" w:firstLineChars="200"/>
        <w:jc w:val="both"/>
        <w:rPr>
          <w:rFonts w:asciiTheme="minorEastAsia" w:hAnsiTheme="minorEastAsia" w:eastAsiaTheme="minorEastAsia" w:cstheme="minorEastAsia"/>
          <w:b/>
          <w:bCs/>
          <w:spacing w:val="-10"/>
          <w:sz w:val="32"/>
          <w:szCs w:val="32"/>
        </w:rPr>
      </w:pPr>
      <w:r>
        <w:rPr>
          <w:rFonts w:hint="eastAsia" w:asciiTheme="minorEastAsia" w:hAnsiTheme="minorEastAsia" w:eastAsiaTheme="minorEastAsia" w:cstheme="minorEastAsia"/>
          <w:b/>
          <w:bCs/>
          <w:sz w:val="32"/>
          <w:szCs w:val="32"/>
        </w:rPr>
        <w:t xml:space="preserve">表1 </w:t>
      </w:r>
      <w:r>
        <w:rPr>
          <w:rFonts w:hint="eastAsia" w:asciiTheme="minorEastAsia" w:hAnsiTheme="minorEastAsia" w:eastAsiaTheme="minorEastAsia" w:cstheme="minorEastAsia"/>
          <w:b/>
          <w:bCs/>
          <w:spacing w:val="-10"/>
          <w:sz w:val="32"/>
          <w:szCs w:val="32"/>
        </w:rPr>
        <w:t>区人大常委会机关“三公”经费预算及决算明细表</w:t>
      </w:r>
    </w:p>
    <w:p w14:paraId="7C9AF368">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78DCA30D">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60FE3">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DDA5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DEAC2">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279A62D2">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ascii="宋体" w:hAnsi="宋体" w:eastAsia="宋体" w:cs="宋体"/>
                <w:b/>
                <w:bCs/>
                <w:color w:val="000000"/>
                <w:sz w:val="21"/>
                <w:szCs w:val="21"/>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516AB">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283E3EBE">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39566">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4A376A">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86027">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4B0E7F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93FA8E7">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5584F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63729D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A2B4853">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69FE05A9">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3AB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2DBFE50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4D12">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5190">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43B9">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44B900">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1425DE">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02D3D7">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61338526">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97A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13FB6F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8E6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w:t>
            </w:r>
            <w:r>
              <w:rPr>
                <w:rFonts w:asciiTheme="minorEastAsia" w:hAnsiTheme="minorEastAsia" w:eastAsiaTheme="minorEastAsia" w:cstheme="minorEastAsia"/>
                <w:color w:val="000000"/>
                <w:sz w:val="21"/>
                <w:szCs w:val="21"/>
              </w:rPr>
              <w:t>.00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4EE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0119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11.76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A55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3.0</w:t>
            </w:r>
            <w:r>
              <w:rPr>
                <w:rFonts w:asciiTheme="minorEastAsia" w:hAnsiTheme="minorEastAsia" w:eastAsiaTheme="minorEastAsia" w:cstheme="minorEastAsia"/>
                <w:color w:val="000000"/>
                <w:sz w:val="21"/>
                <w:szCs w:val="21"/>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034794">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减少8.24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96934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减少1.2</w:t>
            </w:r>
            <w:r>
              <w:rPr>
                <w:rFonts w:asciiTheme="minorEastAsia" w:hAnsiTheme="minorEastAsia" w:eastAsiaTheme="minorEastAsia" w:cstheme="minorEastAsia"/>
                <w:color w:val="000000"/>
                <w:sz w:val="21"/>
                <w:szCs w:val="21"/>
              </w:rPr>
              <w:t>8</w:t>
            </w:r>
          </w:p>
        </w:tc>
      </w:tr>
      <w:tr w14:paraId="4E89FF91">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86B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A764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560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asciiTheme="minorEastAsia" w:hAnsiTheme="minorEastAsia" w:eastAsiaTheme="minorEastAsia" w:cstheme="minorEastAsia"/>
                <w:color w:val="000000"/>
                <w:sz w:val="21"/>
                <w:szCs w:val="21"/>
              </w:rPr>
              <w:t>.00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6F4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0.53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66D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8CA4">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33AD0B">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1E6E8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减少0.53</w:t>
            </w:r>
          </w:p>
        </w:tc>
      </w:tr>
      <w:tr w14:paraId="71334270">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9CB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DA1ECA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72A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9BD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4.82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FAD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13.76</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B2EDC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3.0</w:t>
            </w:r>
            <w:r>
              <w:rPr>
                <w:rFonts w:asciiTheme="minorEastAsia" w:hAnsiTheme="minorEastAsia" w:eastAsiaTheme="minorEastAsia" w:cstheme="minorEastAsia"/>
                <w:color w:val="000000"/>
                <w:sz w:val="21"/>
                <w:szCs w:val="21"/>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2DCAA5">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减少8.24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D3020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减少1.8</w:t>
            </w:r>
            <w:r>
              <w:rPr>
                <w:rFonts w:asciiTheme="minorEastAsia" w:hAnsiTheme="minorEastAsia" w:eastAsiaTheme="minorEastAsia" w:cstheme="minorEastAsia"/>
                <w:color w:val="000000"/>
                <w:sz w:val="21"/>
                <w:szCs w:val="21"/>
              </w:rPr>
              <w:t>1</w:t>
            </w:r>
          </w:p>
        </w:tc>
      </w:tr>
    </w:tbl>
    <w:p w14:paraId="2029A687">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ascii="仿宋_GB2312" w:eastAsia="仿宋_GB2312" w:cs="DengXian-Regular"/>
          <w:sz w:val="32"/>
          <w:szCs w:val="32"/>
        </w:rPr>
        <w:t>1</w:t>
      </w:r>
      <w:r>
        <w:rPr>
          <w:rFonts w:hint="eastAsia" w:ascii="仿宋_GB2312" w:eastAsia="仿宋_GB2312" w:cs="DengXian-Regular"/>
          <w:sz w:val="32"/>
          <w:szCs w:val="32"/>
        </w:rPr>
        <w:t>年底区人大常委会机关车辆合计</w:t>
      </w:r>
      <w:r>
        <w:rPr>
          <w:rFonts w:ascii="仿宋_GB2312" w:eastAsia="仿宋_GB2312" w:cs="DengXian-Regular"/>
          <w:sz w:val="32"/>
          <w:szCs w:val="32"/>
        </w:rPr>
        <w:t>4</w:t>
      </w:r>
      <w:r>
        <w:rPr>
          <w:rFonts w:hint="eastAsia" w:ascii="仿宋_GB2312" w:eastAsia="仿宋_GB2312" w:cs="DengXian-Regular"/>
          <w:sz w:val="32"/>
          <w:szCs w:val="32"/>
        </w:rPr>
        <w:t>辆，其中机要</w:t>
      </w:r>
      <w:r>
        <w:rPr>
          <w:rFonts w:ascii="仿宋_GB2312" w:eastAsia="仿宋_GB2312" w:cs="DengXian-Regular"/>
          <w:sz w:val="32"/>
          <w:szCs w:val="32"/>
        </w:rPr>
        <w:t>通信</w:t>
      </w:r>
      <w:r>
        <w:rPr>
          <w:rFonts w:hint="eastAsia" w:ascii="仿宋_GB2312" w:eastAsia="仿宋_GB2312" w:cs="DengXian-Regular"/>
          <w:sz w:val="32"/>
          <w:szCs w:val="32"/>
        </w:rPr>
        <w:t>用车</w:t>
      </w:r>
      <w:r>
        <w:rPr>
          <w:rFonts w:ascii="仿宋_GB2312" w:eastAsia="仿宋_GB2312" w:cs="DengXian-Regular"/>
          <w:sz w:val="32"/>
          <w:szCs w:val="32"/>
        </w:rPr>
        <w:t>2</w:t>
      </w:r>
      <w:r>
        <w:rPr>
          <w:rFonts w:hint="eastAsia" w:ascii="仿宋_GB2312" w:eastAsia="仿宋_GB2312" w:cs="DengXian-Regular"/>
          <w:sz w:val="32"/>
          <w:szCs w:val="32"/>
        </w:rPr>
        <w:t>辆，应急保障用车</w:t>
      </w:r>
      <w:r>
        <w:rPr>
          <w:rFonts w:ascii="仿宋_GB2312" w:eastAsia="仿宋_GB2312" w:cs="DengXian-Regular"/>
          <w:sz w:val="32"/>
          <w:szCs w:val="32"/>
        </w:rPr>
        <w:t>2</w:t>
      </w:r>
      <w:r>
        <w:rPr>
          <w:rFonts w:hint="eastAsia" w:ascii="仿宋_GB2312" w:eastAsia="仿宋_GB2312" w:cs="DengXian-Regular"/>
          <w:sz w:val="32"/>
          <w:szCs w:val="32"/>
        </w:rPr>
        <w:t>辆。202</w:t>
      </w:r>
      <w:r>
        <w:rPr>
          <w:rFonts w:ascii="仿宋_GB2312" w:eastAsia="仿宋_GB2312" w:cs="DengXian-Regular"/>
          <w:sz w:val="32"/>
          <w:szCs w:val="32"/>
        </w:rPr>
        <w:t>1</w:t>
      </w:r>
      <w:r>
        <w:rPr>
          <w:rFonts w:hint="eastAsia" w:ascii="仿宋_GB2312" w:eastAsia="仿宋_GB2312" w:cs="DengXian-Regular"/>
          <w:sz w:val="32"/>
          <w:szCs w:val="32"/>
        </w:rPr>
        <w:t>年公务用车购置及运维费年初预算</w:t>
      </w:r>
      <w:r>
        <w:rPr>
          <w:rFonts w:ascii="仿宋_GB2312" w:eastAsia="仿宋_GB2312" w:cs="DengXian-Regular"/>
          <w:sz w:val="32"/>
          <w:szCs w:val="32"/>
        </w:rPr>
        <w:t>11.76</w:t>
      </w:r>
      <w:r>
        <w:rPr>
          <w:rFonts w:hint="eastAsia" w:ascii="仿宋_GB2312" w:eastAsia="仿宋_GB2312" w:cs="DengXian-Regular"/>
          <w:sz w:val="32"/>
          <w:szCs w:val="32"/>
        </w:rPr>
        <w:t>万元，全部为公务用车运行维护费，实际支出</w:t>
      </w:r>
      <w:r>
        <w:rPr>
          <w:rFonts w:ascii="仿宋_GB2312" w:eastAsia="仿宋_GB2312" w:cs="DengXian-Regular"/>
          <w:sz w:val="32"/>
          <w:szCs w:val="32"/>
        </w:rPr>
        <w:t>3.01</w:t>
      </w:r>
      <w:r>
        <w:rPr>
          <w:rFonts w:hint="eastAsia" w:ascii="仿宋_GB2312" w:eastAsia="仿宋_GB2312" w:cs="DengXian-Regular"/>
          <w:sz w:val="32"/>
          <w:szCs w:val="32"/>
        </w:rPr>
        <w:t>万元，比预算减少</w:t>
      </w:r>
      <w:r>
        <w:rPr>
          <w:rFonts w:ascii="仿宋_GB2312" w:eastAsia="仿宋_GB2312" w:cs="DengXian-Regular"/>
          <w:sz w:val="32"/>
          <w:szCs w:val="32"/>
        </w:rPr>
        <w:t>8.75</w:t>
      </w:r>
      <w:r>
        <w:rPr>
          <w:rFonts w:hint="eastAsia" w:ascii="仿宋_GB2312" w:eastAsia="仿宋_GB2312" w:cs="DengXian-Regular"/>
          <w:sz w:val="32"/>
          <w:szCs w:val="32"/>
        </w:rPr>
        <w:t>万元，节约率</w:t>
      </w:r>
      <w:r>
        <w:rPr>
          <w:rFonts w:ascii="仿宋_GB2312" w:eastAsia="仿宋_GB2312" w:cs="DengXian-Regular"/>
          <w:sz w:val="32"/>
          <w:szCs w:val="32"/>
        </w:rPr>
        <w:t>74.40</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年预算相比有变化，决算数与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年实际支出相比，减少</w:t>
      </w:r>
      <w:r>
        <w:rPr>
          <w:rFonts w:ascii="仿宋_GB2312" w:eastAsia="仿宋_GB2312" w:cs="DengXian-Regular"/>
          <w:sz w:val="32"/>
          <w:szCs w:val="32"/>
        </w:rPr>
        <w:t>1.28</w:t>
      </w:r>
      <w:r>
        <w:rPr>
          <w:rFonts w:hint="eastAsia" w:ascii="仿宋_GB2312" w:eastAsia="仿宋_GB2312" w:cs="DengXian-Regular"/>
          <w:sz w:val="32"/>
          <w:szCs w:val="32"/>
        </w:rPr>
        <w:t>万元。</w:t>
      </w:r>
    </w:p>
    <w:p w14:paraId="69A2DE45">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ascii="仿宋_GB2312" w:eastAsia="仿宋_GB2312" w:cs="DengXian-Regular"/>
          <w:sz w:val="32"/>
          <w:szCs w:val="32"/>
        </w:rPr>
        <w:t>1</w:t>
      </w:r>
      <w:r>
        <w:rPr>
          <w:rFonts w:hint="eastAsia" w:ascii="仿宋_GB2312" w:eastAsia="仿宋_GB2312" w:cs="DengXian-Regular"/>
          <w:sz w:val="32"/>
          <w:szCs w:val="32"/>
        </w:rPr>
        <w:t>年区区人大常委会机关公务接待费年初预算</w:t>
      </w:r>
      <w:r>
        <w:rPr>
          <w:rFonts w:ascii="仿宋_GB2312" w:eastAsia="仿宋_GB2312" w:cs="DengXian-Regular"/>
          <w:sz w:val="32"/>
          <w:szCs w:val="32"/>
        </w:rPr>
        <w:t>2.00</w:t>
      </w:r>
      <w:r>
        <w:rPr>
          <w:rFonts w:hint="eastAsia" w:ascii="仿宋_GB2312" w:eastAsia="仿宋_GB2312" w:cs="DengXian-Regular"/>
          <w:sz w:val="32"/>
          <w:szCs w:val="32"/>
        </w:rPr>
        <w:t>万元，实际支出</w:t>
      </w:r>
      <w:r>
        <w:rPr>
          <w:rFonts w:ascii="仿宋_GB2312" w:eastAsia="仿宋_GB2312" w:cs="DengXian-Regular"/>
          <w:sz w:val="32"/>
          <w:szCs w:val="32"/>
        </w:rPr>
        <w:t>0</w:t>
      </w:r>
      <w:r>
        <w:rPr>
          <w:rFonts w:hint="eastAsia" w:ascii="仿宋_GB2312" w:eastAsia="仿宋_GB2312" w:cs="DengXian-Regular"/>
          <w:sz w:val="32"/>
          <w:szCs w:val="32"/>
        </w:rPr>
        <w:t>万元，比预算减少了</w:t>
      </w:r>
      <w:r>
        <w:rPr>
          <w:rFonts w:ascii="仿宋_GB2312" w:eastAsia="仿宋_GB2312" w:cs="DengXian-Regular"/>
          <w:sz w:val="32"/>
          <w:szCs w:val="32"/>
        </w:rPr>
        <w:t>2.00</w:t>
      </w:r>
      <w:r>
        <w:rPr>
          <w:rFonts w:hint="eastAsia" w:ascii="仿宋_GB2312" w:eastAsia="仿宋_GB2312" w:cs="DengXian-Regular"/>
          <w:sz w:val="32"/>
          <w:szCs w:val="32"/>
        </w:rPr>
        <w:t>万元，节约率</w:t>
      </w:r>
      <w:r>
        <w:rPr>
          <w:rFonts w:ascii="仿宋_GB2312" w:eastAsia="仿宋_GB2312" w:cs="DengXian-Regular"/>
          <w:sz w:val="32"/>
          <w:szCs w:val="32"/>
        </w:rPr>
        <w:t>100</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年实际支出相比，减少</w:t>
      </w:r>
      <w:r>
        <w:rPr>
          <w:rFonts w:ascii="仿宋_GB2312" w:eastAsia="仿宋_GB2312" w:cs="DengXian-Regular"/>
          <w:sz w:val="32"/>
          <w:szCs w:val="32"/>
        </w:rPr>
        <w:t>0.53</w:t>
      </w:r>
      <w:r>
        <w:rPr>
          <w:rFonts w:hint="eastAsia" w:ascii="仿宋_GB2312" w:eastAsia="仿宋_GB2312" w:cs="DengXian-Regular"/>
          <w:sz w:val="32"/>
          <w:szCs w:val="32"/>
        </w:rPr>
        <w:t>万元。</w:t>
      </w:r>
    </w:p>
    <w:p w14:paraId="07978823">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14:paraId="7547AEE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14:paraId="3D911B5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14:paraId="07938595">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67E7784B">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60409A13">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054A7A40">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14:paraId="6FD223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103FBD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37C80E44">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14:paraId="3E244A9F">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80" w:name="_GoBack"/>
      <w:bookmarkEnd w:id="80"/>
      <w:r>
        <w:rPr>
          <w:rFonts w:hint="eastAsia" w:ascii="仿宋_GB2312" w:eastAsia="仿宋_GB2312" w:cs="DengXian-Regular"/>
          <w:sz w:val="32"/>
          <w:szCs w:val="32"/>
        </w:rPr>
        <w:t>。</w:t>
      </w:r>
    </w:p>
    <w:p w14:paraId="7C0985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6942940F">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3D6E68DD">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253FF2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069BB103">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28D25BEF">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7BC01FEF">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通过对区人大常委会机关202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39AE50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4CEF3F06">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30573FDD">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75B28C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4E2528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76E1A5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481DAE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6FF39A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6A4624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05EDAD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3DCD1743">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38FEE665">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区区人大常委会机关202</w:t>
      </w:r>
      <w:r>
        <w:rPr>
          <w:rFonts w:ascii="仿宋_GB2312" w:eastAsia="仿宋_GB2312" w:cs="DengXian-Regular"/>
          <w:sz w:val="32"/>
          <w:szCs w:val="32"/>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66FD2623">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496925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01EDF0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22BD3F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75001B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4FFEAAFF">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03360A77">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0CA7EF45">
      <w:pPr>
        <w:spacing w:after="0" w:line="560" w:lineRule="exact"/>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149A8F69">
      <w:pPr>
        <w:spacing w:after="0" w:line="560" w:lineRule="exact"/>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7760CBE4">
      <w:pPr>
        <w:spacing w:after="0" w:line="560" w:lineRule="exact"/>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42AFF5A7">
      <w:pPr>
        <w:spacing w:after="0" w:line="560" w:lineRule="exact"/>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11EA2E07">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7BBA9D3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67ED2259">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经充分收集相关资料，主要包括部门职责、工作活动、预决算文本、相关管理制度、资金使用等相关资料，为制定绩效评价实施方案和指标体系奠定了基础。</w:t>
      </w:r>
    </w:p>
    <w:p w14:paraId="6292A364">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66BB9B68">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基于对相关资料的收集，制定绩效评价实施方案和体系,确定最终方案。</w:t>
      </w:r>
    </w:p>
    <w:p w14:paraId="44B8C9BA">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5F9D38E5">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人大常委会机关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5C934906">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14:paraId="2FFE6330">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2795C0F6">
      <w:pPr>
        <w:pStyle w:val="3"/>
        <w:spacing w:before="0" w:after="0" w:line="560" w:lineRule="exact"/>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7DDD2553">
      <w:pPr>
        <w:spacing w:after="0" w:line="56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区人大常委会机关部门整体支出绩效评价总得分为</w:t>
      </w:r>
      <w:r>
        <w:rPr>
          <w:rFonts w:ascii="仿宋_GB2312" w:eastAsia="仿宋_GB2312" w:cs="DengXian-Regular"/>
          <w:sz w:val="32"/>
          <w:szCs w:val="32"/>
        </w:rPr>
        <w:t>93</w:t>
      </w:r>
      <w:r>
        <w:rPr>
          <w:rFonts w:hint="eastAsia" w:ascii="仿宋_GB2312" w:eastAsia="仿宋_GB2312" w:cs="DengXian-Regular"/>
          <w:sz w:val="32"/>
          <w:szCs w:val="32"/>
        </w:rPr>
        <w:t>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4219FFA5">
      <w:pPr>
        <w:pStyle w:val="4"/>
        <w:spacing w:before="0" w:after="0" w:line="560" w:lineRule="exact"/>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2A2AA4F2">
      <w:pPr>
        <w:spacing w:after="0" w:line="56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3573FBE3">
      <w:pPr>
        <w:spacing w:after="0" w:line="560" w:lineRule="exact"/>
        <w:ind w:firstLine="640" w:firstLineChars="200"/>
        <w:jc w:val="both"/>
        <w:textAlignment w:val="baseline"/>
        <w:rPr>
          <w:rFonts w:ascii="仿宋_GB2312" w:eastAsia="仿宋_GB2312" w:cs="Times New Roman" w:hAnsiTheme="minorEastAsia"/>
          <w:sz w:val="32"/>
          <w:szCs w:val="32"/>
          <w:u w:color="000000"/>
        </w:rPr>
      </w:pPr>
    </w:p>
    <w:p w14:paraId="0693C8AE">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11114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150006B5">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09396CF9">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164AE960">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1853450D">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308F58EE">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7515D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326F1A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0BBFBE25">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69CD3679">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1CFC732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63BFBE2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553C83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0545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4448369">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5E13A788">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0AB6AB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14C6EF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4CCDE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341C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ABFD011">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470DB18E">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89EC0C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3136DD4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F36AB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E25F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12A8AD0">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4B258A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6891EA0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3275A37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24A426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276AC5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AEB8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AF7E9BA">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1D65EDBD">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270676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53ED74F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044AD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0FA6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78F6BA2">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4F12195">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F06C2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41531D5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944FC1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3B693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5CC91A79">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6036172D">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76E84A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4A50FD4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14:paraId="70B8B1DF">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p>
    <w:p w14:paraId="2D7061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1.绩效目标设定（6分）</w:t>
      </w:r>
    </w:p>
    <w:p w14:paraId="757738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645CE4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234013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通过对比保定市徐水区委办公室关于印发的《保定市徐水区人民代表大会常务委员会机关职能配置、内设机构和人员编制规定》和区人大常委会机关20</w:t>
      </w:r>
      <w:r>
        <w:rPr>
          <w:rFonts w:ascii="仿宋_GB2312" w:eastAsia="仿宋_GB2312" w:cs="DengXian-Regular"/>
          <w:sz w:val="32"/>
          <w:szCs w:val="32"/>
        </w:rPr>
        <w:t>21</w:t>
      </w:r>
      <w:r>
        <w:rPr>
          <w:rFonts w:hint="eastAsia" w:ascii="仿宋_GB2312" w:eastAsia="仿宋_GB2312" w:cs="DengXian-Regular"/>
          <w:sz w:val="32"/>
          <w:szCs w:val="32"/>
        </w:rPr>
        <w:t>年预算文本—部门职责工作活动绩效目标，评价工作组认为区人大常委会机关职责符合“三定”方案中所赋予的职责，绩效目标设立依据充分，符合客观实际，与部门职责、工作规划和重点工作相关，工作活动和项目预算安排合理。</w:t>
      </w:r>
    </w:p>
    <w:p w14:paraId="2271AC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2EED97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1B0EE9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652B76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根据区人大常委会机关202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576DB5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71132E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3A5873A0">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730D17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根据区人大常委会机关单位202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727B63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70356F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57FF10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56A8FF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根据区人大常委会机关202</w:t>
      </w:r>
      <w:r>
        <w:rPr>
          <w:rFonts w:ascii="仿宋_GB2312" w:eastAsia="仿宋_GB2312" w:cs="DengXian-Regular"/>
          <w:sz w:val="32"/>
          <w:szCs w:val="32"/>
        </w:rPr>
        <w:t>1</w:t>
      </w:r>
      <w:r>
        <w:rPr>
          <w:rFonts w:hint="eastAsia" w:ascii="仿宋_GB2312" w:eastAsia="仿宋_GB2312" w:cs="DengXian-Regular"/>
          <w:sz w:val="32"/>
          <w:szCs w:val="32"/>
        </w:rPr>
        <w:t>年预算文本及相关会计资料，区人大常委会机关所有收入均已纳入部门预算，部门支出按基本支出、项目支出分别编制。</w:t>
      </w:r>
    </w:p>
    <w:p w14:paraId="777587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6ADAF7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0BBBA6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0FCC09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77FA44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根据区人大常委会机关202</w:t>
      </w:r>
      <w:r>
        <w:rPr>
          <w:rFonts w:ascii="仿宋_GB2312" w:eastAsia="仿宋_GB2312" w:cs="DengXian-Regular"/>
          <w:sz w:val="32"/>
          <w:szCs w:val="32"/>
        </w:rPr>
        <w:t>1</w:t>
      </w:r>
      <w:r>
        <w:rPr>
          <w:rFonts w:hint="eastAsia" w:ascii="仿宋_GB2312" w:eastAsia="仿宋_GB2312" w:cs="DengXian-Regular"/>
          <w:sz w:val="32"/>
          <w:szCs w:val="32"/>
        </w:rPr>
        <w:t>年预算文本—部门项目支出预算表，区人大常委会机关2020年预算项目共</w:t>
      </w:r>
      <w:r>
        <w:rPr>
          <w:rFonts w:ascii="仿宋_GB2312" w:eastAsia="仿宋_GB2312" w:cs="DengXian-Regular"/>
          <w:sz w:val="32"/>
          <w:szCs w:val="32"/>
        </w:rPr>
        <w:t>3</w:t>
      </w:r>
      <w:r>
        <w:rPr>
          <w:rFonts w:hint="eastAsia" w:ascii="仿宋_GB2312" w:eastAsia="仿宋_GB2312" w:cs="DengXian-Regular"/>
          <w:sz w:val="32"/>
          <w:szCs w:val="32"/>
        </w:rPr>
        <w:t>个（详见附件2-2-2），涉及资金</w:t>
      </w:r>
      <w:r>
        <w:rPr>
          <w:rFonts w:ascii="仿宋_GB2312" w:eastAsia="仿宋_GB2312" w:cs="DengXian-Regular"/>
          <w:sz w:val="32"/>
          <w:szCs w:val="32"/>
        </w:rPr>
        <w:t>150.92</w:t>
      </w:r>
      <w:r>
        <w:rPr>
          <w:rFonts w:hint="eastAsia" w:ascii="仿宋_GB2312" w:eastAsia="仿宋_GB2312" w:cs="DengXian-Regular"/>
          <w:sz w:val="32"/>
          <w:szCs w:val="32"/>
        </w:rPr>
        <w:t>万元，所有项目均细化到具体用款单位及项目资金额度。项目预算细化率=（</w:t>
      </w:r>
      <w:r>
        <w:rPr>
          <w:rFonts w:ascii="仿宋_GB2312" w:eastAsia="仿宋_GB2312" w:cs="DengXian-Regular"/>
          <w:sz w:val="32"/>
          <w:szCs w:val="32"/>
        </w:rPr>
        <w:t>150.92</w:t>
      </w:r>
      <w:r>
        <w:rPr>
          <w:rFonts w:hint="eastAsia" w:ascii="仿宋_GB2312" w:eastAsia="仿宋_GB2312" w:cs="DengXian-Regular"/>
          <w:sz w:val="32"/>
          <w:szCs w:val="32"/>
        </w:rPr>
        <w:t>/</w:t>
      </w:r>
      <w:r>
        <w:rPr>
          <w:rFonts w:ascii="仿宋_GB2312" w:eastAsia="仿宋_GB2312" w:cs="DengXian-Regular"/>
          <w:sz w:val="32"/>
          <w:szCs w:val="32"/>
        </w:rPr>
        <w:t>150.92</w:t>
      </w:r>
      <w:r>
        <w:rPr>
          <w:rFonts w:hint="eastAsia" w:ascii="仿宋_GB2312" w:eastAsia="仿宋_GB2312" w:cs="DengXian-Regular"/>
          <w:sz w:val="32"/>
          <w:szCs w:val="32"/>
        </w:rPr>
        <w:t>）*100%=100%</w:t>
      </w:r>
    </w:p>
    <w:p w14:paraId="73F7C9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2992E2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38643E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ascii="仿宋_GB2312" w:eastAsia="仿宋_GB2312" w:cs="DengXian-Regular"/>
          <w:sz w:val="32"/>
          <w:szCs w:val="32"/>
        </w:rPr>
        <w:t>1</w:t>
      </w:r>
      <w:r>
        <w:rPr>
          <w:rFonts w:hint="eastAsia" w:ascii="仿宋_GB2312" w:eastAsia="仿宋_GB2312" w:cs="DengXian-Regular"/>
          <w:sz w:val="32"/>
          <w:szCs w:val="32"/>
        </w:rPr>
        <w:t>年底区人大常委会机关在职人员控制情况，通过在职人员控制率衡量。</w:t>
      </w:r>
    </w:p>
    <w:p w14:paraId="5FCB8D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6FC617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根据中共保定市徐水区委办公室关于印发《保定市徐水区人民代表大会常务委员会职能配置内设机构和人员编制规定》的通知，区人大常委会机关人员编制为</w:t>
      </w:r>
      <w:r>
        <w:rPr>
          <w:rFonts w:ascii="仿宋_GB2312" w:eastAsia="仿宋_GB2312" w:cs="DengXian-Regular"/>
          <w:sz w:val="32"/>
          <w:szCs w:val="32"/>
        </w:rPr>
        <w:t>23</w:t>
      </w:r>
      <w:r>
        <w:rPr>
          <w:rFonts w:hint="eastAsia" w:ascii="仿宋_GB2312" w:eastAsia="仿宋_GB2312" w:cs="DengXian-Regular"/>
          <w:sz w:val="32"/>
          <w:szCs w:val="32"/>
        </w:rPr>
        <w:t>人，根据区人大常委会机关202</w:t>
      </w:r>
      <w:r>
        <w:rPr>
          <w:rFonts w:ascii="仿宋_GB2312" w:eastAsia="仿宋_GB2312" w:cs="DengXian-Regular"/>
          <w:sz w:val="32"/>
          <w:szCs w:val="32"/>
        </w:rPr>
        <w:t>1</w:t>
      </w:r>
      <w:r>
        <w:rPr>
          <w:rFonts w:hint="eastAsia" w:ascii="仿宋_GB2312" w:eastAsia="仿宋_GB2312" w:cs="DengXian-Regular"/>
          <w:sz w:val="32"/>
          <w:szCs w:val="32"/>
        </w:rPr>
        <w:t>年决算文本-部门基本情况表，截至202</w:t>
      </w:r>
      <w:r>
        <w:rPr>
          <w:rFonts w:ascii="仿宋_GB2312" w:eastAsia="仿宋_GB2312" w:cs="DengXian-Regular"/>
          <w:sz w:val="32"/>
          <w:szCs w:val="32"/>
        </w:rPr>
        <w:t>1</w:t>
      </w:r>
      <w:r>
        <w:rPr>
          <w:rFonts w:hint="eastAsia" w:ascii="仿宋_GB2312" w:eastAsia="仿宋_GB2312" w:cs="DengXian-Regular"/>
          <w:sz w:val="32"/>
          <w:szCs w:val="32"/>
        </w:rPr>
        <w:t>年底，在职人员</w:t>
      </w:r>
      <w:r>
        <w:rPr>
          <w:rFonts w:ascii="仿宋_GB2312" w:eastAsia="仿宋_GB2312" w:cs="DengXian-Regular"/>
          <w:sz w:val="32"/>
          <w:szCs w:val="32"/>
        </w:rPr>
        <w:t>28</w:t>
      </w:r>
      <w:r>
        <w:rPr>
          <w:rFonts w:hint="eastAsia" w:ascii="仿宋_GB2312" w:eastAsia="仿宋_GB2312" w:cs="DengXian-Regular"/>
          <w:sz w:val="32"/>
          <w:szCs w:val="32"/>
        </w:rPr>
        <w:t>人，在职人员控制率=（</w:t>
      </w:r>
      <w:r>
        <w:rPr>
          <w:rFonts w:ascii="仿宋_GB2312" w:eastAsia="仿宋_GB2312" w:cs="DengXian-Regular"/>
          <w:sz w:val="32"/>
          <w:szCs w:val="32"/>
        </w:rPr>
        <w:t>28</w:t>
      </w:r>
      <w:r>
        <w:rPr>
          <w:rFonts w:hint="eastAsia" w:ascii="仿宋_GB2312" w:eastAsia="仿宋_GB2312" w:cs="DengXian-Regular"/>
          <w:sz w:val="32"/>
          <w:szCs w:val="32"/>
        </w:rPr>
        <w:t>/</w:t>
      </w:r>
      <w:r>
        <w:rPr>
          <w:rFonts w:ascii="仿宋_GB2312" w:eastAsia="仿宋_GB2312" w:cs="DengXian-Regular"/>
          <w:sz w:val="32"/>
          <w:szCs w:val="32"/>
        </w:rPr>
        <w:t>23</w:t>
      </w:r>
      <w:r>
        <w:rPr>
          <w:rFonts w:hint="eastAsia" w:ascii="仿宋_GB2312" w:eastAsia="仿宋_GB2312" w:cs="DengXian-Regular"/>
          <w:sz w:val="32"/>
          <w:szCs w:val="32"/>
        </w:rPr>
        <w:t>）*100%=</w:t>
      </w:r>
      <w:r>
        <w:rPr>
          <w:rFonts w:ascii="仿宋_GB2312" w:eastAsia="仿宋_GB2312" w:cs="DengXian-Regular"/>
          <w:sz w:val="32"/>
          <w:szCs w:val="32"/>
        </w:rPr>
        <w:t>121.74</w:t>
      </w:r>
      <w:r>
        <w:rPr>
          <w:rFonts w:hint="eastAsia" w:ascii="仿宋_GB2312" w:eastAsia="仿宋_GB2312" w:cs="DengXian-Regular"/>
          <w:sz w:val="32"/>
          <w:szCs w:val="32"/>
        </w:rPr>
        <w:t>%。</w:t>
      </w:r>
    </w:p>
    <w:p w14:paraId="626837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bookmarkEnd w:id="60"/>
    <w:bookmarkEnd w:id="61"/>
    <w:p w14:paraId="5B57778E">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785B8AA9">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0F9D1FEB">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062A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481DD26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6A03109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3396997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7692022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567CCC0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76B7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2E7631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7E36BEB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0B16EE5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16536C2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34CF0AB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126F9BB2">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w:t>
            </w:r>
          </w:p>
        </w:tc>
      </w:tr>
      <w:tr w14:paraId="1B32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C443B9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3B20F63">
            <w:pPr>
              <w:spacing w:line="420" w:lineRule="exact"/>
              <w:jc w:val="center"/>
              <w:rPr>
                <w:rFonts w:cs="宋体" w:asciiTheme="minorEastAsia" w:hAnsiTheme="minorEastAsia" w:eastAsiaTheme="minorEastAsia"/>
                <w:sz w:val="21"/>
                <w:szCs w:val="21"/>
              </w:rPr>
            </w:pPr>
          </w:p>
        </w:tc>
        <w:tc>
          <w:tcPr>
            <w:tcW w:w="2277" w:type="dxa"/>
            <w:vAlign w:val="center"/>
          </w:tcPr>
          <w:p w14:paraId="1A5E62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46E115B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1C3809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3.8</w:t>
            </w:r>
          </w:p>
        </w:tc>
      </w:tr>
      <w:tr w14:paraId="058B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53ED87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FA763F9">
            <w:pPr>
              <w:spacing w:line="420" w:lineRule="exact"/>
              <w:jc w:val="center"/>
              <w:rPr>
                <w:rFonts w:cs="宋体" w:asciiTheme="minorEastAsia" w:hAnsiTheme="minorEastAsia" w:eastAsiaTheme="minorEastAsia"/>
                <w:sz w:val="21"/>
                <w:szCs w:val="21"/>
              </w:rPr>
            </w:pPr>
          </w:p>
        </w:tc>
        <w:tc>
          <w:tcPr>
            <w:tcW w:w="2277" w:type="dxa"/>
            <w:vAlign w:val="center"/>
          </w:tcPr>
          <w:p w14:paraId="096C567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2AAA6D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1B881B6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r>
      <w:tr w14:paraId="570A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D7E4CB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F8AECB8">
            <w:pPr>
              <w:spacing w:line="420" w:lineRule="exact"/>
              <w:jc w:val="center"/>
              <w:rPr>
                <w:rFonts w:cs="宋体" w:asciiTheme="minorEastAsia" w:hAnsiTheme="minorEastAsia" w:eastAsiaTheme="minorEastAsia"/>
                <w:sz w:val="21"/>
                <w:szCs w:val="21"/>
              </w:rPr>
            </w:pPr>
          </w:p>
        </w:tc>
        <w:tc>
          <w:tcPr>
            <w:tcW w:w="2277" w:type="dxa"/>
            <w:vAlign w:val="center"/>
          </w:tcPr>
          <w:p w14:paraId="2E7723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4F2C0A1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C7DB2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3.7</w:t>
            </w:r>
          </w:p>
        </w:tc>
      </w:tr>
      <w:tr w14:paraId="6D5F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493744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94F600F">
            <w:pPr>
              <w:spacing w:line="420" w:lineRule="exact"/>
              <w:jc w:val="center"/>
              <w:rPr>
                <w:rFonts w:cs="宋体" w:asciiTheme="minorEastAsia" w:hAnsiTheme="minorEastAsia" w:eastAsiaTheme="minorEastAsia"/>
                <w:sz w:val="21"/>
                <w:szCs w:val="21"/>
              </w:rPr>
            </w:pPr>
          </w:p>
        </w:tc>
        <w:tc>
          <w:tcPr>
            <w:tcW w:w="2277" w:type="dxa"/>
            <w:vAlign w:val="center"/>
          </w:tcPr>
          <w:p w14:paraId="2DF9A07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336D758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D0D2B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r w14:paraId="08BD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6299FD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C9274B3">
            <w:pPr>
              <w:spacing w:line="420" w:lineRule="exact"/>
              <w:jc w:val="center"/>
              <w:rPr>
                <w:rFonts w:cs="宋体" w:asciiTheme="minorEastAsia" w:hAnsiTheme="minorEastAsia" w:eastAsiaTheme="minorEastAsia"/>
                <w:sz w:val="21"/>
                <w:szCs w:val="21"/>
              </w:rPr>
            </w:pPr>
          </w:p>
        </w:tc>
        <w:tc>
          <w:tcPr>
            <w:tcW w:w="2277" w:type="dxa"/>
            <w:vAlign w:val="center"/>
          </w:tcPr>
          <w:p w14:paraId="4E1DFBE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00E2C74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1499B4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5C49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635890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73866F3">
            <w:pPr>
              <w:spacing w:line="420" w:lineRule="exact"/>
              <w:jc w:val="center"/>
              <w:rPr>
                <w:rFonts w:cs="宋体" w:asciiTheme="minorEastAsia" w:hAnsiTheme="minorEastAsia" w:eastAsiaTheme="minorEastAsia"/>
                <w:sz w:val="21"/>
                <w:szCs w:val="21"/>
              </w:rPr>
            </w:pPr>
          </w:p>
        </w:tc>
        <w:tc>
          <w:tcPr>
            <w:tcW w:w="2277" w:type="dxa"/>
            <w:vAlign w:val="center"/>
          </w:tcPr>
          <w:p w14:paraId="498502B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0F978C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2A0118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611C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D30367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F79C6A0">
            <w:pPr>
              <w:spacing w:line="420" w:lineRule="exact"/>
              <w:jc w:val="center"/>
              <w:rPr>
                <w:rFonts w:cs="宋体" w:asciiTheme="minorEastAsia" w:hAnsiTheme="minorEastAsia" w:eastAsiaTheme="minorEastAsia"/>
                <w:sz w:val="21"/>
                <w:szCs w:val="21"/>
              </w:rPr>
            </w:pPr>
          </w:p>
        </w:tc>
        <w:tc>
          <w:tcPr>
            <w:tcW w:w="2277" w:type="dxa"/>
            <w:vAlign w:val="center"/>
          </w:tcPr>
          <w:p w14:paraId="44EE52A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581BEE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D85925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67D7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26604C4">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7F67CA9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768CC9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6BC47CA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185C53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371611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9D9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14EF94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0FB1F39">
            <w:pPr>
              <w:spacing w:line="420" w:lineRule="exact"/>
              <w:jc w:val="center"/>
              <w:rPr>
                <w:rFonts w:cs="宋体" w:asciiTheme="minorEastAsia" w:hAnsiTheme="minorEastAsia" w:eastAsiaTheme="minorEastAsia"/>
                <w:sz w:val="21"/>
                <w:szCs w:val="21"/>
              </w:rPr>
            </w:pPr>
          </w:p>
        </w:tc>
        <w:tc>
          <w:tcPr>
            <w:tcW w:w="2277" w:type="dxa"/>
            <w:vAlign w:val="center"/>
          </w:tcPr>
          <w:p w14:paraId="0EBAF7C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75B5014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42A17A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C50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FFE784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B11292E">
            <w:pPr>
              <w:spacing w:line="420" w:lineRule="exact"/>
              <w:jc w:val="center"/>
              <w:rPr>
                <w:rFonts w:cs="宋体" w:asciiTheme="minorEastAsia" w:hAnsiTheme="minorEastAsia" w:eastAsiaTheme="minorEastAsia"/>
                <w:sz w:val="21"/>
                <w:szCs w:val="21"/>
              </w:rPr>
            </w:pPr>
          </w:p>
        </w:tc>
        <w:tc>
          <w:tcPr>
            <w:tcW w:w="2277" w:type="dxa"/>
            <w:vAlign w:val="center"/>
          </w:tcPr>
          <w:p w14:paraId="7448102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2E4AE1B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98A0B0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2B7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75A5CE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3C03584">
            <w:pPr>
              <w:spacing w:line="420" w:lineRule="exact"/>
              <w:jc w:val="center"/>
              <w:rPr>
                <w:rFonts w:cs="宋体" w:asciiTheme="minorEastAsia" w:hAnsiTheme="minorEastAsia" w:eastAsiaTheme="minorEastAsia"/>
                <w:sz w:val="21"/>
                <w:szCs w:val="21"/>
              </w:rPr>
            </w:pPr>
          </w:p>
        </w:tc>
        <w:tc>
          <w:tcPr>
            <w:tcW w:w="2277" w:type="dxa"/>
            <w:vAlign w:val="center"/>
          </w:tcPr>
          <w:p w14:paraId="21A1078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2A8E011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37EA90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AF5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2F5DED92">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1EF8416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7F14862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52D287C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333F88B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6C838B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0CF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7" w:hRule="exact"/>
          <w:jc w:val="center"/>
        </w:trPr>
        <w:tc>
          <w:tcPr>
            <w:tcW w:w="1557" w:type="dxa"/>
            <w:vMerge w:val="continue"/>
            <w:vAlign w:val="center"/>
          </w:tcPr>
          <w:p w14:paraId="65FCECD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2898352">
            <w:pPr>
              <w:spacing w:line="420" w:lineRule="exact"/>
              <w:jc w:val="center"/>
              <w:rPr>
                <w:rFonts w:cs="宋体" w:asciiTheme="minorEastAsia" w:hAnsiTheme="minorEastAsia" w:eastAsiaTheme="minorEastAsia"/>
                <w:sz w:val="21"/>
                <w:szCs w:val="21"/>
              </w:rPr>
            </w:pPr>
          </w:p>
        </w:tc>
        <w:tc>
          <w:tcPr>
            <w:tcW w:w="2277" w:type="dxa"/>
            <w:vAlign w:val="center"/>
          </w:tcPr>
          <w:p w14:paraId="1F11898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4BEC6C9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9E3B61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3B2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63CE4D8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65DB66C3">
            <w:pPr>
              <w:spacing w:line="420" w:lineRule="exact"/>
              <w:jc w:val="center"/>
              <w:rPr>
                <w:rFonts w:cs="宋体" w:asciiTheme="minorEastAsia" w:hAnsiTheme="minorEastAsia" w:eastAsiaTheme="minorEastAsia"/>
                <w:sz w:val="21"/>
                <w:szCs w:val="21"/>
              </w:rPr>
            </w:pPr>
          </w:p>
        </w:tc>
        <w:tc>
          <w:tcPr>
            <w:tcW w:w="1155" w:type="dxa"/>
            <w:vAlign w:val="center"/>
          </w:tcPr>
          <w:p w14:paraId="27347AD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2085FE7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45</w:t>
            </w:r>
          </w:p>
        </w:tc>
      </w:tr>
    </w:tbl>
    <w:p w14:paraId="070F8A40">
      <w:pPr>
        <w:spacing w:after="0" w:line="360" w:lineRule="auto"/>
        <w:jc w:val="center"/>
        <w:textAlignment w:val="baseline"/>
        <w:rPr>
          <w:rFonts w:asciiTheme="minorEastAsia" w:hAnsiTheme="minorEastAsia" w:eastAsiaTheme="minorEastAsia" w:cstheme="minorEastAsia"/>
          <w:b/>
          <w:bCs/>
          <w:sz w:val="32"/>
          <w:szCs w:val="32"/>
        </w:rPr>
      </w:pPr>
    </w:p>
    <w:bookmarkEnd w:id="63"/>
    <w:p w14:paraId="7BD49CA0">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14:paraId="040646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2CD2CE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00D9CE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7D1D15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w:t>
      </w:r>
      <w:r>
        <w:rPr>
          <w:rFonts w:ascii="仿宋_GB2312" w:eastAsia="仿宋_GB2312" w:cs="DengXian-Regular"/>
          <w:sz w:val="32"/>
          <w:szCs w:val="32"/>
        </w:rPr>
        <w:t>3.23%=（647.21</w:t>
      </w:r>
      <w:r>
        <w:rPr>
          <w:rFonts w:hint="eastAsia" w:ascii="仿宋_GB2312" w:eastAsia="仿宋_GB2312" w:cs="DengXian-Regular"/>
          <w:sz w:val="32"/>
          <w:szCs w:val="32"/>
        </w:rPr>
        <w:t>万</w:t>
      </w:r>
      <w:r>
        <w:rPr>
          <w:rFonts w:ascii="仿宋_GB2312" w:eastAsia="仿宋_GB2312" w:cs="DengXian-Regular"/>
          <w:sz w:val="32"/>
          <w:szCs w:val="32"/>
        </w:rPr>
        <w:t>元-571.61</w:t>
      </w:r>
      <w:r>
        <w:rPr>
          <w:rFonts w:hint="eastAsia" w:ascii="仿宋_GB2312" w:eastAsia="仿宋_GB2312" w:cs="DengXian-Regular"/>
          <w:sz w:val="32"/>
          <w:szCs w:val="32"/>
        </w:rPr>
        <w:t>万</w:t>
      </w:r>
      <w:r>
        <w:rPr>
          <w:rFonts w:ascii="仿宋_GB2312" w:eastAsia="仿宋_GB2312" w:cs="DengXian-Regular"/>
          <w:sz w:val="32"/>
          <w:szCs w:val="32"/>
        </w:rPr>
        <w:t>元）</w:t>
      </w:r>
      <w:r>
        <w:rPr>
          <w:rFonts w:hint="eastAsia" w:ascii="仿宋_GB2312" w:eastAsia="仿宋_GB2312" w:cs="DengXian-Regular"/>
          <w:sz w:val="32"/>
          <w:szCs w:val="32"/>
        </w:rPr>
        <w:t>/</w:t>
      </w:r>
      <w:r>
        <w:rPr>
          <w:rFonts w:ascii="仿宋_GB2312" w:eastAsia="仿宋_GB2312" w:cs="DengXian-Regular"/>
          <w:sz w:val="32"/>
          <w:szCs w:val="32"/>
        </w:rPr>
        <w:t>571.61</w:t>
      </w:r>
      <w:r>
        <w:rPr>
          <w:rFonts w:hint="eastAsia" w:ascii="仿宋_GB2312" w:eastAsia="仿宋_GB2312" w:cs="DengXian-Regular"/>
          <w:sz w:val="32"/>
          <w:szCs w:val="32"/>
        </w:rPr>
        <w:t>万</w:t>
      </w:r>
      <w:r>
        <w:rPr>
          <w:rFonts w:ascii="仿宋_GB2312" w:eastAsia="仿宋_GB2312" w:cs="DengXian-Regular"/>
          <w:sz w:val="32"/>
          <w:szCs w:val="32"/>
        </w:rPr>
        <w:t>元</w:t>
      </w:r>
      <w:r>
        <w:rPr>
          <w:rFonts w:hint="eastAsia" w:ascii="仿宋_GB2312" w:eastAsia="仿宋_GB2312" w:cs="DengXian-Regular"/>
          <w:sz w:val="32"/>
          <w:szCs w:val="32"/>
        </w:rPr>
        <w:t>*</w:t>
      </w:r>
      <w:r>
        <w:rPr>
          <w:rFonts w:ascii="仿宋_GB2312" w:eastAsia="仿宋_GB2312" w:cs="DengXian-Regular"/>
          <w:sz w:val="32"/>
          <w:szCs w:val="32"/>
        </w:rPr>
        <w:t>100%</w:t>
      </w:r>
    </w:p>
    <w:p w14:paraId="7E6E5E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w:t>
      </w:r>
      <w:r>
        <w:rPr>
          <w:rFonts w:hint="eastAsia" w:ascii="仿宋_GB2312" w:eastAsia="仿宋_GB2312" w:cs="DengXian-Regular"/>
          <w:sz w:val="32"/>
          <w:szCs w:val="32"/>
        </w:rPr>
        <w:t>分。</w:t>
      </w:r>
    </w:p>
    <w:p w14:paraId="0CC6C1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64D7A4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0E7503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5F8C1A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根据区人大常委会机关202</w:t>
      </w:r>
      <w:r>
        <w:rPr>
          <w:rFonts w:ascii="仿宋_GB2312" w:eastAsia="仿宋_GB2312" w:cs="DengXian-Regular"/>
          <w:sz w:val="32"/>
          <w:szCs w:val="32"/>
        </w:rPr>
        <w:t>1</w:t>
      </w:r>
      <w:r>
        <w:rPr>
          <w:rFonts w:hint="eastAsia" w:ascii="仿宋_GB2312" w:eastAsia="仿宋_GB2312" w:cs="DengXian-Regular"/>
          <w:sz w:val="32"/>
          <w:szCs w:val="32"/>
        </w:rPr>
        <w:t>年预算文本、决算文本，202</w:t>
      </w:r>
      <w:r>
        <w:rPr>
          <w:rFonts w:ascii="仿宋_GB2312" w:eastAsia="仿宋_GB2312" w:cs="DengXian-Regular"/>
          <w:sz w:val="32"/>
          <w:szCs w:val="32"/>
        </w:rPr>
        <w:t>1</w:t>
      </w:r>
      <w:r>
        <w:rPr>
          <w:rFonts w:hint="eastAsia" w:ascii="仿宋_GB2312" w:eastAsia="仿宋_GB2312" w:cs="DengXian-Regular"/>
          <w:sz w:val="32"/>
          <w:szCs w:val="32"/>
        </w:rPr>
        <w:t>年收入预算数</w:t>
      </w:r>
      <w:r>
        <w:rPr>
          <w:rFonts w:ascii="仿宋_GB2312" w:eastAsia="仿宋_GB2312" w:cs="DengXian-Regular"/>
          <w:sz w:val="32"/>
          <w:szCs w:val="32"/>
        </w:rPr>
        <w:t>571.61</w:t>
      </w:r>
      <w:r>
        <w:rPr>
          <w:rFonts w:hint="eastAsia" w:ascii="仿宋_GB2312" w:eastAsia="仿宋_GB2312" w:cs="DengXian-Regular"/>
          <w:sz w:val="32"/>
          <w:szCs w:val="32"/>
        </w:rPr>
        <w:t>万元，收入决算数</w:t>
      </w:r>
      <w:r>
        <w:rPr>
          <w:rFonts w:ascii="仿宋_GB2312" w:eastAsia="仿宋_GB2312" w:cs="DengXian-Regular"/>
          <w:sz w:val="32"/>
          <w:szCs w:val="32"/>
        </w:rPr>
        <w:t>647.21</w:t>
      </w:r>
      <w:r>
        <w:rPr>
          <w:rFonts w:hint="eastAsia" w:ascii="仿宋_GB2312" w:eastAsia="仿宋_GB2312" w:cs="DengXian-Regular"/>
          <w:sz w:val="32"/>
          <w:szCs w:val="32"/>
        </w:rPr>
        <w:t>万元，收入完成率=（6</w:t>
      </w:r>
      <w:r>
        <w:rPr>
          <w:rFonts w:ascii="仿宋_GB2312" w:eastAsia="仿宋_GB2312" w:cs="DengXian-Regular"/>
          <w:sz w:val="32"/>
          <w:szCs w:val="32"/>
        </w:rPr>
        <w:t>47.21</w:t>
      </w:r>
      <w:r>
        <w:rPr>
          <w:rFonts w:hint="eastAsia" w:ascii="仿宋_GB2312" w:eastAsia="仿宋_GB2312" w:cs="DengXian-Regular"/>
          <w:sz w:val="32"/>
          <w:szCs w:val="32"/>
        </w:rPr>
        <w:t xml:space="preserve"> /5</w:t>
      </w:r>
      <w:r>
        <w:rPr>
          <w:rFonts w:ascii="仿宋_GB2312" w:eastAsia="仿宋_GB2312" w:cs="DengXian-Regular"/>
          <w:sz w:val="32"/>
          <w:szCs w:val="32"/>
        </w:rPr>
        <w:t>71.61</w:t>
      </w:r>
      <w:r>
        <w:rPr>
          <w:rFonts w:hint="eastAsia" w:ascii="仿宋_GB2312" w:eastAsia="仿宋_GB2312" w:cs="DengXian-Regular"/>
          <w:sz w:val="32"/>
          <w:szCs w:val="32"/>
        </w:rPr>
        <w:t>）*100%=</w:t>
      </w:r>
      <w:r>
        <w:rPr>
          <w:rFonts w:ascii="仿宋_GB2312" w:eastAsia="仿宋_GB2312" w:cs="DengXian-Regular"/>
          <w:sz w:val="32"/>
          <w:szCs w:val="32"/>
        </w:rPr>
        <w:t>113.23</w:t>
      </w:r>
      <w:r>
        <w:rPr>
          <w:rFonts w:hint="eastAsia" w:ascii="仿宋_GB2312" w:eastAsia="仿宋_GB2312" w:cs="DengXian-Regular"/>
          <w:sz w:val="32"/>
          <w:szCs w:val="32"/>
        </w:rPr>
        <w:t>%。</w:t>
      </w:r>
    </w:p>
    <w:p w14:paraId="6BE8D9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3.8</w:t>
      </w:r>
      <w:r>
        <w:rPr>
          <w:rFonts w:hint="eastAsia" w:ascii="仿宋_GB2312" w:eastAsia="仿宋_GB2312" w:cs="DengXian-Regular"/>
          <w:sz w:val="32"/>
          <w:szCs w:val="32"/>
        </w:rPr>
        <w:t>分。</w:t>
      </w:r>
    </w:p>
    <w:p w14:paraId="35A7DF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3DFE22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2DD7E7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190DBC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w:t>
      </w:r>
      <w:r>
        <w:rPr>
          <w:rFonts w:ascii="仿宋_GB2312" w:eastAsia="仿宋_GB2312" w:cs="DengXian-Regular"/>
          <w:sz w:val="32"/>
          <w:szCs w:val="32"/>
        </w:rPr>
        <w:t>3.23%=（647.21</w:t>
      </w:r>
      <w:r>
        <w:rPr>
          <w:rFonts w:hint="eastAsia" w:ascii="仿宋_GB2312" w:eastAsia="仿宋_GB2312" w:cs="DengXian-Regular"/>
          <w:sz w:val="32"/>
          <w:szCs w:val="32"/>
        </w:rPr>
        <w:t>万</w:t>
      </w:r>
      <w:r>
        <w:rPr>
          <w:rFonts w:ascii="仿宋_GB2312" w:eastAsia="仿宋_GB2312" w:cs="DengXian-Regular"/>
          <w:sz w:val="32"/>
          <w:szCs w:val="32"/>
        </w:rPr>
        <w:t>元-571.61</w:t>
      </w:r>
      <w:r>
        <w:rPr>
          <w:rFonts w:hint="eastAsia" w:ascii="仿宋_GB2312" w:eastAsia="仿宋_GB2312" w:cs="DengXian-Regular"/>
          <w:sz w:val="32"/>
          <w:szCs w:val="32"/>
        </w:rPr>
        <w:t>万</w:t>
      </w:r>
      <w:r>
        <w:rPr>
          <w:rFonts w:ascii="仿宋_GB2312" w:eastAsia="仿宋_GB2312" w:cs="DengXian-Regular"/>
          <w:sz w:val="32"/>
          <w:szCs w:val="32"/>
        </w:rPr>
        <w:t>元）</w:t>
      </w:r>
      <w:r>
        <w:rPr>
          <w:rFonts w:hint="eastAsia" w:ascii="仿宋_GB2312" w:eastAsia="仿宋_GB2312" w:cs="DengXian-Regular"/>
          <w:sz w:val="32"/>
          <w:szCs w:val="32"/>
        </w:rPr>
        <w:t>/</w:t>
      </w:r>
      <w:r>
        <w:rPr>
          <w:rFonts w:ascii="仿宋_GB2312" w:eastAsia="仿宋_GB2312" w:cs="DengXian-Regular"/>
          <w:sz w:val="32"/>
          <w:szCs w:val="32"/>
        </w:rPr>
        <w:t>571.61</w:t>
      </w:r>
      <w:r>
        <w:rPr>
          <w:rFonts w:hint="eastAsia" w:ascii="仿宋_GB2312" w:eastAsia="仿宋_GB2312" w:cs="DengXian-Regular"/>
          <w:sz w:val="32"/>
          <w:szCs w:val="32"/>
        </w:rPr>
        <w:t>万</w:t>
      </w:r>
      <w:r>
        <w:rPr>
          <w:rFonts w:ascii="仿宋_GB2312" w:eastAsia="仿宋_GB2312" w:cs="DengXian-Regular"/>
          <w:sz w:val="32"/>
          <w:szCs w:val="32"/>
        </w:rPr>
        <w:t>元</w:t>
      </w:r>
      <w:r>
        <w:rPr>
          <w:rFonts w:hint="eastAsia" w:ascii="仿宋_GB2312" w:eastAsia="仿宋_GB2312" w:cs="DengXian-Regular"/>
          <w:sz w:val="32"/>
          <w:szCs w:val="32"/>
        </w:rPr>
        <w:t>*</w:t>
      </w:r>
      <w:r>
        <w:rPr>
          <w:rFonts w:ascii="仿宋_GB2312" w:eastAsia="仿宋_GB2312" w:cs="DengXian-Regular"/>
          <w:sz w:val="32"/>
          <w:szCs w:val="32"/>
        </w:rPr>
        <w:t>100%</w:t>
      </w:r>
    </w:p>
    <w:p w14:paraId="0B0C37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1</w:t>
      </w:r>
      <w:r>
        <w:rPr>
          <w:rFonts w:hint="eastAsia" w:ascii="仿宋_GB2312" w:eastAsia="仿宋_GB2312" w:cs="DengXian-Regular"/>
          <w:sz w:val="32"/>
          <w:szCs w:val="32"/>
        </w:rPr>
        <w:t>分。</w:t>
      </w:r>
    </w:p>
    <w:p w14:paraId="0E84A6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73072C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53CF0A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72FCB9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区人大常委会机关提供的202</w:t>
      </w:r>
      <w:r>
        <w:rPr>
          <w:rFonts w:ascii="仿宋_GB2312" w:eastAsia="仿宋_GB2312" w:cs="DengXian-Regular"/>
          <w:sz w:val="32"/>
          <w:szCs w:val="32"/>
        </w:rPr>
        <w:t>1</w:t>
      </w:r>
      <w:r>
        <w:rPr>
          <w:rFonts w:hint="eastAsia" w:ascii="仿宋_GB2312" w:eastAsia="仿宋_GB2312" w:cs="DengXian-Regular"/>
          <w:sz w:val="32"/>
          <w:szCs w:val="32"/>
        </w:rPr>
        <w:t>年决算文本，部门决算财政拨款支出数</w:t>
      </w:r>
      <w:r>
        <w:rPr>
          <w:rFonts w:ascii="仿宋_GB2312" w:eastAsia="仿宋_GB2312" w:cs="DengXian-Regular"/>
          <w:sz w:val="32"/>
          <w:szCs w:val="32"/>
        </w:rPr>
        <w:t>647.17</w:t>
      </w:r>
      <w:r>
        <w:rPr>
          <w:rFonts w:hint="eastAsia" w:ascii="仿宋_GB2312" w:eastAsia="仿宋_GB2312" w:cs="DengXian-Regular"/>
          <w:sz w:val="32"/>
          <w:szCs w:val="32"/>
        </w:rPr>
        <w:t>万元，财政拨款收入数</w:t>
      </w:r>
      <w:r>
        <w:rPr>
          <w:rFonts w:ascii="仿宋_GB2312" w:eastAsia="仿宋_GB2312" w:cs="DengXian-Regular"/>
          <w:sz w:val="32"/>
          <w:szCs w:val="32"/>
        </w:rPr>
        <w:t>580.09</w:t>
      </w:r>
      <w:r>
        <w:rPr>
          <w:rFonts w:hint="eastAsia" w:ascii="仿宋_GB2312" w:eastAsia="仿宋_GB2312" w:cs="DengXian-Regular"/>
          <w:sz w:val="32"/>
          <w:szCs w:val="32"/>
        </w:rPr>
        <w:t>万元，财政拨款支出率=（6</w:t>
      </w:r>
      <w:r>
        <w:rPr>
          <w:rFonts w:ascii="仿宋_GB2312" w:eastAsia="仿宋_GB2312" w:cs="DengXian-Regular"/>
          <w:sz w:val="32"/>
          <w:szCs w:val="32"/>
        </w:rPr>
        <w:t>47.17</w:t>
      </w:r>
      <w:r>
        <w:rPr>
          <w:rFonts w:hint="eastAsia" w:ascii="仿宋_GB2312" w:eastAsia="仿宋_GB2312" w:cs="DengXian-Regular"/>
          <w:sz w:val="32"/>
          <w:szCs w:val="32"/>
        </w:rPr>
        <w:t>/5</w:t>
      </w:r>
      <w:r>
        <w:rPr>
          <w:rFonts w:ascii="仿宋_GB2312" w:eastAsia="仿宋_GB2312" w:cs="DengXian-Regular"/>
          <w:sz w:val="32"/>
          <w:szCs w:val="32"/>
        </w:rPr>
        <w:t>80.09</w:t>
      </w:r>
      <w:r>
        <w:rPr>
          <w:rFonts w:hint="eastAsia" w:ascii="仿宋_GB2312" w:eastAsia="仿宋_GB2312" w:cs="DengXian-Regular"/>
          <w:sz w:val="32"/>
          <w:szCs w:val="32"/>
        </w:rPr>
        <w:t>）*100%=</w:t>
      </w:r>
      <w:r>
        <w:rPr>
          <w:rFonts w:ascii="仿宋_GB2312" w:eastAsia="仿宋_GB2312" w:cs="DengXian-Regular"/>
          <w:sz w:val="32"/>
          <w:szCs w:val="32"/>
        </w:rPr>
        <w:t>111.56</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90%。区区人大常委会机关202</w:t>
      </w:r>
      <w:r>
        <w:rPr>
          <w:rFonts w:ascii="仿宋_GB2312" w:eastAsia="仿宋_GB2312" w:cs="DengXian-Regular"/>
          <w:sz w:val="32"/>
          <w:szCs w:val="32"/>
        </w:rPr>
        <w:t>1</w:t>
      </w:r>
      <w:r>
        <w:rPr>
          <w:rFonts w:hint="eastAsia" w:ascii="仿宋_GB2312" w:eastAsia="仿宋_GB2312" w:cs="DengXian-Regular"/>
          <w:sz w:val="32"/>
          <w:szCs w:val="32"/>
        </w:rPr>
        <w:t>年年初结转和结余</w:t>
      </w:r>
      <w:r>
        <w:rPr>
          <w:rFonts w:ascii="仿宋_GB2312" w:eastAsia="仿宋_GB2312" w:cs="DengXian-Regular"/>
          <w:sz w:val="32"/>
          <w:szCs w:val="32"/>
        </w:rPr>
        <w:t>67.08</w:t>
      </w:r>
      <w:r>
        <w:rPr>
          <w:rFonts w:hint="eastAsia" w:ascii="仿宋_GB2312" w:eastAsia="仿宋_GB2312" w:cs="DengXian-Regular"/>
          <w:sz w:val="32"/>
          <w:szCs w:val="32"/>
        </w:rPr>
        <w:t>万元，故支出数大于收入数。</w:t>
      </w:r>
    </w:p>
    <w:p w14:paraId="3A628E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3.7</w:t>
      </w:r>
      <w:r>
        <w:rPr>
          <w:rFonts w:hint="eastAsia" w:ascii="仿宋_GB2312" w:eastAsia="仿宋_GB2312" w:cs="DengXian-Regular"/>
          <w:sz w:val="32"/>
          <w:szCs w:val="32"/>
        </w:rPr>
        <w:t>分。</w:t>
      </w:r>
    </w:p>
    <w:p w14:paraId="61F8CD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43B31B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03C121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0C3174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根据区人大常委会机关202</w:t>
      </w:r>
      <w:r>
        <w:rPr>
          <w:rFonts w:ascii="仿宋_GB2312" w:eastAsia="仿宋_GB2312" w:cs="DengXian-Regular"/>
          <w:sz w:val="32"/>
          <w:szCs w:val="32"/>
        </w:rPr>
        <w:t>1</w:t>
      </w:r>
      <w:r>
        <w:rPr>
          <w:rFonts w:hint="eastAsia" w:ascii="仿宋_GB2312" w:eastAsia="仿宋_GB2312" w:cs="DengXian-Regular"/>
          <w:sz w:val="32"/>
          <w:szCs w:val="32"/>
        </w:rPr>
        <w:t>年预算文本及决算文本，“三公”经费年初预算数</w:t>
      </w:r>
      <w:r>
        <w:rPr>
          <w:rFonts w:ascii="仿宋_GB2312" w:eastAsia="仿宋_GB2312" w:cs="DengXian-Regular"/>
          <w:sz w:val="32"/>
          <w:szCs w:val="32"/>
        </w:rPr>
        <w:t>13.76</w:t>
      </w:r>
      <w:r>
        <w:rPr>
          <w:rFonts w:hint="eastAsia" w:ascii="仿宋_GB2312" w:eastAsia="仿宋_GB2312" w:cs="DengXian-Regular"/>
          <w:sz w:val="32"/>
          <w:szCs w:val="32"/>
        </w:rPr>
        <w:t>万元，年末决算数</w:t>
      </w:r>
      <w:r>
        <w:rPr>
          <w:rFonts w:ascii="仿宋_GB2312" w:eastAsia="仿宋_GB2312" w:cs="DengXian-Regular"/>
          <w:sz w:val="32"/>
          <w:szCs w:val="32"/>
        </w:rPr>
        <w:t>3.01</w:t>
      </w:r>
      <w:r>
        <w:rPr>
          <w:rFonts w:hint="eastAsia" w:ascii="仿宋_GB2312" w:eastAsia="仿宋_GB2312" w:cs="DengXian-Regular"/>
          <w:sz w:val="32"/>
          <w:szCs w:val="32"/>
        </w:rPr>
        <w:t>万元，“三公”经费控制率=（3</w:t>
      </w:r>
      <w:r>
        <w:rPr>
          <w:rFonts w:ascii="仿宋_GB2312" w:eastAsia="仿宋_GB2312" w:cs="DengXian-Regular"/>
          <w:sz w:val="32"/>
          <w:szCs w:val="32"/>
        </w:rPr>
        <w:t>.01</w:t>
      </w:r>
      <w:r>
        <w:rPr>
          <w:rFonts w:hint="eastAsia" w:ascii="仿宋_GB2312" w:eastAsia="仿宋_GB2312" w:cs="DengXian-Regular"/>
          <w:sz w:val="32"/>
          <w:szCs w:val="32"/>
        </w:rPr>
        <w:t>/1</w:t>
      </w:r>
      <w:r>
        <w:rPr>
          <w:rFonts w:ascii="仿宋_GB2312" w:eastAsia="仿宋_GB2312" w:cs="DengXian-Regular"/>
          <w:sz w:val="32"/>
          <w:szCs w:val="32"/>
        </w:rPr>
        <w:t>3.76</w:t>
      </w:r>
      <w:r>
        <w:rPr>
          <w:rFonts w:hint="eastAsia" w:ascii="仿宋_GB2312" w:eastAsia="仿宋_GB2312" w:cs="DengXian-Regular"/>
          <w:sz w:val="32"/>
          <w:szCs w:val="32"/>
        </w:rPr>
        <w:t>）*100%=</w:t>
      </w:r>
      <w:r>
        <w:rPr>
          <w:rFonts w:ascii="仿宋_GB2312" w:eastAsia="仿宋_GB2312" w:cs="DengXian-Regular"/>
          <w:sz w:val="32"/>
          <w:szCs w:val="32"/>
        </w:rPr>
        <w:t>21.88</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2DD4D3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2.5</w:t>
      </w:r>
      <w:r>
        <w:rPr>
          <w:rFonts w:hint="eastAsia" w:ascii="仿宋_GB2312" w:eastAsia="仿宋_GB2312" w:cs="DengXian-Regular"/>
          <w:sz w:val="32"/>
          <w:szCs w:val="32"/>
        </w:rPr>
        <w:t>分。</w:t>
      </w:r>
    </w:p>
    <w:p w14:paraId="397734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2E88DD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2DDA14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6EE093C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根据区人大常委会机关202</w:t>
      </w:r>
      <w:r>
        <w:rPr>
          <w:rFonts w:ascii="仿宋_GB2312" w:eastAsia="仿宋_GB2312" w:cs="DengXian-Regular"/>
          <w:sz w:val="32"/>
          <w:szCs w:val="32"/>
        </w:rPr>
        <w:t>1</w:t>
      </w:r>
      <w:r>
        <w:rPr>
          <w:rFonts w:hint="eastAsia" w:ascii="仿宋_GB2312" w:eastAsia="仿宋_GB2312" w:cs="DengXian-Regular"/>
          <w:sz w:val="32"/>
          <w:szCs w:val="32"/>
        </w:rPr>
        <w:t>年预算文本及决算文本，政府采购年初预算数</w:t>
      </w:r>
      <w:r>
        <w:rPr>
          <w:rFonts w:ascii="仿宋_GB2312" w:eastAsia="仿宋_GB2312" w:cs="DengXian-Regular"/>
          <w:sz w:val="32"/>
          <w:szCs w:val="32"/>
        </w:rPr>
        <w:t>0</w:t>
      </w:r>
      <w:r>
        <w:rPr>
          <w:rFonts w:hint="eastAsia" w:ascii="仿宋_GB2312" w:eastAsia="仿宋_GB2312" w:cs="DengXian-Regular"/>
          <w:sz w:val="32"/>
          <w:szCs w:val="32"/>
        </w:rPr>
        <w:t>万元，年末决算数</w:t>
      </w:r>
      <w:r>
        <w:rPr>
          <w:rFonts w:ascii="仿宋_GB2312" w:eastAsia="仿宋_GB2312" w:cs="DengXian-Regular"/>
          <w:sz w:val="32"/>
          <w:szCs w:val="32"/>
        </w:rPr>
        <w:t>10.34</w:t>
      </w:r>
      <w:r>
        <w:rPr>
          <w:rFonts w:hint="eastAsia" w:ascii="仿宋_GB2312" w:eastAsia="仿宋_GB2312" w:cs="DengXian-Regular"/>
          <w:sz w:val="32"/>
          <w:szCs w:val="32"/>
        </w:rPr>
        <w:t>万元，政府采购执行率为</w:t>
      </w:r>
      <w:r>
        <w:rPr>
          <w:rFonts w:ascii="仿宋_GB2312" w:eastAsia="仿宋_GB2312" w:cs="DengXian-Regular"/>
          <w:sz w:val="32"/>
          <w:szCs w:val="32"/>
        </w:rPr>
        <w:t>96%</w:t>
      </w:r>
      <w:r>
        <w:rPr>
          <w:rFonts w:hint="eastAsia" w:ascii="仿宋_GB2312" w:eastAsia="仿宋_GB2312" w:cs="DengXian-Regular"/>
          <w:sz w:val="32"/>
          <w:szCs w:val="32"/>
        </w:rPr>
        <w:t>。</w:t>
      </w:r>
    </w:p>
    <w:p w14:paraId="46540F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3</w:t>
      </w:r>
      <w:r>
        <w:rPr>
          <w:rFonts w:hint="eastAsia" w:ascii="仿宋_GB2312" w:eastAsia="仿宋_GB2312" w:cs="DengXian-Regular"/>
          <w:sz w:val="32"/>
          <w:szCs w:val="32"/>
        </w:rPr>
        <w:t>分。</w:t>
      </w:r>
    </w:p>
    <w:p w14:paraId="1FBDE0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235E89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446937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根据区人大常委会机关202</w:t>
      </w:r>
      <w:r>
        <w:rPr>
          <w:rFonts w:ascii="仿宋_GB2312" w:eastAsia="仿宋_GB2312" w:cs="DengXian-Regular"/>
          <w:sz w:val="32"/>
          <w:szCs w:val="32"/>
        </w:rPr>
        <w:t>1</w:t>
      </w:r>
      <w:r>
        <w:rPr>
          <w:rFonts w:hint="eastAsia" w:ascii="仿宋_GB2312" w:eastAsia="仿宋_GB2312" w:cs="DengXian-Regular"/>
          <w:sz w:val="32"/>
          <w:szCs w:val="32"/>
        </w:rPr>
        <w:t>年明细账、会计凭证等相关资料，区人大常委会机关资金使用符合相关会计准则和财务制度，资金拨付有完备的审批程序和手续，资金使用符合部门预算批复的用途，未发现截留、挤占、挪用财政资金的情况。</w:t>
      </w:r>
    </w:p>
    <w:p w14:paraId="1EC7F0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233AEF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421676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1EEA73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经核查区人大常委会机关202</w:t>
      </w:r>
      <w:r>
        <w:rPr>
          <w:rFonts w:ascii="仿宋_GB2312" w:eastAsia="仿宋_GB2312" w:cs="DengXian-Regular"/>
          <w:sz w:val="32"/>
          <w:szCs w:val="32"/>
        </w:rPr>
        <w:t>1</w:t>
      </w:r>
      <w:r>
        <w:rPr>
          <w:rFonts w:hint="eastAsia" w:ascii="仿宋_GB2312" w:eastAsia="仿宋_GB2312" w:cs="DengXian-Regular"/>
          <w:sz w:val="32"/>
          <w:szCs w:val="32"/>
        </w:rPr>
        <w:t>年决算文本、明细账及总账，区人大常委会机关决算文本数据均与明细账、总账一致。</w:t>
      </w:r>
    </w:p>
    <w:p w14:paraId="3115F2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4CE40B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342362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151682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738B1B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区人大常委会机关工作制度涵盖了财务制度、网络安全制度、公务用车制度等相关制度，经检查区人大常委会机关付款流程审批单、资产盘点表等资料，区人大常委会机关已按照相关管理制度的规定执行。</w:t>
      </w:r>
    </w:p>
    <w:p w14:paraId="40D40C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156F7C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1DADD7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28F3A1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区人大常委会机关202</w:t>
      </w:r>
      <w:r>
        <w:rPr>
          <w:rFonts w:ascii="仿宋_GB2312" w:eastAsia="仿宋_GB2312" w:cs="DengXian-Regular"/>
          <w:sz w:val="32"/>
          <w:szCs w:val="32"/>
        </w:rPr>
        <w:t>1</w:t>
      </w:r>
      <w:r>
        <w:rPr>
          <w:rFonts w:hint="eastAsia" w:ascii="仿宋_GB2312" w:eastAsia="仿宋_GB2312" w:cs="DengXian-Regular"/>
          <w:sz w:val="32"/>
          <w:szCs w:val="32"/>
        </w:rPr>
        <w:t>年按政府信息公开的有关要求在保定市徐水区人民政府网公开了202</w:t>
      </w:r>
      <w:r>
        <w:rPr>
          <w:rFonts w:ascii="仿宋_GB2312" w:eastAsia="仿宋_GB2312" w:cs="DengXian-Regular"/>
          <w:sz w:val="32"/>
          <w:szCs w:val="32"/>
        </w:rPr>
        <w:t>1</w:t>
      </w:r>
      <w:r>
        <w:rPr>
          <w:rFonts w:hint="eastAsia" w:ascii="仿宋_GB2312" w:eastAsia="仿宋_GB2312" w:cs="DengXian-Regular"/>
          <w:sz w:val="32"/>
          <w:szCs w:val="32"/>
        </w:rPr>
        <w:t>年的预决算情况、部门责任清单、行政监督清单等相关信息。</w:t>
      </w:r>
    </w:p>
    <w:p w14:paraId="1A4172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0A4819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5BDBE2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24699D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根据区人大常委会机关提供的会计账簿、凭证及其他相关资料，区人大常委会机关会计信息资料真实完整，</w:t>
      </w:r>
    </w:p>
    <w:p w14:paraId="13B3EA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1E162F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0786D6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0B8E53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区人大常委会机关单位建立了固定资产台账、无形资产台账，资产保存完整，202</w:t>
      </w:r>
      <w:r>
        <w:rPr>
          <w:rFonts w:ascii="仿宋_GB2312" w:eastAsia="仿宋_GB2312" w:cs="DengXian-Regular"/>
          <w:sz w:val="32"/>
          <w:szCs w:val="32"/>
        </w:rPr>
        <w:t>1</w:t>
      </w:r>
      <w:r>
        <w:rPr>
          <w:rFonts w:hint="eastAsia" w:ascii="仿宋_GB2312" w:eastAsia="仿宋_GB2312" w:cs="DengXian-Regular"/>
          <w:sz w:val="32"/>
          <w:szCs w:val="32"/>
        </w:rPr>
        <w:t>年新增资产</w:t>
      </w:r>
      <w:r>
        <w:rPr>
          <w:rFonts w:ascii="仿宋_GB2312" w:eastAsia="仿宋_GB2312" w:cs="DengXian-Regular"/>
          <w:sz w:val="32"/>
          <w:szCs w:val="32"/>
        </w:rPr>
        <w:t>9.62</w:t>
      </w:r>
      <w:r>
        <w:rPr>
          <w:rFonts w:hint="eastAsia" w:ascii="仿宋_GB2312" w:eastAsia="仿宋_GB2312" w:cs="DengXian-Regular"/>
          <w:sz w:val="32"/>
          <w:szCs w:val="32"/>
        </w:rPr>
        <w:t>万元，包含：家具（2</w:t>
      </w:r>
      <w:r>
        <w:rPr>
          <w:rFonts w:ascii="仿宋_GB2312" w:eastAsia="仿宋_GB2312" w:cs="DengXian-Regular"/>
          <w:sz w:val="32"/>
          <w:szCs w:val="32"/>
        </w:rPr>
        <w:t>.61</w:t>
      </w:r>
      <w:r>
        <w:rPr>
          <w:rFonts w:hint="eastAsia" w:ascii="仿宋_GB2312" w:eastAsia="仿宋_GB2312" w:cs="DengXian-Regular"/>
          <w:sz w:val="32"/>
          <w:szCs w:val="32"/>
        </w:rPr>
        <w:t>万元）、电脑及计算机设备（</w:t>
      </w:r>
      <w:r>
        <w:rPr>
          <w:rFonts w:ascii="仿宋_GB2312" w:eastAsia="仿宋_GB2312" w:cs="DengXian-Regular"/>
          <w:sz w:val="32"/>
          <w:szCs w:val="32"/>
        </w:rPr>
        <w:t>6.23</w:t>
      </w:r>
      <w:r>
        <w:rPr>
          <w:rFonts w:hint="eastAsia" w:ascii="仿宋_GB2312" w:eastAsia="仿宋_GB2312" w:cs="DengXian-Regular"/>
          <w:sz w:val="32"/>
          <w:szCs w:val="32"/>
        </w:rPr>
        <w:t>万元）、空调（</w:t>
      </w:r>
      <w:r>
        <w:rPr>
          <w:rFonts w:ascii="仿宋_GB2312" w:eastAsia="仿宋_GB2312" w:cs="DengXian-Regular"/>
          <w:sz w:val="32"/>
          <w:szCs w:val="32"/>
        </w:rPr>
        <w:t>0.78</w:t>
      </w:r>
      <w:r>
        <w:rPr>
          <w:rFonts w:hint="eastAsia" w:ascii="仿宋_GB2312" w:eastAsia="仿宋_GB2312" w:cs="DengXian-Regular"/>
          <w:sz w:val="32"/>
          <w:szCs w:val="32"/>
        </w:rPr>
        <w:t>万元），资产购置手续完备，配置符合要求，资产管理整体较规范。</w:t>
      </w:r>
    </w:p>
    <w:p w14:paraId="69D29F7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44F4D6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4A43C0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529C64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0F3221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2DA68B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ascii="仿宋_GB2312" w:eastAsia="仿宋_GB2312" w:cs="DengXian-Regular"/>
          <w:sz w:val="32"/>
          <w:szCs w:val="32"/>
        </w:rPr>
        <w:t>1</w:t>
      </w:r>
      <w:r>
        <w:rPr>
          <w:rFonts w:hint="eastAsia" w:ascii="仿宋_GB2312" w:eastAsia="仿宋_GB2312" w:cs="DengXian-Regular"/>
          <w:sz w:val="32"/>
          <w:szCs w:val="32"/>
        </w:rPr>
        <w:t>年度财政专项资金部门绩效自评价工作的通知》及徐水区人大常委会机关202</w:t>
      </w:r>
      <w:r>
        <w:rPr>
          <w:rFonts w:ascii="仿宋_GB2312" w:eastAsia="仿宋_GB2312" w:cs="DengXian-Regular"/>
          <w:sz w:val="32"/>
          <w:szCs w:val="32"/>
        </w:rPr>
        <w:t>1</w:t>
      </w:r>
      <w:r>
        <w:rPr>
          <w:rFonts w:hint="eastAsia" w:ascii="仿宋_GB2312" w:eastAsia="仿宋_GB2312" w:cs="DengXian-Regular"/>
          <w:sz w:val="32"/>
          <w:szCs w:val="32"/>
        </w:rPr>
        <w:t>年一般项目部门绩效自评表，区人大常委会机关202</w:t>
      </w:r>
      <w:r>
        <w:rPr>
          <w:rFonts w:ascii="仿宋_GB2312" w:eastAsia="仿宋_GB2312" w:cs="DengXian-Regular"/>
          <w:sz w:val="32"/>
          <w:szCs w:val="32"/>
        </w:rPr>
        <w:t>1</w:t>
      </w:r>
      <w:r>
        <w:rPr>
          <w:rFonts w:hint="eastAsia" w:ascii="仿宋_GB2312" w:eastAsia="仿宋_GB2312" w:cs="DengXian-Regular"/>
          <w:sz w:val="32"/>
          <w:szCs w:val="32"/>
        </w:rPr>
        <w:t>年开展绩效自评的项目数为</w:t>
      </w:r>
      <w:r>
        <w:rPr>
          <w:rFonts w:ascii="仿宋_GB2312" w:eastAsia="仿宋_GB2312" w:cs="DengXian-Regular"/>
          <w:sz w:val="32"/>
          <w:szCs w:val="32"/>
        </w:rPr>
        <w:t>3</w:t>
      </w:r>
      <w:r>
        <w:rPr>
          <w:rFonts w:hint="eastAsia" w:ascii="仿宋_GB2312" w:eastAsia="仿宋_GB2312" w:cs="DengXian-Regular"/>
          <w:sz w:val="32"/>
          <w:szCs w:val="32"/>
        </w:rPr>
        <w:t>个，年初预算文本项目数</w:t>
      </w:r>
      <w:r>
        <w:rPr>
          <w:rFonts w:ascii="仿宋_GB2312" w:eastAsia="仿宋_GB2312" w:cs="DengXian-Regular"/>
          <w:sz w:val="32"/>
          <w:szCs w:val="32"/>
        </w:rPr>
        <w:t>3</w:t>
      </w:r>
      <w:r>
        <w:rPr>
          <w:rFonts w:hint="eastAsia" w:ascii="仿宋_GB2312" w:eastAsia="仿宋_GB2312" w:cs="DengXian-Regular"/>
          <w:sz w:val="32"/>
          <w:szCs w:val="32"/>
        </w:rPr>
        <w:t>个，要求自评项目个数</w:t>
      </w:r>
      <w:r>
        <w:rPr>
          <w:rFonts w:ascii="仿宋_GB2312" w:eastAsia="仿宋_GB2312" w:cs="DengXian-Regular"/>
          <w:sz w:val="32"/>
          <w:szCs w:val="32"/>
        </w:rPr>
        <w:t>3</w:t>
      </w:r>
      <w:r>
        <w:rPr>
          <w:rFonts w:hint="eastAsia" w:ascii="仿宋_GB2312" w:eastAsia="仿宋_GB2312" w:cs="DengXian-Regular"/>
          <w:sz w:val="32"/>
          <w:szCs w:val="32"/>
        </w:rPr>
        <w:t xml:space="preserve">个，自评覆盖率为 </w:t>
      </w:r>
      <w:r>
        <w:rPr>
          <w:rFonts w:ascii="仿宋_GB2312" w:eastAsia="仿宋_GB2312" w:cs="DengXian-Regular"/>
          <w:sz w:val="32"/>
          <w:szCs w:val="32"/>
        </w:rPr>
        <w:t>100</w:t>
      </w:r>
      <w:r>
        <w:rPr>
          <w:rFonts w:hint="eastAsia" w:ascii="仿宋_GB2312" w:eastAsia="仿宋_GB2312" w:cs="DengXian-Regular"/>
          <w:sz w:val="32"/>
          <w:szCs w:val="32"/>
        </w:rPr>
        <w:t>%。</w:t>
      </w:r>
    </w:p>
    <w:p w14:paraId="1F4B66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4A1FDC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13A3F7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5F35B3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3A87AB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区人大常委会机关202</w:t>
      </w:r>
      <w:r>
        <w:rPr>
          <w:rFonts w:ascii="仿宋_GB2312" w:eastAsia="仿宋_GB2312" w:cs="DengXian-Regular"/>
          <w:sz w:val="32"/>
          <w:szCs w:val="32"/>
        </w:rPr>
        <w:t>1</w:t>
      </w:r>
      <w:r>
        <w:rPr>
          <w:rFonts w:hint="eastAsia" w:ascii="仿宋_GB2312" w:eastAsia="仿宋_GB2312" w:cs="DengXian-Regular"/>
          <w:sz w:val="32"/>
          <w:szCs w:val="32"/>
        </w:rPr>
        <w:t>年参评数量</w:t>
      </w:r>
      <w:r>
        <w:rPr>
          <w:rFonts w:ascii="仿宋_GB2312" w:eastAsia="仿宋_GB2312" w:cs="DengXian-Regular"/>
          <w:sz w:val="32"/>
          <w:szCs w:val="32"/>
        </w:rPr>
        <w:t>3</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3</w:t>
      </w:r>
      <w:r>
        <w:rPr>
          <w:rFonts w:hint="eastAsia" w:ascii="仿宋_GB2312" w:eastAsia="仿宋_GB2312" w:cs="DengXian-Regular"/>
          <w:sz w:val="32"/>
          <w:szCs w:val="32"/>
        </w:rPr>
        <w:t>个，绩效评价优等率为</w:t>
      </w:r>
      <w:r>
        <w:rPr>
          <w:rFonts w:ascii="仿宋_GB2312" w:eastAsia="仿宋_GB2312" w:cs="DengXian-Regular"/>
          <w:sz w:val="32"/>
          <w:szCs w:val="32"/>
        </w:rPr>
        <w:t>100</w:t>
      </w:r>
      <w:r>
        <w:rPr>
          <w:rFonts w:hint="eastAsia" w:ascii="仿宋_GB2312" w:eastAsia="仿宋_GB2312" w:cs="DengXian-Regular"/>
          <w:sz w:val="32"/>
          <w:szCs w:val="32"/>
        </w:rPr>
        <w:t>%。</w:t>
      </w:r>
    </w:p>
    <w:p w14:paraId="7DACF8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bookmarkEnd w:id="64"/>
      <w:bookmarkEnd w:id="65"/>
    </w:p>
    <w:p w14:paraId="1D53656B">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23DBF5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14:paraId="720BC758">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6300E5C0">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2BCC0F4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0DC19CB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632C6ED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43C78E4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31315E8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B0E7066">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775791E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3D98E14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6B5AC43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1911857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47BEB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0DB50A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4CAA509E">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CE83182">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64ACB30">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C958CD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9B9973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DAFAE7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6262D5D3">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693050B">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E77FC40">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D8D41A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79BE7B4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6241F9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259C41BD">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129F90F">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4FEB8248">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C2F52A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8CCF50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D65DBE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206C74DD">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5729956">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2394795">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50906B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3A5087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678460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7187AC4">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5CBD38D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69A88802">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1090E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FA9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bl>
    <w:p w14:paraId="41EAE91B">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p>
    <w:p w14:paraId="775C2E28">
      <w:pPr>
        <w:spacing w:after="0" w:line="6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1.结转结余率（5分）</w:t>
      </w:r>
    </w:p>
    <w:p w14:paraId="4FB707A6">
      <w:pPr>
        <w:spacing w:after="0" w:line="6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204BCAE2">
      <w:pPr>
        <w:spacing w:after="0" w:line="6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0551CA21">
      <w:pPr>
        <w:spacing w:after="0" w:line="6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根据区人大常委会机关202</w:t>
      </w:r>
      <w:r>
        <w:rPr>
          <w:rFonts w:ascii="仿宋_GB2312" w:eastAsia="仿宋_GB2312" w:cs="DengXian-Regular"/>
          <w:sz w:val="32"/>
          <w:szCs w:val="32"/>
        </w:rPr>
        <w:t>1</w:t>
      </w:r>
      <w:r>
        <w:rPr>
          <w:rFonts w:hint="eastAsia" w:ascii="仿宋_GB2312" w:eastAsia="仿宋_GB2312" w:cs="DengXian-Regular"/>
          <w:sz w:val="32"/>
          <w:szCs w:val="32"/>
        </w:rPr>
        <w:t>年决算文本及相关资料，区人大常委会机关202</w:t>
      </w:r>
      <w:r>
        <w:rPr>
          <w:rFonts w:ascii="仿宋_GB2312" w:eastAsia="仿宋_GB2312" w:cs="DengXian-Regular"/>
          <w:sz w:val="32"/>
          <w:szCs w:val="32"/>
        </w:rPr>
        <w:t>1</w:t>
      </w:r>
      <w:r>
        <w:rPr>
          <w:rFonts w:hint="eastAsia" w:ascii="仿宋_GB2312" w:eastAsia="仿宋_GB2312" w:cs="DengXian-Regular"/>
          <w:sz w:val="32"/>
          <w:szCs w:val="32"/>
        </w:rPr>
        <w:t>年结转结余资金</w:t>
      </w:r>
      <w:r>
        <w:rPr>
          <w:rFonts w:ascii="仿宋_GB2312" w:eastAsia="仿宋_GB2312" w:cs="DengXian-Regular"/>
          <w:sz w:val="32"/>
          <w:szCs w:val="32"/>
        </w:rPr>
        <w:t>0.05</w:t>
      </w:r>
      <w:r>
        <w:rPr>
          <w:rFonts w:hint="eastAsia" w:ascii="仿宋_GB2312" w:eastAsia="仿宋_GB2312" w:cs="DengXian-Regular"/>
          <w:sz w:val="32"/>
          <w:szCs w:val="32"/>
        </w:rPr>
        <w:t>万元，决算收入</w:t>
      </w:r>
      <w:r>
        <w:rPr>
          <w:rFonts w:ascii="仿宋_GB2312" w:eastAsia="仿宋_GB2312" w:cs="DengXian-Regular"/>
          <w:sz w:val="32"/>
          <w:szCs w:val="32"/>
        </w:rPr>
        <w:t>580.14</w:t>
      </w:r>
      <w:r>
        <w:rPr>
          <w:rFonts w:hint="eastAsia" w:ascii="仿宋_GB2312" w:eastAsia="仿宋_GB2312" w:cs="DengXian-Regular"/>
          <w:sz w:val="32"/>
          <w:szCs w:val="32"/>
        </w:rPr>
        <w:t>万元，结转结余率</w:t>
      </w:r>
      <w:r>
        <w:rPr>
          <w:rFonts w:ascii="仿宋_GB2312" w:eastAsia="仿宋_GB2312" w:cs="DengXian-Regular"/>
          <w:sz w:val="32"/>
          <w:szCs w:val="32"/>
        </w:rPr>
        <w:t>0.01</w:t>
      </w:r>
      <w:r>
        <w:rPr>
          <w:rFonts w:hint="eastAsia" w:ascii="仿宋_GB2312" w:eastAsia="仿宋_GB2312" w:cs="DengXian-Regular"/>
          <w:sz w:val="32"/>
          <w:szCs w:val="32"/>
        </w:rPr>
        <w:t>%，小于5%。</w:t>
      </w:r>
    </w:p>
    <w:p w14:paraId="512B4610">
      <w:pPr>
        <w:spacing w:after="0" w:line="6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659FB6A5">
      <w:pPr>
        <w:spacing w:after="0" w:line="6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240FE451">
      <w:pPr>
        <w:spacing w:after="0" w:line="6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2C013841">
      <w:pPr>
        <w:spacing w:after="0" w:line="6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06A0739F">
      <w:pPr>
        <w:spacing w:after="0" w:line="6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区人大常委会机关202</w:t>
      </w:r>
      <w:r>
        <w:rPr>
          <w:rFonts w:ascii="仿宋_GB2312" w:eastAsia="仿宋_GB2312" w:cs="DengXian-Regular"/>
          <w:sz w:val="32"/>
          <w:szCs w:val="32"/>
        </w:rPr>
        <w:t>1</w:t>
      </w:r>
      <w:r>
        <w:rPr>
          <w:rFonts w:hint="eastAsia" w:ascii="仿宋_GB2312" w:eastAsia="仿宋_GB2312" w:cs="DengXian-Regular"/>
          <w:sz w:val="32"/>
          <w:szCs w:val="32"/>
        </w:rPr>
        <w:t>年实际支出项目资金总额</w:t>
      </w:r>
      <w:r>
        <w:rPr>
          <w:rFonts w:ascii="仿宋_GB2312" w:eastAsia="仿宋_GB2312" w:cs="DengXian-Regular"/>
          <w:sz w:val="32"/>
          <w:szCs w:val="32"/>
        </w:rPr>
        <w:t>150.92</w:t>
      </w:r>
      <w:r>
        <w:rPr>
          <w:rFonts w:hint="eastAsia" w:ascii="仿宋_GB2312" w:eastAsia="仿宋_GB2312" w:cs="DengXian-Regular"/>
          <w:sz w:val="32"/>
          <w:szCs w:val="32"/>
        </w:rPr>
        <w:t>万元，年初预算共</w:t>
      </w:r>
      <w:r>
        <w:rPr>
          <w:rFonts w:ascii="仿宋_GB2312" w:eastAsia="仿宋_GB2312" w:cs="DengXian-Regular"/>
          <w:sz w:val="32"/>
          <w:szCs w:val="32"/>
        </w:rPr>
        <w:t>3</w:t>
      </w:r>
      <w:r>
        <w:rPr>
          <w:rFonts w:hint="eastAsia" w:ascii="仿宋_GB2312" w:eastAsia="仿宋_GB2312" w:cs="DengXian-Regular"/>
          <w:sz w:val="32"/>
          <w:szCs w:val="32"/>
        </w:rPr>
        <w:t>个项目，预算数</w:t>
      </w:r>
      <w:r>
        <w:rPr>
          <w:rFonts w:ascii="仿宋_GB2312" w:eastAsia="仿宋_GB2312" w:cs="DengXian-Regular"/>
          <w:sz w:val="32"/>
          <w:szCs w:val="32"/>
        </w:rPr>
        <w:t>44.96</w:t>
      </w:r>
      <w:r>
        <w:rPr>
          <w:rFonts w:hint="eastAsia" w:ascii="仿宋_GB2312" w:eastAsia="仿宋_GB2312" w:cs="DengXian-Regular"/>
          <w:sz w:val="32"/>
          <w:szCs w:val="32"/>
        </w:rPr>
        <w:t>万元，年中追加项目资金</w:t>
      </w:r>
      <w:r>
        <w:rPr>
          <w:rFonts w:ascii="仿宋_GB2312" w:eastAsia="仿宋_GB2312" w:cs="DengXian-Regular"/>
          <w:sz w:val="32"/>
          <w:szCs w:val="32"/>
        </w:rPr>
        <w:t>105.96</w:t>
      </w:r>
      <w:r>
        <w:rPr>
          <w:rFonts w:hint="eastAsia" w:ascii="仿宋_GB2312" w:eastAsia="仿宋_GB2312" w:cs="DengXian-Regular"/>
          <w:sz w:val="32"/>
          <w:szCs w:val="32"/>
        </w:rPr>
        <w:t>万元，项目资金使用率为</w:t>
      </w:r>
      <w:r>
        <w:rPr>
          <w:rFonts w:ascii="仿宋_GB2312" w:eastAsia="仿宋_GB2312" w:cs="DengXian-Regular"/>
          <w:sz w:val="32"/>
          <w:szCs w:val="32"/>
        </w:rPr>
        <w:t>100</w:t>
      </w:r>
      <w:r>
        <w:rPr>
          <w:rFonts w:hint="eastAsia" w:ascii="仿宋_GB2312" w:eastAsia="仿宋_GB2312" w:cs="DengXian-Regular"/>
          <w:sz w:val="32"/>
          <w:szCs w:val="32"/>
        </w:rPr>
        <w:t>%。</w:t>
      </w:r>
    </w:p>
    <w:p w14:paraId="09CDFECA">
      <w:pPr>
        <w:spacing w:after="0" w:line="6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7B0937C7">
      <w:pPr>
        <w:pStyle w:val="4"/>
        <w:spacing w:before="0" w:after="0" w:line="640" w:lineRule="exact"/>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586BB8B8">
      <w:pPr>
        <w:spacing w:after="0" w:line="640" w:lineRule="exact"/>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549688F0">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60B80025">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18FD0EE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083CDFC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1C7BDA8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22B7802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221D17D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C13F617">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51E1BE59">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7029B7EB">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187F9F1B">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3DF17BC8">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7A84C7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377980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330926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w:t>
            </w:r>
          </w:p>
        </w:tc>
      </w:tr>
      <w:tr w14:paraId="58327DC5">
        <w:tblPrEx>
          <w:tblCellMar>
            <w:top w:w="15" w:type="dxa"/>
            <w:left w:w="15" w:type="dxa"/>
            <w:bottom w:w="15" w:type="dxa"/>
            <w:right w:w="15" w:type="dxa"/>
          </w:tblCellMar>
        </w:tblPrEx>
        <w:trPr>
          <w:trHeight w:val="556"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216F5F6F">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60169965">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7E6128B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4A889C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230AEEE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7548356">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1CF8366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2CD4D32D">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A13127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76E1345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w:t>
            </w:r>
          </w:p>
        </w:tc>
      </w:tr>
      <w:bookmarkEnd w:id="70"/>
    </w:tbl>
    <w:p w14:paraId="5AD1559F">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5149516"/>
      <w:bookmarkStart w:id="73" w:name="_Toc464638561"/>
      <w:r>
        <w:rPr>
          <w:rFonts w:hint="eastAsia" w:ascii="仿宋_GB2312" w:eastAsia="仿宋_GB2312" w:cs="DengXian-Regular"/>
          <w:sz w:val="32"/>
          <w:szCs w:val="32"/>
        </w:rPr>
        <w:t>1.部门整体效益（10分）</w:t>
      </w:r>
    </w:p>
    <w:p w14:paraId="6033F9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0748C8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经查看区人大常委会机关提供的相关资料，区人大常委会机关履行职责对社会发展所带来的社会效益较显著，有效的提高了社会公众的参政意识。</w:t>
      </w:r>
    </w:p>
    <w:p w14:paraId="4EA971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7</w:t>
      </w:r>
      <w:r>
        <w:rPr>
          <w:rFonts w:hint="eastAsia" w:ascii="仿宋_GB2312" w:eastAsia="仿宋_GB2312" w:cs="DengXian-Regular"/>
          <w:sz w:val="32"/>
          <w:szCs w:val="32"/>
        </w:rPr>
        <w:t>分。</w:t>
      </w:r>
    </w:p>
    <w:p w14:paraId="117203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530795F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2D54A17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750C097C">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70FF8F3D">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493FB2D0">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1642422A">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1BB0AA02">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35DDA8B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6AA749B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294CE9E0">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06CB6C75">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1049A83A">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3554971C">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26A8A12B">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6CD1BDF7">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27D0307C">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754E4FE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56D7E34D">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xx</w:t>
            </w:r>
          </w:p>
        </w:tc>
      </w:tr>
      <w:tr w14:paraId="672D6129">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9F599B6">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023830FC">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08F0783F">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514F12A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6FE25105">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7FC946D7">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xx</w:t>
            </w:r>
          </w:p>
        </w:tc>
      </w:tr>
      <w:tr w14:paraId="60D440D4">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1E8B3566">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055F6C4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0DD82C46">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36AE07F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561DC46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5BE67BC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r>
    </w:tbl>
    <w:p w14:paraId="00095975">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w:t>
      </w:r>
      <w:r>
        <w:rPr>
          <w:rFonts w:ascii="仿宋_GB2312" w:eastAsia="仿宋_GB2312" w:cs="Times New Roman" w:hAnsiTheme="minorEastAsia"/>
          <w:sz w:val="32"/>
          <w:szCs w:val="32"/>
          <w:u w:color="000000"/>
        </w:rPr>
        <w:t>3</w:t>
      </w:r>
      <w:r>
        <w:rPr>
          <w:rFonts w:hint="eastAsia" w:ascii="仿宋_GB2312" w:eastAsia="仿宋_GB2312" w:cs="Times New Roman" w:hAnsiTheme="minorEastAsia"/>
          <w:sz w:val="32"/>
          <w:szCs w:val="32"/>
          <w:u w:color="000000"/>
        </w:rPr>
        <w:t>个单项，每个单项满分为100分。其中：每一单项满分为100分：满意为100分，一般为50分，不满意为0分。</w:t>
      </w:r>
    </w:p>
    <w:p w14:paraId="49751123">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6FE9ABC7">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4CBB2F54">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ascii="仿宋_GB2312" w:eastAsia="仿宋_GB2312" w:cs="Times New Roman" w:hAnsiTheme="minorEastAsia"/>
          <w:sz w:val="32"/>
          <w:szCs w:val="32"/>
          <w:u w:color="000000"/>
        </w:rPr>
        <w:t>100</w:t>
      </w:r>
      <w:r>
        <w:rPr>
          <w:rFonts w:hint="eastAsia" w:ascii="仿宋_GB2312" w:eastAsia="仿宋_GB2312" w:cs="Times New Roman" w:hAnsiTheme="minorEastAsia"/>
          <w:sz w:val="32"/>
          <w:szCs w:val="32"/>
          <w:u w:color="000000"/>
        </w:rPr>
        <w:t>分，大于90分，评价等级为“优”。</w:t>
      </w:r>
    </w:p>
    <w:p w14:paraId="7BA32054">
      <w:pPr>
        <w:spacing w:after="0" w:line="500" w:lineRule="exact"/>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4</w:t>
      </w:r>
      <w:r>
        <w:rPr>
          <w:rFonts w:hint="eastAsia" w:ascii="仿宋_GB2312" w:eastAsia="仿宋_GB2312" w:cs="Times New Roman" w:hAnsiTheme="minorEastAsia"/>
          <w:sz w:val="32"/>
          <w:szCs w:val="32"/>
          <w:u w:color="000000"/>
        </w:rPr>
        <w:t>分。</w:t>
      </w:r>
    </w:p>
    <w:p w14:paraId="0548C404">
      <w:pPr>
        <w:pStyle w:val="3"/>
        <w:keepNext w:val="0"/>
        <w:keepLines w:val="0"/>
        <w:suppressLineNumbers/>
        <w:spacing w:before="0" w:after="0" w:line="500" w:lineRule="exact"/>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180C958F">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区人大常委会机关</w:t>
      </w:r>
      <w:r>
        <w:rPr>
          <w:rFonts w:hint="eastAsia" w:ascii="仿宋_GB2312" w:eastAsia="仿宋_GB2312" w:cs="Times New Roman" w:hAnsiTheme="minorEastAsia"/>
          <w:sz w:val="32"/>
          <w:szCs w:val="32"/>
          <w:u w:color="000000"/>
        </w:rPr>
        <w:t>202</w:t>
      </w:r>
      <w:r>
        <w:rPr>
          <w:rFonts w:ascii="仿宋_GB2312" w:eastAsia="仿宋_GB2312" w:cs="Times New Roman" w:hAnsiTheme="minorEastAsia"/>
          <w:sz w:val="32"/>
          <w:szCs w:val="32"/>
          <w:u w:color="000000"/>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bookmarkEnd w:id="75"/>
    <w:bookmarkEnd w:id="76"/>
    <w:p w14:paraId="6EC88D7B">
      <w:pPr>
        <w:spacing w:after="0" w:line="500" w:lineRule="exact"/>
        <w:ind w:firstLine="640" w:firstLineChars="200"/>
        <w:jc w:val="both"/>
        <w:textAlignment w:val="baseline"/>
        <w:rPr>
          <w:rFonts w:ascii="仿宋_GB2312" w:eastAsia="仿宋_GB2312" w:cs="Times New Roman" w:hAnsiTheme="minorEastAsia"/>
          <w:sz w:val="32"/>
          <w:szCs w:val="32"/>
          <w:u w:color="000000"/>
        </w:rPr>
      </w:pPr>
      <w:bookmarkStart w:id="77" w:name="_Toc465149521"/>
      <w:r>
        <w:rPr>
          <w:rFonts w:hint="eastAsia" w:ascii="仿宋_GB2312" w:eastAsia="仿宋_GB2312" w:cs="Times New Roman" w:hAnsiTheme="minorEastAsia"/>
          <w:sz w:val="32"/>
          <w:szCs w:val="32"/>
          <w:u w:color="000000"/>
        </w:rPr>
        <w:t>1.</w:t>
      </w:r>
      <w:r>
        <w:rPr>
          <w:rFonts w:ascii="仿宋_GB2312" w:eastAsia="仿宋_GB2312" w:cs="Times New Roman" w:hAnsiTheme="minorEastAsia"/>
          <w:sz w:val="32"/>
          <w:szCs w:val="32"/>
          <w:u w:color="000000"/>
        </w:rPr>
        <w:t>预算编制有待进一步加强，确保预算执行力度。</w:t>
      </w:r>
    </w:p>
    <w:p w14:paraId="11C6447B">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财务制度执行力有待加强，资金使用计划有待细化。</w:t>
      </w:r>
    </w:p>
    <w:p w14:paraId="3D6BAABE">
      <w:pPr>
        <w:pStyle w:val="3"/>
        <w:keepNext w:val="0"/>
        <w:keepLines w:val="0"/>
        <w:suppressLineNumbers/>
        <w:spacing w:before="0" w:after="0" w:line="500" w:lineRule="exact"/>
        <w:ind w:firstLine="643" w:firstLineChars="200"/>
        <w:rPr>
          <w:rFonts w:ascii="黑体"/>
        </w:rPr>
      </w:pPr>
      <w:r>
        <w:rPr>
          <w:rFonts w:hint="eastAsia" w:ascii="黑体"/>
        </w:rPr>
        <w:t>六、绩效评价意见及建议</w:t>
      </w:r>
    </w:p>
    <w:p w14:paraId="0B85B3C2">
      <w:pPr>
        <w:pStyle w:val="3"/>
        <w:keepNext w:val="0"/>
        <w:keepLines w:val="0"/>
        <w:suppressLineNumbers/>
        <w:spacing w:before="0" w:after="0" w:line="500" w:lineRule="exact"/>
        <w:ind w:firstLine="640" w:firstLineChars="200"/>
        <w:rPr>
          <w:rFonts w:ascii="黑体"/>
          <w:b w:val="0"/>
        </w:rPr>
      </w:pPr>
      <w:r>
        <w:rPr>
          <w:rFonts w:hint="eastAsia" w:ascii="仿宋" w:hAnsi="仿宋" w:eastAsia="仿宋"/>
          <w:b w:val="0"/>
          <w:color w:val="000000"/>
        </w:rPr>
        <w:t>为做好绩效评价实施的跟踪检查工作。我单位不定期地对实施情况和经费使用情况进行跟踪检查，对能实现预期绩效目标的项目予以充分肯定，对进展缓慢，预期绩效目标较差的项目，及时进行协调和提出整改措施，确保项目实施工作正常运行，达到预期绩效目标。</w:t>
      </w:r>
    </w:p>
    <w:p w14:paraId="076E076F">
      <w:pPr>
        <w:pStyle w:val="20"/>
        <w:shd w:val="clear" w:color="auto" w:fill="FFFFFF"/>
        <w:spacing w:before="0" w:beforeAutospacing="0" w:after="0" w:afterAutospacing="0" w:line="540" w:lineRule="exact"/>
        <w:ind w:firstLine="640" w:firstLineChars="200"/>
        <w:jc w:val="both"/>
        <w:rPr>
          <w:rFonts w:ascii="Times New Roman" w:hAnsi="Times New Roman" w:cs="Times New Roman"/>
          <w:color w:val="000000"/>
          <w:sz w:val="21"/>
          <w:szCs w:val="21"/>
        </w:rPr>
      </w:pPr>
      <w:r>
        <w:rPr>
          <w:rFonts w:hint="eastAsia" w:ascii="楷体" w:hAnsi="楷体" w:eastAsia="楷体" w:cs="楷体"/>
          <w:color w:val="000000"/>
          <w:sz w:val="32"/>
          <w:szCs w:val="32"/>
        </w:rPr>
        <w:t>1、</w:t>
      </w:r>
      <w:r>
        <w:rPr>
          <w:rFonts w:hint="eastAsia" w:ascii="仿宋" w:hAnsi="仿宋" w:eastAsia="仿宋" w:cs="Times New Roman"/>
          <w:color w:val="000000"/>
          <w:sz w:val="32"/>
          <w:szCs w:val="32"/>
        </w:rPr>
        <w:t>进一步健全和完善财务管理制度及内部控制制度，创新管理手段，用新思路、新方法，改进完善财务管理方法。</w:t>
      </w:r>
    </w:p>
    <w:p w14:paraId="6E1D616D">
      <w:pPr>
        <w:pStyle w:val="20"/>
        <w:shd w:val="clear" w:color="auto" w:fill="FFFFFF"/>
        <w:spacing w:before="0" w:beforeAutospacing="0" w:after="0" w:afterAutospacing="0" w:line="540" w:lineRule="exact"/>
        <w:ind w:firstLine="640" w:firstLineChars="200"/>
        <w:jc w:val="both"/>
        <w:rPr>
          <w:rFonts w:ascii="Times New Roman" w:hAnsi="Times New Roman" w:cs="Times New Roman"/>
          <w:color w:val="000000"/>
          <w:sz w:val="21"/>
          <w:szCs w:val="21"/>
        </w:rPr>
      </w:pPr>
      <w:r>
        <w:rPr>
          <w:rFonts w:hint="eastAsia" w:ascii="楷体" w:hAnsi="楷体" w:eastAsia="楷体" w:cs="楷体"/>
          <w:color w:val="000000"/>
          <w:sz w:val="32"/>
          <w:szCs w:val="32"/>
        </w:rPr>
        <w:t>2、</w:t>
      </w:r>
      <w:r>
        <w:rPr>
          <w:rFonts w:hint="eastAsia" w:ascii="仿宋" w:hAnsi="仿宋" w:eastAsia="仿宋" w:cs="Times New Roman"/>
          <w:color w:val="000000"/>
          <w:sz w:val="32"/>
          <w:szCs w:val="32"/>
        </w:rPr>
        <w:t>在编制预算与执行中，我单位将尽可能的用有限的经费平衡每年的工作任务，尽量做到科学、合理的分配。</w:t>
      </w:r>
    </w:p>
    <w:p w14:paraId="6784B2DD"/>
    <w:p w14:paraId="1A3E053F">
      <w:pPr>
        <w:spacing w:after="0" w:line="560" w:lineRule="exact"/>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 保定市徐水区人民代表大会常务委员会基本情况及主要职责</w:t>
      </w:r>
    </w:p>
    <w:p w14:paraId="39E28D98">
      <w:pPr>
        <w:spacing w:after="0" w:line="56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年度保定市徐水区人民代表大会常务委员会办公室收支预算及决算明细表</w:t>
      </w:r>
    </w:p>
    <w:p w14:paraId="49089ED1">
      <w:pPr>
        <w:spacing w:after="0" w:line="56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606461C1">
      <w:pPr>
        <w:spacing w:after="0" w:line="56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年保定市徐水区人民代表大会常务委员会办公室工作活动绩效目标、绩效指标一览表</w:t>
      </w:r>
      <w:bookmarkEnd w:id="77"/>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460C5">
    <w:pPr>
      <w:pStyle w:val="14"/>
      <w:jc w:val="center"/>
    </w:pPr>
  </w:p>
  <w:p w14:paraId="7E17790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01822">
    <w:pPr>
      <w:pStyle w:val="14"/>
      <w:jc w:val="center"/>
    </w:pPr>
    <w:r>
      <w:fldChar w:fldCharType="begin"/>
    </w:r>
    <w:r>
      <w:instrText xml:space="preserve"> PAGE   \* MERGEFORMAT </w:instrText>
    </w:r>
    <w:r>
      <w:fldChar w:fldCharType="separate"/>
    </w:r>
    <w:r>
      <w:rPr>
        <w:lang w:val="zh-CN"/>
      </w:rPr>
      <w:t>34</w:t>
    </w:r>
    <w:r>
      <w:rPr>
        <w:lang w:val="zh-CN"/>
      </w:rPr>
      <w:fldChar w:fldCharType="end"/>
    </w:r>
  </w:p>
  <w:p w14:paraId="25EA89CF">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TA4YzI5MGM1ODUyZmI4NDU2YWJiYjE0OTEzYzdjYjcifQ=="/>
  </w:docVars>
  <w:rsids>
    <w:rsidRoot w:val="00D31D50"/>
    <w:rsid w:val="00003C4A"/>
    <w:rsid w:val="00004179"/>
    <w:rsid w:val="00004378"/>
    <w:rsid w:val="0000439F"/>
    <w:rsid w:val="00006394"/>
    <w:rsid w:val="00007CA0"/>
    <w:rsid w:val="0001166F"/>
    <w:rsid w:val="00015C39"/>
    <w:rsid w:val="000174D3"/>
    <w:rsid w:val="0002415F"/>
    <w:rsid w:val="00025620"/>
    <w:rsid w:val="00026749"/>
    <w:rsid w:val="00026F83"/>
    <w:rsid w:val="0002705B"/>
    <w:rsid w:val="000317D7"/>
    <w:rsid w:val="00032610"/>
    <w:rsid w:val="00032B03"/>
    <w:rsid w:val="000334C2"/>
    <w:rsid w:val="0003450B"/>
    <w:rsid w:val="0003465E"/>
    <w:rsid w:val="00034910"/>
    <w:rsid w:val="0003506D"/>
    <w:rsid w:val="000363F1"/>
    <w:rsid w:val="00036BBA"/>
    <w:rsid w:val="000409C0"/>
    <w:rsid w:val="00040FA2"/>
    <w:rsid w:val="0004123E"/>
    <w:rsid w:val="00044599"/>
    <w:rsid w:val="000446E5"/>
    <w:rsid w:val="00044A25"/>
    <w:rsid w:val="00047D7B"/>
    <w:rsid w:val="000509B6"/>
    <w:rsid w:val="00050A62"/>
    <w:rsid w:val="000516BA"/>
    <w:rsid w:val="00051DBC"/>
    <w:rsid w:val="00052010"/>
    <w:rsid w:val="00061096"/>
    <w:rsid w:val="000612A2"/>
    <w:rsid w:val="00063117"/>
    <w:rsid w:val="000673C1"/>
    <w:rsid w:val="00072BF5"/>
    <w:rsid w:val="000752C6"/>
    <w:rsid w:val="00075B78"/>
    <w:rsid w:val="00077648"/>
    <w:rsid w:val="00080E48"/>
    <w:rsid w:val="00081053"/>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B7B64"/>
    <w:rsid w:val="000C117F"/>
    <w:rsid w:val="000C1EA5"/>
    <w:rsid w:val="000C2A81"/>
    <w:rsid w:val="000C52FB"/>
    <w:rsid w:val="000C55E6"/>
    <w:rsid w:val="000C6D5A"/>
    <w:rsid w:val="000D09B2"/>
    <w:rsid w:val="000D7C38"/>
    <w:rsid w:val="000E0902"/>
    <w:rsid w:val="000E3830"/>
    <w:rsid w:val="000E6EE6"/>
    <w:rsid w:val="000F070B"/>
    <w:rsid w:val="000F1E27"/>
    <w:rsid w:val="000F3158"/>
    <w:rsid w:val="000F364D"/>
    <w:rsid w:val="000F40FD"/>
    <w:rsid w:val="000F4432"/>
    <w:rsid w:val="000F465E"/>
    <w:rsid w:val="000F5E8C"/>
    <w:rsid w:val="000F64CD"/>
    <w:rsid w:val="000F771B"/>
    <w:rsid w:val="001000B2"/>
    <w:rsid w:val="00104C6C"/>
    <w:rsid w:val="0010560E"/>
    <w:rsid w:val="00105C85"/>
    <w:rsid w:val="0010612A"/>
    <w:rsid w:val="00106FF7"/>
    <w:rsid w:val="00107111"/>
    <w:rsid w:val="001073D6"/>
    <w:rsid w:val="00107819"/>
    <w:rsid w:val="00111246"/>
    <w:rsid w:val="0011574B"/>
    <w:rsid w:val="00116132"/>
    <w:rsid w:val="00117B9C"/>
    <w:rsid w:val="00117E7D"/>
    <w:rsid w:val="00120EA6"/>
    <w:rsid w:val="00122196"/>
    <w:rsid w:val="0012439D"/>
    <w:rsid w:val="0012587C"/>
    <w:rsid w:val="00127DA9"/>
    <w:rsid w:val="0013591D"/>
    <w:rsid w:val="00141DE8"/>
    <w:rsid w:val="00144105"/>
    <w:rsid w:val="00145B4E"/>
    <w:rsid w:val="001544E1"/>
    <w:rsid w:val="001551CE"/>
    <w:rsid w:val="0016020E"/>
    <w:rsid w:val="00164732"/>
    <w:rsid w:val="00164FE1"/>
    <w:rsid w:val="00167041"/>
    <w:rsid w:val="001703D7"/>
    <w:rsid w:val="001718D1"/>
    <w:rsid w:val="001719D0"/>
    <w:rsid w:val="00172245"/>
    <w:rsid w:val="0017403C"/>
    <w:rsid w:val="00174241"/>
    <w:rsid w:val="00176E7D"/>
    <w:rsid w:val="001804B7"/>
    <w:rsid w:val="001823BF"/>
    <w:rsid w:val="001827F5"/>
    <w:rsid w:val="00182B52"/>
    <w:rsid w:val="00183C43"/>
    <w:rsid w:val="00185652"/>
    <w:rsid w:val="00187750"/>
    <w:rsid w:val="00190292"/>
    <w:rsid w:val="001926B8"/>
    <w:rsid w:val="0019341A"/>
    <w:rsid w:val="001952EC"/>
    <w:rsid w:val="001A0F7A"/>
    <w:rsid w:val="001A1677"/>
    <w:rsid w:val="001A268B"/>
    <w:rsid w:val="001A5FD3"/>
    <w:rsid w:val="001B0380"/>
    <w:rsid w:val="001B04A4"/>
    <w:rsid w:val="001B30D5"/>
    <w:rsid w:val="001B382A"/>
    <w:rsid w:val="001B5C88"/>
    <w:rsid w:val="001B6CE6"/>
    <w:rsid w:val="001C046D"/>
    <w:rsid w:val="001C0781"/>
    <w:rsid w:val="001C1412"/>
    <w:rsid w:val="001C391F"/>
    <w:rsid w:val="001C3BDD"/>
    <w:rsid w:val="001C5135"/>
    <w:rsid w:val="001C708D"/>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246D"/>
    <w:rsid w:val="0021307B"/>
    <w:rsid w:val="00213EE8"/>
    <w:rsid w:val="002142B8"/>
    <w:rsid w:val="002161F4"/>
    <w:rsid w:val="00216E75"/>
    <w:rsid w:val="00221907"/>
    <w:rsid w:val="00222134"/>
    <w:rsid w:val="00222FA8"/>
    <w:rsid w:val="00224C34"/>
    <w:rsid w:val="0022532A"/>
    <w:rsid w:val="00227AFB"/>
    <w:rsid w:val="002302DD"/>
    <w:rsid w:val="00230CD1"/>
    <w:rsid w:val="002342E6"/>
    <w:rsid w:val="00234D02"/>
    <w:rsid w:val="00235741"/>
    <w:rsid w:val="00236B18"/>
    <w:rsid w:val="002401EA"/>
    <w:rsid w:val="00241B9D"/>
    <w:rsid w:val="002439D4"/>
    <w:rsid w:val="00245CB2"/>
    <w:rsid w:val="00246A44"/>
    <w:rsid w:val="00250BAC"/>
    <w:rsid w:val="00252B9E"/>
    <w:rsid w:val="00256D21"/>
    <w:rsid w:val="00257997"/>
    <w:rsid w:val="00260245"/>
    <w:rsid w:val="0026252A"/>
    <w:rsid w:val="00262BB1"/>
    <w:rsid w:val="00263D3A"/>
    <w:rsid w:val="002643BE"/>
    <w:rsid w:val="00265325"/>
    <w:rsid w:val="00266E84"/>
    <w:rsid w:val="002714BE"/>
    <w:rsid w:val="002715FC"/>
    <w:rsid w:val="002736FD"/>
    <w:rsid w:val="00274CFA"/>
    <w:rsid w:val="00275677"/>
    <w:rsid w:val="00275A3F"/>
    <w:rsid w:val="00277A23"/>
    <w:rsid w:val="0028068C"/>
    <w:rsid w:val="00280F6C"/>
    <w:rsid w:val="00282611"/>
    <w:rsid w:val="00282A89"/>
    <w:rsid w:val="00283F8F"/>
    <w:rsid w:val="002869F9"/>
    <w:rsid w:val="00292F2E"/>
    <w:rsid w:val="00292F98"/>
    <w:rsid w:val="002939A0"/>
    <w:rsid w:val="002959A3"/>
    <w:rsid w:val="00296061"/>
    <w:rsid w:val="0029626E"/>
    <w:rsid w:val="00296B70"/>
    <w:rsid w:val="00296E59"/>
    <w:rsid w:val="00297CEF"/>
    <w:rsid w:val="00297CF2"/>
    <w:rsid w:val="002A0364"/>
    <w:rsid w:val="002A1661"/>
    <w:rsid w:val="002A1A25"/>
    <w:rsid w:val="002A563C"/>
    <w:rsid w:val="002B050A"/>
    <w:rsid w:val="002B05EF"/>
    <w:rsid w:val="002B2E34"/>
    <w:rsid w:val="002B76FA"/>
    <w:rsid w:val="002C029E"/>
    <w:rsid w:val="002C2643"/>
    <w:rsid w:val="002C2C71"/>
    <w:rsid w:val="002C40F8"/>
    <w:rsid w:val="002C4C03"/>
    <w:rsid w:val="002C5A65"/>
    <w:rsid w:val="002C71F3"/>
    <w:rsid w:val="002C77E3"/>
    <w:rsid w:val="002D2112"/>
    <w:rsid w:val="002D53D7"/>
    <w:rsid w:val="002D5508"/>
    <w:rsid w:val="002D5FC1"/>
    <w:rsid w:val="002D7AB3"/>
    <w:rsid w:val="002E1D3C"/>
    <w:rsid w:val="002E1F73"/>
    <w:rsid w:val="002E269D"/>
    <w:rsid w:val="002E3460"/>
    <w:rsid w:val="002E70AE"/>
    <w:rsid w:val="002F000F"/>
    <w:rsid w:val="002F0C41"/>
    <w:rsid w:val="002F4D6F"/>
    <w:rsid w:val="002F5B6A"/>
    <w:rsid w:val="002F5BF5"/>
    <w:rsid w:val="002F5ECA"/>
    <w:rsid w:val="00306572"/>
    <w:rsid w:val="003079C7"/>
    <w:rsid w:val="00314820"/>
    <w:rsid w:val="003169F3"/>
    <w:rsid w:val="0032078D"/>
    <w:rsid w:val="00321CE0"/>
    <w:rsid w:val="0032231F"/>
    <w:rsid w:val="00323B43"/>
    <w:rsid w:val="00325BCC"/>
    <w:rsid w:val="003309A3"/>
    <w:rsid w:val="00332563"/>
    <w:rsid w:val="003345BC"/>
    <w:rsid w:val="00343662"/>
    <w:rsid w:val="003449AD"/>
    <w:rsid w:val="00345A9A"/>
    <w:rsid w:val="00352597"/>
    <w:rsid w:val="0035365E"/>
    <w:rsid w:val="00355403"/>
    <w:rsid w:val="003569A8"/>
    <w:rsid w:val="003604ED"/>
    <w:rsid w:val="00361FFF"/>
    <w:rsid w:val="00362340"/>
    <w:rsid w:val="0036286E"/>
    <w:rsid w:val="003653A5"/>
    <w:rsid w:val="00366971"/>
    <w:rsid w:val="00367DF7"/>
    <w:rsid w:val="00370AFA"/>
    <w:rsid w:val="0037120F"/>
    <w:rsid w:val="00371235"/>
    <w:rsid w:val="0037242E"/>
    <w:rsid w:val="003743E9"/>
    <w:rsid w:val="0038005F"/>
    <w:rsid w:val="003803CC"/>
    <w:rsid w:val="00382949"/>
    <w:rsid w:val="00385DFB"/>
    <w:rsid w:val="00391AE3"/>
    <w:rsid w:val="00396D4C"/>
    <w:rsid w:val="003A02BE"/>
    <w:rsid w:val="003A1765"/>
    <w:rsid w:val="003A3C32"/>
    <w:rsid w:val="003A4D02"/>
    <w:rsid w:val="003A4D52"/>
    <w:rsid w:val="003A536E"/>
    <w:rsid w:val="003B62F3"/>
    <w:rsid w:val="003B6DEC"/>
    <w:rsid w:val="003B79D3"/>
    <w:rsid w:val="003C2B92"/>
    <w:rsid w:val="003C4A69"/>
    <w:rsid w:val="003D126B"/>
    <w:rsid w:val="003D1D33"/>
    <w:rsid w:val="003D22C9"/>
    <w:rsid w:val="003D28AC"/>
    <w:rsid w:val="003D37D8"/>
    <w:rsid w:val="003D3912"/>
    <w:rsid w:val="003D67E4"/>
    <w:rsid w:val="003D7B2A"/>
    <w:rsid w:val="003E266C"/>
    <w:rsid w:val="003E3C05"/>
    <w:rsid w:val="003E3EE8"/>
    <w:rsid w:val="003F282F"/>
    <w:rsid w:val="00400E89"/>
    <w:rsid w:val="004016D6"/>
    <w:rsid w:val="00401AB4"/>
    <w:rsid w:val="00402CA2"/>
    <w:rsid w:val="00402D95"/>
    <w:rsid w:val="00403ADD"/>
    <w:rsid w:val="00407629"/>
    <w:rsid w:val="004108EE"/>
    <w:rsid w:val="00410F1A"/>
    <w:rsid w:val="00412A31"/>
    <w:rsid w:val="004149A9"/>
    <w:rsid w:val="004200B9"/>
    <w:rsid w:val="0042432F"/>
    <w:rsid w:val="00424451"/>
    <w:rsid w:val="00424FB7"/>
    <w:rsid w:val="00426133"/>
    <w:rsid w:val="004300B1"/>
    <w:rsid w:val="00430AF8"/>
    <w:rsid w:val="0043148F"/>
    <w:rsid w:val="0043354D"/>
    <w:rsid w:val="00434EB0"/>
    <w:rsid w:val="004358AB"/>
    <w:rsid w:val="00435DA7"/>
    <w:rsid w:val="004370A2"/>
    <w:rsid w:val="00445C28"/>
    <w:rsid w:val="004468B5"/>
    <w:rsid w:val="00451E9F"/>
    <w:rsid w:val="00454644"/>
    <w:rsid w:val="004551F1"/>
    <w:rsid w:val="00456648"/>
    <w:rsid w:val="00457E00"/>
    <w:rsid w:val="004606A4"/>
    <w:rsid w:val="00461E7C"/>
    <w:rsid w:val="004639E0"/>
    <w:rsid w:val="00463A6D"/>
    <w:rsid w:val="00465A21"/>
    <w:rsid w:val="0047047F"/>
    <w:rsid w:val="00472C49"/>
    <w:rsid w:val="00474DE3"/>
    <w:rsid w:val="00477959"/>
    <w:rsid w:val="00477B3C"/>
    <w:rsid w:val="00486217"/>
    <w:rsid w:val="00486A56"/>
    <w:rsid w:val="00493B60"/>
    <w:rsid w:val="00494D73"/>
    <w:rsid w:val="004A19C4"/>
    <w:rsid w:val="004A3FA4"/>
    <w:rsid w:val="004A6EA4"/>
    <w:rsid w:val="004B146A"/>
    <w:rsid w:val="004B1E69"/>
    <w:rsid w:val="004B4146"/>
    <w:rsid w:val="004B5892"/>
    <w:rsid w:val="004B59DD"/>
    <w:rsid w:val="004B5E88"/>
    <w:rsid w:val="004B5EDE"/>
    <w:rsid w:val="004C0341"/>
    <w:rsid w:val="004C46D3"/>
    <w:rsid w:val="004C5D39"/>
    <w:rsid w:val="004C7656"/>
    <w:rsid w:val="004C7C48"/>
    <w:rsid w:val="004D014B"/>
    <w:rsid w:val="004D21B9"/>
    <w:rsid w:val="004D21FF"/>
    <w:rsid w:val="004D2DD5"/>
    <w:rsid w:val="004D406B"/>
    <w:rsid w:val="004D41F0"/>
    <w:rsid w:val="004D55F1"/>
    <w:rsid w:val="004D578A"/>
    <w:rsid w:val="004D6157"/>
    <w:rsid w:val="004D656B"/>
    <w:rsid w:val="004D7523"/>
    <w:rsid w:val="004E07AC"/>
    <w:rsid w:val="004E0AA9"/>
    <w:rsid w:val="004E1158"/>
    <w:rsid w:val="004E1AEF"/>
    <w:rsid w:val="004E3774"/>
    <w:rsid w:val="004E446B"/>
    <w:rsid w:val="004E5448"/>
    <w:rsid w:val="004E5DFC"/>
    <w:rsid w:val="004E642E"/>
    <w:rsid w:val="004E7ADC"/>
    <w:rsid w:val="004F37DA"/>
    <w:rsid w:val="004F4875"/>
    <w:rsid w:val="0050185D"/>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35707"/>
    <w:rsid w:val="005421AC"/>
    <w:rsid w:val="00544C1A"/>
    <w:rsid w:val="00546D1B"/>
    <w:rsid w:val="0055027D"/>
    <w:rsid w:val="00552AC0"/>
    <w:rsid w:val="00554FA1"/>
    <w:rsid w:val="00556934"/>
    <w:rsid w:val="005601FB"/>
    <w:rsid w:val="005607DF"/>
    <w:rsid w:val="00564377"/>
    <w:rsid w:val="00564538"/>
    <w:rsid w:val="00566A89"/>
    <w:rsid w:val="00567E07"/>
    <w:rsid w:val="005716A9"/>
    <w:rsid w:val="005724B2"/>
    <w:rsid w:val="005771F7"/>
    <w:rsid w:val="00577B7B"/>
    <w:rsid w:val="00583F7F"/>
    <w:rsid w:val="00584FCF"/>
    <w:rsid w:val="0058600B"/>
    <w:rsid w:val="00587913"/>
    <w:rsid w:val="00593428"/>
    <w:rsid w:val="00593B65"/>
    <w:rsid w:val="005968EA"/>
    <w:rsid w:val="005A15D6"/>
    <w:rsid w:val="005A1FD8"/>
    <w:rsid w:val="005A2ABE"/>
    <w:rsid w:val="005A317D"/>
    <w:rsid w:val="005A6801"/>
    <w:rsid w:val="005A79F9"/>
    <w:rsid w:val="005C3594"/>
    <w:rsid w:val="005C46B7"/>
    <w:rsid w:val="005C7C8B"/>
    <w:rsid w:val="005D5617"/>
    <w:rsid w:val="005D6591"/>
    <w:rsid w:val="005D6869"/>
    <w:rsid w:val="005D7446"/>
    <w:rsid w:val="005D7953"/>
    <w:rsid w:val="005E5F88"/>
    <w:rsid w:val="005F06F5"/>
    <w:rsid w:val="005F120A"/>
    <w:rsid w:val="005F46C0"/>
    <w:rsid w:val="005F471D"/>
    <w:rsid w:val="005F720A"/>
    <w:rsid w:val="005F7467"/>
    <w:rsid w:val="005F78E7"/>
    <w:rsid w:val="006007F3"/>
    <w:rsid w:val="0060402C"/>
    <w:rsid w:val="00606C29"/>
    <w:rsid w:val="0061252A"/>
    <w:rsid w:val="006135B3"/>
    <w:rsid w:val="006138D4"/>
    <w:rsid w:val="00616C03"/>
    <w:rsid w:val="00616F30"/>
    <w:rsid w:val="00617D68"/>
    <w:rsid w:val="006215A2"/>
    <w:rsid w:val="00621F7D"/>
    <w:rsid w:val="00621FC3"/>
    <w:rsid w:val="00622AD1"/>
    <w:rsid w:val="00623267"/>
    <w:rsid w:val="00625428"/>
    <w:rsid w:val="0062670B"/>
    <w:rsid w:val="00630B86"/>
    <w:rsid w:val="00630F5B"/>
    <w:rsid w:val="00634C66"/>
    <w:rsid w:val="006352D1"/>
    <w:rsid w:val="00636E1A"/>
    <w:rsid w:val="00640180"/>
    <w:rsid w:val="0064088C"/>
    <w:rsid w:val="00642BA5"/>
    <w:rsid w:val="006434E0"/>
    <w:rsid w:val="00644BA1"/>
    <w:rsid w:val="00650C90"/>
    <w:rsid w:val="0065172D"/>
    <w:rsid w:val="0065287D"/>
    <w:rsid w:val="0065671B"/>
    <w:rsid w:val="00656A5A"/>
    <w:rsid w:val="00663A42"/>
    <w:rsid w:val="00663C29"/>
    <w:rsid w:val="0066418E"/>
    <w:rsid w:val="0066469F"/>
    <w:rsid w:val="00665664"/>
    <w:rsid w:val="00676978"/>
    <w:rsid w:val="0067780F"/>
    <w:rsid w:val="0068185E"/>
    <w:rsid w:val="00683851"/>
    <w:rsid w:val="006854B8"/>
    <w:rsid w:val="00686C30"/>
    <w:rsid w:val="00690FA3"/>
    <w:rsid w:val="006912A8"/>
    <w:rsid w:val="00692331"/>
    <w:rsid w:val="0069331D"/>
    <w:rsid w:val="00696DF8"/>
    <w:rsid w:val="0069783E"/>
    <w:rsid w:val="00697E26"/>
    <w:rsid w:val="006A0330"/>
    <w:rsid w:val="006A3AE1"/>
    <w:rsid w:val="006A3B57"/>
    <w:rsid w:val="006A5889"/>
    <w:rsid w:val="006A6AB2"/>
    <w:rsid w:val="006B117D"/>
    <w:rsid w:val="006B19B7"/>
    <w:rsid w:val="006B233D"/>
    <w:rsid w:val="006B392C"/>
    <w:rsid w:val="006B4CC0"/>
    <w:rsid w:val="006B65B0"/>
    <w:rsid w:val="006C43CA"/>
    <w:rsid w:val="006C5198"/>
    <w:rsid w:val="006C6972"/>
    <w:rsid w:val="006C6A07"/>
    <w:rsid w:val="006E0A3D"/>
    <w:rsid w:val="006E27F1"/>
    <w:rsid w:val="006E3232"/>
    <w:rsid w:val="006E5BC8"/>
    <w:rsid w:val="006E7CBA"/>
    <w:rsid w:val="006F222F"/>
    <w:rsid w:val="006F55F6"/>
    <w:rsid w:val="006F7B69"/>
    <w:rsid w:val="0070241F"/>
    <w:rsid w:val="007024A9"/>
    <w:rsid w:val="00703C96"/>
    <w:rsid w:val="00704BE7"/>
    <w:rsid w:val="007130D7"/>
    <w:rsid w:val="00713E98"/>
    <w:rsid w:val="00715591"/>
    <w:rsid w:val="00715AE8"/>
    <w:rsid w:val="00721844"/>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4A69"/>
    <w:rsid w:val="00756D66"/>
    <w:rsid w:val="00760D03"/>
    <w:rsid w:val="00761D80"/>
    <w:rsid w:val="007631FD"/>
    <w:rsid w:val="0076364A"/>
    <w:rsid w:val="00765244"/>
    <w:rsid w:val="00766FC5"/>
    <w:rsid w:val="00770E5B"/>
    <w:rsid w:val="00772930"/>
    <w:rsid w:val="00776E20"/>
    <w:rsid w:val="00780042"/>
    <w:rsid w:val="007814AF"/>
    <w:rsid w:val="007825F0"/>
    <w:rsid w:val="00787F88"/>
    <w:rsid w:val="007927A8"/>
    <w:rsid w:val="00795B48"/>
    <w:rsid w:val="0079721A"/>
    <w:rsid w:val="007A095C"/>
    <w:rsid w:val="007A0AF8"/>
    <w:rsid w:val="007A283A"/>
    <w:rsid w:val="007A65C8"/>
    <w:rsid w:val="007A6B16"/>
    <w:rsid w:val="007A6D09"/>
    <w:rsid w:val="007A6E62"/>
    <w:rsid w:val="007A7AC4"/>
    <w:rsid w:val="007B42E7"/>
    <w:rsid w:val="007B639C"/>
    <w:rsid w:val="007B7036"/>
    <w:rsid w:val="007C0870"/>
    <w:rsid w:val="007C2CA1"/>
    <w:rsid w:val="007C2D10"/>
    <w:rsid w:val="007C457D"/>
    <w:rsid w:val="007D02A9"/>
    <w:rsid w:val="007D166D"/>
    <w:rsid w:val="007D17C7"/>
    <w:rsid w:val="007D2766"/>
    <w:rsid w:val="007D2FF7"/>
    <w:rsid w:val="007D74D8"/>
    <w:rsid w:val="007E13A4"/>
    <w:rsid w:val="007E20CA"/>
    <w:rsid w:val="007E2A00"/>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639"/>
    <w:rsid w:val="00817981"/>
    <w:rsid w:val="008200CC"/>
    <w:rsid w:val="00822851"/>
    <w:rsid w:val="00824A75"/>
    <w:rsid w:val="00824EEC"/>
    <w:rsid w:val="0082509A"/>
    <w:rsid w:val="00825A51"/>
    <w:rsid w:val="00825D53"/>
    <w:rsid w:val="008272DF"/>
    <w:rsid w:val="00831065"/>
    <w:rsid w:val="008337A7"/>
    <w:rsid w:val="00835BCB"/>
    <w:rsid w:val="00836294"/>
    <w:rsid w:val="00836773"/>
    <w:rsid w:val="00836ACC"/>
    <w:rsid w:val="00836E6A"/>
    <w:rsid w:val="00837128"/>
    <w:rsid w:val="008410D0"/>
    <w:rsid w:val="00841559"/>
    <w:rsid w:val="0084558B"/>
    <w:rsid w:val="00845924"/>
    <w:rsid w:val="00846107"/>
    <w:rsid w:val="00847E07"/>
    <w:rsid w:val="00851297"/>
    <w:rsid w:val="00852C43"/>
    <w:rsid w:val="00853737"/>
    <w:rsid w:val="008541B8"/>
    <w:rsid w:val="00854653"/>
    <w:rsid w:val="008558B3"/>
    <w:rsid w:val="00855A1A"/>
    <w:rsid w:val="00857249"/>
    <w:rsid w:val="00861067"/>
    <w:rsid w:val="00862A06"/>
    <w:rsid w:val="00862AE2"/>
    <w:rsid w:val="00862C25"/>
    <w:rsid w:val="00863CA2"/>
    <w:rsid w:val="00864635"/>
    <w:rsid w:val="00864A80"/>
    <w:rsid w:val="008655ED"/>
    <w:rsid w:val="00866942"/>
    <w:rsid w:val="00871B0D"/>
    <w:rsid w:val="00871B14"/>
    <w:rsid w:val="008735A1"/>
    <w:rsid w:val="008746E0"/>
    <w:rsid w:val="00875962"/>
    <w:rsid w:val="00880325"/>
    <w:rsid w:val="00882ABD"/>
    <w:rsid w:val="008844A4"/>
    <w:rsid w:val="008857CC"/>
    <w:rsid w:val="008921D0"/>
    <w:rsid w:val="0089314F"/>
    <w:rsid w:val="0089328E"/>
    <w:rsid w:val="0089513A"/>
    <w:rsid w:val="00896069"/>
    <w:rsid w:val="00896786"/>
    <w:rsid w:val="008976AB"/>
    <w:rsid w:val="008A0EA8"/>
    <w:rsid w:val="008A2C15"/>
    <w:rsid w:val="008A3DBA"/>
    <w:rsid w:val="008A483E"/>
    <w:rsid w:val="008A5601"/>
    <w:rsid w:val="008B7726"/>
    <w:rsid w:val="008C08EC"/>
    <w:rsid w:val="008C2997"/>
    <w:rsid w:val="008C443B"/>
    <w:rsid w:val="008C538A"/>
    <w:rsid w:val="008C6C2A"/>
    <w:rsid w:val="008D0618"/>
    <w:rsid w:val="008D1AEB"/>
    <w:rsid w:val="008D1E23"/>
    <w:rsid w:val="008D2A7C"/>
    <w:rsid w:val="008D3031"/>
    <w:rsid w:val="008D4F00"/>
    <w:rsid w:val="008D7DBC"/>
    <w:rsid w:val="008E08B2"/>
    <w:rsid w:val="008E0AFC"/>
    <w:rsid w:val="008E1E43"/>
    <w:rsid w:val="008E1E79"/>
    <w:rsid w:val="008E3116"/>
    <w:rsid w:val="008E637F"/>
    <w:rsid w:val="008E66FE"/>
    <w:rsid w:val="008F27DB"/>
    <w:rsid w:val="008F5B6F"/>
    <w:rsid w:val="009002A3"/>
    <w:rsid w:val="0090038C"/>
    <w:rsid w:val="009007EC"/>
    <w:rsid w:val="00900EF5"/>
    <w:rsid w:val="00901EE5"/>
    <w:rsid w:val="009020D8"/>
    <w:rsid w:val="00902265"/>
    <w:rsid w:val="00902781"/>
    <w:rsid w:val="0090421D"/>
    <w:rsid w:val="009051C9"/>
    <w:rsid w:val="009061E1"/>
    <w:rsid w:val="00906447"/>
    <w:rsid w:val="0091349D"/>
    <w:rsid w:val="00913E6D"/>
    <w:rsid w:val="009141C7"/>
    <w:rsid w:val="0091453C"/>
    <w:rsid w:val="009160EA"/>
    <w:rsid w:val="00920597"/>
    <w:rsid w:val="00921E42"/>
    <w:rsid w:val="00922872"/>
    <w:rsid w:val="0092425B"/>
    <w:rsid w:val="00924D39"/>
    <w:rsid w:val="00924FFE"/>
    <w:rsid w:val="009263C3"/>
    <w:rsid w:val="009268AB"/>
    <w:rsid w:val="0093125B"/>
    <w:rsid w:val="0093470A"/>
    <w:rsid w:val="009364FF"/>
    <w:rsid w:val="00940E54"/>
    <w:rsid w:val="00941316"/>
    <w:rsid w:val="00942397"/>
    <w:rsid w:val="009425B4"/>
    <w:rsid w:val="00945074"/>
    <w:rsid w:val="00946F52"/>
    <w:rsid w:val="00950F44"/>
    <w:rsid w:val="0095153B"/>
    <w:rsid w:val="00952A7D"/>
    <w:rsid w:val="00952BF8"/>
    <w:rsid w:val="00953747"/>
    <w:rsid w:val="0095565A"/>
    <w:rsid w:val="00955918"/>
    <w:rsid w:val="00960439"/>
    <w:rsid w:val="00961D67"/>
    <w:rsid w:val="00962D93"/>
    <w:rsid w:val="009636EF"/>
    <w:rsid w:val="0096408D"/>
    <w:rsid w:val="009651A8"/>
    <w:rsid w:val="009657E9"/>
    <w:rsid w:val="0096666B"/>
    <w:rsid w:val="0096668F"/>
    <w:rsid w:val="0097114E"/>
    <w:rsid w:val="009719C3"/>
    <w:rsid w:val="0097578E"/>
    <w:rsid w:val="00976E55"/>
    <w:rsid w:val="009814B0"/>
    <w:rsid w:val="0098337C"/>
    <w:rsid w:val="009841B3"/>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B7FC4"/>
    <w:rsid w:val="009C0B63"/>
    <w:rsid w:val="009C0DAB"/>
    <w:rsid w:val="009C1E20"/>
    <w:rsid w:val="009D0378"/>
    <w:rsid w:val="009D0F18"/>
    <w:rsid w:val="009D1EFB"/>
    <w:rsid w:val="009D5964"/>
    <w:rsid w:val="009D5A27"/>
    <w:rsid w:val="009D6A0C"/>
    <w:rsid w:val="009E0725"/>
    <w:rsid w:val="009E1492"/>
    <w:rsid w:val="009E4B3F"/>
    <w:rsid w:val="009E5877"/>
    <w:rsid w:val="009F1EE7"/>
    <w:rsid w:val="009F69B0"/>
    <w:rsid w:val="00A02048"/>
    <w:rsid w:val="00A0310D"/>
    <w:rsid w:val="00A073F4"/>
    <w:rsid w:val="00A07BBE"/>
    <w:rsid w:val="00A15FCF"/>
    <w:rsid w:val="00A16439"/>
    <w:rsid w:val="00A16E18"/>
    <w:rsid w:val="00A21057"/>
    <w:rsid w:val="00A21559"/>
    <w:rsid w:val="00A217CE"/>
    <w:rsid w:val="00A21E86"/>
    <w:rsid w:val="00A22DFB"/>
    <w:rsid w:val="00A24B8B"/>
    <w:rsid w:val="00A24CCF"/>
    <w:rsid w:val="00A305E3"/>
    <w:rsid w:val="00A31D31"/>
    <w:rsid w:val="00A31F53"/>
    <w:rsid w:val="00A353F1"/>
    <w:rsid w:val="00A357B0"/>
    <w:rsid w:val="00A35B22"/>
    <w:rsid w:val="00A36062"/>
    <w:rsid w:val="00A42B99"/>
    <w:rsid w:val="00A4374B"/>
    <w:rsid w:val="00A479B6"/>
    <w:rsid w:val="00A50900"/>
    <w:rsid w:val="00A50D3C"/>
    <w:rsid w:val="00A532E3"/>
    <w:rsid w:val="00A54D9C"/>
    <w:rsid w:val="00A57200"/>
    <w:rsid w:val="00A57865"/>
    <w:rsid w:val="00A62B31"/>
    <w:rsid w:val="00A64850"/>
    <w:rsid w:val="00A65003"/>
    <w:rsid w:val="00A65202"/>
    <w:rsid w:val="00A73299"/>
    <w:rsid w:val="00A74298"/>
    <w:rsid w:val="00A7536B"/>
    <w:rsid w:val="00A80356"/>
    <w:rsid w:val="00A80A24"/>
    <w:rsid w:val="00A816B6"/>
    <w:rsid w:val="00A82D81"/>
    <w:rsid w:val="00A84DD5"/>
    <w:rsid w:val="00A90F03"/>
    <w:rsid w:val="00A93FD9"/>
    <w:rsid w:val="00A94334"/>
    <w:rsid w:val="00A96E79"/>
    <w:rsid w:val="00AA2033"/>
    <w:rsid w:val="00AA3321"/>
    <w:rsid w:val="00AA4A07"/>
    <w:rsid w:val="00AA6230"/>
    <w:rsid w:val="00AB2622"/>
    <w:rsid w:val="00AB632D"/>
    <w:rsid w:val="00AC5444"/>
    <w:rsid w:val="00AC70E1"/>
    <w:rsid w:val="00AD1D29"/>
    <w:rsid w:val="00AD328E"/>
    <w:rsid w:val="00AD5147"/>
    <w:rsid w:val="00AD5FEC"/>
    <w:rsid w:val="00AE0837"/>
    <w:rsid w:val="00AE0FBB"/>
    <w:rsid w:val="00AE11C8"/>
    <w:rsid w:val="00AE1611"/>
    <w:rsid w:val="00AE355C"/>
    <w:rsid w:val="00AE4EFC"/>
    <w:rsid w:val="00AE5731"/>
    <w:rsid w:val="00AE7127"/>
    <w:rsid w:val="00AF286D"/>
    <w:rsid w:val="00AF6BA2"/>
    <w:rsid w:val="00AF7801"/>
    <w:rsid w:val="00AF7DC3"/>
    <w:rsid w:val="00B019E2"/>
    <w:rsid w:val="00B020ED"/>
    <w:rsid w:val="00B036CB"/>
    <w:rsid w:val="00B130D5"/>
    <w:rsid w:val="00B13566"/>
    <w:rsid w:val="00B13A54"/>
    <w:rsid w:val="00B14220"/>
    <w:rsid w:val="00B16868"/>
    <w:rsid w:val="00B17251"/>
    <w:rsid w:val="00B2159A"/>
    <w:rsid w:val="00B218F5"/>
    <w:rsid w:val="00B21D32"/>
    <w:rsid w:val="00B313B2"/>
    <w:rsid w:val="00B337AE"/>
    <w:rsid w:val="00B34A43"/>
    <w:rsid w:val="00B35AAA"/>
    <w:rsid w:val="00B36912"/>
    <w:rsid w:val="00B404A0"/>
    <w:rsid w:val="00B4256A"/>
    <w:rsid w:val="00B432AB"/>
    <w:rsid w:val="00B45445"/>
    <w:rsid w:val="00B54D75"/>
    <w:rsid w:val="00B60C2A"/>
    <w:rsid w:val="00B6212F"/>
    <w:rsid w:val="00B65FC0"/>
    <w:rsid w:val="00B707DD"/>
    <w:rsid w:val="00B719F4"/>
    <w:rsid w:val="00B73995"/>
    <w:rsid w:val="00B74DBC"/>
    <w:rsid w:val="00B75E08"/>
    <w:rsid w:val="00B76684"/>
    <w:rsid w:val="00B7698F"/>
    <w:rsid w:val="00B85F5F"/>
    <w:rsid w:val="00B86395"/>
    <w:rsid w:val="00B86E2B"/>
    <w:rsid w:val="00B91DEC"/>
    <w:rsid w:val="00B92A56"/>
    <w:rsid w:val="00B92B72"/>
    <w:rsid w:val="00B931F8"/>
    <w:rsid w:val="00B93966"/>
    <w:rsid w:val="00B95DB0"/>
    <w:rsid w:val="00B9722F"/>
    <w:rsid w:val="00B97741"/>
    <w:rsid w:val="00BA0721"/>
    <w:rsid w:val="00BA1883"/>
    <w:rsid w:val="00BA227D"/>
    <w:rsid w:val="00BA3EFA"/>
    <w:rsid w:val="00BA4C84"/>
    <w:rsid w:val="00BC09FC"/>
    <w:rsid w:val="00BC0DD5"/>
    <w:rsid w:val="00BC60E6"/>
    <w:rsid w:val="00BC6456"/>
    <w:rsid w:val="00BD46F0"/>
    <w:rsid w:val="00BE57ED"/>
    <w:rsid w:val="00BE66AA"/>
    <w:rsid w:val="00BE73B9"/>
    <w:rsid w:val="00BF444F"/>
    <w:rsid w:val="00BF54A3"/>
    <w:rsid w:val="00BF77F5"/>
    <w:rsid w:val="00C01D8A"/>
    <w:rsid w:val="00C023EF"/>
    <w:rsid w:val="00C15415"/>
    <w:rsid w:val="00C16FE4"/>
    <w:rsid w:val="00C172EB"/>
    <w:rsid w:val="00C22F98"/>
    <w:rsid w:val="00C2363B"/>
    <w:rsid w:val="00C26560"/>
    <w:rsid w:val="00C3062F"/>
    <w:rsid w:val="00C30D5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409D"/>
    <w:rsid w:val="00C86E9A"/>
    <w:rsid w:val="00C90CE5"/>
    <w:rsid w:val="00C91E39"/>
    <w:rsid w:val="00C93A3D"/>
    <w:rsid w:val="00C94F0A"/>
    <w:rsid w:val="00C970C5"/>
    <w:rsid w:val="00CA033B"/>
    <w:rsid w:val="00CA3203"/>
    <w:rsid w:val="00CA6058"/>
    <w:rsid w:val="00CA6BD1"/>
    <w:rsid w:val="00CB1B1B"/>
    <w:rsid w:val="00CB389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E7224"/>
    <w:rsid w:val="00CF148C"/>
    <w:rsid w:val="00CF3D94"/>
    <w:rsid w:val="00CF48A3"/>
    <w:rsid w:val="00CF5081"/>
    <w:rsid w:val="00D058E4"/>
    <w:rsid w:val="00D066FA"/>
    <w:rsid w:val="00D07178"/>
    <w:rsid w:val="00D10C53"/>
    <w:rsid w:val="00D11C0B"/>
    <w:rsid w:val="00D11EE9"/>
    <w:rsid w:val="00D13F47"/>
    <w:rsid w:val="00D14E66"/>
    <w:rsid w:val="00D17631"/>
    <w:rsid w:val="00D17CD3"/>
    <w:rsid w:val="00D21B22"/>
    <w:rsid w:val="00D24AEB"/>
    <w:rsid w:val="00D24AFD"/>
    <w:rsid w:val="00D27902"/>
    <w:rsid w:val="00D27984"/>
    <w:rsid w:val="00D31D50"/>
    <w:rsid w:val="00D323E9"/>
    <w:rsid w:val="00D32FC5"/>
    <w:rsid w:val="00D34F5B"/>
    <w:rsid w:val="00D35023"/>
    <w:rsid w:val="00D36E71"/>
    <w:rsid w:val="00D403B8"/>
    <w:rsid w:val="00D45C1B"/>
    <w:rsid w:val="00D45E14"/>
    <w:rsid w:val="00D51C9A"/>
    <w:rsid w:val="00D5318C"/>
    <w:rsid w:val="00D53371"/>
    <w:rsid w:val="00D53BD5"/>
    <w:rsid w:val="00D55621"/>
    <w:rsid w:val="00D57D26"/>
    <w:rsid w:val="00D57F41"/>
    <w:rsid w:val="00D6000E"/>
    <w:rsid w:val="00D6304D"/>
    <w:rsid w:val="00D713D6"/>
    <w:rsid w:val="00D72DAF"/>
    <w:rsid w:val="00D73D0E"/>
    <w:rsid w:val="00D75BB9"/>
    <w:rsid w:val="00D76276"/>
    <w:rsid w:val="00D77919"/>
    <w:rsid w:val="00D8083C"/>
    <w:rsid w:val="00D81DDC"/>
    <w:rsid w:val="00D85F8D"/>
    <w:rsid w:val="00D87F81"/>
    <w:rsid w:val="00D90E39"/>
    <w:rsid w:val="00D97E89"/>
    <w:rsid w:val="00DA45EE"/>
    <w:rsid w:val="00DA58A3"/>
    <w:rsid w:val="00DB2971"/>
    <w:rsid w:val="00DB2F5B"/>
    <w:rsid w:val="00DB44A2"/>
    <w:rsid w:val="00DB46CB"/>
    <w:rsid w:val="00DB5259"/>
    <w:rsid w:val="00DB695F"/>
    <w:rsid w:val="00DC03E7"/>
    <w:rsid w:val="00DC3710"/>
    <w:rsid w:val="00DC3B9E"/>
    <w:rsid w:val="00DC4FB9"/>
    <w:rsid w:val="00DC545F"/>
    <w:rsid w:val="00DC54A9"/>
    <w:rsid w:val="00DC6139"/>
    <w:rsid w:val="00DC6686"/>
    <w:rsid w:val="00DC6D84"/>
    <w:rsid w:val="00DC7F68"/>
    <w:rsid w:val="00DD1D7F"/>
    <w:rsid w:val="00DD2D17"/>
    <w:rsid w:val="00DD3300"/>
    <w:rsid w:val="00DD360A"/>
    <w:rsid w:val="00DD7F91"/>
    <w:rsid w:val="00DE0985"/>
    <w:rsid w:val="00DE42BF"/>
    <w:rsid w:val="00DE4A1A"/>
    <w:rsid w:val="00DE4E11"/>
    <w:rsid w:val="00DE53FE"/>
    <w:rsid w:val="00DE6ED8"/>
    <w:rsid w:val="00DF3352"/>
    <w:rsid w:val="00DF5488"/>
    <w:rsid w:val="00E00A5F"/>
    <w:rsid w:val="00E01930"/>
    <w:rsid w:val="00E05D64"/>
    <w:rsid w:val="00E07ABB"/>
    <w:rsid w:val="00E07D8F"/>
    <w:rsid w:val="00E13762"/>
    <w:rsid w:val="00E14E2F"/>
    <w:rsid w:val="00E1552D"/>
    <w:rsid w:val="00E160D8"/>
    <w:rsid w:val="00E161E3"/>
    <w:rsid w:val="00E1640B"/>
    <w:rsid w:val="00E317A6"/>
    <w:rsid w:val="00E3190E"/>
    <w:rsid w:val="00E31F05"/>
    <w:rsid w:val="00E32285"/>
    <w:rsid w:val="00E34295"/>
    <w:rsid w:val="00E3667E"/>
    <w:rsid w:val="00E406FD"/>
    <w:rsid w:val="00E4228D"/>
    <w:rsid w:val="00E4254E"/>
    <w:rsid w:val="00E4608C"/>
    <w:rsid w:val="00E502A2"/>
    <w:rsid w:val="00E50A9B"/>
    <w:rsid w:val="00E521B6"/>
    <w:rsid w:val="00E52931"/>
    <w:rsid w:val="00E53ACE"/>
    <w:rsid w:val="00E5519B"/>
    <w:rsid w:val="00E55FEE"/>
    <w:rsid w:val="00E57BD3"/>
    <w:rsid w:val="00E57D38"/>
    <w:rsid w:val="00E65332"/>
    <w:rsid w:val="00E65F77"/>
    <w:rsid w:val="00E670CD"/>
    <w:rsid w:val="00E67EA9"/>
    <w:rsid w:val="00E755B9"/>
    <w:rsid w:val="00E7727F"/>
    <w:rsid w:val="00E82C5B"/>
    <w:rsid w:val="00E82DF2"/>
    <w:rsid w:val="00E83519"/>
    <w:rsid w:val="00E87C81"/>
    <w:rsid w:val="00E91889"/>
    <w:rsid w:val="00E91F0F"/>
    <w:rsid w:val="00E94259"/>
    <w:rsid w:val="00E944E2"/>
    <w:rsid w:val="00E94EFB"/>
    <w:rsid w:val="00E95C54"/>
    <w:rsid w:val="00E96103"/>
    <w:rsid w:val="00E9611B"/>
    <w:rsid w:val="00EA027D"/>
    <w:rsid w:val="00EA2DCD"/>
    <w:rsid w:val="00EA4C6B"/>
    <w:rsid w:val="00EA7AEC"/>
    <w:rsid w:val="00EB22CF"/>
    <w:rsid w:val="00EB3414"/>
    <w:rsid w:val="00EB39DD"/>
    <w:rsid w:val="00EB40E4"/>
    <w:rsid w:val="00EB6515"/>
    <w:rsid w:val="00EB67BA"/>
    <w:rsid w:val="00EC16F8"/>
    <w:rsid w:val="00EC18C7"/>
    <w:rsid w:val="00EC306F"/>
    <w:rsid w:val="00EC408E"/>
    <w:rsid w:val="00EC41F2"/>
    <w:rsid w:val="00EC4E40"/>
    <w:rsid w:val="00EC4EB3"/>
    <w:rsid w:val="00EC5617"/>
    <w:rsid w:val="00EC6F1E"/>
    <w:rsid w:val="00EC7C9E"/>
    <w:rsid w:val="00ED230D"/>
    <w:rsid w:val="00ED2440"/>
    <w:rsid w:val="00EE1C0B"/>
    <w:rsid w:val="00EE59D0"/>
    <w:rsid w:val="00EE7FF3"/>
    <w:rsid w:val="00EF26BF"/>
    <w:rsid w:val="00EF4861"/>
    <w:rsid w:val="00EF50C7"/>
    <w:rsid w:val="00EF55CF"/>
    <w:rsid w:val="00EF5E19"/>
    <w:rsid w:val="00EF779D"/>
    <w:rsid w:val="00EF7E82"/>
    <w:rsid w:val="00F01970"/>
    <w:rsid w:val="00F01B91"/>
    <w:rsid w:val="00F066CB"/>
    <w:rsid w:val="00F06AF6"/>
    <w:rsid w:val="00F079A5"/>
    <w:rsid w:val="00F07F69"/>
    <w:rsid w:val="00F107F9"/>
    <w:rsid w:val="00F111E0"/>
    <w:rsid w:val="00F117D4"/>
    <w:rsid w:val="00F16475"/>
    <w:rsid w:val="00F22D55"/>
    <w:rsid w:val="00F24A9A"/>
    <w:rsid w:val="00F2592D"/>
    <w:rsid w:val="00F25C5F"/>
    <w:rsid w:val="00F30F1E"/>
    <w:rsid w:val="00F3182D"/>
    <w:rsid w:val="00F34BDD"/>
    <w:rsid w:val="00F34EF2"/>
    <w:rsid w:val="00F3580F"/>
    <w:rsid w:val="00F406BB"/>
    <w:rsid w:val="00F44AD0"/>
    <w:rsid w:val="00F50379"/>
    <w:rsid w:val="00F55102"/>
    <w:rsid w:val="00F57115"/>
    <w:rsid w:val="00F6298B"/>
    <w:rsid w:val="00F63B02"/>
    <w:rsid w:val="00F65350"/>
    <w:rsid w:val="00F65C21"/>
    <w:rsid w:val="00F67C99"/>
    <w:rsid w:val="00F700A6"/>
    <w:rsid w:val="00F760D1"/>
    <w:rsid w:val="00F8151A"/>
    <w:rsid w:val="00F83788"/>
    <w:rsid w:val="00F84D69"/>
    <w:rsid w:val="00F85054"/>
    <w:rsid w:val="00F87AEF"/>
    <w:rsid w:val="00F87C14"/>
    <w:rsid w:val="00F939DB"/>
    <w:rsid w:val="00F94F61"/>
    <w:rsid w:val="00FA13D8"/>
    <w:rsid w:val="00FA17B4"/>
    <w:rsid w:val="00FA3581"/>
    <w:rsid w:val="00FB10B8"/>
    <w:rsid w:val="00FB24BA"/>
    <w:rsid w:val="00FB28C8"/>
    <w:rsid w:val="00FB381D"/>
    <w:rsid w:val="00FB3AF1"/>
    <w:rsid w:val="00FB6172"/>
    <w:rsid w:val="00FB6492"/>
    <w:rsid w:val="00FC007D"/>
    <w:rsid w:val="00FC0DE0"/>
    <w:rsid w:val="00FC131A"/>
    <w:rsid w:val="00FC224A"/>
    <w:rsid w:val="00FC43D6"/>
    <w:rsid w:val="00FC461C"/>
    <w:rsid w:val="00FC66E6"/>
    <w:rsid w:val="00FC6F39"/>
    <w:rsid w:val="00FD2208"/>
    <w:rsid w:val="00FD2EC4"/>
    <w:rsid w:val="00FD63D3"/>
    <w:rsid w:val="00FD717D"/>
    <w:rsid w:val="00FE44CF"/>
    <w:rsid w:val="00FF1239"/>
    <w:rsid w:val="00FF17E5"/>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7D74FB7"/>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3544FD"/>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1E5FDF"/>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2"/>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3"/>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4"/>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5"/>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6"/>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7"/>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4"/>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2"/>
    <w:unhideWhenUsed/>
    <w:qFormat/>
    <w:uiPriority w:val="99"/>
  </w:style>
  <w:style w:type="paragraph" w:styleId="10">
    <w:name w:val="Body Text"/>
    <w:basedOn w:val="1"/>
    <w:link w:val="45"/>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6"/>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7"/>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9"/>
    <w:unhideWhenUsed/>
    <w:qFormat/>
    <w:uiPriority w:val="99"/>
    <w:pPr>
      <w:tabs>
        <w:tab w:val="center" w:pos="4153"/>
        <w:tab w:val="right" w:pos="8306"/>
      </w:tabs>
    </w:pPr>
    <w:rPr>
      <w:sz w:val="18"/>
      <w:szCs w:val="18"/>
    </w:rPr>
  </w:style>
  <w:style w:type="paragraph" w:styleId="15">
    <w:name w:val="header"/>
    <w:basedOn w:val="1"/>
    <w:link w:val="38"/>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8"/>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1"/>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3"/>
    <w:qFormat/>
    <w:uiPriority w:val="99"/>
    <w:pPr>
      <w:widowControl w:val="0"/>
      <w:adjustRightInd/>
      <w:snapToGrid/>
      <w:spacing w:after="0"/>
    </w:pPr>
    <w:rPr>
      <w:rFonts w:ascii="Times New Roman" w:hAnsi="Times New Roman" w:eastAsia="宋体" w:cs="Times New Roman"/>
      <w:b/>
      <w:bCs/>
      <w:kern w:val="2"/>
      <w:sz w:val="21"/>
      <w:szCs w:val="24"/>
    </w:rPr>
  </w:style>
  <w:style w:type="table" w:styleId="24">
    <w:name w:val="Table Grid"/>
    <w:basedOn w:val="2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99"/>
  </w:style>
  <w:style w:type="character" w:styleId="27">
    <w:name w:val="FollowedHyperlink"/>
    <w:basedOn w:val="25"/>
    <w:unhideWhenUsed/>
    <w:qFormat/>
    <w:uiPriority w:val="99"/>
    <w:rPr>
      <w:color w:val="800080"/>
      <w:u w:val="single"/>
    </w:rPr>
  </w:style>
  <w:style w:type="character" w:styleId="28">
    <w:name w:val="Emphasis"/>
    <w:qFormat/>
    <w:uiPriority w:val="99"/>
    <w:rPr>
      <w:color w:val="CC0000"/>
    </w:rPr>
  </w:style>
  <w:style w:type="character" w:styleId="29">
    <w:name w:val="Hyperlink"/>
    <w:qFormat/>
    <w:uiPriority w:val="99"/>
    <w:rPr>
      <w:color w:val="0000FF"/>
      <w:u w:val="single"/>
    </w:rPr>
  </w:style>
  <w:style w:type="character" w:styleId="30">
    <w:name w:val="annotation reference"/>
    <w:basedOn w:val="25"/>
    <w:qFormat/>
    <w:uiPriority w:val="99"/>
    <w:rPr>
      <w:sz w:val="21"/>
      <w:szCs w:val="21"/>
    </w:rPr>
  </w:style>
  <w:style w:type="character" w:styleId="31">
    <w:name w:val="footnote reference"/>
    <w:basedOn w:val="25"/>
    <w:qFormat/>
    <w:uiPriority w:val="99"/>
    <w:rPr>
      <w:vertAlign w:val="superscript"/>
    </w:rPr>
  </w:style>
  <w:style w:type="character" w:customStyle="1" w:styleId="32">
    <w:name w:val="标题 1 字符"/>
    <w:basedOn w:val="25"/>
    <w:link w:val="2"/>
    <w:qFormat/>
    <w:uiPriority w:val="99"/>
    <w:rPr>
      <w:rFonts w:ascii="Times New Roman" w:hAnsi="Times New Roman" w:eastAsia="黑体" w:cs="Times New Roman"/>
      <w:b/>
      <w:bCs/>
      <w:color w:val="000000"/>
      <w:kern w:val="44"/>
      <w:sz w:val="36"/>
      <w:szCs w:val="44"/>
      <w:u w:color="000000"/>
    </w:rPr>
  </w:style>
  <w:style w:type="character" w:customStyle="1" w:styleId="33">
    <w:name w:val="标题 2 字符"/>
    <w:basedOn w:val="25"/>
    <w:link w:val="3"/>
    <w:qFormat/>
    <w:uiPriority w:val="99"/>
    <w:rPr>
      <w:rFonts w:ascii="Arial" w:hAnsi="Arial" w:eastAsia="黑体" w:cs="Times New Roman"/>
      <w:b/>
      <w:bCs/>
      <w:kern w:val="2"/>
      <w:sz w:val="32"/>
      <w:szCs w:val="32"/>
    </w:rPr>
  </w:style>
  <w:style w:type="character" w:customStyle="1" w:styleId="34">
    <w:name w:val="标题 3 字符"/>
    <w:basedOn w:val="25"/>
    <w:link w:val="4"/>
    <w:qFormat/>
    <w:uiPriority w:val="99"/>
    <w:rPr>
      <w:rFonts w:ascii="Times New Roman" w:hAnsi="Times New Roman" w:eastAsia="仿宋_GB2312" w:cs="Times New Roman"/>
      <w:b/>
      <w:bCs/>
      <w:sz w:val="30"/>
      <w:szCs w:val="32"/>
      <w:u w:color="000000"/>
    </w:rPr>
  </w:style>
  <w:style w:type="character" w:customStyle="1" w:styleId="35">
    <w:name w:val="标题 4 字符"/>
    <w:basedOn w:val="25"/>
    <w:link w:val="5"/>
    <w:qFormat/>
    <w:uiPriority w:val="0"/>
    <w:rPr>
      <w:rFonts w:asciiTheme="majorHAnsi" w:hAnsiTheme="majorHAnsi" w:eastAsiaTheme="majorEastAsia" w:cstheme="majorBidi"/>
      <w:b/>
      <w:bCs/>
      <w:kern w:val="2"/>
      <w:sz w:val="28"/>
      <w:szCs w:val="28"/>
    </w:rPr>
  </w:style>
  <w:style w:type="character" w:customStyle="1" w:styleId="36">
    <w:name w:val="标题 5 字符"/>
    <w:basedOn w:val="25"/>
    <w:link w:val="6"/>
    <w:qFormat/>
    <w:uiPriority w:val="0"/>
    <w:rPr>
      <w:rFonts w:ascii="Times New Roman" w:hAnsi="Times New Roman" w:eastAsia="宋体" w:cs="Times New Roman"/>
      <w:b/>
      <w:bCs/>
      <w:kern w:val="2"/>
      <w:sz w:val="28"/>
      <w:szCs w:val="28"/>
    </w:rPr>
  </w:style>
  <w:style w:type="character" w:customStyle="1" w:styleId="37">
    <w:name w:val="标题 6 字符"/>
    <w:basedOn w:val="25"/>
    <w:link w:val="7"/>
    <w:qFormat/>
    <w:uiPriority w:val="0"/>
    <w:rPr>
      <w:rFonts w:asciiTheme="majorHAnsi" w:hAnsiTheme="majorHAnsi" w:eastAsiaTheme="majorEastAsia" w:cstheme="majorBidi"/>
      <w:b/>
      <w:bCs/>
      <w:kern w:val="2"/>
      <w:sz w:val="24"/>
      <w:szCs w:val="24"/>
    </w:rPr>
  </w:style>
  <w:style w:type="character" w:customStyle="1" w:styleId="38">
    <w:name w:val="页眉 字符"/>
    <w:basedOn w:val="25"/>
    <w:link w:val="15"/>
    <w:qFormat/>
    <w:uiPriority w:val="99"/>
    <w:rPr>
      <w:rFonts w:ascii="Tahoma" w:hAnsi="Tahoma"/>
      <w:sz w:val="18"/>
      <w:szCs w:val="18"/>
    </w:rPr>
  </w:style>
  <w:style w:type="character" w:customStyle="1" w:styleId="39">
    <w:name w:val="页脚 字符"/>
    <w:basedOn w:val="25"/>
    <w:link w:val="14"/>
    <w:qFormat/>
    <w:uiPriority w:val="99"/>
    <w:rPr>
      <w:rFonts w:ascii="Tahoma" w:hAnsi="Tahoma"/>
      <w:sz w:val="18"/>
      <w:szCs w:val="18"/>
    </w:rPr>
  </w:style>
  <w:style w:type="paragraph" w:customStyle="1" w:styleId="40">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1">
    <w:name w:val="List Paragraph"/>
    <w:basedOn w:val="1"/>
    <w:qFormat/>
    <w:uiPriority w:val="99"/>
    <w:pPr>
      <w:ind w:firstLine="420" w:firstLineChars="200"/>
    </w:pPr>
  </w:style>
  <w:style w:type="character" w:customStyle="1" w:styleId="42">
    <w:name w:val="批注文字 字符"/>
    <w:basedOn w:val="25"/>
    <w:link w:val="9"/>
    <w:qFormat/>
    <w:uiPriority w:val="99"/>
    <w:rPr>
      <w:rFonts w:ascii="Tahoma" w:hAnsi="Tahoma"/>
    </w:rPr>
  </w:style>
  <w:style w:type="character" w:customStyle="1" w:styleId="43">
    <w:name w:val="批注主题 字符"/>
    <w:basedOn w:val="42"/>
    <w:link w:val="22"/>
    <w:qFormat/>
    <w:uiPriority w:val="99"/>
    <w:rPr>
      <w:rFonts w:ascii="Times New Roman" w:hAnsi="Times New Roman" w:eastAsia="宋体" w:cs="Times New Roman"/>
      <w:b/>
      <w:bCs/>
      <w:kern w:val="2"/>
      <w:sz w:val="21"/>
      <w:szCs w:val="24"/>
    </w:rPr>
  </w:style>
  <w:style w:type="character" w:customStyle="1" w:styleId="44">
    <w:name w:val="文档结构图 字符"/>
    <w:basedOn w:val="25"/>
    <w:link w:val="8"/>
    <w:semiHidden/>
    <w:qFormat/>
    <w:uiPriority w:val="99"/>
    <w:rPr>
      <w:rFonts w:ascii="Times New Roman" w:hAnsi="Times New Roman" w:eastAsia="宋体" w:cs="Times New Roman"/>
      <w:kern w:val="2"/>
      <w:sz w:val="21"/>
      <w:szCs w:val="24"/>
      <w:shd w:val="clear" w:color="auto" w:fill="000080"/>
    </w:rPr>
  </w:style>
  <w:style w:type="character" w:customStyle="1" w:styleId="45">
    <w:name w:val="正文文本 字符"/>
    <w:basedOn w:val="25"/>
    <w:link w:val="10"/>
    <w:qFormat/>
    <w:uiPriority w:val="99"/>
    <w:rPr>
      <w:rFonts w:ascii="Times New Roman" w:hAnsi="Times New Roman" w:eastAsia="宋体" w:cs="Times New Roman"/>
      <w:kern w:val="2"/>
      <w:sz w:val="21"/>
      <w:szCs w:val="24"/>
    </w:rPr>
  </w:style>
  <w:style w:type="character" w:customStyle="1" w:styleId="46">
    <w:name w:val="纯文本 字符"/>
    <w:basedOn w:val="25"/>
    <w:link w:val="12"/>
    <w:qFormat/>
    <w:uiPriority w:val="99"/>
    <w:rPr>
      <w:rFonts w:ascii="宋体" w:hAnsi="Times New Roman" w:eastAsia="宋体" w:cs="Times New Roman"/>
      <w:color w:val="000000"/>
      <w:sz w:val="21"/>
      <w:szCs w:val="20"/>
      <w:u w:color="000000"/>
    </w:rPr>
  </w:style>
  <w:style w:type="character" w:customStyle="1" w:styleId="47">
    <w:name w:val="批注框文本 字符"/>
    <w:basedOn w:val="25"/>
    <w:link w:val="13"/>
    <w:qFormat/>
    <w:uiPriority w:val="99"/>
    <w:rPr>
      <w:rFonts w:ascii="Times New Roman" w:hAnsi="Times New Roman" w:eastAsia="宋体" w:cs="Times New Roman"/>
      <w:kern w:val="2"/>
      <w:sz w:val="18"/>
      <w:szCs w:val="18"/>
    </w:rPr>
  </w:style>
  <w:style w:type="character" w:customStyle="1" w:styleId="48">
    <w:name w:val="脚注文本 字符"/>
    <w:basedOn w:val="25"/>
    <w:link w:val="17"/>
    <w:qFormat/>
    <w:uiPriority w:val="99"/>
    <w:rPr>
      <w:rFonts w:ascii="Times New Roman" w:hAnsi="Times New Roman" w:eastAsia="宋体" w:cs="Times New Roman"/>
      <w:kern w:val="2"/>
      <w:sz w:val="18"/>
      <w:szCs w:val="18"/>
    </w:rPr>
  </w:style>
  <w:style w:type="character" w:customStyle="1" w:styleId="49">
    <w:name w:val="HTML 预设格式 字符"/>
    <w:basedOn w:val="25"/>
    <w:link w:val="19"/>
    <w:qFormat/>
    <w:uiPriority w:val="0"/>
    <w:rPr>
      <w:rFonts w:ascii="宋体" w:hAnsi="宋体" w:eastAsia="宋体" w:cs="宋体"/>
      <w:sz w:val="24"/>
      <w:szCs w:val="24"/>
    </w:rPr>
  </w:style>
  <w:style w:type="paragraph" w:customStyle="1" w:styleId="50">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1">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2">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3">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4">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5">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6">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7">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8">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9">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60">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1">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2">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4">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5">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6">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7">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8">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9">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70">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1">
    <w:name w:val="标题 字符"/>
    <w:basedOn w:val="25"/>
    <w:link w:val="21"/>
    <w:qFormat/>
    <w:uiPriority w:val="0"/>
    <w:rPr>
      <w:rFonts w:eastAsia="宋体" w:asciiTheme="majorHAnsi" w:hAnsiTheme="majorHAnsi" w:cstheme="majorBidi"/>
      <w:b/>
      <w:bCs/>
      <w:kern w:val="2"/>
      <w:sz w:val="32"/>
      <w:szCs w:val="32"/>
    </w:rPr>
  </w:style>
  <w:style w:type="paragraph" w:customStyle="1" w:styleId="72">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3">
    <w:name w:val="font01"/>
    <w:basedOn w:val="25"/>
    <w:qFormat/>
    <w:uiPriority w:val="0"/>
    <w:rPr>
      <w:rFonts w:hint="eastAsia" w:ascii="宋体" w:hAnsi="宋体" w:eastAsia="宋体" w:cs="宋体"/>
      <w:b/>
      <w:color w:val="000000"/>
      <w:sz w:val="32"/>
      <w:szCs w:val="32"/>
      <w:u w:val="none"/>
    </w:rPr>
  </w:style>
  <w:style w:type="character" w:customStyle="1" w:styleId="74">
    <w:name w:val="font21"/>
    <w:basedOn w:val="25"/>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2021年决算收入结构图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zh-CN"/>
                      <a:t>73.99</a:t>
                    </a:r>
                    <a:r>
                      <a:rPr lang="en-US" altLang="zh-CN" baseline="0"/>
                      <a:t>%</a:t>
                    </a:r>
                    <a:endParaRPr lang="en-US" altLang="zh-CN" baseline="0"/>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zh-CN"/>
                      <a:t>19.78</a:t>
                    </a:r>
                    <a:r>
                      <a:rPr lang="en-US" altLang="zh-CN" baseline="0"/>
                      <a:t>%</a:t>
                    </a:r>
                    <a:endParaRPr lang="en-US" altLang="zh-CN" baseline="0"/>
                  </a:p>
                </c:rich>
              </c:tx>
              <c:dLblPos val="bestFit"/>
              <c:showLegendKey val="0"/>
              <c:showVal val="1"/>
              <c:showCatName val="0"/>
              <c:showSerName val="0"/>
              <c:showPercent val="1"/>
              <c:showBubbleSize val="0"/>
              <c:extLst>
                <c:ext xmlns:c15="http://schemas.microsoft.com/office/drawing/2012/chart" uri="{CE6537A1-D6FC-4f65-9D91-7224C49458BB}"/>
              </c:extLst>
            </c:dLbl>
            <c:dLbl>
              <c:idx val="2"/>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zh-CN"/>
                      <a:t>2.20%</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extLst>
            </c:dLbl>
            <c:dLbl>
              <c:idx val="3"/>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zh-CN"/>
                      <a:t>4.03</a:t>
                    </a:r>
                    <a:r>
                      <a:rPr lang="en-US" altLang="zh-CN" baseline="0"/>
                      <a:t>%</a:t>
                    </a:r>
                    <a:endParaRPr lang="en-US" altLang="zh-CN" baseline="0"/>
                  </a:p>
                </c:rich>
              </c:tx>
              <c:dLblPos val="bestFit"/>
              <c:showLegendKey val="0"/>
              <c:showVal val="1"/>
              <c:showCatName val="0"/>
              <c:showSerName val="0"/>
              <c:showPercent val="1"/>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bestFit"/>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69.94</c:v>
                </c:pt>
                <c:pt idx="1">
                  <c:v>24.48</c:v>
                </c:pt>
                <c:pt idx="2">
                  <c:v>1.97</c:v>
                </c:pt>
                <c:pt idx="3">
                  <c:v>3.61</c:v>
                </c:pt>
              </c:numCache>
            </c:numRef>
          </c:val>
        </c:ser>
        <c:ser>
          <c:idx val="1"/>
          <c:order val="1"/>
          <c:tx>
            <c:strRef>
              <c:f>Sheet1!$C$1</c:f>
              <c:strCache>
                <c:ptCount val="1"/>
                <c:pt idx="0">
                  <c:v>2022年决算收入结构图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Sheet1!$C$2:$C$5</c:f>
              <c:numCache>
                <c:formatCode>General</c:formatCode>
                <c:ptCount val="4"/>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135d6bc-e6e0-4103-92e7-bb2a8c10987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400" b="0" i="0" baseline="0">
                <a:effectLst/>
              </a:rPr>
              <a:t>2021</a:t>
            </a:r>
            <a:r>
              <a:rPr lang="zh-CN" altLang="zh-CN" sz="1400" b="0" i="0" baseline="0">
                <a:effectLst/>
              </a:rPr>
              <a:t>年度预算收入与决算收入对比图</a:t>
            </a:r>
            <a:endParaRPr lang="zh-CN" altLang="zh-CN" sz="1400">
              <a:effectLst/>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预算</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449.45</c:v>
                </c:pt>
                <c:pt idx="1">
                  <c:v>72.5</c:v>
                </c:pt>
                <c:pt idx="2">
                  <c:v>28.04</c:v>
                </c:pt>
                <c:pt idx="3">
                  <c:v>21.62</c:v>
                </c:pt>
              </c:numCache>
            </c:numRef>
          </c:val>
        </c:ser>
        <c:ser>
          <c:idx val="1"/>
          <c:order val="1"/>
          <c:tx>
            <c:strRef>
              <c:f>Sheet1!$C$1</c:f>
              <c:strCache>
                <c:ptCount val="1"/>
                <c:pt idx="0">
                  <c:v>决算</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Sheet1!$C$2:$C$5</c:f>
              <c:numCache>
                <c:formatCode>General</c:formatCode>
                <c:ptCount val="4"/>
                <c:pt idx="0">
                  <c:v>429.22</c:v>
                </c:pt>
                <c:pt idx="1">
                  <c:v>114.74</c:v>
                </c:pt>
                <c:pt idx="2">
                  <c:v>12.75</c:v>
                </c:pt>
                <c:pt idx="3">
                  <c:v>23.38</c:v>
                </c:pt>
              </c:numCache>
            </c:numRef>
          </c:val>
        </c:ser>
        <c:dLbls>
          <c:showLegendKey val="0"/>
          <c:showVal val="1"/>
          <c:showCatName val="0"/>
          <c:showSerName val="0"/>
          <c:showPercent val="0"/>
          <c:showBubbleSize val="0"/>
        </c:dLbls>
        <c:gapWidth val="219"/>
        <c:overlap val="-27"/>
        <c:axId val="490801768"/>
        <c:axId val="490823088"/>
      </c:barChart>
      <c:catAx>
        <c:axId val="490801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823088"/>
        <c:crosses val="autoZero"/>
        <c:auto val="1"/>
        <c:lblAlgn val="ctr"/>
        <c:lblOffset val="100"/>
        <c:noMultiLvlLbl val="0"/>
      </c:catAx>
      <c:valAx>
        <c:axId val="490823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8017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d505d27-3f5e-43f1-ae8c-e0b6b25daf6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2021年度决算支出结构图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clip" vert="horz" wrap="square" lIns="38100" tIns="19050" rIns="38100" bIns="19050" anchor="ctr" anchorCtr="1"/>
                  <a:lstStyle/>
                  <a:p>
                    <a:fld id="{23624dd5-db9a-46f8-82cb-773d4507484a}" type="CATEGORYNAME">
                      <a:t>[CATEGORY NAME]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zh-CN"/>
                      <a:t>24.48%</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2"/>
              <c:layout/>
              <c:tx>
                <c:rich>
                  <a:bodyPr rot="0" spcFirstLastPara="1" vertOverflow="clip" vert="horz" wrap="square" lIns="38100" tIns="19050" rIns="38100" bIns="19050" anchor="ctr" anchorCtr="1"/>
                  <a:lstStyle/>
                  <a:p>
                    <a:fld id="{87250b7e-a08d-43d2-85c9-6e65d59fca66}" type="CATEGORYNAME">
                      <a:t>[CATEGORY NAME]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3"/>
              <c:layout/>
              <c:tx>
                <c:rich>
                  <a:bodyPr rot="0" spcFirstLastPara="1" vertOverflow="clip" vert="horz" wrap="square" lIns="38100" tIns="19050" rIns="38100" bIns="19050" anchor="ctr" anchorCtr="1"/>
                  <a:lstStyle/>
                  <a:p>
                    <a:pPr>
                      <a:defRPr lang="zh-CN" sz="900" b="0" i="0" u="none" strike="noStrike" kern="1200" baseline="0">
                        <a:solidFill>
                          <a:schemeClr val="dk1">
                            <a:lumMod val="65000"/>
                            <a:lumOff val="35000"/>
                          </a:schemeClr>
                        </a:solidFill>
                        <a:latin typeface="+mn-lt"/>
                        <a:ea typeface="+mn-ea"/>
                        <a:cs typeface="+mn-cs"/>
                      </a:defRPr>
                    </a:pPr>
                    <a:r>
                      <a:rPr lang="en-US" altLang="zh-CN"/>
                      <a:t>3.61%</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69.94</c:v>
                </c:pt>
                <c:pt idx="1">
                  <c:v>24.48</c:v>
                </c:pt>
                <c:pt idx="2">
                  <c:v>1.97</c:v>
                </c:pt>
                <c:pt idx="3">
                  <c:v>3.61</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8b8f82f-a891-4b47-94fd-53dec32bb13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zh-CN" sz="1400" b="0" i="0" u="none" strike="noStrike" kern="1200" spc="0" baseline="0">
                <a:solidFill>
                  <a:schemeClr val="tx1">
                    <a:lumMod val="65000"/>
                    <a:lumOff val="35000"/>
                  </a:schemeClr>
                </a:solidFill>
                <a:latin typeface="+mn-lt"/>
                <a:ea typeface="+mn-ea"/>
                <a:cs typeface="+mn-cs"/>
              </a:defRPr>
            </a:pPr>
            <a:r>
              <a:rPr lang="en-US" altLang="zh-CN" sz="1400" b="0" i="0" baseline="0">
                <a:effectLst/>
              </a:rPr>
              <a:t>2021</a:t>
            </a:r>
            <a:r>
              <a:rPr lang="zh-CN" altLang="zh-CN" sz="1400" b="0" i="0" baseline="0">
                <a:effectLst/>
              </a:rPr>
              <a:t>年度预算支出与决算支出对比图</a:t>
            </a:r>
            <a:endParaRPr lang="zh-CN" altLang="zh-CN" sz="1400">
              <a:effectLst/>
            </a:endParaRPr>
          </a:p>
        </c:rich>
      </c:tx>
      <c:layout>
        <c:manualLayout>
          <c:xMode val="edge"/>
          <c:yMode val="edge"/>
          <c:x val="0.203440808469682"/>
          <c:y val="0.032996494122499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预算</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449.45</c:v>
                </c:pt>
                <c:pt idx="1">
                  <c:v>72.5</c:v>
                </c:pt>
                <c:pt idx="2">
                  <c:v>28.04</c:v>
                </c:pt>
                <c:pt idx="3">
                  <c:v>21.62</c:v>
                </c:pt>
              </c:numCache>
            </c:numRef>
          </c:val>
        </c:ser>
        <c:ser>
          <c:idx val="1"/>
          <c:order val="1"/>
          <c:tx>
            <c:strRef>
              <c:f>Sheet1!$C$1</c:f>
              <c:strCache>
                <c:ptCount val="1"/>
                <c:pt idx="0">
                  <c:v>决算</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Sheet1!$C$2:$C$5</c:f>
              <c:numCache>
                <c:formatCode>General</c:formatCode>
                <c:ptCount val="4"/>
                <c:pt idx="0">
                  <c:v>452.61</c:v>
                </c:pt>
                <c:pt idx="1">
                  <c:v>158.42</c:v>
                </c:pt>
                <c:pt idx="2">
                  <c:v>12.75</c:v>
                </c:pt>
                <c:pt idx="3">
                  <c:v>23.38</c:v>
                </c:pt>
              </c:numCache>
            </c:numRef>
          </c:val>
        </c:ser>
        <c:dLbls>
          <c:showLegendKey val="0"/>
          <c:showVal val="1"/>
          <c:showCatName val="0"/>
          <c:showSerName val="0"/>
          <c:showPercent val="0"/>
          <c:showBubbleSize val="0"/>
        </c:dLbls>
        <c:gapWidth val="219"/>
        <c:overlap val="-27"/>
        <c:axId val="844056504"/>
        <c:axId val="844049288"/>
      </c:barChart>
      <c:catAx>
        <c:axId val="844056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4049288"/>
        <c:crosses val="autoZero"/>
        <c:auto val="1"/>
        <c:lblAlgn val="ctr"/>
        <c:lblOffset val="100"/>
        <c:noMultiLvlLbl val="0"/>
      </c:catAx>
      <c:valAx>
        <c:axId val="844049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4056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04b7b82-2f91-4c29-b375-7c9b1074b7e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0.71639</cdr:x>
      <cdr:y>0.16086</cdr:y>
    </cdr:from>
    <cdr:to>
      <cdr:x>0.94748</cdr:x>
      <cdr:y>0.26913</cdr:y>
    </cdr:to>
    <cdr:sp>
      <cdr:nvSpPr>
        <cdr:cNvPr id="2" name="矩形 1"/>
        <cdr:cNvSpPr/>
      </cdr:nvSpPr>
      <cdr:spPr xmlns:a="http://schemas.openxmlformats.org/drawingml/2006/main">
        <a:xfrm xmlns:a="http://schemas.openxmlformats.org/drawingml/2006/main">
          <a:off x="3248025" y="495300"/>
          <a:ext cx="1047750" cy="33337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100"/>
            <a:t>单位：万元</a:t>
          </a:r>
          <a:endParaRPr lang="zh-CN" altLang="en-US" sz="11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30"/>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843782-EA4C-488D-9547-79536BC7C3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345</Words>
  <Characters>373</Characters>
  <Lines>113</Lines>
  <Paragraphs>31</Paragraphs>
  <TotalTime>344</TotalTime>
  <ScaleCrop>false</ScaleCrop>
  <LinksUpToDate>false</LinksUpToDate>
  <CharactersWithSpaces>412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风声</cp:lastModifiedBy>
  <cp:lastPrinted>2021-07-09T01:47:00Z</cp:lastPrinted>
  <dcterms:modified xsi:type="dcterms:W3CDTF">2025-05-12T04:49:09Z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7E7588654FC244E380CF99C244D2BB12</vt:lpwstr>
  </property>
  <property fmtid="{D5CDD505-2E9C-101B-9397-08002B2CF9AE}" pid="4" name="KSOTemplateDocerSaveRecord">
    <vt:lpwstr>eyJoZGlkIjoiMTA4YzI5MGM1ODUyZmI4NDU2YWJiYjE0OTEzYzdjYjciLCJ1c2VySWQiOiIxMDE3NDE3MDU0In0=</vt:lpwstr>
  </property>
</Properties>
</file>