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C09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保定市徐水区漕河镇人民政府</w:t>
      </w:r>
    </w:p>
    <w:p w14:paraId="363DE2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2023年度部门整体绩效管理自评报告</w:t>
      </w:r>
    </w:p>
    <w:p w14:paraId="27064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38F4FA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保定市徐水区财政局关于印发&lt;保定市徐水区预算部门绩效管理考核实施办法（试行）&gt;的通知》（徐政财字〔2023〕73号）和《2023年度区直镇绩效管理自评表》，结合实际情况，保定市徐水区漕河镇人民政府组织开展部门整体绩效管理自评工作，现将具体情况报告如下：</w:t>
      </w:r>
    </w:p>
    <w:p w14:paraId="4C6B2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一、部门基本情况</w:t>
      </w:r>
    </w:p>
    <w:p w14:paraId="20593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（一）机构设置和人员配备</w:t>
      </w:r>
    </w:p>
    <w:p w14:paraId="199DD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保定市徐水区漕河镇人民政府</w:t>
      </w:r>
      <w:r>
        <w:rPr>
          <w:rFonts w:hint="default"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val="en-US" w:eastAsia="zh-CN"/>
        </w:rPr>
        <w:t>镇</w:t>
      </w:r>
      <w:r>
        <w:rPr>
          <w:rFonts w:hint="default" w:ascii="仿宋_GB2312" w:hAnsi="仿宋_GB2312" w:eastAsia="仿宋_GB2312" w:cs="仿宋_GB2312"/>
          <w:color w:val="auto"/>
          <w:sz w:val="32"/>
          <w:szCs w:val="32"/>
          <w:lang w:val="en-US" w:eastAsia="zh-CN"/>
        </w:rPr>
        <w:t>级行政单位，经费保障形式为财政拨款，下设</w:t>
      </w: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个股室，分别为</w:t>
      </w:r>
      <w:r>
        <w:rPr>
          <w:rFonts w:hint="eastAsia" w:ascii="仿宋_GB2312" w:eastAsia="仿宋_GB2312"/>
          <w:color w:val="auto"/>
          <w:sz w:val="32"/>
          <w:szCs w:val="32"/>
        </w:rPr>
        <w:t>党政综合办公室（信访办公室）</w:t>
      </w:r>
      <w:r>
        <w:rPr>
          <w:rFonts w:hint="eastAsia" w:ascii="仿宋_GB2312" w:eastAsia="仿宋_GB2312"/>
          <w:color w:val="auto"/>
          <w:sz w:val="32"/>
          <w:szCs w:val="32"/>
          <w:lang w:eastAsia="zh-CN"/>
        </w:rPr>
        <w:t>、</w:t>
      </w:r>
      <w:r>
        <w:rPr>
          <w:rFonts w:hint="eastAsia" w:ascii="仿宋_GB2312" w:eastAsia="仿宋_GB2312"/>
          <w:color w:val="auto"/>
          <w:sz w:val="32"/>
          <w:szCs w:val="32"/>
        </w:rPr>
        <w:t>党建工作办公室（人大主席团办公室）</w:t>
      </w:r>
      <w:r>
        <w:rPr>
          <w:rFonts w:hint="eastAsia" w:ascii="仿宋_GB2312" w:eastAsia="仿宋_GB2312"/>
          <w:color w:val="auto"/>
          <w:sz w:val="32"/>
          <w:szCs w:val="32"/>
          <w:lang w:eastAsia="zh-CN"/>
        </w:rPr>
        <w:t>、</w:t>
      </w:r>
      <w:r>
        <w:rPr>
          <w:rFonts w:hint="eastAsia" w:ascii="仿宋_GB2312" w:eastAsia="仿宋_GB2312"/>
          <w:color w:val="auto"/>
          <w:sz w:val="32"/>
          <w:szCs w:val="32"/>
        </w:rPr>
        <w:t>应急管理办公室（财经和社会事务办公室）</w:t>
      </w:r>
      <w:r>
        <w:rPr>
          <w:rFonts w:hint="eastAsia" w:ascii="仿宋_GB2312" w:eastAsia="仿宋_GB2312"/>
          <w:color w:val="auto"/>
          <w:sz w:val="32"/>
          <w:szCs w:val="32"/>
          <w:lang w:eastAsia="zh-CN"/>
        </w:rPr>
        <w:t>、</w:t>
      </w:r>
      <w:r>
        <w:rPr>
          <w:rFonts w:hint="eastAsia" w:ascii="仿宋_GB2312" w:eastAsia="仿宋_GB2312"/>
          <w:color w:val="auto"/>
          <w:sz w:val="32"/>
          <w:szCs w:val="32"/>
        </w:rPr>
        <w:t>自然资源和生态环境办公室</w:t>
      </w:r>
      <w:r>
        <w:rPr>
          <w:rFonts w:hint="eastAsia" w:ascii="仿宋_GB2312" w:eastAsia="仿宋_GB2312"/>
          <w:color w:val="auto"/>
          <w:sz w:val="32"/>
          <w:szCs w:val="32"/>
          <w:lang w:eastAsia="zh-CN"/>
        </w:rPr>
        <w:t>、</w:t>
      </w:r>
      <w:r>
        <w:rPr>
          <w:rFonts w:hint="eastAsia" w:ascii="仿宋_GB2312" w:eastAsia="仿宋_GB2312"/>
          <w:color w:val="auto"/>
          <w:sz w:val="32"/>
          <w:szCs w:val="32"/>
        </w:rPr>
        <w:t>综合行政执法队（综合指挥和信息化网络中心、社会治安综合治理中心）</w:t>
      </w:r>
      <w:r>
        <w:rPr>
          <w:rFonts w:hint="eastAsia" w:ascii="仿宋_GB2312" w:eastAsia="仿宋_GB2312"/>
          <w:color w:val="auto"/>
          <w:sz w:val="32"/>
          <w:szCs w:val="32"/>
          <w:lang w:eastAsia="zh-CN"/>
        </w:rPr>
        <w:t>、</w:t>
      </w:r>
      <w:r>
        <w:rPr>
          <w:rFonts w:hint="eastAsia" w:ascii="仿宋_GB2312" w:eastAsia="仿宋_GB2312"/>
          <w:color w:val="auto"/>
          <w:sz w:val="32"/>
          <w:szCs w:val="32"/>
        </w:rPr>
        <w:t>行政综合服务中心（综合文化服务站）</w:t>
      </w:r>
      <w:r>
        <w:rPr>
          <w:rFonts w:hint="eastAsia" w:ascii="仿宋_GB2312" w:eastAsia="仿宋_GB2312"/>
          <w:color w:val="auto"/>
          <w:sz w:val="32"/>
          <w:szCs w:val="32"/>
          <w:lang w:eastAsia="zh-CN"/>
        </w:rPr>
        <w:t>、</w:t>
      </w:r>
      <w:r>
        <w:rPr>
          <w:rFonts w:hint="eastAsia" w:ascii="仿宋_GB2312" w:eastAsia="仿宋_GB2312"/>
          <w:color w:val="auto"/>
          <w:sz w:val="32"/>
          <w:szCs w:val="32"/>
        </w:rPr>
        <w:t>农业综合服务中心（乡村经济发展服务中心）</w:t>
      </w:r>
      <w:r>
        <w:rPr>
          <w:rFonts w:hint="eastAsia" w:ascii="仿宋_GB2312" w:eastAsia="仿宋_GB2312"/>
          <w:color w:val="auto"/>
          <w:sz w:val="32"/>
          <w:szCs w:val="32"/>
          <w:lang w:eastAsia="zh-CN"/>
        </w:rPr>
        <w:t>、</w:t>
      </w:r>
      <w:r>
        <w:rPr>
          <w:rFonts w:hint="eastAsia" w:ascii="仿宋_GB2312" w:eastAsia="仿宋_GB2312"/>
          <w:color w:val="auto"/>
          <w:sz w:val="32"/>
          <w:szCs w:val="32"/>
        </w:rPr>
        <w:t>退役军人服务站</w:t>
      </w:r>
      <w:r>
        <w:rPr>
          <w:rFonts w:hint="eastAsia" w:ascii="仿宋_GB2312" w:hAnsi="仿宋_GB2312" w:eastAsia="仿宋_GB2312" w:cs="仿宋_GB2312"/>
          <w:color w:val="auto"/>
          <w:sz w:val="32"/>
          <w:szCs w:val="32"/>
          <w:lang w:val="en-US" w:eastAsia="zh-CN"/>
        </w:rPr>
        <w:t>。</w:t>
      </w:r>
    </w:p>
    <w:p w14:paraId="10E9C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根据《三定方案》，我部门编制数有58个，实有在编干部职工92名。</w:t>
      </w:r>
    </w:p>
    <w:p w14:paraId="6970C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（二）部门整体绩效目标</w:t>
      </w:r>
    </w:p>
    <w:p w14:paraId="24657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保定市徐水区漕河镇人民政府根据绩效预算管理政策的相关要求和部门职责，按照“部门职责—工作活动绩效目标”的层级设立了绩效预算架构，具体情况见下表：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893"/>
        <w:gridCol w:w="1069"/>
        <w:gridCol w:w="4688"/>
        <w:gridCol w:w="1374"/>
      </w:tblGrid>
      <w:tr w14:paraId="13A2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98" w:type="dxa"/>
            <w:noWrap w:val="0"/>
            <w:vAlign w:val="center"/>
          </w:tcPr>
          <w:p w14:paraId="39C39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893" w:type="dxa"/>
            <w:noWrap w:val="0"/>
            <w:vAlign w:val="center"/>
          </w:tcPr>
          <w:p w14:paraId="7FA92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职能</w:t>
            </w:r>
          </w:p>
        </w:tc>
        <w:tc>
          <w:tcPr>
            <w:tcW w:w="1069" w:type="dxa"/>
            <w:noWrap w:val="0"/>
            <w:vAlign w:val="center"/>
          </w:tcPr>
          <w:p w14:paraId="30D1B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工作活动</w:t>
            </w:r>
          </w:p>
        </w:tc>
        <w:tc>
          <w:tcPr>
            <w:tcW w:w="4688" w:type="dxa"/>
            <w:noWrap w:val="0"/>
            <w:vAlign w:val="center"/>
          </w:tcPr>
          <w:p w14:paraId="4B398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年度工作目标</w:t>
            </w:r>
          </w:p>
        </w:tc>
        <w:tc>
          <w:tcPr>
            <w:tcW w:w="1374" w:type="dxa"/>
            <w:noWrap w:val="0"/>
            <w:vAlign w:val="center"/>
          </w:tcPr>
          <w:p w14:paraId="7EF94E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对应项目支出</w:t>
            </w:r>
          </w:p>
        </w:tc>
      </w:tr>
      <w:tr w14:paraId="0DC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8" w:type="dxa"/>
            <w:vMerge w:val="restart"/>
            <w:noWrap w:val="0"/>
            <w:vAlign w:val="center"/>
          </w:tcPr>
          <w:p w14:paraId="5875D7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893" w:type="dxa"/>
            <w:vMerge w:val="restart"/>
            <w:noWrap w:val="0"/>
            <w:vAlign w:val="center"/>
          </w:tcPr>
          <w:p w14:paraId="4C2B9D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政法综治稳定和国家安全</w:t>
            </w:r>
          </w:p>
        </w:tc>
        <w:tc>
          <w:tcPr>
            <w:tcW w:w="1069" w:type="dxa"/>
            <w:vMerge w:val="restart"/>
            <w:noWrap w:val="0"/>
            <w:vAlign w:val="center"/>
          </w:tcPr>
          <w:p w14:paraId="39E25C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矛盾纠纷排查化解</w:t>
            </w:r>
          </w:p>
        </w:tc>
        <w:tc>
          <w:tcPr>
            <w:tcW w:w="4688" w:type="dxa"/>
            <w:noWrap w:val="0"/>
            <w:vAlign w:val="center"/>
          </w:tcPr>
          <w:p w14:paraId="7108A9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建立维稳保障长效机制，解决各种信访案件。帮助群众解决疑难问题，减少矛盾纠纷案件和不稳定因素的发生。资金及时拨付到位，为信访工作提供资金保障。</w:t>
            </w:r>
            <w:r>
              <w:rPr>
                <w:rFonts w:hint="eastAsia" w:ascii="宋体" w:hAnsi="宋体" w:eastAsia="宋体" w:cs="宋体"/>
                <w:color w:val="auto"/>
                <w:sz w:val="21"/>
                <w:szCs w:val="21"/>
                <w:lang w:val="en-US" w:eastAsia="zh-CN"/>
              </w:rPr>
              <w:tab/>
            </w:r>
          </w:p>
        </w:tc>
        <w:tc>
          <w:tcPr>
            <w:tcW w:w="1374" w:type="dxa"/>
            <w:noWrap w:val="0"/>
            <w:vAlign w:val="center"/>
          </w:tcPr>
          <w:p w14:paraId="4022C2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维稳经费（运转保障）</w:t>
            </w:r>
          </w:p>
        </w:tc>
      </w:tr>
      <w:tr w14:paraId="2A7E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98" w:type="dxa"/>
            <w:vMerge w:val="continue"/>
            <w:noWrap w:val="0"/>
            <w:vAlign w:val="center"/>
          </w:tcPr>
          <w:p w14:paraId="16C266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p>
        </w:tc>
        <w:tc>
          <w:tcPr>
            <w:tcW w:w="893" w:type="dxa"/>
            <w:vMerge w:val="continue"/>
            <w:noWrap w:val="0"/>
            <w:vAlign w:val="center"/>
          </w:tcPr>
          <w:p w14:paraId="0D77A7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496CDA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7CB8C8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保障人员工资、保险等方面的经费支出，按月发放调解员工资，及时缴纳保险。减少社会矛盾，化解社会纠纷。做好人民调解工作，更好、更快调解诉前案件和信访案件。</w:t>
            </w:r>
            <w:r>
              <w:rPr>
                <w:rFonts w:hint="eastAsia" w:ascii="宋体" w:hAnsi="宋体" w:eastAsia="宋体" w:cs="宋体"/>
                <w:color w:val="auto"/>
                <w:sz w:val="21"/>
                <w:szCs w:val="21"/>
                <w:lang w:val="en-US" w:eastAsia="zh-CN"/>
              </w:rPr>
              <w:tab/>
            </w:r>
          </w:p>
        </w:tc>
        <w:tc>
          <w:tcPr>
            <w:tcW w:w="1374" w:type="dxa"/>
            <w:noWrap w:val="0"/>
            <w:vAlign w:val="center"/>
          </w:tcPr>
          <w:p w14:paraId="42C02E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选任专职人民调解员经费</w:t>
            </w:r>
          </w:p>
        </w:tc>
      </w:tr>
      <w:tr w14:paraId="43D6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98" w:type="dxa"/>
            <w:vMerge w:val="restart"/>
            <w:noWrap w:val="0"/>
            <w:vAlign w:val="center"/>
          </w:tcPr>
          <w:p w14:paraId="11A32F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893" w:type="dxa"/>
            <w:vMerge w:val="restart"/>
            <w:noWrap w:val="0"/>
            <w:vAlign w:val="center"/>
          </w:tcPr>
          <w:p w14:paraId="770229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政务管理</w:t>
            </w:r>
          </w:p>
        </w:tc>
        <w:tc>
          <w:tcPr>
            <w:tcW w:w="1069" w:type="dxa"/>
            <w:vMerge w:val="restart"/>
            <w:noWrap w:val="0"/>
            <w:vAlign w:val="center"/>
          </w:tcPr>
          <w:p w14:paraId="101ED9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综合事务管理</w:t>
            </w:r>
          </w:p>
        </w:tc>
        <w:tc>
          <w:tcPr>
            <w:tcW w:w="4688" w:type="dxa"/>
            <w:noWrap w:val="0"/>
            <w:vAlign w:val="center"/>
          </w:tcPr>
          <w:p w14:paraId="4E897A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搞好服务保障，保障各项工作顺利开展。维持地震群测群防队伍的稳定。</w:t>
            </w:r>
          </w:p>
        </w:tc>
        <w:tc>
          <w:tcPr>
            <w:tcW w:w="1374" w:type="dxa"/>
            <w:noWrap w:val="0"/>
            <w:vAlign w:val="center"/>
          </w:tcPr>
          <w:p w14:paraId="4C77E3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专项工作经费（运转保障）                       </w:t>
            </w:r>
          </w:p>
        </w:tc>
      </w:tr>
      <w:tr w14:paraId="48D6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498" w:type="dxa"/>
            <w:vMerge w:val="continue"/>
            <w:noWrap w:val="0"/>
            <w:vAlign w:val="center"/>
          </w:tcPr>
          <w:p w14:paraId="47B7BE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p>
        </w:tc>
        <w:tc>
          <w:tcPr>
            <w:tcW w:w="893" w:type="dxa"/>
            <w:vMerge w:val="continue"/>
            <w:noWrap w:val="0"/>
            <w:vAlign w:val="center"/>
          </w:tcPr>
          <w:p w14:paraId="0AFEAC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5E8D6E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534590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保障团委各项工作的开展，提高办事效率。建立纪检保障长效机制，</w:t>
            </w:r>
          </w:p>
        </w:tc>
        <w:tc>
          <w:tcPr>
            <w:tcW w:w="1374" w:type="dxa"/>
            <w:noWrap w:val="0"/>
            <w:vAlign w:val="center"/>
          </w:tcPr>
          <w:p w14:paraId="0ED746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团委综合事务管理经费（运转保障）</w:t>
            </w:r>
          </w:p>
        </w:tc>
      </w:tr>
      <w:tr w14:paraId="3F34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98" w:type="dxa"/>
            <w:vMerge w:val="continue"/>
            <w:noWrap w:val="0"/>
            <w:vAlign w:val="center"/>
          </w:tcPr>
          <w:p w14:paraId="1708D6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p>
        </w:tc>
        <w:tc>
          <w:tcPr>
            <w:tcW w:w="893" w:type="dxa"/>
            <w:vMerge w:val="continue"/>
            <w:noWrap w:val="0"/>
            <w:vAlign w:val="center"/>
          </w:tcPr>
          <w:p w14:paraId="7946EA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14FE16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52EEAC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为纪检组织提供必要的工作条件；更好的推进农村反腐倡廉，服务经济，促进社会和谐。</w:t>
            </w:r>
          </w:p>
        </w:tc>
        <w:tc>
          <w:tcPr>
            <w:tcW w:w="1374" w:type="dxa"/>
            <w:noWrap w:val="0"/>
            <w:vAlign w:val="center"/>
          </w:tcPr>
          <w:p w14:paraId="7F8614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纪检保障经费（运转保障）</w:t>
            </w:r>
          </w:p>
        </w:tc>
      </w:tr>
      <w:tr w14:paraId="7A43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98" w:type="dxa"/>
            <w:vMerge w:val="continue"/>
            <w:noWrap w:val="0"/>
            <w:vAlign w:val="center"/>
          </w:tcPr>
          <w:p w14:paraId="27334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p>
        </w:tc>
        <w:tc>
          <w:tcPr>
            <w:tcW w:w="893" w:type="dxa"/>
            <w:vMerge w:val="continue"/>
            <w:noWrap w:val="0"/>
            <w:vAlign w:val="center"/>
          </w:tcPr>
          <w:p w14:paraId="67D5BA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55B666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09737A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组织日常活动，定期集中培训，提高党员的综合素质；更好的发挥党的引领示范作用。</w:t>
            </w:r>
          </w:p>
        </w:tc>
        <w:tc>
          <w:tcPr>
            <w:tcW w:w="1374" w:type="dxa"/>
            <w:noWrap w:val="0"/>
            <w:vAlign w:val="center"/>
          </w:tcPr>
          <w:p w14:paraId="7B6561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党建工作经费（运转保障）</w:t>
            </w:r>
          </w:p>
        </w:tc>
      </w:tr>
      <w:tr w14:paraId="6B04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498" w:type="dxa"/>
            <w:vMerge w:val="continue"/>
            <w:noWrap w:val="0"/>
            <w:vAlign w:val="center"/>
          </w:tcPr>
          <w:p w14:paraId="76FBFE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p>
        </w:tc>
        <w:tc>
          <w:tcPr>
            <w:tcW w:w="893" w:type="dxa"/>
            <w:vMerge w:val="continue"/>
            <w:noWrap w:val="0"/>
            <w:vAlign w:val="center"/>
          </w:tcPr>
          <w:p w14:paraId="0D6E0C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2F5DF4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793BCD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有效降低地震灾害造成的人身及财产损失。该项目主要用于补助地震群策群访队伍。</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p>
        </w:tc>
        <w:tc>
          <w:tcPr>
            <w:tcW w:w="1374" w:type="dxa"/>
            <w:noWrap w:val="0"/>
            <w:vAlign w:val="center"/>
          </w:tcPr>
          <w:p w14:paraId="5DE534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地震群测群防岗位津贴</w:t>
            </w:r>
          </w:p>
        </w:tc>
      </w:tr>
      <w:tr w14:paraId="7AD4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98" w:type="dxa"/>
            <w:vMerge w:val="continue"/>
            <w:noWrap w:val="0"/>
            <w:vAlign w:val="center"/>
          </w:tcPr>
          <w:p w14:paraId="23C985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p>
        </w:tc>
        <w:tc>
          <w:tcPr>
            <w:tcW w:w="893" w:type="dxa"/>
            <w:vMerge w:val="continue"/>
            <w:noWrap w:val="0"/>
            <w:vAlign w:val="center"/>
          </w:tcPr>
          <w:p w14:paraId="6CE267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3BAA32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7C670D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确保我单位日常行政管理方面工作的运行</w:t>
            </w:r>
          </w:p>
        </w:tc>
        <w:tc>
          <w:tcPr>
            <w:tcW w:w="1374" w:type="dxa"/>
            <w:noWrap w:val="0"/>
            <w:vAlign w:val="center"/>
          </w:tcPr>
          <w:p w14:paraId="1FC8DA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2023年单位其他资金</w:t>
            </w:r>
          </w:p>
        </w:tc>
      </w:tr>
      <w:tr w14:paraId="280D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498" w:type="dxa"/>
            <w:noWrap w:val="0"/>
            <w:vAlign w:val="center"/>
          </w:tcPr>
          <w:p w14:paraId="0B7B2C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893" w:type="dxa"/>
            <w:noWrap w:val="0"/>
            <w:vAlign w:val="center"/>
          </w:tcPr>
          <w:p w14:paraId="7AC2E2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环境污染综合防治</w:t>
            </w:r>
          </w:p>
        </w:tc>
        <w:tc>
          <w:tcPr>
            <w:tcW w:w="1069" w:type="dxa"/>
            <w:noWrap w:val="0"/>
            <w:vAlign w:val="center"/>
          </w:tcPr>
          <w:p w14:paraId="767BE1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大气污染防治</w:t>
            </w:r>
          </w:p>
        </w:tc>
        <w:tc>
          <w:tcPr>
            <w:tcW w:w="4688" w:type="dxa"/>
            <w:noWrap w:val="0"/>
            <w:vAlign w:val="center"/>
          </w:tcPr>
          <w:p w14:paraId="31B9CF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保护和改善环境，防治大气污染，保障公众健康，推进生态文明建设。</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p>
        </w:tc>
        <w:tc>
          <w:tcPr>
            <w:tcW w:w="1374" w:type="dxa"/>
            <w:noWrap w:val="0"/>
            <w:vAlign w:val="center"/>
          </w:tcPr>
          <w:p w14:paraId="639743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大气污染防治经费</w:t>
            </w:r>
          </w:p>
        </w:tc>
      </w:tr>
      <w:tr w14:paraId="02CF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498" w:type="dxa"/>
            <w:noWrap w:val="0"/>
            <w:vAlign w:val="center"/>
          </w:tcPr>
          <w:p w14:paraId="2DB281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893" w:type="dxa"/>
            <w:noWrap w:val="0"/>
            <w:vAlign w:val="center"/>
          </w:tcPr>
          <w:p w14:paraId="18C900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安全生产综合监督管理</w:t>
            </w:r>
          </w:p>
        </w:tc>
        <w:tc>
          <w:tcPr>
            <w:tcW w:w="1069" w:type="dxa"/>
            <w:noWrap w:val="0"/>
            <w:vAlign w:val="center"/>
          </w:tcPr>
          <w:p w14:paraId="5DF97F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加强安全生产综合监督管理</w:t>
            </w:r>
          </w:p>
        </w:tc>
        <w:tc>
          <w:tcPr>
            <w:tcW w:w="4688" w:type="dxa"/>
            <w:noWrap w:val="0"/>
            <w:vAlign w:val="center"/>
          </w:tcPr>
          <w:p w14:paraId="16AA13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加强基层安全生产保障能力的建设，确保满足安全生产工作的实际需要，进一步加大安全生产延生到基层，掌握全区的安全生产动态。该项目主要用于给安全生产信息员发放补贴。</w:t>
            </w:r>
          </w:p>
        </w:tc>
        <w:tc>
          <w:tcPr>
            <w:tcW w:w="1374" w:type="dxa"/>
            <w:noWrap w:val="0"/>
            <w:vAlign w:val="center"/>
          </w:tcPr>
          <w:p w14:paraId="126844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安全生产信息员经费</w:t>
            </w:r>
          </w:p>
        </w:tc>
      </w:tr>
      <w:tr w14:paraId="55A6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98" w:type="dxa"/>
            <w:vMerge w:val="restart"/>
            <w:noWrap w:val="0"/>
            <w:vAlign w:val="center"/>
          </w:tcPr>
          <w:p w14:paraId="308F9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p w14:paraId="37ECB4C5">
            <w:pPr>
              <w:pStyle w:val="6"/>
              <w:rPr>
                <w:rFonts w:hint="eastAsia" w:ascii="宋体" w:hAnsi="宋体" w:eastAsia="宋体" w:cs="宋体"/>
                <w:color w:val="auto"/>
                <w:sz w:val="21"/>
                <w:szCs w:val="21"/>
                <w:lang w:val="en-US" w:eastAsia="zh-CN"/>
              </w:rPr>
            </w:pPr>
          </w:p>
          <w:p w14:paraId="4A69FC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893" w:type="dxa"/>
            <w:vMerge w:val="restart"/>
            <w:noWrap w:val="0"/>
            <w:vAlign w:val="center"/>
          </w:tcPr>
          <w:p w14:paraId="5B15B2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社会管理与服务</w:t>
            </w:r>
          </w:p>
          <w:p w14:paraId="450421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restart"/>
            <w:noWrap w:val="0"/>
            <w:vAlign w:val="center"/>
          </w:tcPr>
          <w:p w14:paraId="73325C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基层政权和社区建设</w:t>
            </w:r>
          </w:p>
          <w:p w14:paraId="4A77D2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393F24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及时足额拨付资金。及时足额拨付资金，保障村级组织的正常运转，以推进村级组织健康发展，搞好服务保障。</w:t>
            </w:r>
          </w:p>
        </w:tc>
        <w:tc>
          <w:tcPr>
            <w:tcW w:w="1374" w:type="dxa"/>
            <w:noWrap w:val="0"/>
            <w:vAlign w:val="center"/>
          </w:tcPr>
          <w:p w14:paraId="43982C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村级组织办公经费村</w:t>
            </w:r>
          </w:p>
        </w:tc>
      </w:tr>
      <w:tr w14:paraId="1FAF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498" w:type="dxa"/>
            <w:vMerge w:val="continue"/>
            <w:noWrap w:val="0"/>
            <w:vAlign w:val="center"/>
          </w:tcPr>
          <w:p w14:paraId="5870E7F1">
            <w:pPr>
              <w:pStyle w:val="6"/>
              <w:rPr>
                <w:rFonts w:hint="eastAsia" w:ascii="宋体" w:hAnsi="宋体" w:eastAsia="宋体" w:cs="宋体"/>
                <w:color w:val="auto"/>
                <w:sz w:val="21"/>
                <w:szCs w:val="21"/>
                <w:lang w:val="en-US" w:eastAsia="zh-CN"/>
              </w:rPr>
            </w:pPr>
          </w:p>
        </w:tc>
        <w:tc>
          <w:tcPr>
            <w:tcW w:w="893" w:type="dxa"/>
            <w:vMerge w:val="continue"/>
            <w:noWrap w:val="0"/>
            <w:vAlign w:val="center"/>
          </w:tcPr>
          <w:p w14:paraId="0E6F3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p>
        </w:tc>
        <w:tc>
          <w:tcPr>
            <w:tcW w:w="1069" w:type="dxa"/>
            <w:vMerge w:val="continue"/>
            <w:noWrap w:val="0"/>
            <w:vAlign w:val="center"/>
          </w:tcPr>
          <w:p w14:paraId="6F48F6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4688" w:type="dxa"/>
            <w:noWrap w:val="0"/>
            <w:vAlign w:val="center"/>
          </w:tcPr>
          <w:p w14:paraId="5C7297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运用服务群众专项经费，保障村内组织日常活动。正确使用服务群众专项经费用于村内公益事业,达到群众满意。通过实施此项目，促进社会稳定水平逐步提高。</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p>
        </w:tc>
        <w:tc>
          <w:tcPr>
            <w:tcW w:w="1374" w:type="dxa"/>
            <w:noWrap w:val="0"/>
            <w:vAlign w:val="center"/>
          </w:tcPr>
          <w:p w14:paraId="341411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服务群众专项经费</w:t>
            </w:r>
          </w:p>
        </w:tc>
      </w:tr>
      <w:tr w14:paraId="51B5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98" w:type="dxa"/>
            <w:vMerge w:val="continue"/>
            <w:noWrap w:val="0"/>
            <w:vAlign w:val="center"/>
          </w:tcPr>
          <w:p w14:paraId="29E4D7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893" w:type="dxa"/>
            <w:vMerge w:val="continue"/>
            <w:noWrap w:val="0"/>
            <w:vAlign w:val="center"/>
          </w:tcPr>
          <w:p w14:paraId="4F0EC1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13B3E9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677BBC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通过拨付村党组织活动经费，保障村党组织日常活动对辖区内党员进行培训，提高农村党员的综合素质</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用于村内党员活动经费支出按季度支出</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p>
        </w:tc>
        <w:tc>
          <w:tcPr>
            <w:tcW w:w="1374" w:type="dxa"/>
            <w:noWrap w:val="0"/>
            <w:vAlign w:val="center"/>
          </w:tcPr>
          <w:p w14:paraId="5CFFDA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村党组织活动经费</w:t>
            </w:r>
          </w:p>
        </w:tc>
      </w:tr>
      <w:tr w14:paraId="5564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498" w:type="dxa"/>
            <w:vMerge w:val="continue"/>
            <w:noWrap w:val="0"/>
            <w:vAlign w:val="center"/>
          </w:tcPr>
          <w:p w14:paraId="7A1D85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893" w:type="dxa"/>
            <w:vMerge w:val="continue"/>
            <w:noWrap w:val="0"/>
            <w:vAlign w:val="center"/>
          </w:tcPr>
          <w:p w14:paraId="524489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159C57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1A6D60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确保全区稳定，保障退役军人专岗人员更好发挥作用。项目资金12.36万元，发放人数4人</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p>
        </w:tc>
        <w:tc>
          <w:tcPr>
            <w:tcW w:w="1374" w:type="dxa"/>
            <w:noWrap w:val="0"/>
            <w:vAlign w:val="center"/>
          </w:tcPr>
          <w:p w14:paraId="2005EB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退役军人</w:t>
            </w:r>
            <w:r>
              <w:rPr>
                <w:rFonts w:hint="eastAsia" w:ascii="宋体" w:hAnsi="宋体" w:cs="宋体"/>
                <w:color w:val="auto"/>
                <w:sz w:val="21"/>
                <w:szCs w:val="21"/>
                <w:lang w:val="en-US" w:eastAsia="zh-CN"/>
              </w:rPr>
              <w:t>公益性岗位</w:t>
            </w:r>
            <w:r>
              <w:rPr>
                <w:rFonts w:hint="eastAsia" w:ascii="宋体" w:hAnsi="宋体" w:eastAsia="宋体" w:cs="宋体"/>
                <w:color w:val="auto"/>
                <w:sz w:val="21"/>
                <w:szCs w:val="21"/>
                <w:lang w:val="en-US" w:eastAsia="zh-CN"/>
              </w:rPr>
              <w:t>人员工资</w:t>
            </w:r>
          </w:p>
        </w:tc>
      </w:tr>
      <w:tr w14:paraId="7CC1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98" w:type="dxa"/>
            <w:vMerge w:val="continue"/>
            <w:noWrap w:val="0"/>
            <w:vAlign w:val="center"/>
          </w:tcPr>
          <w:p w14:paraId="0DC08A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893" w:type="dxa"/>
            <w:vMerge w:val="continue"/>
            <w:noWrap w:val="0"/>
            <w:vAlign w:val="center"/>
          </w:tcPr>
          <w:p w14:paraId="42DA47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7CB742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1B42F5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把优抚工作作为支持国家国防军队建设、保持国家长治久安的一项重要任务强力推进。项目资金19.8万元，发放人数27人。</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p>
        </w:tc>
        <w:tc>
          <w:tcPr>
            <w:tcW w:w="1374" w:type="dxa"/>
            <w:noWrap w:val="0"/>
            <w:vAlign w:val="center"/>
          </w:tcPr>
          <w:p w14:paraId="292B60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村级退役军人服务站吸收参战（进藏）退役军人补贴</w:t>
            </w:r>
          </w:p>
        </w:tc>
      </w:tr>
      <w:tr w14:paraId="3D3C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98" w:type="dxa"/>
            <w:vMerge w:val="continue"/>
            <w:noWrap w:val="0"/>
            <w:vAlign w:val="center"/>
          </w:tcPr>
          <w:p w14:paraId="7E2057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893" w:type="dxa"/>
            <w:vMerge w:val="continue"/>
            <w:noWrap w:val="0"/>
            <w:vAlign w:val="center"/>
          </w:tcPr>
          <w:p w14:paraId="71D4D9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1ED8DF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25E37A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解决“三线”铁路建设民兵生活困难保障问题。及时发放“三线”铁路建设民兵生活补贴医疗补贴。</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生活补贴按月发放，医疗补贴按年发放。预计2023年12月31日支付完毕。</w:t>
            </w:r>
            <w:r>
              <w:rPr>
                <w:rFonts w:hint="eastAsia" w:ascii="宋体" w:hAnsi="宋体" w:eastAsia="宋体" w:cs="宋体"/>
                <w:color w:val="auto"/>
                <w:sz w:val="21"/>
                <w:szCs w:val="21"/>
                <w:lang w:val="en-US" w:eastAsia="zh-CN"/>
              </w:rPr>
              <w:tab/>
            </w:r>
          </w:p>
        </w:tc>
        <w:tc>
          <w:tcPr>
            <w:tcW w:w="1374" w:type="dxa"/>
            <w:noWrap w:val="0"/>
            <w:vAlign w:val="center"/>
          </w:tcPr>
          <w:p w14:paraId="559AA0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三线铁路建设民兵生活补贴</w:t>
            </w:r>
          </w:p>
        </w:tc>
      </w:tr>
      <w:tr w14:paraId="5B59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98" w:type="dxa"/>
            <w:vMerge w:val="continue"/>
            <w:noWrap w:val="0"/>
            <w:vAlign w:val="center"/>
          </w:tcPr>
          <w:p w14:paraId="26787B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893" w:type="dxa"/>
            <w:vMerge w:val="continue"/>
            <w:noWrap w:val="0"/>
            <w:vAlign w:val="center"/>
          </w:tcPr>
          <w:p w14:paraId="2C305C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7807AA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7B7C36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解决国防公路工役制人员生活保障问题。</w:t>
            </w:r>
          </w:p>
        </w:tc>
        <w:tc>
          <w:tcPr>
            <w:tcW w:w="1374" w:type="dxa"/>
            <w:noWrap w:val="0"/>
            <w:vAlign w:val="center"/>
          </w:tcPr>
          <w:p w14:paraId="28C478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京原公路工作人员生活补贴</w:t>
            </w:r>
          </w:p>
        </w:tc>
      </w:tr>
      <w:tr w14:paraId="4F45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498" w:type="dxa"/>
            <w:noWrap w:val="0"/>
            <w:vAlign w:val="center"/>
          </w:tcPr>
          <w:p w14:paraId="7B4ED0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893" w:type="dxa"/>
            <w:noWrap w:val="0"/>
            <w:vAlign w:val="center"/>
          </w:tcPr>
          <w:p w14:paraId="2B2F46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选举和任免</w:t>
            </w:r>
          </w:p>
        </w:tc>
        <w:tc>
          <w:tcPr>
            <w:tcW w:w="1069" w:type="dxa"/>
            <w:noWrap w:val="0"/>
            <w:vAlign w:val="center"/>
          </w:tcPr>
          <w:p w14:paraId="23AD20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换届选举及人事任免</w:t>
            </w:r>
          </w:p>
        </w:tc>
        <w:tc>
          <w:tcPr>
            <w:tcW w:w="4688" w:type="dxa"/>
            <w:noWrap w:val="0"/>
            <w:vAlign w:val="center"/>
          </w:tcPr>
          <w:p w14:paraId="2A8C2C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人大日常工作经费保障及时，促进基层民主政治建设，当年度召开不少于1次人代会。</w:t>
            </w:r>
          </w:p>
        </w:tc>
        <w:tc>
          <w:tcPr>
            <w:tcW w:w="1374" w:type="dxa"/>
            <w:noWrap w:val="0"/>
            <w:vAlign w:val="center"/>
          </w:tcPr>
          <w:p w14:paraId="30DD24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人大工作经费（运转保障）</w:t>
            </w:r>
          </w:p>
        </w:tc>
      </w:tr>
      <w:tr w14:paraId="1A9C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498" w:type="dxa"/>
            <w:noWrap w:val="0"/>
            <w:vAlign w:val="center"/>
          </w:tcPr>
          <w:p w14:paraId="1F3CA1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893" w:type="dxa"/>
            <w:noWrap w:val="0"/>
            <w:vAlign w:val="center"/>
          </w:tcPr>
          <w:p w14:paraId="2FECC2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民兵训练和专武干部培训</w:t>
            </w:r>
          </w:p>
        </w:tc>
        <w:tc>
          <w:tcPr>
            <w:tcW w:w="1069" w:type="dxa"/>
            <w:noWrap w:val="0"/>
            <w:vAlign w:val="center"/>
          </w:tcPr>
          <w:p w14:paraId="6526E9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民兵训练和专武干部培训</w:t>
            </w:r>
          </w:p>
        </w:tc>
        <w:tc>
          <w:tcPr>
            <w:tcW w:w="4688" w:type="dxa"/>
            <w:noWrap w:val="0"/>
            <w:vAlign w:val="center"/>
          </w:tcPr>
          <w:p w14:paraId="3153B5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规范本镇武装部基础设施建设，不断提升遂行任务能力；保障本单位的民兵训练，征兵等工作的正常开展，圆满完成上级交给的各项工作任务。</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p>
        </w:tc>
        <w:tc>
          <w:tcPr>
            <w:tcW w:w="1374" w:type="dxa"/>
            <w:noWrap w:val="0"/>
            <w:vAlign w:val="center"/>
          </w:tcPr>
          <w:p w14:paraId="0BD623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乡镇武装工作经费（运转保障）</w:t>
            </w:r>
          </w:p>
        </w:tc>
      </w:tr>
      <w:tr w14:paraId="7C33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98" w:type="dxa"/>
            <w:vMerge w:val="restart"/>
            <w:noWrap w:val="0"/>
            <w:vAlign w:val="center"/>
          </w:tcPr>
          <w:p w14:paraId="6F7D07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893" w:type="dxa"/>
            <w:vMerge w:val="restart"/>
            <w:noWrap w:val="0"/>
            <w:vAlign w:val="center"/>
          </w:tcPr>
          <w:p w14:paraId="6CD218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乡村振兴</w:t>
            </w:r>
          </w:p>
        </w:tc>
        <w:tc>
          <w:tcPr>
            <w:tcW w:w="1069" w:type="dxa"/>
            <w:vMerge w:val="restart"/>
            <w:noWrap w:val="0"/>
            <w:vAlign w:val="center"/>
          </w:tcPr>
          <w:p w14:paraId="2D6D8D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农村经济发展</w:t>
            </w:r>
          </w:p>
        </w:tc>
        <w:tc>
          <w:tcPr>
            <w:tcW w:w="4688" w:type="dxa"/>
            <w:noWrap w:val="0"/>
            <w:vAlign w:val="center"/>
          </w:tcPr>
          <w:p w14:paraId="6D0D9B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规范就业扶贫</w:t>
            </w:r>
            <w:r>
              <w:rPr>
                <w:rFonts w:hint="eastAsia" w:ascii="宋体" w:hAnsi="宋体" w:cs="宋体"/>
                <w:color w:val="auto"/>
                <w:sz w:val="21"/>
                <w:szCs w:val="21"/>
                <w:lang w:val="en-US" w:eastAsia="zh-CN"/>
              </w:rPr>
              <w:t>公益性岗位</w:t>
            </w:r>
            <w:r>
              <w:rPr>
                <w:rFonts w:hint="eastAsia" w:ascii="宋体" w:hAnsi="宋体" w:eastAsia="宋体" w:cs="宋体"/>
                <w:color w:val="auto"/>
                <w:sz w:val="21"/>
                <w:szCs w:val="21"/>
                <w:lang w:val="en-US" w:eastAsia="zh-CN"/>
              </w:rPr>
              <w:t>、乡村服务岗位管理，帮助就业困难的建档立卡贫困劳动力实现持续稳定增收。为14位在公益岗的人员发放补助并购买人身意外保险。</w:t>
            </w:r>
          </w:p>
        </w:tc>
        <w:tc>
          <w:tcPr>
            <w:tcW w:w="1374" w:type="dxa"/>
            <w:noWrap w:val="0"/>
            <w:vAlign w:val="center"/>
          </w:tcPr>
          <w:p w14:paraId="14E717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2023年脱贫帮扶</w:t>
            </w:r>
            <w:r>
              <w:rPr>
                <w:rFonts w:hint="eastAsia" w:ascii="宋体" w:hAnsi="宋体" w:cs="宋体"/>
                <w:color w:val="auto"/>
                <w:sz w:val="21"/>
                <w:szCs w:val="21"/>
                <w:lang w:val="en-US" w:eastAsia="zh-CN"/>
              </w:rPr>
              <w:t>公益性岗位</w:t>
            </w:r>
            <w:r>
              <w:rPr>
                <w:rFonts w:hint="eastAsia" w:ascii="宋体" w:hAnsi="宋体" w:eastAsia="宋体" w:cs="宋体"/>
                <w:color w:val="auto"/>
                <w:sz w:val="21"/>
                <w:szCs w:val="21"/>
                <w:lang w:val="en-US" w:eastAsia="zh-CN"/>
              </w:rPr>
              <w:t>补助及保险项目</w:t>
            </w:r>
          </w:p>
        </w:tc>
      </w:tr>
      <w:tr w14:paraId="0925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98" w:type="dxa"/>
            <w:vMerge w:val="continue"/>
            <w:noWrap w:val="0"/>
            <w:vAlign w:val="center"/>
          </w:tcPr>
          <w:p w14:paraId="030F27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893" w:type="dxa"/>
            <w:vMerge w:val="continue"/>
            <w:noWrap w:val="0"/>
            <w:vAlign w:val="center"/>
          </w:tcPr>
          <w:p w14:paraId="27B601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4271ED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705BF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改善河道两岸交通条件，消除交通安全隐患。</w:t>
            </w:r>
          </w:p>
        </w:tc>
        <w:tc>
          <w:tcPr>
            <w:tcW w:w="1374" w:type="dxa"/>
            <w:noWrap w:val="0"/>
            <w:vAlign w:val="center"/>
          </w:tcPr>
          <w:p w14:paraId="37EF6E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提前下达2023年革命老区转移支付资金（漕河镇米家营桥改建工程）</w:t>
            </w:r>
          </w:p>
        </w:tc>
      </w:tr>
      <w:tr w14:paraId="0E1E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98" w:type="dxa"/>
            <w:vMerge w:val="continue"/>
            <w:noWrap w:val="0"/>
            <w:vAlign w:val="center"/>
          </w:tcPr>
          <w:p w14:paraId="45AC78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893" w:type="dxa"/>
            <w:vMerge w:val="continue"/>
            <w:noWrap w:val="0"/>
            <w:vAlign w:val="center"/>
          </w:tcPr>
          <w:p w14:paraId="5325D6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1069" w:type="dxa"/>
            <w:vMerge w:val="continue"/>
            <w:noWrap w:val="0"/>
            <w:vAlign w:val="center"/>
          </w:tcPr>
          <w:p w14:paraId="6CFF73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p>
        </w:tc>
        <w:tc>
          <w:tcPr>
            <w:tcW w:w="4688" w:type="dxa"/>
            <w:noWrap w:val="0"/>
            <w:vAlign w:val="center"/>
          </w:tcPr>
          <w:p w14:paraId="01944A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驻村干部开展工作和人身安全得到基本保障，必要工作和生活条件得到满足，使驻村工作队工作得到顺利开展。</w:t>
            </w:r>
          </w:p>
        </w:tc>
        <w:tc>
          <w:tcPr>
            <w:tcW w:w="1374" w:type="dxa"/>
            <w:noWrap w:val="0"/>
            <w:vAlign w:val="center"/>
          </w:tcPr>
          <w:p w14:paraId="7478D7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乡村振兴驻村工作队经费</w:t>
            </w:r>
          </w:p>
        </w:tc>
      </w:tr>
      <w:tr w14:paraId="56C2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center"/>
          </w:tcPr>
          <w:p w14:paraId="78A8C6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893" w:type="dxa"/>
            <w:noWrap w:val="0"/>
            <w:vAlign w:val="center"/>
          </w:tcPr>
          <w:p w14:paraId="7132A3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农村文化建设</w:t>
            </w:r>
          </w:p>
        </w:tc>
        <w:tc>
          <w:tcPr>
            <w:tcW w:w="1069" w:type="dxa"/>
            <w:noWrap w:val="0"/>
            <w:vAlign w:val="center"/>
          </w:tcPr>
          <w:p w14:paraId="7C71E0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公共服务工程推广</w:t>
            </w:r>
          </w:p>
        </w:tc>
        <w:tc>
          <w:tcPr>
            <w:tcW w:w="4688" w:type="dxa"/>
            <w:noWrap w:val="0"/>
            <w:vAlign w:val="center"/>
          </w:tcPr>
          <w:p w14:paraId="449344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为群众提供更好的文化环境</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保障图书馆、文化馆、乡村文化站各项工作有序进行</w:t>
            </w:r>
          </w:p>
        </w:tc>
        <w:tc>
          <w:tcPr>
            <w:tcW w:w="1374" w:type="dxa"/>
            <w:noWrap w:val="0"/>
            <w:vAlign w:val="center"/>
          </w:tcPr>
          <w:p w14:paraId="291629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“三馆一站”免费开放资金</w:t>
            </w:r>
          </w:p>
        </w:tc>
      </w:tr>
      <w:tr w14:paraId="2D73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98" w:type="dxa"/>
            <w:noWrap w:val="0"/>
            <w:vAlign w:val="center"/>
          </w:tcPr>
          <w:p w14:paraId="04795C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893" w:type="dxa"/>
            <w:noWrap w:val="0"/>
            <w:vAlign w:val="center"/>
          </w:tcPr>
          <w:p w14:paraId="3A1461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完善农村经营管理体制</w:t>
            </w:r>
          </w:p>
        </w:tc>
        <w:tc>
          <w:tcPr>
            <w:tcW w:w="1069" w:type="dxa"/>
            <w:noWrap w:val="0"/>
            <w:vAlign w:val="center"/>
          </w:tcPr>
          <w:p w14:paraId="022CAD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促进土地流转</w:t>
            </w:r>
          </w:p>
        </w:tc>
        <w:tc>
          <w:tcPr>
            <w:tcW w:w="4688" w:type="dxa"/>
            <w:noWrap w:val="0"/>
            <w:vAlign w:val="center"/>
          </w:tcPr>
          <w:p w14:paraId="28DC1A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加大新建廊道绿化，加大与主城区间连接线的绿化建设，打造布局合理，结构完整，层次丰富兼具保护和景观功能的绿道绿廊。按照协议及时支付资金，维护社会稳定。</w:t>
            </w:r>
          </w:p>
        </w:tc>
        <w:tc>
          <w:tcPr>
            <w:tcW w:w="1374" w:type="dxa"/>
            <w:noWrap w:val="0"/>
            <w:vAlign w:val="center"/>
          </w:tcPr>
          <w:p w14:paraId="5323FA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绿道绿廊土地租金</w:t>
            </w:r>
          </w:p>
        </w:tc>
      </w:tr>
    </w:tbl>
    <w:p w14:paraId="580175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val="en-US" w:eastAsia="zh-CN"/>
        </w:rPr>
      </w:pPr>
    </w:p>
    <w:p w14:paraId="19213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二、部门绩效考核自评情况 </w:t>
      </w:r>
      <w:r>
        <w:rPr>
          <w:rFonts w:hint="eastAsia" w:ascii="黑体" w:hAnsi="黑体" w:eastAsia="黑体" w:cs="黑体"/>
          <w:color w:val="auto"/>
          <w:sz w:val="32"/>
          <w:szCs w:val="32"/>
          <w:lang w:val="en-US" w:eastAsia="zh-CN"/>
        </w:rPr>
        <w:t xml:space="preserve">  </w:t>
      </w:r>
    </w:p>
    <w:p w14:paraId="7DC6DE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2023年，我镇积极履职，强化管理，较好的完成了各项工作，通过自评，我镇管理绩效考核得分为87.4分，换算得分为99.89分，具体情况如下：</w:t>
      </w:r>
    </w:p>
    <w:p w14:paraId="61D03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（一）重大政策落实情况，得分11.5分</w:t>
      </w:r>
    </w:p>
    <w:p w14:paraId="53FCDF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1.专项资金管理情况</w:t>
      </w:r>
    </w:p>
    <w:p w14:paraId="2B212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镇严格管理并及时落实专项资金1638.32万元，对于分配到村级的村级组织办公经费、村党组织活动经费、服务群众专项经费等项目，及时完整的向财政部门提供村级专项资金分配及拨款资料，为保证绩效目标顺利实现，我乡镇采取了三项措施，具体措施如下：</w:t>
      </w:r>
    </w:p>
    <w:p w14:paraId="66E8F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（1）及时拨付专项资金到村财乡管账户；</w:t>
      </w:r>
    </w:p>
    <w:p w14:paraId="58B9F9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（2）督导村级专项资金支出进度及开支范围；</w:t>
      </w:r>
    </w:p>
    <w:p w14:paraId="0DA42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）对支出进度慢的村警示预警。</w:t>
      </w:r>
    </w:p>
    <w:p w14:paraId="13F06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2.“三保”支出保障情况。我镇2023年严格按照中央、省、市和区委区政府决策部署，足额保障“三保”政策落实。具体情况如下：</w:t>
      </w:r>
    </w:p>
    <w:p w14:paraId="1FE70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保基本民生安排资金223.86万元，实际支出223.86万元，包括村级组织办公经费、村党组织活动经费、服务群众专项经费和三馆一站免费开放资金项目，其中：级组织办公经费、村党组织活动经费、服务群众专项经费222.36万元已及时足额发放到辖区内27个行政村，保障了村级组织正常运转；三馆一站免费开放资金</w:t>
      </w:r>
      <w:r>
        <w:rPr>
          <w:rFonts w:hint="default"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万元用于镇综合文化站房屋修缮支出，改善了文化站办公环境，丰富了职工文化生活。</w:t>
      </w:r>
    </w:p>
    <w:p w14:paraId="572AE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（2）保工资安排资金1035.09万元，实际支出1035.09万元，机关事业单位人员工资、保险已按时足额落实；</w:t>
      </w:r>
    </w:p>
    <w:p w14:paraId="34A20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（3）保运转安排资金40.42万元，实际支出40.42万元，保障单位工作正常运转。</w:t>
      </w:r>
    </w:p>
    <w:p w14:paraId="49C72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落实过紧日子要求情况。我镇2023年严格按照不折不扣落实政府“过紧日子”要求，厉行节约办一切事业，从紧安排项目支出，严格执行各项经费开支标准，严格控制“三公”经费支出。2022年我镇三公经费9.72万元，2023年7.53万元，较2022年减少2.19万元，主要是公务用车运行维护费减少。</w:t>
      </w:r>
    </w:p>
    <w:p w14:paraId="602CD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4.减税降费等政策的落实情况。我镇高度重视减税降费工作，严格落实各项减税降费政策。</w:t>
      </w:r>
    </w:p>
    <w:p w14:paraId="79B2FE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非税收入预算编制情况。我镇严格按照规定的收入项目、征收范围和征收标准编报生态环境罚没收入非税收入预算，准确界定收入类别，参照前两年实际完成及今年预计完成情况、预测明年的增减收因素，科学准确测算编制非税收入计划。</w:t>
      </w:r>
    </w:p>
    <w:p w14:paraId="02438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2023年，我镇及时足额上缴非税收入51.63万元，其中：利息收入0.38万元，生态环境罚没收入0.1万元，国土资源罚没收入收入51.15万元。</w:t>
      </w:r>
    </w:p>
    <w:p w14:paraId="7A1E8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罚没财物管理情况。我镇严格按《罚没财物管理办法》规定程序办理；落实罚没财物备案制度，建立罚没财物台账；严格执行罚没财物季报制度，每季度终了15个工作日内报送《罚没财物收缴季报表》；并按照规定备案。</w:t>
      </w:r>
    </w:p>
    <w:p w14:paraId="1B751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（3）按规定使用、核销财政电子票据，于12月31日前完成票据核销。</w:t>
      </w:r>
    </w:p>
    <w:p w14:paraId="68565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（二）预算编制管理情况，得分10.5分</w:t>
      </w:r>
    </w:p>
    <w:p w14:paraId="78A60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1.制度建设情况。我镇按照“三重一大”政策要求，对申报预算的项目认真的进行前期论证，并经过党组会议专题研究，对项目预算的绩效目标指标设定和部门预算草案、分年度计划均进行研究和审议。</w:t>
      </w:r>
    </w:p>
    <w:p w14:paraId="08E01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部门预算编制情况。我镇规范完整编制部门预算，在规定时间内，按照要求报送年初预算编制相关资料，将年初预算项目按财政部门要求录入一体化系统，同时生成并审核报送部门预算文本和部门绩效文本，报送文本准确无误。现将预算编制情况说明如下：</w:t>
      </w:r>
    </w:p>
    <w:p w14:paraId="191D0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收支预算。2023年我镇预算收入2213.32万元，其中：一般公共预算拨款2201.42万元，政府性基金拨款11.74万元，财政专户收入0万元，其他收入0.15万元。预算支出按功能分类包含：一般公共服务支出1342.57万元，公共安全支出7.29万元，文化旅游体育与传媒支出1.5万元，社会保障和就业支出280.54万元，卫生健康支出50.51万元，住房保障支出104.78万元，节能环保支出10万元，城乡社区支出11.74万元，农林水支出392.05万元，交通运输支出10.26万元，灾害防治及应急管理支出2.08万元。</w:t>
      </w:r>
    </w:p>
    <w:p w14:paraId="1E363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（2）三公经费预算。2023年我镇安排三公经费15.28万元，其中：公务用车运行维护费9.72万元，公务接待费5.56万元，会议费0万元，培训费0万元。</w:t>
      </w:r>
    </w:p>
    <w:p w14:paraId="7CA9CE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（3）非税收入计划。2023年我镇安排非税收入计划0.6万元，主要是生态环境罚没收入项目0.6万元。</w:t>
      </w:r>
    </w:p>
    <w:p w14:paraId="71B19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（三）预算执行管理情况，得分22分</w:t>
      </w:r>
    </w:p>
    <w:p w14:paraId="0EF42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1.预算执行监督情况</w:t>
      </w:r>
    </w:p>
    <w:p w14:paraId="77A0E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（1）预警处理情况。重点关注一体化平台预算执行监督预警提示的问题，在三公经费支出方面提示预警，我镇在12月31日之前解决完成，确保全区考核不丢分。</w:t>
      </w:r>
    </w:p>
    <w:p w14:paraId="08205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（2）预算执行违规情况。我镇不</w:t>
      </w:r>
      <w:r>
        <w:rPr>
          <w:rFonts w:hint="default" w:ascii="仿宋_GB2312" w:hAnsi="仿宋_GB2312" w:eastAsia="仿宋_GB2312" w:cs="仿宋_GB2312"/>
          <w:color w:val="auto"/>
          <w:sz w:val="32"/>
          <w:szCs w:val="32"/>
          <w:lang w:val="en-US" w:eastAsia="zh-CN"/>
        </w:rPr>
        <w:t>存在无预算、超预算安排支出</w:t>
      </w:r>
      <w:r>
        <w:rPr>
          <w:rFonts w:hint="eastAsia" w:ascii="仿宋_GB2312" w:hAnsi="仿宋_GB2312" w:eastAsia="仿宋_GB2312" w:cs="仿宋_GB2312"/>
          <w:color w:val="auto"/>
          <w:sz w:val="32"/>
          <w:szCs w:val="32"/>
          <w:lang w:val="en-US" w:eastAsia="zh-CN"/>
        </w:rPr>
        <w:t>的情况，不存在</w:t>
      </w:r>
      <w:r>
        <w:rPr>
          <w:rFonts w:hint="default" w:ascii="仿宋_GB2312" w:hAnsi="仿宋_GB2312" w:eastAsia="仿宋_GB2312" w:cs="仿宋_GB2312"/>
          <w:color w:val="auto"/>
          <w:sz w:val="32"/>
          <w:szCs w:val="32"/>
          <w:lang w:val="en-US" w:eastAsia="zh-CN"/>
        </w:rPr>
        <w:t>开展政府采购、将基本户资金违规拨入专户，被督查、审计、日常监管、专项检查指出或发现问题的</w:t>
      </w:r>
      <w:r>
        <w:rPr>
          <w:rFonts w:hint="eastAsia" w:ascii="仿宋_GB2312" w:hAnsi="仿宋_GB2312" w:eastAsia="仿宋_GB2312" w:cs="仿宋_GB2312"/>
          <w:color w:val="auto"/>
          <w:sz w:val="32"/>
          <w:szCs w:val="32"/>
          <w:lang w:val="en-US" w:eastAsia="zh-CN"/>
        </w:rPr>
        <w:t>行为。</w:t>
      </w:r>
    </w:p>
    <w:p w14:paraId="651A7B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2.预算执行分析情况。2023年，我镇及时规范填报财务报表、“三公”经费报表和专户报表，报表准确无退回。</w:t>
      </w:r>
    </w:p>
    <w:p w14:paraId="32233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3.暂付款项管理情况。我镇严格控制暂付款的规模，无新增暂付款。</w:t>
      </w:r>
    </w:p>
    <w:p w14:paraId="75B004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部门决算管理情况。我镇决算编报收支真实、数据准确、内容完整、报送及时，符合法律、行政法规规定。2022年我镇决算收入2485.3万元，其中：财政拨款收入2485.2万元，其他收入0.10万元（全部为利息收入）。决算支出按功能分类包含：一般公共服务支出1603.9万元，占比64.54%；公共安全支出17.29万元，占比0.70%；文化旅游体育与传媒支出5万元，占比0.20%；社会保障和就业支出209.30万元，占比8.42%；卫生健康支出51.03万元，占比2.05%；节能环保支出11万元，占比0.44%；城乡社区支出98.80万元，占比3.98%；农林水支出405.62万元，占比16.32%；交通运输支出10.26万元，占比0.41%；住房保障支出71.02万元，占比2.86%；灾害防治及应急管理支出2.08万元，占比0.08%。</w:t>
      </w:r>
    </w:p>
    <w:p w14:paraId="29074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5.政府财务报告管理情况。</w:t>
      </w:r>
      <w:r>
        <w:rPr>
          <w:rFonts w:hint="eastAsia" w:ascii="仿宋_GB2312" w:hAnsi="仿宋_GB2312" w:eastAsia="仿宋_GB2312" w:cs="仿宋_GB2312"/>
          <w:color w:val="auto"/>
          <w:sz w:val="32"/>
          <w:szCs w:val="32"/>
          <w:highlight w:val="none"/>
          <w:lang w:val="en-US" w:eastAsia="zh-CN"/>
        </w:rPr>
        <w:t>2022年我镇认真分析，真实准确编报部门财务报告，确保数据精准无误，编报完整、报送及时。2022年底，我镇资产总额5296.85万元，其中货币资金20.09万元，其他应收款净额0万元，固定资产净值118.24万元。2022年底，我单位负债总额19.77万元，其中其他应付款19.77万元，占比100.00%,不存在其他的短期和长期负债。我镇资产流动性较好，偿债能力强，资产负债率14.29%、现金比率为101.62%、 流动比率为101.62%、固定资产成新率为26.18%，故不存在当期财务风险和中长期财务风险，财务风险在可控范围内。</w:t>
      </w:r>
    </w:p>
    <w:p w14:paraId="3916B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6.政府采购管理情况。</w:t>
      </w:r>
    </w:p>
    <w:p w14:paraId="05634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我镇</w:t>
      </w:r>
      <w:r>
        <w:rPr>
          <w:rFonts w:hint="default"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val="en-US" w:eastAsia="zh-CN"/>
        </w:rPr>
        <w:t>年无政府采购项目。</w:t>
      </w:r>
    </w:p>
    <w:p w14:paraId="7C512D9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直达资金管理等工作情况。</w:t>
      </w:r>
    </w:p>
    <w:p w14:paraId="3E23CF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我镇</w:t>
      </w:r>
      <w:r>
        <w:rPr>
          <w:rFonts w:hint="default"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年中央自然灾害救灾资金和</w:t>
      </w:r>
      <w:r>
        <w:rPr>
          <w:rFonts w:hint="default"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年中央农业防灾减灾和水利救灾资金是直达资金，按照政策要求，自然灾害救灾资金应在</w:t>
      </w:r>
      <w:r>
        <w:rPr>
          <w:rFonts w:hint="default"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月底前支出，该项目主要用于抢险救灾和受灾群众生活救助支出。实际在</w:t>
      </w:r>
      <w:r>
        <w:rPr>
          <w:rFonts w:hint="default"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日前支出完毕，已落实到受灾群众个人和供货单位，支出进度达</w:t>
      </w:r>
      <w:r>
        <w:rPr>
          <w:rFonts w:hint="default"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。农业防灾减灾资金应在</w:t>
      </w:r>
      <w:r>
        <w:rPr>
          <w:rFonts w:hint="default"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月底之前支出，项目主要用于耕地地力恢复、灾害畜禽圈舍修复和重建，因灾倒损房屋修缮和重建。农业防灾减灾购买化肥项目实际在</w:t>
      </w:r>
      <w:r>
        <w:rPr>
          <w:rFonts w:hint="default"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月</w:t>
      </w:r>
      <w:r>
        <w:rPr>
          <w:rFonts w:hint="default"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lang w:val="en-US" w:eastAsia="zh-CN"/>
        </w:rPr>
        <w:t>日支出，已落实到货物供应商。灾害畜禽圈舍修复和重建项目实际在</w:t>
      </w:r>
      <w:r>
        <w:rPr>
          <w:rFonts w:hint="default"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default"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val="en-US" w:eastAsia="zh-CN"/>
        </w:rPr>
        <w:t>日支出，通过“一卡通”落实到受灾养殖户个人手中。因灾倒损房屋修缮和重建补助资金实际在</w:t>
      </w:r>
      <w:r>
        <w:rPr>
          <w:rFonts w:hint="default"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日支出，已落实到受灾群众手中，支出进度达到</w:t>
      </w:r>
      <w:r>
        <w:rPr>
          <w:rFonts w:hint="default"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w:t>
      </w:r>
    </w:p>
    <w:p w14:paraId="4560F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乡镇财政总决算管理情况。我镇财政供养人数92人，财政所人数8人，总人口41000人，行政村27个。我镇收入总计3145.36万元，其中一般公共预算收入3023.81万元，政府性基金收入121.55万元；支出总计3145.36万元，收支平衡。</w:t>
      </w:r>
    </w:p>
    <w:p w14:paraId="1B60C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（四）预算绩效管理情况，得分21.5分</w:t>
      </w:r>
    </w:p>
    <w:p w14:paraId="78F1A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1.日常工作保障落实情况</w:t>
      </w:r>
    </w:p>
    <w:p w14:paraId="7D127E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（1）通知落实情况。我镇各岗位及时查看钉钉群发布的各项通知信息和OA系统中发送的文件通知，认真阅读并及时回复落实。</w:t>
      </w:r>
    </w:p>
    <w:p w14:paraId="1E8A9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（2）日常手续报送规范性情况。在人员经费指标调整、三公限额调整等日常工作中，严格按照测算表计算，认真审核，确保数据填报准确，内容填报规范，2023年未退回重新修改。</w:t>
      </w:r>
    </w:p>
    <w:p w14:paraId="43598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（3）重点工作落实情况。我镇积极落实财政部门安排的XX项重点任务，落实情况如下：</w:t>
      </w:r>
    </w:p>
    <w:p w14:paraId="7FA02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①2022</w:t>
      </w:r>
      <w:r>
        <w:rPr>
          <w:rFonts w:hint="eastAsia" w:ascii="仿宋_GB2312" w:hAnsi="仿宋_GB2312" w:eastAsia="仿宋_GB2312" w:cs="仿宋_GB2312"/>
          <w:color w:val="auto"/>
          <w:sz w:val="32"/>
          <w:szCs w:val="32"/>
          <w:lang w:val="en-US" w:eastAsia="zh-CN"/>
        </w:rPr>
        <w:t>年部门整体支出绩效评价工作</w:t>
      </w:r>
    </w:p>
    <w:p w14:paraId="4B3477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根据整体支出绩效评价工作通知要求，按照绩效评价体系自评表，开展自评，准备相关佐证资料，撰写自评报告，严格按时间节点和要求报送相关资料。</w:t>
      </w:r>
    </w:p>
    <w:p w14:paraId="6D5125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val="en-US" w:eastAsia="zh-CN"/>
        </w:rPr>
        <w:t>重点项目绩效自评工作</w:t>
      </w:r>
    </w:p>
    <w:p w14:paraId="2FA01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我镇重点项目自评主要涉及沿公中心大街建设项目，我镇责成专人，按照重点项目评价佐证资料清单要求准备相关资料，撰写自评报告，并按规定时限上报资料。</w:t>
      </w:r>
    </w:p>
    <w:p w14:paraId="20680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事前绩效评估情况。在申报2024年预算项目时，认真按照绩效管理要求进行事前评估，并在EXCEL服务器中填报8个预算项目事前绩效评估表，对每个项目的项目概况、政策依据、迫切需求、实施可行性、投入经济性、目标合理性进行认真填写，并对申报的所有项目进行分项成本测算，确保预算金额准确合理。2023年共完成10个项目的事前绩效评估（含追加）。</w:t>
      </w:r>
    </w:p>
    <w:p w14:paraId="2FFEF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绩效目标管理情况。我镇财务人员与项目管理人员共同设立绩效目标，确保绩效目标设立依据充分，符合客观实际，与部门职责、工作规划和重点工作相关；绩效指标和评价标准清晰、细化、可评价、可衡量；对2023年绩效目标进行重新梳理，设立了科学合理、细化量化、可比可测的绩效目标指标体系。</w:t>
      </w:r>
    </w:p>
    <w:p w14:paraId="7EEA4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4.绩效监控管理情况</w:t>
      </w:r>
    </w:p>
    <w:p w14:paraId="5B7AB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注重日常监控。我镇按时在数字财政系统中填报《项目分月支出进度表》和《预算绩效运行监控表》，每月对所有项目逐条监控，对实际支出进度与分月支出计划差异率大的项目逐项分析说明。2023年，项目整体支出进度是96.92%,其中人大工作经费（运转保障）项目、纪检保障经费（运转保障）项目、预拨2023年中央自然灾害救灾资金项目差异率较大，差异原因是:</w:t>
      </w:r>
    </w:p>
    <w:p w14:paraId="36BCC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①财政资金紧张，资金未下达后收回。</w:t>
      </w:r>
    </w:p>
    <w:p w14:paraId="5EB671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②还有部分受灾群众房屋建设未验收。</w:t>
      </w:r>
    </w:p>
    <w:p w14:paraId="560E6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做好监控分析。我镇开展2023年1-6月份预算绩效运行监控分析工作，对整体绩效目标、预算项目绩效目标进行全面分析，绩效目标实现程度达到50%的项目有15个，绩效目标实现程度在30%以下的项目有11个，工作未开展的项目有18个。截至12月份，实现绩效目标的项目有55个，涉及资金1293.98万元；未完成绩效目标的项目有21个，涉及资金235.34万元，主要原因是：</w:t>
      </w:r>
    </w:p>
    <w:p w14:paraId="656486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①</w:t>
      </w:r>
      <w:r>
        <w:rPr>
          <w:rFonts w:hint="eastAsia" w:ascii="Times New Roman" w:hAnsi="Times New Roman" w:eastAsia="仿宋_GB2312" w:cs="Times New Roman"/>
          <w:color w:val="auto"/>
          <w:sz w:val="32"/>
          <w:szCs w:val="32"/>
          <w:lang w:val="en-US" w:eastAsia="zh-CN"/>
        </w:rPr>
        <w:t>财力紧张资金未下达</w:t>
      </w:r>
    </w:p>
    <w:p w14:paraId="13D77E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②</w:t>
      </w:r>
      <w:r>
        <w:rPr>
          <w:rFonts w:hint="eastAsia" w:ascii="Times New Roman" w:hAnsi="Times New Roman" w:eastAsia="仿宋_GB2312" w:cs="Times New Roman"/>
          <w:color w:val="auto"/>
          <w:sz w:val="32"/>
          <w:szCs w:val="32"/>
          <w:lang w:val="en-US" w:eastAsia="zh-CN"/>
        </w:rPr>
        <w:t>灾后重建项目还有在建房屋未验收。</w:t>
      </w:r>
    </w:p>
    <w:p w14:paraId="1D454B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5.绩效评价管理情况</w:t>
      </w:r>
    </w:p>
    <w:p w14:paraId="7014B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情况。按照财政部门要求，开展2022年度财政资金部门绩效自评工作，通过一体化系统填报预算项目绩效目标的完成信息，确认各项绩效指标实际完成值和实现程度，并与年初设定的预期值相比较，逐项评定每项指标得分，</w:t>
      </w:r>
      <w:r>
        <w:rPr>
          <w:rFonts w:hint="default"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lang w:val="en-US" w:eastAsia="zh-CN"/>
        </w:rPr>
        <w:t>镇2022年共自评40个项目，其中，满分的项目有34个，95分以上的项目有1个，90分-95分的项目有0个，90分以下的项目有5个。</w:t>
      </w:r>
    </w:p>
    <w:p w14:paraId="790DF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（五）资产管理情况，得分3.9分</w:t>
      </w:r>
    </w:p>
    <w:p w14:paraId="382417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1.国有资产报表管理。</w:t>
      </w:r>
      <w:r>
        <w:rPr>
          <w:rFonts w:hint="eastAsia" w:ascii="仿宋_GB2312" w:hAnsi="仿宋_GB2312" w:eastAsia="仿宋_GB2312" w:cs="仿宋_GB2312"/>
          <w:color w:val="auto"/>
          <w:sz w:val="32"/>
          <w:szCs w:val="32"/>
          <w:highlight w:val="none"/>
          <w:lang w:val="en-US" w:eastAsia="zh-CN"/>
        </w:rPr>
        <w:t>我镇每月及时报送国有资产月报，按要求报送了国有资产年报。2023年，国有资产情况如下：</w:t>
      </w:r>
    </w:p>
    <w:p w14:paraId="7CF44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（1）资产负债情况。</w:t>
      </w:r>
    </w:p>
    <w:p w14:paraId="55C89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年12月31日，我镇资产总额（账面净值，下同）5489.342729万元，较上年增加3.63%。负债总额72.442492万元,较上年增加266.37%。净资产5416.900237万元 ,较上年增加2.65%。</w:t>
      </w:r>
    </w:p>
    <w:p w14:paraId="555919C1">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固定和无形资产存量情况。</w:t>
      </w:r>
    </w:p>
    <w:p w14:paraId="1EFCA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固定和无形资产存量111.299758万元，其中：土地、房屋及构筑物26.215182万元，占固定资产的%（其中，房屋25.33166万元，占固定资产的%）；设备60.582071万元，占%（其中，车辆4.233314万元，占%，单价100万（含）以上（不含车辆）设备0.00万元，占0%）；图书档案10.777968万元，占%；家具、用具13.691537万元，占%,。</w:t>
      </w:r>
    </w:p>
    <w:p w14:paraId="068E557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（3）土地情况。</w:t>
      </w:r>
    </w:p>
    <w:p w14:paraId="0E250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年12月31日，我单位土地账面面积10700.00平方米，账面原值0万元，账面净值0万元。从使用状况分析：在用10700.00平方米，占100%。</w:t>
      </w:r>
    </w:p>
    <w:p w14:paraId="2B528D8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（4）房屋情况。</w:t>
      </w:r>
    </w:p>
    <w:p w14:paraId="19A4E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12月31日，我单位房屋账面面积3236.00平方米，账面价值25.33万元，其中，办公用房面积555.00平方米，占房屋的17.15%；其他用房面积2201.00平方米，占68.02%。从使用状况分析：在用3206.00平方米，占99.07%闲置30.00平方米，占0.93%。</w:t>
      </w:r>
    </w:p>
    <w:p w14:paraId="5D1A9E49">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宋体"/>
          <w:color w:val="auto"/>
          <w:kern w:val="0"/>
          <w:sz w:val="32"/>
          <w:szCs w:val="32"/>
          <w:lang w:val="en-US"/>
        </w:rPr>
      </w:pPr>
      <w:r>
        <w:rPr>
          <w:rFonts w:hint="eastAsia" w:ascii="仿宋_GB2312" w:hAnsi="仿宋_GB2312" w:eastAsia="仿宋_GB2312" w:cs="仿宋_GB2312"/>
          <w:color w:val="auto"/>
          <w:sz w:val="32"/>
          <w:szCs w:val="32"/>
          <w:highlight w:val="none"/>
          <w:lang w:val="en-US" w:eastAsia="zh-CN"/>
        </w:rPr>
        <w:t>车辆情况。</w:t>
      </w:r>
    </w:p>
    <w:p w14:paraId="344C5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年12月31日，我单位车辆账面数量6辆，账面原值48.11万元，账面净值4.23万元。从使用状况分析：在用6辆，占100%。</w:t>
      </w:r>
    </w:p>
    <w:p w14:paraId="75F70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本年度新增调拨车辆</w:t>
      </w: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辆，账面原值6.58万元。</w:t>
      </w:r>
    </w:p>
    <w:p w14:paraId="7F62C157">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固定和无形资产配置情况。</w:t>
      </w:r>
    </w:p>
    <w:p w14:paraId="33F85E9C">
      <w:pPr>
        <w:pStyle w:val="5"/>
        <w:keepNext w:val="0"/>
        <w:keepLines w:val="0"/>
        <w:widowControl/>
        <w:suppressLineNumbers w:val="0"/>
        <w:spacing w:line="420" w:lineRule="atLeast"/>
        <w:ind w:left="0" w:firstLine="42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202</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kern w:val="2"/>
          <w:sz w:val="32"/>
          <w:szCs w:val="32"/>
          <w:lang w:val="en-US" w:eastAsia="zh-CN" w:bidi="ar-SA"/>
        </w:rPr>
        <w:t>，我单位配置固定资产37.16万元（账面原值，下同）。从资产类别分析，配置土地、房屋及构筑物1.20万元，占3.23%；配置设备26.06万元，占70.11%；配置图书档案5.04万元，占13.56%；配置家具、用具4.87万元，占13.10%；从配置方式分析，新购6.04万元，占100%；调拨0.00万元，占0%；接受捐赠0.00万元，占0%；置换0.00万元，占0%；其他方式新增0.00万元，占0%。</w:t>
      </w:r>
    </w:p>
    <w:p w14:paraId="2EBF3D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从配置方式分析，新购203350.4万元，占54.72</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%；调拨168290.00万元，占45.28%。</w:t>
      </w:r>
    </w:p>
    <w:p w14:paraId="621F65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我单位配置无形资产0万元。</w:t>
      </w:r>
    </w:p>
    <w:p w14:paraId="79A24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行政事业性国有资产管理。我镇按照要求加强资产基础管理工作，建立内控制度、由财政所负责设置专门的资产管理岗、资产系统卡片信息完整规范并通过系统检测；资产购置纳入年度部门预算，并按照规定程序报批；按规定报批国有资产处置事项、及时足额缴纳国有资产处置收入。</w:t>
      </w:r>
      <w:r>
        <w:rPr>
          <w:rFonts w:hint="eastAsia" w:ascii="仿宋_GB2312" w:hAnsi="仿宋_GB2312" w:eastAsia="仿宋_GB2312" w:cs="仿宋_GB2312"/>
          <w:color w:val="auto"/>
          <w:sz w:val="32"/>
          <w:szCs w:val="32"/>
          <w:highlight w:val="none"/>
          <w:lang w:val="en-US" w:eastAsia="zh-CN"/>
        </w:rPr>
        <w:t>2023年我镇按照财政部门要求，开展资产标识化工作，完成情况如下：</w:t>
      </w:r>
    </w:p>
    <w:p w14:paraId="18D7F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（1）办公室、财政所抽调专人清查盘点单位国有资产，登记国有资产盘点台账，摸清单位家底。</w:t>
      </w:r>
    </w:p>
    <w:p w14:paraId="428AF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）盘点数据与一体化系统资产数据进行比对。</w:t>
      </w:r>
    </w:p>
    <w:p w14:paraId="0F8AE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）对账实相符的按照一物一卡，进行标识化管理。</w:t>
      </w:r>
    </w:p>
    <w:p w14:paraId="5A279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）对盘盈的国有资产登记台账，单独管理。</w:t>
      </w:r>
    </w:p>
    <w:p w14:paraId="5F801F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（六）债务管理情况，得分1分</w:t>
      </w:r>
    </w:p>
    <w:p w14:paraId="17EBA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2"/>
          <w:szCs w:val="32"/>
          <w:lang w:val="en-US" w:eastAsia="zh-CN"/>
        </w:rPr>
        <w:t>我镇在规定时间内报送财政部监测平台和河北省政府债务标准化管理信息系统</w:t>
      </w:r>
      <w:r>
        <w:rPr>
          <w:rFonts w:hint="eastAsia" w:ascii="仿宋_GB2312" w:hAnsi="仿宋_GB2312" w:eastAsia="仿宋_GB2312" w:cs="仿宋_GB2312"/>
          <w:color w:val="auto"/>
          <w:sz w:val="30"/>
          <w:szCs w:val="30"/>
          <w:lang w:val="en-US" w:eastAsia="zh-CN"/>
        </w:rPr>
        <w:t>。</w:t>
      </w:r>
    </w:p>
    <w:p w14:paraId="1B004F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（七）预算透明度情况，得分7分</w:t>
      </w:r>
    </w:p>
    <w:p w14:paraId="57BEC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我镇将预决算信息、绩效信息、债券信息等，按照财政部门的要求，完整、准确、规范、真实地在徐水区政府门户网站公开专栏进行了公开。</w:t>
      </w:r>
    </w:p>
    <w:p w14:paraId="31D73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（八）预算信息化情况，得分10分</w:t>
      </w:r>
    </w:p>
    <w:p w14:paraId="38C56B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我镇在日常工作中及时、规范的操作一体化系统。在内部</w:t>
      </w:r>
      <w:r>
        <w:rPr>
          <w:rFonts w:hint="default" w:ascii="仿宋_GB2312" w:hAnsi="仿宋_GB2312" w:eastAsia="仿宋_GB2312" w:cs="仿宋_GB2312"/>
          <w:color w:val="auto"/>
          <w:sz w:val="32"/>
          <w:szCs w:val="32"/>
          <w:lang w:val="en-US" w:eastAsia="zh-CN"/>
        </w:rPr>
        <w:t>财政业务网络与信息安全建设管理</w:t>
      </w:r>
      <w:r>
        <w:rPr>
          <w:rFonts w:hint="eastAsia" w:ascii="仿宋_GB2312" w:hAnsi="仿宋_GB2312" w:eastAsia="仿宋_GB2312" w:cs="仿宋_GB2312"/>
          <w:color w:val="auto"/>
          <w:sz w:val="32"/>
          <w:szCs w:val="32"/>
          <w:lang w:val="en-US" w:eastAsia="zh-CN"/>
        </w:rPr>
        <w:t>方面，财政内网终端全年未发生网络安全事件。</w:t>
      </w:r>
    </w:p>
    <w:p w14:paraId="48AC1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（九）存在问题，扣分0分</w:t>
      </w:r>
    </w:p>
    <w:p w14:paraId="6B5B4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配合财政工作未出现严重问题；没有违反财政预算法律法规和制度规定的行为，没有违规（征收）税费、违规发放津贴补贴、以拨作支、违规列支暂付款、违规出借财政资金、收支分类科目混用、财政收支不实、超范围超用途支出、应支不支等问题，不存在被督查、审计、财政监督、日常监管等指出或发现问题。</w:t>
      </w:r>
    </w:p>
    <w:p w14:paraId="0901E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三、部门整体绩效目标实现情况</w:t>
      </w:r>
    </w:p>
    <w:p w14:paraId="2BF79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我镇2023年整体绩效目标实现情况如下：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411"/>
        <w:gridCol w:w="4365"/>
        <w:gridCol w:w="1696"/>
      </w:tblGrid>
      <w:tr w14:paraId="3313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0" w:type="dxa"/>
            <w:noWrap w:val="0"/>
            <w:vAlign w:val="center"/>
          </w:tcPr>
          <w:p w14:paraId="03BAC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411" w:type="dxa"/>
            <w:noWrap w:val="0"/>
            <w:vAlign w:val="center"/>
          </w:tcPr>
          <w:p w14:paraId="0DE5A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项目名称</w:t>
            </w:r>
          </w:p>
        </w:tc>
        <w:tc>
          <w:tcPr>
            <w:tcW w:w="4365" w:type="dxa"/>
            <w:noWrap w:val="0"/>
            <w:vAlign w:val="center"/>
          </w:tcPr>
          <w:p w14:paraId="30F17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绩效目标</w:t>
            </w:r>
          </w:p>
        </w:tc>
        <w:tc>
          <w:tcPr>
            <w:tcW w:w="1696" w:type="dxa"/>
            <w:noWrap w:val="0"/>
            <w:vAlign w:val="center"/>
          </w:tcPr>
          <w:p w14:paraId="3B1FB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实现情况</w:t>
            </w:r>
          </w:p>
        </w:tc>
      </w:tr>
      <w:tr w14:paraId="384B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noWrap w:val="0"/>
            <w:vAlign w:val="center"/>
          </w:tcPr>
          <w:p w14:paraId="7B3BC7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411" w:type="dxa"/>
            <w:noWrap w:val="0"/>
            <w:vAlign w:val="center"/>
          </w:tcPr>
          <w:p w14:paraId="52C4D0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2023年单位其他资金</w:t>
            </w:r>
          </w:p>
        </w:tc>
        <w:tc>
          <w:tcPr>
            <w:tcW w:w="4365" w:type="dxa"/>
            <w:noWrap w:val="0"/>
            <w:vAlign w:val="center"/>
          </w:tcPr>
          <w:p w14:paraId="5008D7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1.确保我单位日常行政管理方面工作的运行</w:t>
            </w:r>
          </w:p>
          <w:p w14:paraId="59FDF7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2.确保我单位公务活动的正常开展.资金预计2022年12月底累计支付100%。</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tc>
        <w:tc>
          <w:tcPr>
            <w:tcW w:w="1696" w:type="dxa"/>
            <w:noWrap w:val="0"/>
            <w:vAlign w:val="center"/>
          </w:tcPr>
          <w:p w14:paraId="6E08C8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保证了我单位日常行政管理方面工作的运行，资金及时支付。</w:t>
            </w:r>
          </w:p>
        </w:tc>
      </w:tr>
      <w:tr w14:paraId="5595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50" w:type="dxa"/>
            <w:noWrap w:val="0"/>
            <w:vAlign w:val="center"/>
          </w:tcPr>
          <w:p w14:paraId="0C792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411" w:type="dxa"/>
            <w:noWrap w:val="0"/>
            <w:vAlign w:val="center"/>
          </w:tcPr>
          <w:p w14:paraId="31E687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“三馆一站”免费开放资金</w:t>
            </w:r>
          </w:p>
        </w:tc>
        <w:tc>
          <w:tcPr>
            <w:tcW w:w="4365" w:type="dxa"/>
            <w:noWrap w:val="0"/>
            <w:vAlign w:val="center"/>
          </w:tcPr>
          <w:p w14:paraId="56E741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1.为群众提供更好的文化环境</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52406C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2.保障图书馆、文化馆、乡村文化馆站各项工作有序进行，看展文化活动次数≥27次</w:t>
            </w:r>
          </w:p>
          <w:p w14:paraId="558E07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3.项目资金按月支付，预计3月支出25%，6月支出50%，9月支出75%，12月支出100%</w:t>
            </w:r>
          </w:p>
        </w:tc>
        <w:tc>
          <w:tcPr>
            <w:tcW w:w="1696" w:type="dxa"/>
            <w:noWrap w:val="0"/>
            <w:vAlign w:val="center"/>
          </w:tcPr>
          <w:p w14:paraId="02F97F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提升了文化站办公环境，保障了文化站各项工作顺利开展。</w:t>
            </w:r>
          </w:p>
        </w:tc>
      </w:tr>
      <w:tr w14:paraId="3F01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050" w:type="dxa"/>
            <w:noWrap w:val="0"/>
            <w:vAlign w:val="center"/>
          </w:tcPr>
          <w:p w14:paraId="6C806B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411" w:type="dxa"/>
            <w:noWrap w:val="0"/>
            <w:vAlign w:val="center"/>
          </w:tcPr>
          <w:p w14:paraId="1D8A39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“三线”铁路建设民兵补贴</w:t>
            </w:r>
          </w:p>
        </w:tc>
        <w:tc>
          <w:tcPr>
            <w:tcW w:w="4365" w:type="dxa"/>
            <w:noWrap w:val="0"/>
            <w:vAlign w:val="center"/>
          </w:tcPr>
          <w:p w14:paraId="455CE8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1.解决“三线”铁路建设民兵生活困难保障问题。</w:t>
            </w:r>
          </w:p>
          <w:p w14:paraId="0976DC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2.及时发放“三线”铁路建设民兵生活补贴医疗补贴。</w:t>
            </w:r>
          </w:p>
          <w:p w14:paraId="5E4D01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3.生活补贴按月发放，医疗补贴按年发放。预计2023年12月31日支付完毕。</w:t>
            </w:r>
          </w:p>
        </w:tc>
        <w:tc>
          <w:tcPr>
            <w:tcW w:w="1696" w:type="dxa"/>
            <w:noWrap w:val="0"/>
            <w:vAlign w:val="center"/>
          </w:tcPr>
          <w:p w14:paraId="74F719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资金及时足额拨付到位。解决了“三线”铁路建设民兵生活困难保障问题。</w:t>
            </w:r>
          </w:p>
        </w:tc>
      </w:tr>
      <w:tr w14:paraId="4FFB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050" w:type="dxa"/>
            <w:noWrap w:val="0"/>
            <w:vAlign w:val="center"/>
          </w:tcPr>
          <w:p w14:paraId="744F4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1411" w:type="dxa"/>
            <w:noWrap w:val="0"/>
            <w:vAlign w:val="center"/>
          </w:tcPr>
          <w:p w14:paraId="22E50A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安全生产信息员经费</w:t>
            </w:r>
          </w:p>
        </w:tc>
        <w:tc>
          <w:tcPr>
            <w:tcW w:w="4365" w:type="dxa"/>
            <w:noWrap w:val="0"/>
            <w:vAlign w:val="center"/>
          </w:tcPr>
          <w:p w14:paraId="1D0897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1.加强基层安全生产保障能力的建设，确保满足安全生产工作的实际需要，进一步加大安全生产延生到基层，掌握全区的安全生产动态。</w:t>
            </w:r>
          </w:p>
          <w:p w14:paraId="269E23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2.该项目主要用于给安全生产信息员发放补贴。</w:t>
            </w:r>
          </w:p>
          <w:p w14:paraId="08A1ED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3.此项经费1.55万元11月底一次性完成支付。</w:t>
            </w:r>
          </w:p>
        </w:tc>
        <w:tc>
          <w:tcPr>
            <w:tcW w:w="1696" w:type="dxa"/>
            <w:noWrap w:val="0"/>
            <w:vAlign w:val="center"/>
          </w:tcPr>
          <w:p w14:paraId="442257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基层安全生产保障能力的建设得到加强，满足了安全生产工作的实际需要，进一步加大安全生产延生到基层，掌握全区的安全生产动态。该项目主要用于给安全生产信息员发放补贴</w:t>
            </w:r>
          </w:p>
        </w:tc>
      </w:tr>
      <w:tr w14:paraId="76C1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050" w:type="dxa"/>
            <w:noWrap w:val="0"/>
            <w:vAlign w:val="center"/>
          </w:tcPr>
          <w:p w14:paraId="4A4003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411" w:type="dxa"/>
            <w:noWrap w:val="0"/>
            <w:vAlign w:val="center"/>
          </w:tcPr>
          <w:p w14:paraId="19A089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村党组织活动经费</w:t>
            </w:r>
          </w:p>
        </w:tc>
        <w:tc>
          <w:tcPr>
            <w:tcW w:w="4365" w:type="dxa"/>
            <w:noWrap w:val="0"/>
            <w:vAlign w:val="center"/>
          </w:tcPr>
          <w:p w14:paraId="5E61BB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1.通过拨付村党组织活动经费，保障村党组织日常活动</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0D8FAA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2.对辖区内1758名党员进行培训，提高农村党员的综合素质</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6919E0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3.用于村内党员活动经费支出按季度支出，一季度支出30%，二季度支出20%,三季度支出30%，四季度支出20%</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tc>
        <w:tc>
          <w:tcPr>
            <w:tcW w:w="1696" w:type="dxa"/>
            <w:noWrap w:val="0"/>
            <w:vAlign w:val="center"/>
          </w:tcPr>
          <w:p w14:paraId="2F5B5C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党组织日常活动正常开展，及时对辖区内党员进行培训，通过活动开展，提高了农村党员的综合素质。资金及时足额拨付到位。</w:t>
            </w:r>
          </w:p>
        </w:tc>
      </w:tr>
      <w:tr w14:paraId="25DE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050" w:type="dxa"/>
            <w:noWrap w:val="0"/>
            <w:vAlign w:val="center"/>
          </w:tcPr>
          <w:p w14:paraId="6CA85E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411" w:type="dxa"/>
            <w:noWrap w:val="0"/>
            <w:vAlign w:val="center"/>
          </w:tcPr>
          <w:p w14:paraId="45D6B8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村级退役军人服务站吸收参战（进藏）退役军人补贴</w:t>
            </w:r>
          </w:p>
        </w:tc>
        <w:tc>
          <w:tcPr>
            <w:tcW w:w="4365" w:type="dxa"/>
            <w:noWrap w:val="0"/>
            <w:vAlign w:val="center"/>
          </w:tcPr>
          <w:p w14:paraId="57ACEF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1.把优抚工作作为支出国家国防军队建设、保持国家长治久安的一项重要任务强力推进。</w:t>
            </w:r>
          </w:p>
          <w:p w14:paraId="5C8785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2."按月支出，3月份支出25%，6月份支出50%，9月份支出75%，12月份支出100%。</w:t>
            </w:r>
          </w:p>
        </w:tc>
        <w:tc>
          <w:tcPr>
            <w:tcW w:w="1696" w:type="dxa"/>
            <w:noWrap w:val="0"/>
            <w:vAlign w:val="center"/>
          </w:tcPr>
          <w:p w14:paraId="1A1D99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资金及时足额拨付到位。支持了国家国防军队建设、保持了国家长治久安</w:t>
            </w:r>
          </w:p>
        </w:tc>
      </w:tr>
      <w:tr w14:paraId="56EC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50" w:type="dxa"/>
            <w:noWrap w:val="0"/>
            <w:vAlign w:val="center"/>
          </w:tcPr>
          <w:p w14:paraId="561AC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411" w:type="dxa"/>
            <w:noWrap w:val="0"/>
            <w:vAlign w:val="center"/>
          </w:tcPr>
          <w:p w14:paraId="10973FE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村级组织办公经费</w:t>
            </w:r>
          </w:p>
        </w:tc>
        <w:tc>
          <w:tcPr>
            <w:tcW w:w="4365" w:type="dxa"/>
            <w:noWrap w:val="0"/>
            <w:vAlign w:val="center"/>
          </w:tcPr>
          <w:p w14:paraId="061B44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1.及时足额拨付资金。</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653481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2.及时足额拨付资金，保障村级组织的正常运转，以推进村级组织健康发展，搞好服务保障。</w:t>
            </w:r>
          </w:p>
          <w:p w14:paraId="63FFCA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3.此项目预计2022年6月份完成支出。</w:t>
            </w:r>
            <w:r>
              <w:rPr>
                <w:rFonts w:hint="eastAsia" w:ascii="宋体" w:hAnsi="宋体" w:eastAsia="宋体" w:cs="宋体"/>
                <w:color w:val="auto"/>
                <w:sz w:val="21"/>
                <w:szCs w:val="21"/>
                <w:vertAlign w:val="baseline"/>
                <w:lang w:val="en-US" w:eastAsia="zh-CN"/>
              </w:rPr>
              <w:tab/>
            </w:r>
          </w:p>
          <w:p w14:paraId="7289C1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p>
        </w:tc>
        <w:tc>
          <w:tcPr>
            <w:tcW w:w="1696" w:type="dxa"/>
            <w:noWrap w:val="0"/>
            <w:vAlign w:val="center"/>
          </w:tcPr>
          <w:p w14:paraId="6AC7E0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资金及时足额拨付到位，保障了村级组织的正常运转，推进村级组织健康发展，搞好了服务保障。</w:t>
            </w:r>
          </w:p>
        </w:tc>
      </w:tr>
      <w:tr w14:paraId="2301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050" w:type="dxa"/>
            <w:noWrap w:val="0"/>
            <w:vAlign w:val="center"/>
          </w:tcPr>
          <w:p w14:paraId="2B1B4C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411" w:type="dxa"/>
            <w:noWrap w:val="0"/>
            <w:vAlign w:val="center"/>
          </w:tcPr>
          <w:p w14:paraId="5AB7C6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大气污染防治工作经费</w:t>
            </w:r>
          </w:p>
        </w:tc>
        <w:tc>
          <w:tcPr>
            <w:tcW w:w="4365" w:type="dxa"/>
            <w:noWrap w:val="0"/>
            <w:vAlign w:val="center"/>
          </w:tcPr>
          <w:p w14:paraId="33FEEE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1.保护和改善环境，防治大气污染，保障公众健康，推进生态文明建设。</w:t>
            </w:r>
          </w:p>
          <w:p w14:paraId="1C27A7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2.当年度组织不少于5次大气</w:t>
            </w:r>
            <w:r>
              <w:rPr>
                <w:rFonts w:hint="eastAsia" w:ascii="宋体" w:hAnsi="宋体" w:cs="宋体"/>
                <w:color w:val="auto"/>
                <w:sz w:val="21"/>
                <w:szCs w:val="21"/>
                <w:vertAlign w:val="baseline"/>
                <w:lang w:val="en-US" w:eastAsia="zh-CN"/>
              </w:rPr>
              <w:t>污染防治</w:t>
            </w:r>
            <w:r>
              <w:rPr>
                <w:rFonts w:hint="eastAsia" w:ascii="宋体" w:hAnsi="宋体" w:eastAsia="宋体" w:cs="宋体"/>
                <w:color w:val="auto"/>
                <w:sz w:val="21"/>
                <w:szCs w:val="21"/>
                <w:vertAlign w:val="baseline"/>
                <w:lang w:val="en-US" w:eastAsia="zh-CN"/>
              </w:rPr>
              <w:t>宣传。此项目资金按序时进度支出：6月份支出50%，10月份支出90%，12月份支出100%，资金及时拨付到位，为大气污染防治工作提供资金保障。</w:t>
            </w:r>
          </w:p>
        </w:tc>
        <w:tc>
          <w:tcPr>
            <w:tcW w:w="1696" w:type="dxa"/>
            <w:noWrap w:val="0"/>
            <w:vAlign w:val="center"/>
          </w:tcPr>
          <w:p w14:paraId="42C3E6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环境得到有效改善，空气质量得到提升，保障了公众健康，推进了生态文明建设。</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tc>
      </w:tr>
      <w:tr w14:paraId="2683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050" w:type="dxa"/>
            <w:noWrap w:val="0"/>
            <w:vAlign w:val="center"/>
          </w:tcPr>
          <w:p w14:paraId="26C78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411" w:type="dxa"/>
            <w:noWrap w:val="0"/>
            <w:vAlign w:val="center"/>
          </w:tcPr>
          <w:p w14:paraId="1A72B4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党建工作经费（运转保障）</w:t>
            </w:r>
          </w:p>
        </w:tc>
        <w:tc>
          <w:tcPr>
            <w:tcW w:w="4365" w:type="dxa"/>
            <w:noWrap w:val="0"/>
            <w:vAlign w:val="center"/>
          </w:tcPr>
          <w:p w14:paraId="082128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1.组织日常活动，开展党组织活动5次以上，定期集中培训，提高党员的综合素质；更好的发挥党的引领示范作用。</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40BCB3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2.资金按序时进度支出：3月份支出25%，6月份支出60%，9月份支出80%，12月份支出100%，资金及时拨付到位，为提升我镇的党建水平，提供有力的保障。</w:t>
            </w:r>
          </w:p>
        </w:tc>
        <w:tc>
          <w:tcPr>
            <w:tcW w:w="1696" w:type="dxa"/>
            <w:noWrap w:val="0"/>
            <w:vAlign w:val="center"/>
          </w:tcPr>
          <w:p w14:paraId="449868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日常活动集中培训顺利开展，党员的综合素质提高；更好的发挥党的引领示范作用。</w:t>
            </w:r>
          </w:p>
        </w:tc>
      </w:tr>
      <w:tr w14:paraId="1F04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50" w:type="dxa"/>
            <w:noWrap w:val="0"/>
            <w:vAlign w:val="center"/>
          </w:tcPr>
          <w:p w14:paraId="0F15C7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1411" w:type="dxa"/>
            <w:noWrap w:val="0"/>
            <w:vAlign w:val="center"/>
          </w:tcPr>
          <w:p w14:paraId="4E22F9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地震群测群防岗位津贴</w:t>
            </w:r>
          </w:p>
        </w:tc>
        <w:tc>
          <w:tcPr>
            <w:tcW w:w="4365" w:type="dxa"/>
            <w:noWrap w:val="0"/>
            <w:vAlign w:val="center"/>
          </w:tcPr>
          <w:p w14:paraId="729F9A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1."通过项目实施，维持地震群测群防队伍的稳定。有效降低地震灾害造成的人身及财产损失。该项目主要用于补助地震群策群访队伍。</w:t>
            </w:r>
          </w:p>
          <w:p w14:paraId="0D0448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2.此项经费共计5280元，年底11月份一次性支付。</w:t>
            </w:r>
          </w:p>
        </w:tc>
        <w:tc>
          <w:tcPr>
            <w:tcW w:w="1696" w:type="dxa"/>
            <w:noWrap w:val="0"/>
            <w:vAlign w:val="center"/>
          </w:tcPr>
          <w:p w14:paraId="177005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提高防灾减灾能力。维持了地震群测群防队伍的稳定。</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tc>
      </w:tr>
      <w:tr w14:paraId="110F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50" w:type="dxa"/>
            <w:noWrap w:val="0"/>
            <w:vAlign w:val="center"/>
          </w:tcPr>
          <w:p w14:paraId="42ABF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1411" w:type="dxa"/>
            <w:noWrap w:val="0"/>
            <w:vAlign w:val="center"/>
          </w:tcPr>
          <w:p w14:paraId="1F01A8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服务群众专项经费</w:t>
            </w:r>
          </w:p>
        </w:tc>
        <w:tc>
          <w:tcPr>
            <w:tcW w:w="4365" w:type="dxa"/>
            <w:noWrap w:val="0"/>
            <w:vAlign w:val="center"/>
          </w:tcPr>
          <w:p w14:paraId="7B59F0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1.运用服务群众专项经费，保障村内组织日常活动。</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0CB1BE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2.正确使用服务群众专项经费用于村内公益事业,达到群众满意。</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6CD9FC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3.通过实施此项目，促进社会稳定水平逐步提高。支出按季度支出，一季度支出30%，二季度支出20%,三季度支出30%，四季度支出20%</w:t>
            </w:r>
          </w:p>
        </w:tc>
        <w:tc>
          <w:tcPr>
            <w:tcW w:w="1696" w:type="dxa"/>
            <w:noWrap w:val="0"/>
            <w:vAlign w:val="center"/>
          </w:tcPr>
          <w:p w14:paraId="068B5D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村内组织日常活动得到保障，用于村内公共基础设施建设,群众满意度高。</w:t>
            </w:r>
          </w:p>
        </w:tc>
      </w:tr>
      <w:tr w14:paraId="68FC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50" w:type="dxa"/>
            <w:noWrap w:val="0"/>
            <w:vAlign w:val="center"/>
          </w:tcPr>
          <w:p w14:paraId="31D6D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411" w:type="dxa"/>
            <w:noWrap w:val="0"/>
            <w:vAlign w:val="center"/>
          </w:tcPr>
          <w:p w14:paraId="169F40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纪检保障经费（运转保障）</w:t>
            </w:r>
          </w:p>
        </w:tc>
        <w:tc>
          <w:tcPr>
            <w:tcW w:w="4365" w:type="dxa"/>
            <w:noWrap w:val="0"/>
            <w:vAlign w:val="center"/>
          </w:tcPr>
          <w:p w14:paraId="47EBB2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1.建立纪检保障长效机制，为纪检组织提供必要的工作条件；更好的推进农村反腐倡廉，服务经济，促进社会和谐。</w:t>
            </w:r>
            <w:r>
              <w:rPr>
                <w:rFonts w:hint="eastAsia" w:ascii="宋体" w:hAnsi="宋体" w:eastAsia="宋体" w:cs="宋体"/>
                <w:color w:val="auto"/>
                <w:sz w:val="21"/>
                <w:szCs w:val="21"/>
                <w:vertAlign w:val="baseline"/>
                <w:lang w:val="en-US" w:eastAsia="zh-CN"/>
              </w:rPr>
              <w:tab/>
            </w:r>
          </w:p>
          <w:p w14:paraId="7D1D98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2.此项目资金按序时进度支出：3月份支出25%，6月份支出60%，9月份支出80%，12月份支出100%，为促进纪检工作的有效开展，提供资金保障。</w:t>
            </w:r>
          </w:p>
        </w:tc>
        <w:tc>
          <w:tcPr>
            <w:tcW w:w="1696" w:type="dxa"/>
            <w:noWrap w:val="0"/>
            <w:vAlign w:val="center"/>
          </w:tcPr>
          <w:p w14:paraId="19B383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建立了纪检保障长效机制，为纪检组织提供必要的工作条件；更好的推进农村反腐倡廉，服务经济，促进了社会和谐。</w:t>
            </w:r>
          </w:p>
        </w:tc>
      </w:tr>
      <w:tr w14:paraId="1A03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050" w:type="dxa"/>
            <w:noWrap w:val="0"/>
            <w:vAlign w:val="center"/>
          </w:tcPr>
          <w:p w14:paraId="6A791596">
            <w:pPr>
              <w:pStyle w:val="6"/>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411" w:type="dxa"/>
            <w:noWrap w:val="0"/>
            <w:vAlign w:val="center"/>
          </w:tcPr>
          <w:p w14:paraId="2C7C8C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京原公路工作人员生活补贴</w:t>
            </w:r>
          </w:p>
        </w:tc>
        <w:tc>
          <w:tcPr>
            <w:tcW w:w="4365" w:type="dxa"/>
            <w:noWrap w:val="0"/>
            <w:vAlign w:val="center"/>
          </w:tcPr>
          <w:p w14:paraId="16F0D0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1.解决国防公路工役制人员生活保障问题。</w:t>
            </w:r>
          </w:p>
          <w:p w14:paraId="717F2F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2.及时发放国防公路工役制人员生活保补贴。</w:t>
            </w:r>
          </w:p>
          <w:p w14:paraId="33D7AA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3.补贴按月发放。预计2023年12月31日支付完毕。</w:t>
            </w:r>
          </w:p>
        </w:tc>
        <w:tc>
          <w:tcPr>
            <w:tcW w:w="1696" w:type="dxa"/>
            <w:noWrap w:val="0"/>
            <w:vAlign w:val="center"/>
          </w:tcPr>
          <w:p w14:paraId="4D8F2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解决了国防公路工役制人员生活补贴，使国防公路工役制人员有生活保障。</w:t>
            </w:r>
          </w:p>
        </w:tc>
      </w:tr>
      <w:tr w14:paraId="1F07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050" w:type="dxa"/>
            <w:noWrap w:val="0"/>
            <w:vAlign w:val="center"/>
          </w:tcPr>
          <w:p w14:paraId="5BC1BD6C">
            <w:pPr>
              <w:pStyle w:val="6"/>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1411" w:type="dxa"/>
            <w:noWrap w:val="0"/>
            <w:vAlign w:val="center"/>
          </w:tcPr>
          <w:p w14:paraId="6257A6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绿道绿廊土地租金</w:t>
            </w:r>
          </w:p>
        </w:tc>
        <w:tc>
          <w:tcPr>
            <w:tcW w:w="4365" w:type="dxa"/>
            <w:noWrap w:val="0"/>
            <w:vAlign w:val="center"/>
          </w:tcPr>
          <w:p w14:paraId="33CFFF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1."依据“保城执函[2021]207号”文件要求，加大新建廊道绿化，加大与主城区间连接线的绿化建设，打造布局合理，结构完整，层次丰富兼具保护和景观功能的绿道绿廊。</w:t>
            </w:r>
          </w:p>
          <w:p w14:paraId="3E8DBB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2."此项目资金11.742万元，预计资金11月份全部支出。</w:t>
            </w:r>
          </w:p>
        </w:tc>
        <w:tc>
          <w:tcPr>
            <w:tcW w:w="1696" w:type="dxa"/>
            <w:noWrap w:val="0"/>
            <w:vAlign w:val="center"/>
          </w:tcPr>
          <w:p w14:paraId="6A5EFA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廊道绿化项目建设，打造了布局合理，结构完整，层次丰富兼具保护和景观功能的绿道绿廊。农户个人部分土地流转租金全部拨付到位，维护了社会稳定。因财力紧张，平家营村集体部分尚未拨付。</w:t>
            </w:r>
          </w:p>
        </w:tc>
      </w:tr>
      <w:tr w14:paraId="6D4B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noWrap w:val="0"/>
            <w:vAlign w:val="center"/>
          </w:tcPr>
          <w:p w14:paraId="218466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15</w:t>
            </w:r>
          </w:p>
        </w:tc>
        <w:tc>
          <w:tcPr>
            <w:tcW w:w="1411" w:type="dxa"/>
            <w:noWrap w:val="0"/>
            <w:vAlign w:val="center"/>
          </w:tcPr>
          <w:p w14:paraId="2543AF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人大工作经费（运转保障）</w:t>
            </w:r>
          </w:p>
        </w:tc>
        <w:tc>
          <w:tcPr>
            <w:tcW w:w="4365" w:type="dxa"/>
            <w:noWrap w:val="0"/>
            <w:vAlign w:val="center"/>
          </w:tcPr>
          <w:p w14:paraId="0152AB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1.人大日常工作经费保障及时，促进基层民主政治建设，当年度召开不少于1次人代会。此项目资金按序时进度支出：3月份支出25%，6月份支出60%，9月份支出80%，12月份支出100%。</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tc>
        <w:tc>
          <w:tcPr>
            <w:tcW w:w="1696" w:type="dxa"/>
            <w:noWrap w:val="0"/>
            <w:vAlign w:val="center"/>
          </w:tcPr>
          <w:p w14:paraId="2A92C2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人大日常工作经费保障及时，促进了基层民主政治建设，当年度召开2次人代会。</w:t>
            </w:r>
          </w:p>
        </w:tc>
      </w:tr>
      <w:tr w14:paraId="047B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50" w:type="dxa"/>
            <w:noWrap w:val="0"/>
            <w:vAlign w:val="center"/>
          </w:tcPr>
          <w:p w14:paraId="74D1645A">
            <w:pPr>
              <w:pStyle w:val="6"/>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1411" w:type="dxa"/>
            <w:noWrap w:val="0"/>
            <w:vAlign w:val="center"/>
          </w:tcPr>
          <w:p w14:paraId="7936DF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提前下达2023年革命老区转移支付资金（漕河镇米家营桥改建工程）</w:t>
            </w:r>
          </w:p>
        </w:tc>
        <w:tc>
          <w:tcPr>
            <w:tcW w:w="4365" w:type="dxa"/>
            <w:noWrap w:val="0"/>
            <w:vAlign w:val="center"/>
          </w:tcPr>
          <w:p w14:paraId="3E1F96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改善河道两岸交通条件，消除交通安全隐患。</w:t>
            </w:r>
          </w:p>
        </w:tc>
        <w:tc>
          <w:tcPr>
            <w:tcW w:w="1696" w:type="dxa"/>
            <w:noWrap w:val="0"/>
            <w:vAlign w:val="center"/>
          </w:tcPr>
          <w:p w14:paraId="077D9B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河道两岸交通条件得到改善，消除了交通安全隐患，受益人口超过1.5万人。</w:t>
            </w:r>
          </w:p>
        </w:tc>
      </w:tr>
      <w:tr w14:paraId="342B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50" w:type="dxa"/>
            <w:noWrap w:val="0"/>
            <w:vAlign w:val="center"/>
          </w:tcPr>
          <w:p w14:paraId="59480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17</w:t>
            </w:r>
          </w:p>
        </w:tc>
        <w:tc>
          <w:tcPr>
            <w:tcW w:w="1411" w:type="dxa"/>
            <w:noWrap w:val="0"/>
            <w:vAlign w:val="center"/>
          </w:tcPr>
          <w:p w14:paraId="745BF6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团委综合事务管理经费（运转保障）   </w:t>
            </w:r>
          </w:p>
        </w:tc>
        <w:tc>
          <w:tcPr>
            <w:tcW w:w="4365" w:type="dxa"/>
            <w:noWrap w:val="0"/>
            <w:vAlign w:val="center"/>
          </w:tcPr>
          <w:p w14:paraId="0AC204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1.组织团员进行志愿服务活动4次，为疫情防控志愿者购买防疫物资，购买完成率100%。</w:t>
            </w:r>
          </w:p>
          <w:p w14:paraId="6999ED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2.保障团委各项工作的开展，提高办事效率；项目资金按序时进度支出：3月份支出25%，6月份支出60%，9月支出80%，12月份支出100%。</w:t>
            </w:r>
          </w:p>
        </w:tc>
        <w:tc>
          <w:tcPr>
            <w:tcW w:w="1696" w:type="dxa"/>
            <w:noWrap w:val="0"/>
            <w:vAlign w:val="center"/>
          </w:tcPr>
          <w:p w14:paraId="0C528E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团委各项工作顺利开展，提高了办事效率。</w:t>
            </w:r>
          </w:p>
        </w:tc>
      </w:tr>
      <w:tr w14:paraId="40F3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0" w:type="dxa"/>
            <w:noWrap w:val="0"/>
            <w:vAlign w:val="center"/>
          </w:tcPr>
          <w:p w14:paraId="58379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18</w:t>
            </w:r>
          </w:p>
        </w:tc>
        <w:tc>
          <w:tcPr>
            <w:tcW w:w="1411" w:type="dxa"/>
            <w:noWrap w:val="0"/>
            <w:vAlign w:val="center"/>
          </w:tcPr>
          <w:p w14:paraId="399D18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退役军人</w:t>
            </w:r>
            <w:bookmarkStart w:id="0" w:name="_GoBack"/>
            <w:bookmarkEnd w:id="0"/>
            <w:r>
              <w:rPr>
                <w:rFonts w:hint="eastAsia" w:ascii="宋体" w:hAnsi="宋体" w:cs="宋体"/>
                <w:color w:val="auto"/>
                <w:sz w:val="21"/>
                <w:szCs w:val="21"/>
                <w:lang w:val="en-US" w:eastAsia="zh-CN"/>
              </w:rPr>
              <w:t>公益性岗位</w:t>
            </w:r>
            <w:r>
              <w:rPr>
                <w:rFonts w:hint="eastAsia" w:ascii="宋体" w:hAnsi="宋体" w:eastAsia="宋体" w:cs="宋体"/>
                <w:color w:val="auto"/>
                <w:sz w:val="21"/>
                <w:szCs w:val="21"/>
                <w:lang w:val="en-US" w:eastAsia="zh-CN"/>
              </w:rPr>
              <w:t>人员工资</w:t>
            </w:r>
          </w:p>
        </w:tc>
        <w:tc>
          <w:tcPr>
            <w:tcW w:w="4365" w:type="dxa"/>
            <w:noWrap w:val="0"/>
            <w:vAlign w:val="center"/>
          </w:tcPr>
          <w:p w14:paraId="3B949B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1.确保全区稳定，保障退役军人专岗人员更好发挥作用。</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p>
          <w:p w14:paraId="4EE216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2."按月支出，3月份支出25%，6月份支出50%，9月份支出75%，12月份支出100%。</w:t>
            </w:r>
            <w:r>
              <w:rPr>
                <w:rFonts w:hint="eastAsia" w:ascii="宋体" w:hAnsi="宋体" w:eastAsia="宋体" w:cs="宋体"/>
                <w:color w:val="auto"/>
                <w:sz w:val="21"/>
                <w:szCs w:val="21"/>
                <w:lang w:val="en-US" w:eastAsia="zh-CN"/>
              </w:rPr>
              <w:tab/>
            </w:r>
          </w:p>
        </w:tc>
        <w:tc>
          <w:tcPr>
            <w:tcW w:w="1696" w:type="dxa"/>
            <w:noWrap w:val="0"/>
            <w:vAlign w:val="center"/>
          </w:tcPr>
          <w:p w14:paraId="1D5154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资金及时足额拨付到位。确保全区稳定，保障退役军人专岗人员更好发挥作用。</w:t>
            </w:r>
          </w:p>
        </w:tc>
      </w:tr>
      <w:tr w14:paraId="554E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050" w:type="dxa"/>
            <w:noWrap w:val="0"/>
            <w:vAlign w:val="center"/>
          </w:tcPr>
          <w:p w14:paraId="696AD1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19</w:t>
            </w:r>
          </w:p>
        </w:tc>
        <w:tc>
          <w:tcPr>
            <w:tcW w:w="1411" w:type="dxa"/>
            <w:noWrap w:val="0"/>
            <w:vAlign w:val="center"/>
          </w:tcPr>
          <w:p w14:paraId="3589EC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维稳经费（运转保障）</w:t>
            </w:r>
          </w:p>
        </w:tc>
        <w:tc>
          <w:tcPr>
            <w:tcW w:w="4365" w:type="dxa"/>
            <w:noWrap w:val="0"/>
            <w:vAlign w:val="center"/>
          </w:tcPr>
          <w:p w14:paraId="32622E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1.建立维稳保障长效机制，解决各种信访案件，矛盾纠纷调处成功率和案件解决及时率达100%。</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705846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2.帮助群众解决疑难问题，减少矛盾纠纷案件和不稳定因素的发生。</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08794C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3.此项目资金按序时进度支出：3月份支出25%，6月份支出50%，9月份支出80%，12月份支出100%，资金及时拨付到位，为维稳工作提供资金保障。</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tc>
        <w:tc>
          <w:tcPr>
            <w:tcW w:w="1696" w:type="dxa"/>
            <w:noWrap w:val="0"/>
            <w:vAlign w:val="center"/>
          </w:tcPr>
          <w:p w14:paraId="493B94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建立了维稳保障长效机制，各种信访案件得到化解。帮助群众解决疑难问题，减少了矛盾纠纷案件和不稳定因素的发生。资金及时拨付到位。</w:t>
            </w:r>
          </w:p>
        </w:tc>
      </w:tr>
      <w:tr w14:paraId="2D19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050" w:type="dxa"/>
            <w:noWrap w:val="0"/>
            <w:vAlign w:val="center"/>
          </w:tcPr>
          <w:p w14:paraId="0C202BC5">
            <w:pPr>
              <w:pStyle w:val="6"/>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20</w:t>
            </w:r>
          </w:p>
        </w:tc>
        <w:tc>
          <w:tcPr>
            <w:tcW w:w="1411" w:type="dxa"/>
            <w:noWrap w:val="0"/>
            <w:vAlign w:val="center"/>
          </w:tcPr>
          <w:p w14:paraId="3E520D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乡村振兴驻村工作队经费</w:t>
            </w:r>
          </w:p>
        </w:tc>
        <w:tc>
          <w:tcPr>
            <w:tcW w:w="4365" w:type="dxa"/>
            <w:noWrap w:val="0"/>
            <w:vAlign w:val="center"/>
          </w:tcPr>
          <w:p w14:paraId="53296D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1."为驻村干部开展工作和人身安全提供基本保障提供必要工作和生活条件。</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5421F7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2.驻村第一书记和工作队员数量不少于12人，保障驻村工作队出勤率不低于95%，推进乡村振兴，保障工作队员满意度不低于85%</w:t>
            </w:r>
          </w:p>
          <w:p w14:paraId="25FE23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3.上半年支出50%，下半年支出50%。</w:t>
            </w:r>
          </w:p>
        </w:tc>
        <w:tc>
          <w:tcPr>
            <w:tcW w:w="1696" w:type="dxa"/>
            <w:noWrap w:val="0"/>
            <w:vAlign w:val="center"/>
          </w:tcPr>
          <w:p w14:paraId="31067B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驻村干部开展工作和人身安全得到基本保障，必要工作和生活条件得到满足，使驻村工作队工作得到顺利开展。</w:t>
            </w:r>
          </w:p>
        </w:tc>
      </w:tr>
      <w:tr w14:paraId="5D4F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050" w:type="dxa"/>
            <w:noWrap w:val="0"/>
            <w:vAlign w:val="center"/>
          </w:tcPr>
          <w:p w14:paraId="718E4D5D">
            <w:pPr>
              <w:pStyle w:val="6"/>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vertAlign w:val="baseline"/>
                <w:lang w:val="en-US" w:eastAsia="zh-CN" w:bidi="ar-SA"/>
              </w:rPr>
              <w:t>21</w:t>
            </w:r>
          </w:p>
        </w:tc>
        <w:tc>
          <w:tcPr>
            <w:tcW w:w="1411" w:type="dxa"/>
            <w:noWrap w:val="0"/>
            <w:vAlign w:val="center"/>
          </w:tcPr>
          <w:p w14:paraId="592BBA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乡镇武装工作经费（运转保障）</w:t>
            </w:r>
          </w:p>
        </w:tc>
        <w:tc>
          <w:tcPr>
            <w:tcW w:w="4365" w:type="dxa"/>
            <w:noWrap w:val="0"/>
            <w:vAlign w:val="center"/>
          </w:tcPr>
          <w:p w14:paraId="349147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规范本镇武装部基础设施建设，完成应急器材装备采购工作，不断提升遂行任务能力；保障本单位的民兵训练，组织民兵训练3次以上，征兵等工作的正常开展，征兵3名以上，圆满完成上级交给的各项工作任务。</w:t>
            </w:r>
          </w:p>
          <w:p w14:paraId="76CE9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2.此项目资金按序时进度支出：6月份支出50%，12月份支出100%，资金及时拨付到位，为基层武装工作的开展提供资金保障。</w:t>
            </w:r>
          </w:p>
        </w:tc>
        <w:tc>
          <w:tcPr>
            <w:tcW w:w="1696" w:type="dxa"/>
            <w:noWrap w:val="0"/>
            <w:vAlign w:val="center"/>
          </w:tcPr>
          <w:p w14:paraId="42EEBB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本镇武装部基础设施建设得到加强，执行任务能力提升；保障了本单位的民兵训练和征兵等工作的正常开展，圆满完成了上级交给的各项工作任务。</w:t>
            </w:r>
          </w:p>
        </w:tc>
      </w:tr>
      <w:tr w14:paraId="0462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050" w:type="dxa"/>
            <w:noWrap w:val="0"/>
            <w:vAlign w:val="center"/>
          </w:tcPr>
          <w:p w14:paraId="6B972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22</w:t>
            </w:r>
          </w:p>
        </w:tc>
        <w:tc>
          <w:tcPr>
            <w:tcW w:w="1411" w:type="dxa"/>
            <w:noWrap w:val="0"/>
            <w:vAlign w:val="center"/>
          </w:tcPr>
          <w:p w14:paraId="6C1976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选任专职人民调解员经费</w:t>
            </w:r>
          </w:p>
        </w:tc>
        <w:tc>
          <w:tcPr>
            <w:tcW w:w="4365" w:type="dxa"/>
            <w:noWrap w:val="0"/>
            <w:vAlign w:val="center"/>
          </w:tcPr>
          <w:p w14:paraId="0CD6B1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1.保障人员工资、保险等方面的经费支出，按月发放调解员工资，及时缴纳保险；</w:t>
            </w:r>
            <w:r>
              <w:rPr>
                <w:rFonts w:hint="eastAsia" w:ascii="宋体" w:hAnsi="宋体" w:eastAsia="宋体" w:cs="宋体"/>
                <w:color w:val="auto"/>
                <w:sz w:val="21"/>
                <w:szCs w:val="21"/>
                <w:vertAlign w:val="baseline"/>
                <w:lang w:val="en-US" w:eastAsia="zh-CN"/>
              </w:rPr>
              <w:tab/>
            </w:r>
          </w:p>
          <w:p w14:paraId="7BF99F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2.减少社会矛盾，化解社会纠纷；</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23203F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3.做好人民调解工作，更好、更快调解诉前案件和信访案件。</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5EA395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p>
        </w:tc>
        <w:tc>
          <w:tcPr>
            <w:tcW w:w="1696" w:type="dxa"/>
            <w:noWrap w:val="0"/>
            <w:vAlign w:val="center"/>
          </w:tcPr>
          <w:p w14:paraId="4F2D80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及时足额发放调解员工资，缴纳保险。减少了社会矛盾，化解社会纠纷。做好了人民调解工作，更好、更快调解诉前案件和信访案件</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tc>
      </w:tr>
      <w:tr w14:paraId="4558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50" w:type="dxa"/>
            <w:noWrap w:val="0"/>
            <w:vAlign w:val="center"/>
          </w:tcPr>
          <w:p w14:paraId="35981E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23</w:t>
            </w:r>
          </w:p>
        </w:tc>
        <w:tc>
          <w:tcPr>
            <w:tcW w:w="1411" w:type="dxa"/>
            <w:noWrap w:val="0"/>
            <w:vAlign w:val="center"/>
          </w:tcPr>
          <w:p w14:paraId="312958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专项工作经费（运转保障）</w:t>
            </w:r>
          </w:p>
        </w:tc>
        <w:tc>
          <w:tcPr>
            <w:tcW w:w="4365" w:type="dxa"/>
            <w:noWrap w:val="0"/>
            <w:vAlign w:val="center"/>
          </w:tcPr>
          <w:p w14:paraId="78094F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1.加强财务管理，确保资金安全，提高财政资金使用效益。</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79A03E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2.搞好服务保障，为99名干部职工提供良好的工作环境。</w:t>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r>
              <w:rPr>
                <w:rFonts w:hint="eastAsia" w:ascii="宋体" w:hAnsi="宋体" w:eastAsia="宋体" w:cs="宋体"/>
                <w:color w:val="auto"/>
                <w:sz w:val="21"/>
                <w:szCs w:val="21"/>
                <w:vertAlign w:val="baseline"/>
                <w:lang w:val="en-US" w:eastAsia="zh-CN"/>
              </w:rPr>
              <w:tab/>
            </w:r>
          </w:p>
          <w:p w14:paraId="100AD9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3.此项目资金按序时进度支出：3月份支出25%，6月份支出50%，9月份支出80%，11月份支出100%。</w:t>
            </w:r>
          </w:p>
        </w:tc>
        <w:tc>
          <w:tcPr>
            <w:tcW w:w="1696" w:type="dxa"/>
            <w:noWrap w:val="0"/>
            <w:vAlign w:val="center"/>
          </w:tcPr>
          <w:p w14:paraId="3B15F9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政府服务得到保障，各项工作顺利开展。</w:t>
            </w:r>
          </w:p>
        </w:tc>
      </w:tr>
      <w:tr w14:paraId="5DC8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050" w:type="dxa"/>
            <w:noWrap w:val="0"/>
            <w:vAlign w:val="center"/>
          </w:tcPr>
          <w:p w14:paraId="0BA49BDC">
            <w:pPr>
              <w:pStyle w:val="6"/>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vertAlign w:val="baseline"/>
                <w:lang w:val="en-US" w:eastAsia="zh-CN" w:bidi="ar-SA"/>
              </w:rPr>
              <w:t>24</w:t>
            </w:r>
          </w:p>
        </w:tc>
        <w:tc>
          <w:tcPr>
            <w:tcW w:w="1411" w:type="dxa"/>
            <w:noWrap w:val="0"/>
            <w:vAlign w:val="center"/>
          </w:tcPr>
          <w:p w14:paraId="216A19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漕河镇2023年脱贫帮扶</w:t>
            </w:r>
            <w:r>
              <w:rPr>
                <w:rFonts w:hint="eastAsia" w:ascii="宋体" w:hAnsi="宋体" w:cs="宋体"/>
                <w:color w:val="auto"/>
                <w:sz w:val="21"/>
                <w:szCs w:val="21"/>
                <w:vertAlign w:val="baseline"/>
                <w:lang w:val="en-US" w:eastAsia="zh-CN"/>
              </w:rPr>
              <w:t>公益性岗位</w:t>
            </w:r>
            <w:r>
              <w:rPr>
                <w:rFonts w:hint="eastAsia" w:ascii="宋体" w:hAnsi="宋体" w:eastAsia="宋体" w:cs="宋体"/>
                <w:color w:val="auto"/>
                <w:sz w:val="21"/>
                <w:szCs w:val="21"/>
                <w:vertAlign w:val="baseline"/>
                <w:lang w:val="en-US" w:eastAsia="zh-CN"/>
              </w:rPr>
              <w:t>补助及保险项目</w:t>
            </w:r>
          </w:p>
        </w:tc>
        <w:tc>
          <w:tcPr>
            <w:tcW w:w="4365" w:type="dxa"/>
            <w:noWrap w:val="0"/>
            <w:vAlign w:val="center"/>
          </w:tcPr>
          <w:p w14:paraId="35C773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1.规范就业扶贫</w:t>
            </w:r>
            <w:r>
              <w:rPr>
                <w:rFonts w:hint="eastAsia" w:ascii="宋体" w:hAnsi="宋体" w:cs="宋体"/>
                <w:color w:val="auto"/>
                <w:sz w:val="21"/>
                <w:szCs w:val="21"/>
                <w:vertAlign w:val="baseline"/>
                <w:lang w:val="en-US" w:eastAsia="zh-CN"/>
              </w:rPr>
              <w:t>公益性岗位</w:t>
            </w:r>
            <w:r>
              <w:rPr>
                <w:rFonts w:hint="eastAsia" w:ascii="宋体" w:hAnsi="宋体" w:eastAsia="宋体" w:cs="宋体"/>
                <w:color w:val="auto"/>
                <w:sz w:val="21"/>
                <w:szCs w:val="21"/>
                <w:vertAlign w:val="baseline"/>
                <w:lang w:val="en-US" w:eastAsia="zh-CN"/>
              </w:rPr>
              <w:t>、乡村服务岗位管理，帮助就业困难的建档立卡贫困劳动力实现持续稳定增收</w:t>
            </w:r>
          </w:p>
          <w:p w14:paraId="19A179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2.为14位在公益岗的人员发放补助并购买人身意外保险。“四员”岗每人每月500元，乡村服务岗每人每月300元，人身意外保险667元每年。</w:t>
            </w:r>
          </w:p>
          <w:p w14:paraId="53EABC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3.按月发放岗位补助。</w:t>
            </w:r>
          </w:p>
        </w:tc>
        <w:tc>
          <w:tcPr>
            <w:tcW w:w="1696" w:type="dxa"/>
            <w:noWrap w:val="0"/>
            <w:vAlign w:val="center"/>
          </w:tcPr>
          <w:p w14:paraId="4E1B79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资金及时足额拨付到位。规范了就业扶贫</w:t>
            </w:r>
            <w:r>
              <w:rPr>
                <w:rFonts w:hint="eastAsia" w:ascii="宋体" w:hAnsi="宋体" w:cs="宋体"/>
                <w:color w:val="auto"/>
                <w:sz w:val="21"/>
                <w:szCs w:val="21"/>
                <w:vertAlign w:val="baseline"/>
                <w:lang w:val="en-US" w:eastAsia="zh-CN"/>
              </w:rPr>
              <w:t>公益性岗位</w:t>
            </w:r>
            <w:r>
              <w:rPr>
                <w:rFonts w:hint="eastAsia" w:ascii="宋体" w:hAnsi="宋体" w:eastAsia="宋体" w:cs="宋体"/>
                <w:color w:val="auto"/>
                <w:sz w:val="21"/>
                <w:szCs w:val="21"/>
                <w:vertAlign w:val="baseline"/>
                <w:lang w:val="en-US" w:eastAsia="zh-CN"/>
              </w:rPr>
              <w:t>、乡村服务岗位管理，帮助就业困难的建档立卡贫困劳动力实现了持续稳定增收。</w:t>
            </w:r>
          </w:p>
        </w:tc>
      </w:tr>
    </w:tbl>
    <w:p w14:paraId="6520E9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p>
    <w:p w14:paraId="229B8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四、绩效自评发现的问题</w:t>
      </w:r>
    </w:p>
    <w:p w14:paraId="68CE794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宋体" w:eastAsia="仿宋_GB2312" w:cs="Times New Roman"/>
          <w:color w:val="auto"/>
          <w:sz w:val="32"/>
          <w:szCs w:val="32"/>
        </w:rPr>
        <w:t>绩效指标</w:t>
      </w:r>
      <w:r>
        <w:rPr>
          <w:rFonts w:hint="eastAsia" w:ascii="仿宋_GB2312" w:hAnsi="宋体" w:eastAsia="仿宋_GB2312" w:cs="Times New Roman"/>
          <w:color w:val="auto"/>
          <w:sz w:val="32"/>
          <w:szCs w:val="32"/>
          <w:lang w:val="en-US" w:eastAsia="zh-CN"/>
        </w:rPr>
        <w:t>设置</w:t>
      </w:r>
      <w:r>
        <w:rPr>
          <w:rFonts w:hint="eastAsia" w:ascii="仿宋_GB2312" w:hAnsi="宋体" w:eastAsia="仿宋_GB2312" w:cs="Times New Roman"/>
          <w:color w:val="auto"/>
          <w:sz w:val="32"/>
          <w:szCs w:val="32"/>
        </w:rPr>
        <w:t>方面。</w:t>
      </w:r>
      <w:r>
        <w:rPr>
          <w:rFonts w:hint="eastAsia" w:ascii="仿宋_GB2312" w:eastAsia="仿宋_GB2312" w:cs="DengXian-Regular"/>
          <w:color w:val="auto"/>
          <w:sz w:val="32"/>
          <w:szCs w:val="32"/>
        </w:rPr>
        <w:t>在设置职责活动绩效指标时，绩效目标没有细化分解为具体的工作任务数，绩效目标量化较困难，不便于对目标实现情况进行考核。</w:t>
      </w:r>
    </w:p>
    <w:p w14:paraId="7135B62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宋体" w:eastAsia="仿宋_GB2312" w:cs="Times New Roman"/>
          <w:color w:val="auto"/>
          <w:sz w:val="32"/>
          <w:szCs w:val="32"/>
          <w:lang w:val="en-US" w:eastAsia="zh-CN"/>
        </w:rPr>
        <w:t>预算执行</w:t>
      </w:r>
      <w:r>
        <w:rPr>
          <w:rFonts w:hint="eastAsia" w:ascii="仿宋_GB2312" w:hAnsi="宋体" w:eastAsia="仿宋_GB2312" w:cs="Times New Roman"/>
          <w:color w:val="auto"/>
          <w:sz w:val="32"/>
          <w:szCs w:val="32"/>
        </w:rPr>
        <w:t>方面。因财力紧张等原因，个别项目进展较慢，应拨付的资金未及时拨付，项目资金支付进度率不高。</w:t>
      </w:r>
    </w:p>
    <w:p w14:paraId="10A99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五、改进措施及相关建议</w:t>
      </w:r>
    </w:p>
    <w:p w14:paraId="4F746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（一）应坚持细化、量化的原则设置绩效目标和绩效指标，使目标清晰、涵盖具体工作内容、直观量化。同时，建议财政部门加强对项目绩效</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目标的指导和审核，对设置不清晰、不精准、不量化的项目限期修改完善，真正发挥绩效目标表的监控考核作用。</w:t>
      </w:r>
    </w:p>
    <w:p w14:paraId="5D939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（二）积极协调资金，在财力允许的情况下，加快资金拨付进度。</w:t>
      </w:r>
    </w:p>
    <w:p w14:paraId="3F74AC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00D182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5E93C9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2DE1A6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5E51D3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26B67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61F153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1B60E5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29BBEF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7073A935">
      <w:pPr>
        <w:pStyle w:val="6"/>
        <w:ind w:firstLine="2880" w:firstLineChars="9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保定市徐水区漕河镇人民政府</w:t>
      </w:r>
    </w:p>
    <w:p w14:paraId="2CD6A258">
      <w:pPr>
        <w:pStyle w:val="6"/>
        <w:ind w:firstLine="3840" w:firstLineChars="1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w:t>
      </w: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月10日</w:t>
      </w: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59855F-9B80-4CF0-AA3A-E16F1FE0D9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2B875BD2-5B09-4DC0-8B74-4B6E9B99E562}"/>
  </w:font>
  <w:font w:name="仿宋_GB2312">
    <w:altName w:val="仿宋"/>
    <w:panose1 w:val="02010609030101010101"/>
    <w:charset w:val="86"/>
    <w:family w:val="auto"/>
    <w:pitch w:val="default"/>
    <w:sig w:usb0="00000000" w:usb1="00000000" w:usb2="00000000" w:usb3="00000000" w:csb0="00040000" w:csb1="00000000"/>
    <w:embedRegular r:id="rId3" w:fontKey="{0A35A3C5-2FEA-4A9B-8BCD-36016482FD04}"/>
  </w:font>
  <w:font w:name="仿宋">
    <w:panose1 w:val="02010609060101010101"/>
    <w:charset w:val="86"/>
    <w:family w:val="auto"/>
    <w:pitch w:val="default"/>
    <w:sig w:usb0="800002BF" w:usb1="38CF7CFA" w:usb2="00000016" w:usb3="00000000" w:csb0="00040001" w:csb1="00000000"/>
    <w:embedRegular r:id="rId4" w:fontKey="{03BFBBE8-EE12-4E0A-A7C5-D02657184B95}"/>
  </w:font>
  <w:font w:name="方正黑体_GBK">
    <w:altName w:val="微软雅黑"/>
    <w:panose1 w:val="03000509000000000000"/>
    <w:charset w:val="86"/>
    <w:family w:val="auto"/>
    <w:pitch w:val="default"/>
    <w:sig w:usb0="00000000" w:usb1="00000000" w:usb2="00000000" w:usb3="00000000" w:csb0="00040000" w:csb1="00000000"/>
    <w:embedRegular r:id="rId5" w:fontKey="{300F574D-37AB-4A88-96E1-394BBF120A3B}"/>
  </w:font>
  <w:font w:name="楷体_GB2312">
    <w:altName w:val="楷体"/>
    <w:panose1 w:val="02010609030101010101"/>
    <w:charset w:val="86"/>
    <w:family w:val="auto"/>
    <w:pitch w:val="default"/>
    <w:sig w:usb0="00000000" w:usb1="00000000" w:usb2="00000000" w:usb3="00000000" w:csb0="00040000" w:csb1="00000000"/>
    <w:embedRegular r:id="rId6" w:fontKey="{01573478-2A62-4BA0-B041-384AAACE0E8D}"/>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embedRegular r:id="rId7" w:fontKey="{846A438F-7C98-4EE7-BFF4-F0055B313A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064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95E5EB">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095E5EB">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D0D62"/>
    <w:multiLevelType w:val="singleLevel"/>
    <w:tmpl w:val="8A6D0D62"/>
    <w:lvl w:ilvl="0" w:tentative="0">
      <w:start w:val="2"/>
      <w:numFmt w:val="decimal"/>
      <w:suff w:val="nothing"/>
      <w:lvlText w:val="（%1）"/>
      <w:lvlJc w:val="left"/>
    </w:lvl>
  </w:abstractNum>
  <w:abstractNum w:abstractNumId="1">
    <w:nsid w:val="BF1F2DDB"/>
    <w:multiLevelType w:val="singleLevel"/>
    <w:tmpl w:val="BF1F2DDB"/>
    <w:lvl w:ilvl="0" w:tentative="0">
      <w:start w:val="7"/>
      <w:numFmt w:val="decimal"/>
      <w:lvlText w:val="%1."/>
      <w:lvlJc w:val="left"/>
      <w:pPr>
        <w:tabs>
          <w:tab w:val="left" w:pos="312"/>
        </w:tabs>
      </w:pPr>
    </w:lvl>
  </w:abstractNum>
  <w:abstractNum w:abstractNumId="2">
    <w:nsid w:val="1D3718D6"/>
    <w:multiLevelType w:val="singleLevel"/>
    <w:tmpl w:val="1D3718D6"/>
    <w:lvl w:ilvl="0" w:tentative="0">
      <w:start w:val="5"/>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CEF"/>
    <w:rsid w:val="00AD4CA8"/>
    <w:rsid w:val="00DE3C43"/>
    <w:rsid w:val="0133331A"/>
    <w:rsid w:val="014903A9"/>
    <w:rsid w:val="016E7293"/>
    <w:rsid w:val="02744DAB"/>
    <w:rsid w:val="02AB256F"/>
    <w:rsid w:val="031B3FCF"/>
    <w:rsid w:val="03BC2B66"/>
    <w:rsid w:val="0431382B"/>
    <w:rsid w:val="0459720E"/>
    <w:rsid w:val="05236E37"/>
    <w:rsid w:val="073408D9"/>
    <w:rsid w:val="07DD51FE"/>
    <w:rsid w:val="07FC5C6E"/>
    <w:rsid w:val="08035A8C"/>
    <w:rsid w:val="080A064F"/>
    <w:rsid w:val="084B516E"/>
    <w:rsid w:val="089604B3"/>
    <w:rsid w:val="08FE1E04"/>
    <w:rsid w:val="098968CD"/>
    <w:rsid w:val="09D65046"/>
    <w:rsid w:val="0A246DF6"/>
    <w:rsid w:val="0AB05EE0"/>
    <w:rsid w:val="0B3D59A6"/>
    <w:rsid w:val="0B3E065C"/>
    <w:rsid w:val="0B6328C2"/>
    <w:rsid w:val="0B6F679C"/>
    <w:rsid w:val="0C0D771C"/>
    <w:rsid w:val="0C205769"/>
    <w:rsid w:val="0CAA5838"/>
    <w:rsid w:val="0CDE42E0"/>
    <w:rsid w:val="0D2F4664"/>
    <w:rsid w:val="0D833560"/>
    <w:rsid w:val="0DDD5670"/>
    <w:rsid w:val="0DED0D16"/>
    <w:rsid w:val="0E532B49"/>
    <w:rsid w:val="0EAF0E92"/>
    <w:rsid w:val="0ED67391"/>
    <w:rsid w:val="0ED70625"/>
    <w:rsid w:val="0F5147D3"/>
    <w:rsid w:val="0FA03E65"/>
    <w:rsid w:val="0FAF52CB"/>
    <w:rsid w:val="0FC04855"/>
    <w:rsid w:val="115163A1"/>
    <w:rsid w:val="11736166"/>
    <w:rsid w:val="117400AF"/>
    <w:rsid w:val="124F294B"/>
    <w:rsid w:val="12C30203"/>
    <w:rsid w:val="13624F7B"/>
    <w:rsid w:val="13820F54"/>
    <w:rsid w:val="1394062D"/>
    <w:rsid w:val="141215D5"/>
    <w:rsid w:val="141B0041"/>
    <w:rsid w:val="14A859F3"/>
    <w:rsid w:val="14BE494F"/>
    <w:rsid w:val="15370EFF"/>
    <w:rsid w:val="15DD74E0"/>
    <w:rsid w:val="16266AE1"/>
    <w:rsid w:val="164A731D"/>
    <w:rsid w:val="168847E1"/>
    <w:rsid w:val="16F77EFA"/>
    <w:rsid w:val="17F16C3F"/>
    <w:rsid w:val="18051D8D"/>
    <w:rsid w:val="188914CE"/>
    <w:rsid w:val="18912A5B"/>
    <w:rsid w:val="18DE74F8"/>
    <w:rsid w:val="19506274"/>
    <w:rsid w:val="1A9D4598"/>
    <w:rsid w:val="1B387D7C"/>
    <w:rsid w:val="1B764745"/>
    <w:rsid w:val="1B930AC2"/>
    <w:rsid w:val="1C350E0B"/>
    <w:rsid w:val="1C6838B7"/>
    <w:rsid w:val="1C6C1734"/>
    <w:rsid w:val="1C7D42CA"/>
    <w:rsid w:val="1CB03F03"/>
    <w:rsid w:val="1CEA7E52"/>
    <w:rsid w:val="1D116E98"/>
    <w:rsid w:val="1F00617B"/>
    <w:rsid w:val="1F3F236E"/>
    <w:rsid w:val="1F637A42"/>
    <w:rsid w:val="1F6C111A"/>
    <w:rsid w:val="1F9C76EA"/>
    <w:rsid w:val="201B3187"/>
    <w:rsid w:val="208E5D79"/>
    <w:rsid w:val="20CF6E49"/>
    <w:rsid w:val="212F5B6B"/>
    <w:rsid w:val="21434EBB"/>
    <w:rsid w:val="216D7966"/>
    <w:rsid w:val="21A92C8B"/>
    <w:rsid w:val="22374946"/>
    <w:rsid w:val="2252305A"/>
    <w:rsid w:val="226E06D7"/>
    <w:rsid w:val="22837F62"/>
    <w:rsid w:val="230276E4"/>
    <w:rsid w:val="241D6718"/>
    <w:rsid w:val="244941C2"/>
    <w:rsid w:val="246462A3"/>
    <w:rsid w:val="248F44AC"/>
    <w:rsid w:val="24B06584"/>
    <w:rsid w:val="24DD309F"/>
    <w:rsid w:val="255D546F"/>
    <w:rsid w:val="258D50B6"/>
    <w:rsid w:val="25E94FAF"/>
    <w:rsid w:val="261A05CF"/>
    <w:rsid w:val="261C20E0"/>
    <w:rsid w:val="265C12AC"/>
    <w:rsid w:val="26BD6597"/>
    <w:rsid w:val="271649AE"/>
    <w:rsid w:val="27E72016"/>
    <w:rsid w:val="280E7144"/>
    <w:rsid w:val="28121007"/>
    <w:rsid w:val="283C571E"/>
    <w:rsid w:val="287967F4"/>
    <w:rsid w:val="2956007C"/>
    <w:rsid w:val="2AAA38C3"/>
    <w:rsid w:val="2ACA1B90"/>
    <w:rsid w:val="2AFD1641"/>
    <w:rsid w:val="2AFF1868"/>
    <w:rsid w:val="2C350C6F"/>
    <w:rsid w:val="2C4B68AC"/>
    <w:rsid w:val="2D7870F8"/>
    <w:rsid w:val="2D9201DC"/>
    <w:rsid w:val="2E085B0A"/>
    <w:rsid w:val="2E755845"/>
    <w:rsid w:val="2FA304B5"/>
    <w:rsid w:val="2FBE2364"/>
    <w:rsid w:val="30745353"/>
    <w:rsid w:val="30E70C25"/>
    <w:rsid w:val="31383C40"/>
    <w:rsid w:val="315073FF"/>
    <w:rsid w:val="31A24FDE"/>
    <w:rsid w:val="31B834B7"/>
    <w:rsid w:val="31D72B2F"/>
    <w:rsid w:val="321423C1"/>
    <w:rsid w:val="326768E2"/>
    <w:rsid w:val="326C5567"/>
    <w:rsid w:val="32B9108E"/>
    <w:rsid w:val="32EA1938"/>
    <w:rsid w:val="33381316"/>
    <w:rsid w:val="336242FA"/>
    <w:rsid w:val="3371005B"/>
    <w:rsid w:val="33775F65"/>
    <w:rsid w:val="34394CA3"/>
    <w:rsid w:val="346D38D3"/>
    <w:rsid w:val="34C96522"/>
    <w:rsid w:val="3581384E"/>
    <w:rsid w:val="35A26E40"/>
    <w:rsid w:val="35D167C5"/>
    <w:rsid w:val="35F23F1B"/>
    <w:rsid w:val="3747135C"/>
    <w:rsid w:val="37FC132B"/>
    <w:rsid w:val="386D09D4"/>
    <w:rsid w:val="38801A6A"/>
    <w:rsid w:val="3972670E"/>
    <w:rsid w:val="39C55A68"/>
    <w:rsid w:val="39E202FB"/>
    <w:rsid w:val="3A08319D"/>
    <w:rsid w:val="3A4C3FFA"/>
    <w:rsid w:val="3A6D500D"/>
    <w:rsid w:val="3A7817C6"/>
    <w:rsid w:val="3AAA76D5"/>
    <w:rsid w:val="3ABF0FCF"/>
    <w:rsid w:val="3B4D101F"/>
    <w:rsid w:val="3C1A67A9"/>
    <w:rsid w:val="3C557CD3"/>
    <w:rsid w:val="3C575AEB"/>
    <w:rsid w:val="3CA81E8E"/>
    <w:rsid w:val="3D5B3B9B"/>
    <w:rsid w:val="3D993E1E"/>
    <w:rsid w:val="3D9C6FA1"/>
    <w:rsid w:val="3DAE6E41"/>
    <w:rsid w:val="3DD3310C"/>
    <w:rsid w:val="3DDB069C"/>
    <w:rsid w:val="3E5F20DD"/>
    <w:rsid w:val="3E954A4C"/>
    <w:rsid w:val="3E994DA1"/>
    <w:rsid w:val="3ECB4BFA"/>
    <w:rsid w:val="3EEF2F8E"/>
    <w:rsid w:val="3F134B44"/>
    <w:rsid w:val="3F6822A4"/>
    <w:rsid w:val="3FD41846"/>
    <w:rsid w:val="3FE26901"/>
    <w:rsid w:val="400411B0"/>
    <w:rsid w:val="403A6E4A"/>
    <w:rsid w:val="407035C7"/>
    <w:rsid w:val="40D74270"/>
    <w:rsid w:val="40F67275"/>
    <w:rsid w:val="41207D19"/>
    <w:rsid w:val="41282D76"/>
    <w:rsid w:val="419D1CE8"/>
    <w:rsid w:val="42C93B81"/>
    <w:rsid w:val="42CE48AB"/>
    <w:rsid w:val="43BF01BD"/>
    <w:rsid w:val="43EB7150"/>
    <w:rsid w:val="43F7188F"/>
    <w:rsid w:val="449F4894"/>
    <w:rsid w:val="458A7C64"/>
    <w:rsid w:val="45A4585E"/>
    <w:rsid w:val="46C53FAB"/>
    <w:rsid w:val="46CE75C0"/>
    <w:rsid w:val="46F049F4"/>
    <w:rsid w:val="4708284D"/>
    <w:rsid w:val="470F0BB1"/>
    <w:rsid w:val="472127E1"/>
    <w:rsid w:val="47EC7D9D"/>
    <w:rsid w:val="484746CA"/>
    <w:rsid w:val="485C38F6"/>
    <w:rsid w:val="48B00888"/>
    <w:rsid w:val="48F74C98"/>
    <w:rsid w:val="497234C9"/>
    <w:rsid w:val="49D43F01"/>
    <w:rsid w:val="4AD14B4E"/>
    <w:rsid w:val="4AD72D28"/>
    <w:rsid w:val="4B09298A"/>
    <w:rsid w:val="4B5B4D66"/>
    <w:rsid w:val="4BA03172"/>
    <w:rsid w:val="4BA15123"/>
    <w:rsid w:val="4CF04A45"/>
    <w:rsid w:val="4D3342EC"/>
    <w:rsid w:val="4D4E0EE3"/>
    <w:rsid w:val="4D597D1A"/>
    <w:rsid w:val="4D5E2AFB"/>
    <w:rsid w:val="4E0472EF"/>
    <w:rsid w:val="4F6770F7"/>
    <w:rsid w:val="4F717CEE"/>
    <w:rsid w:val="4F7C732D"/>
    <w:rsid w:val="4FFD3344"/>
    <w:rsid w:val="509A2A06"/>
    <w:rsid w:val="50BA73F0"/>
    <w:rsid w:val="516968E9"/>
    <w:rsid w:val="51E972C0"/>
    <w:rsid w:val="5261605A"/>
    <w:rsid w:val="526C3B5D"/>
    <w:rsid w:val="529E0E64"/>
    <w:rsid w:val="52E5347B"/>
    <w:rsid w:val="5313338D"/>
    <w:rsid w:val="536162B6"/>
    <w:rsid w:val="5418430E"/>
    <w:rsid w:val="5448557A"/>
    <w:rsid w:val="545B07F5"/>
    <w:rsid w:val="54851153"/>
    <w:rsid w:val="55324A8F"/>
    <w:rsid w:val="55537144"/>
    <w:rsid w:val="55A820E7"/>
    <w:rsid w:val="55C874D5"/>
    <w:rsid w:val="56315414"/>
    <w:rsid w:val="567A1F5D"/>
    <w:rsid w:val="56950D21"/>
    <w:rsid w:val="56AD2670"/>
    <w:rsid w:val="57162490"/>
    <w:rsid w:val="572E70EA"/>
    <w:rsid w:val="583E4613"/>
    <w:rsid w:val="58533A32"/>
    <w:rsid w:val="58E61380"/>
    <w:rsid w:val="59297B7C"/>
    <w:rsid w:val="593A5382"/>
    <w:rsid w:val="59E74C9B"/>
    <w:rsid w:val="5A001035"/>
    <w:rsid w:val="5A933D5C"/>
    <w:rsid w:val="5AB5488F"/>
    <w:rsid w:val="5B113A7A"/>
    <w:rsid w:val="5B2458F6"/>
    <w:rsid w:val="5C8D7611"/>
    <w:rsid w:val="5CD94A33"/>
    <w:rsid w:val="5CE42241"/>
    <w:rsid w:val="5D3F253F"/>
    <w:rsid w:val="5D902C21"/>
    <w:rsid w:val="5D930F11"/>
    <w:rsid w:val="5DB6709B"/>
    <w:rsid w:val="5E5B0C96"/>
    <w:rsid w:val="5E971461"/>
    <w:rsid w:val="5F757494"/>
    <w:rsid w:val="61706B68"/>
    <w:rsid w:val="62716891"/>
    <w:rsid w:val="634F07DE"/>
    <w:rsid w:val="63A547AA"/>
    <w:rsid w:val="63AA0D8F"/>
    <w:rsid w:val="63E279FF"/>
    <w:rsid w:val="63EE37FF"/>
    <w:rsid w:val="64B04188"/>
    <w:rsid w:val="65B23DDE"/>
    <w:rsid w:val="65B57B97"/>
    <w:rsid w:val="65DB252E"/>
    <w:rsid w:val="66146A07"/>
    <w:rsid w:val="662D083E"/>
    <w:rsid w:val="664F7AE6"/>
    <w:rsid w:val="66974E96"/>
    <w:rsid w:val="66A070D4"/>
    <w:rsid w:val="66DC1491"/>
    <w:rsid w:val="67240E12"/>
    <w:rsid w:val="672919EC"/>
    <w:rsid w:val="686B05BA"/>
    <w:rsid w:val="686F049E"/>
    <w:rsid w:val="68A2348D"/>
    <w:rsid w:val="68AA68CB"/>
    <w:rsid w:val="69101F6C"/>
    <w:rsid w:val="69357DF6"/>
    <w:rsid w:val="69580D63"/>
    <w:rsid w:val="69B4526C"/>
    <w:rsid w:val="69E17870"/>
    <w:rsid w:val="6A253B8B"/>
    <w:rsid w:val="6AD41488"/>
    <w:rsid w:val="6B182B88"/>
    <w:rsid w:val="6B6D5883"/>
    <w:rsid w:val="6BC026FE"/>
    <w:rsid w:val="6BF36635"/>
    <w:rsid w:val="6C584118"/>
    <w:rsid w:val="6E4070D4"/>
    <w:rsid w:val="6EBB3DD8"/>
    <w:rsid w:val="7000374F"/>
    <w:rsid w:val="70350200"/>
    <w:rsid w:val="707930F6"/>
    <w:rsid w:val="70827584"/>
    <w:rsid w:val="70A91E26"/>
    <w:rsid w:val="711A615E"/>
    <w:rsid w:val="723E23C2"/>
    <w:rsid w:val="72E5150B"/>
    <w:rsid w:val="73794C80"/>
    <w:rsid w:val="7383540B"/>
    <w:rsid w:val="73EB749A"/>
    <w:rsid w:val="761B3CEB"/>
    <w:rsid w:val="76294B20"/>
    <w:rsid w:val="76CD4029"/>
    <w:rsid w:val="771F6074"/>
    <w:rsid w:val="77846AD0"/>
    <w:rsid w:val="782142A9"/>
    <w:rsid w:val="78322C70"/>
    <w:rsid w:val="785D31C3"/>
    <w:rsid w:val="78992748"/>
    <w:rsid w:val="78BD69DE"/>
    <w:rsid w:val="794C4DB4"/>
    <w:rsid w:val="7971223D"/>
    <w:rsid w:val="798D1378"/>
    <w:rsid w:val="7A0E7399"/>
    <w:rsid w:val="7A2D5C15"/>
    <w:rsid w:val="7A5B3D08"/>
    <w:rsid w:val="7A6300D6"/>
    <w:rsid w:val="7AA721DF"/>
    <w:rsid w:val="7AF6094A"/>
    <w:rsid w:val="7B4404E6"/>
    <w:rsid w:val="7B9E1BF3"/>
    <w:rsid w:val="7BBB75C6"/>
    <w:rsid w:val="7C163B98"/>
    <w:rsid w:val="7C476FF2"/>
    <w:rsid w:val="7DC27B63"/>
    <w:rsid w:val="7E22172D"/>
    <w:rsid w:val="7E660E25"/>
    <w:rsid w:val="7ECA128F"/>
    <w:rsid w:val="7EEF72D1"/>
    <w:rsid w:val="7F9502FF"/>
    <w:rsid w:val="7FA42277"/>
    <w:rsid w:val="7FCB7249"/>
    <w:rsid w:val="7FD44FC4"/>
    <w:rsid w:val="7FDF0D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unhideWhenUsed/>
    <w:qFormat/>
    <w:uiPriority w:val="99"/>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11251</Words>
  <Characters>12375</Characters>
  <Lines>0</Lines>
  <Paragraphs>0</Paragraphs>
  <TotalTime>28</TotalTime>
  <ScaleCrop>false</ScaleCrop>
  <LinksUpToDate>false</LinksUpToDate>
  <CharactersWithSpaces>12522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2023-10-30T01:20:00Z</dcterms:created>
  <dc:creator>Administrator</dc:creator>
  <cp:lastModifiedBy>Freedom</cp:lastModifiedBy>
  <cp:lastPrinted>2024-01-10T06:32:00Z</cp:lastPrinted>
  <dcterms:modified xsi:type="dcterms:W3CDTF">2025-05-12T04:32:50Z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9B69B462AAE74E2FA71AF9C8DA765D4D_13</vt:lpwstr>
  </property>
  <property fmtid="{D5CDD505-2E9C-101B-9397-08002B2CF9AE}" pid="4" name="KSOTemplateDocerSaveRecord">
    <vt:lpwstr>eyJoZGlkIjoiY2E4NzE2N2Q3ODhmNTgxZWIyYmM3NzFkMzQ1MzAwNjYiLCJ1c2VySWQiOiI0OTM1ODUzODkifQ==</vt:lpwstr>
  </property>
</Properties>
</file>