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第一部分  部门</w:t>
      </w:r>
      <w:r>
        <w:rPr>
          <w:b/>
          <w:sz w:val="44"/>
          <w:szCs w:val="44"/>
        </w:rPr>
        <w:t>概况</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pPr>
        <w:pStyle w:val="10"/>
        <w:widowControl/>
        <w:spacing w:line="520" w:lineRule="exact"/>
        <w:ind w:firstLine="420" w:firstLineChars="15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一）主管全区党的纪律检查工作。负责贯彻落实党中央、中纪委、河北省委、省纪委、保定市委、市纪委、徐水区委关于加强党风廉政建设的决定；维护党的章程和其它党内法规；监督检查党的路线、方针、政策和决议的执行情况。</w:t>
      </w:r>
    </w:p>
    <w:p>
      <w:pPr>
        <w:pStyle w:val="10"/>
        <w:widowControl/>
        <w:spacing w:line="520" w:lineRule="exact"/>
        <w:ind w:firstLine="420" w:firstLineChars="15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（二）主管全区行政监察工作。负责宣传贯彻实施</w:t>
      </w:r>
      <w:bookmarkStart w:id="0" w:name="_GoBack"/>
      <w:r>
        <w:rPr>
          <w:rFonts w:hint="eastAsia" w:asciiTheme="minorHAnsi" w:hAnsiTheme="minorHAnsi" w:eastAsiaTheme="minorEastAsia" w:cstheme="minorBidi"/>
          <w:snapToGrid w:val="0"/>
          <w:sz w:val="28"/>
          <w:szCs w:val="28"/>
        </w:rPr>
        <w:t>《</w:t>
      </w:r>
      <w:bookmarkEnd w:id="0"/>
      <w:r>
        <w:rPr>
          <w:rFonts w:hint="eastAsia" w:asciiTheme="minorHAnsi" w:hAnsiTheme="minorHAnsi" w:eastAsiaTheme="minorEastAsia" w:cstheme="minorBidi"/>
          <w:snapToGrid w:val="0"/>
          <w:sz w:val="28"/>
          <w:szCs w:val="28"/>
        </w:rPr>
        <w:t>中华人民共和国监察法》；贯彻落实党中央、国务院、省、保定市和我区有关行政监察工作的决定；监督检查区政府各部门及其工作人员和主要负责人执行政策、法律、法规、国民经济和社会发展计划及国务院、省、市及区政府颁发的决议、命令的执行情况。</w:t>
      </w:r>
    </w:p>
    <w:p>
      <w:pPr>
        <w:pStyle w:val="10"/>
        <w:widowControl/>
        <w:spacing w:line="520" w:lineRule="exact"/>
        <w:ind w:firstLine="420" w:firstLineChars="15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（三）负责检查并处理区委、区政府机关各部门党的组织和区委管理的党员干部违反党的章程及党内法规的案件，决定或取消对这些案件中的党员的处分；受理党员的控告和申诉。</w:t>
      </w:r>
    </w:p>
    <w:p>
      <w:pPr>
        <w:pStyle w:val="10"/>
        <w:widowControl/>
        <w:spacing w:line="520" w:lineRule="exact"/>
        <w:ind w:firstLine="420" w:firstLineChars="15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四）负责调查处理区政府各部门及其工作人员和主要负责人违反国家政策、法规及违反政纪的行为，并根据负责人所犯错误的情节轻重，提出处分建议或按权限直接给予行政处分（对涉及选举产生的领导干部按法定程序办理）；受理监察对象不服政纪处分的申诉；受理个人或单位对监察对象违纪行为的检举、控告。</w:t>
      </w:r>
    </w:p>
    <w:p>
      <w:pPr>
        <w:pStyle w:val="10"/>
        <w:widowControl/>
        <w:spacing w:line="520" w:lineRule="exact"/>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（五）负责做出关于维护党纪的决定；制定全区党风廉政教育规划；配合有关部门做好宣传党的纪检监察工作方针、政策和教育党员遵守纪律工作。</w:t>
      </w:r>
    </w:p>
    <w:p>
      <w:pPr>
        <w:pStyle w:val="10"/>
        <w:widowControl/>
        <w:spacing w:line="520" w:lineRule="exact"/>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（六）负责对党的纪律检查工作理论及有关问题进行调查研究。</w:t>
      </w:r>
    </w:p>
    <w:p>
      <w:pPr>
        <w:pStyle w:val="10"/>
        <w:widowControl/>
        <w:spacing w:line="520" w:lineRule="exact"/>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（七）调查研究区政府各部门制定的有关政策、规定情况，对其违反国家法律和有损国家利益的条款提出修改、补充建议。</w:t>
      </w:r>
    </w:p>
    <w:p>
      <w:pPr>
        <w:pStyle w:val="10"/>
        <w:widowControl/>
        <w:spacing w:line="520" w:lineRule="exact"/>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（八）会同组织部门做好全区纪检监察系统干部的管理、任免、培训工作。</w:t>
      </w:r>
    </w:p>
    <w:p>
      <w:pPr>
        <w:pStyle w:val="10"/>
        <w:widowControl/>
        <w:spacing w:line="520" w:lineRule="exact"/>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（九）承办区委、区政府及中纪委、监察部、省纪委、省监察厅、市纪委、市监察局授权和交办的其它工作。</w:t>
      </w:r>
    </w:p>
    <w:p>
      <w:pPr>
        <w:ind w:firstLine="560" w:firstLineChars="200"/>
        <w:jc w:val="left"/>
        <w:rPr>
          <w:snapToGrid w:val="0"/>
          <w:kern w:val="0"/>
          <w:sz w:val="28"/>
          <w:szCs w:val="28"/>
        </w:rPr>
      </w:pPr>
      <w:r>
        <w:rPr>
          <w:rFonts w:hint="eastAsia"/>
          <w:snapToGrid w:val="0"/>
          <w:kern w:val="0"/>
          <w:sz w:val="28"/>
          <w:szCs w:val="28"/>
        </w:rPr>
        <w:t>二</w:t>
      </w:r>
      <w:r>
        <w:rPr>
          <w:snapToGrid w:val="0"/>
          <w:kern w:val="0"/>
          <w:sz w:val="28"/>
          <w:szCs w:val="28"/>
        </w:rPr>
        <w:t>、部门决算单位构成</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1、根据上述职责，纪检委设10个内设机构：</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办公室、干部监督室、廉政室、宣教室、信访室、审理室、检查一室、检查二室、检查三室、检查四室。</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2、下属机构7个</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第一纪工委监察分局、第二纪工委监察分局、第三纪工委监察分局、第四纪工委监察分局、遂城纪工委监察分局、史端纪工委监察分局、安肃纪工委监察分局。</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3、我</w:t>
      </w:r>
      <w:r>
        <w:rPr>
          <w:snapToGrid w:val="0"/>
          <w:kern w:val="0"/>
          <w:sz w:val="28"/>
          <w:szCs w:val="28"/>
        </w:rPr>
        <w:t>部门独立核算</w:t>
      </w:r>
      <w:r>
        <w:rPr>
          <w:rFonts w:hint="eastAsia"/>
          <w:snapToGrid w:val="0"/>
          <w:kern w:val="0"/>
          <w:sz w:val="28"/>
          <w:szCs w:val="28"/>
        </w:rPr>
        <w:t>机构1个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101人</w:t>
      </w:r>
      <w:r>
        <w:rPr>
          <w:snapToGrid w:val="0"/>
          <w:kern w:val="0"/>
          <w:sz w:val="28"/>
          <w:szCs w:val="28"/>
        </w:rPr>
        <w:t>，</w:t>
      </w:r>
      <w:r>
        <w:rPr>
          <w:rFonts w:hint="eastAsia"/>
          <w:snapToGrid w:val="0"/>
          <w:kern w:val="0"/>
          <w:sz w:val="28"/>
          <w:szCs w:val="28"/>
        </w:rPr>
        <w:t>其中</w:t>
      </w:r>
      <w:r>
        <w:rPr>
          <w:snapToGrid w:val="0"/>
          <w:kern w:val="0"/>
          <w:sz w:val="28"/>
          <w:szCs w:val="28"/>
        </w:rPr>
        <w:t xml:space="preserve">在职人员 </w:t>
      </w:r>
      <w:r>
        <w:rPr>
          <w:rFonts w:hint="eastAsia"/>
          <w:snapToGrid w:val="0"/>
          <w:kern w:val="0"/>
          <w:sz w:val="28"/>
          <w:szCs w:val="28"/>
        </w:rPr>
        <w:t>62人</w:t>
      </w:r>
      <w:r>
        <w:rPr>
          <w:snapToGrid w:val="0"/>
          <w:kern w:val="0"/>
          <w:sz w:val="28"/>
          <w:szCs w:val="28"/>
        </w:rPr>
        <w:t>，离休人员</w:t>
      </w:r>
      <w:r>
        <w:rPr>
          <w:rFonts w:hint="eastAsia"/>
          <w:snapToGrid w:val="0"/>
          <w:kern w:val="0"/>
          <w:sz w:val="28"/>
          <w:szCs w:val="28"/>
        </w:rPr>
        <w:t>1人</w:t>
      </w:r>
      <w:r>
        <w:rPr>
          <w:snapToGrid w:val="0"/>
          <w:kern w:val="0"/>
          <w:sz w:val="28"/>
          <w:szCs w:val="28"/>
        </w:rPr>
        <w:t>，退休人员</w:t>
      </w:r>
      <w:r>
        <w:rPr>
          <w:rFonts w:hint="eastAsia"/>
          <w:snapToGrid w:val="0"/>
          <w:kern w:val="0"/>
          <w:sz w:val="28"/>
          <w:szCs w:val="28"/>
        </w:rPr>
        <w:t>38人</w:t>
      </w:r>
      <w:r>
        <w:rPr>
          <w:snapToGrid w:val="0"/>
          <w:kern w:val="0"/>
          <w:sz w:val="28"/>
          <w:szCs w:val="28"/>
        </w:rPr>
        <w:t>。</w:t>
      </w:r>
    </w:p>
    <w:p>
      <w:pPr>
        <w:adjustRightInd w:val="0"/>
        <w:snapToGrid w:val="0"/>
        <w:spacing w:line="600" w:lineRule="exact"/>
        <w:ind w:firstLine="560" w:firstLineChars="200"/>
        <w:rPr>
          <w:snapToGrid w:val="0"/>
          <w:kern w:val="0"/>
          <w:sz w:val="28"/>
          <w:szCs w:val="28"/>
        </w:rPr>
      </w:pPr>
    </w:p>
    <w:p>
      <w:pPr>
        <w:jc w:val="center"/>
        <w:rPr>
          <w:b/>
          <w:sz w:val="44"/>
          <w:szCs w:val="44"/>
        </w:rPr>
      </w:pPr>
      <w:r>
        <w:rPr>
          <w:rFonts w:hint="eastAsia"/>
          <w:b/>
          <w:sz w:val="44"/>
          <w:szCs w:val="44"/>
        </w:rPr>
        <w:t>第二部分  2016年</w:t>
      </w:r>
      <w:r>
        <w:rPr>
          <w:b/>
          <w:sz w:val="44"/>
          <w:szCs w:val="44"/>
        </w:rPr>
        <w:t>部门决算</w:t>
      </w:r>
    </w:p>
    <w:p>
      <w:pPr>
        <w:jc w:val="center"/>
        <w:rPr>
          <w:b/>
          <w:sz w:val="44"/>
          <w:szCs w:val="44"/>
        </w:rPr>
      </w:pPr>
      <w:r>
        <w:rPr>
          <w:rFonts w:hint="eastAsia"/>
          <w:b/>
          <w:sz w:val="44"/>
          <w:szCs w:val="44"/>
        </w:rPr>
        <w:t xml:space="preserve">       </w:t>
      </w:r>
      <w:r>
        <w:rPr>
          <w:b/>
          <w:sz w:val="44"/>
          <w:szCs w:val="44"/>
        </w:rPr>
        <w:t>情况说明</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1136.27万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 xml:space="preserve">55 </w:t>
      </w:r>
      <w:r>
        <w:rPr>
          <w:snapToGrid w:val="0"/>
          <w:kern w:val="0"/>
          <w:sz w:val="28"/>
          <w:szCs w:val="28"/>
        </w:rPr>
        <w:t>%，增</w:t>
      </w:r>
      <w:r>
        <w:rPr>
          <w:rFonts w:hint="eastAsia"/>
          <w:snapToGrid w:val="0"/>
          <w:kern w:val="0"/>
          <w:sz w:val="28"/>
          <w:szCs w:val="28"/>
        </w:rPr>
        <w:t>收 403.22万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追加本年度工资调标、级别调整及惠民政策落实监督检查工作经费</w:t>
      </w:r>
      <w:r>
        <w:rPr>
          <w:snapToGrid w:val="0"/>
          <w:kern w:val="0"/>
          <w:sz w:val="28"/>
          <w:szCs w:val="28"/>
        </w:rPr>
        <w:fldChar w:fldCharType="end"/>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1095.99万</w:t>
      </w:r>
      <w:r>
        <w:rPr>
          <w:snapToGrid w:val="0"/>
          <w:kern w:val="0"/>
          <w:sz w:val="28"/>
          <w:szCs w:val="28"/>
        </w:rPr>
        <w:t>元，较上年增长</w:t>
      </w:r>
      <w:r>
        <w:rPr>
          <w:rFonts w:hint="eastAsia"/>
          <w:snapToGrid w:val="0"/>
          <w:kern w:val="0"/>
          <w:sz w:val="28"/>
          <w:szCs w:val="28"/>
        </w:rPr>
        <w:t xml:space="preserve">17 </w:t>
      </w:r>
      <w:r>
        <w:rPr>
          <w:snapToGrid w:val="0"/>
          <w:kern w:val="0"/>
          <w:sz w:val="28"/>
          <w:szCs w:val="28"/>
        </w:rPr>
        <w:t>%，增支</w:t>
      </w:r>
      <w:r>
        <w:rPr>
          <w:rFonts w:hint="eastAsia"/>
          <w:snapToGrid w:val="0"/>
          <w:kern w:val="0"/>
          <w:sz w:val="28"/>
          <w:szCs w:val="28"/>
        </w:rPr>
        <w:t>158.87 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本年度工资调标及级别调整、惠民政策落实监督检查工作经费等</w:t>
      </w:r>
      <w:r>
        <w:rPr>
          <w:snapToGrid w:val="0"/>
          <w:kern w:val="0"/>
          <w:sz w:val="28"/>
          <w:szCs w:val="28"/>
        </w:rPr>
        <w:fldChar w:fldCharType="end"/>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103.31万</w:t>
      </w:r>
      <w:r>
        <w:rPr>
          <w:snapToGrid w:val="0"/>
          <w:kern w:val="0"/>
          <w:sz w:val="28"/>
          <w:szCs w:val="28"/>
        </w:rPr>
        <w:t>元。</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1136.27万元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 xml:space="preserve">    1136.24万元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 xml:space="preserve">55 </w:t>
      </w:r>
      <w:r>
        <w:rPr>
          <w:snapToGrid w:val="0"/>
          <w:kern w:val="0"/>
          <w:sz w:val="28"/>
          <w:szCs w:val="28"/>
        </w:rPr>
        <w:t>%，增收</w:t>
      </w:r>
      <w:r>
        <w:rPr>
          <w:rFonts w:hint="eastAsia"/>
          <w:snapToGrid w:val="0"/>
          <w:kern w:val="0"/>
          <w:sz w:val="28"/>
          <w:szCs w:val="28"/>
        </w:rPr>
        <w:t>403.66万元，</w:t>
      </w:r>
      <w:r>
        <w:rPr>
          <w:snapToGrid w:val="0"/>
          <w:kern w:val="0"/>
          <w:sz w:val="28"/>
          <w:szCs w:val="28"/>
        </w:rPr>
        <w:t>主要原因</w:t>
      </w:r>
      <w:r>
        <w:rPr>
          <w:rFonts w:hint="eastAsia"/>
          <w:snapToGrid w:val="0"/>
          <w:kern w:val="0"/>
          <w:sz w:val="28"/>
          <w:szCs w:val="28"/>
        </w:rPr>
        <w:t>惠民政策等专项检查及人员经费增加 ；</w:t>
      </w:r>
      <w:r>
        <w:rPr>
          <w:snapToGrid w:val="0"/>
          <w:kern w:val="0"/>
          <w:sz w:val="28"/>
          <w:szCs w:val="28"/>
        </w:rPr>
        <w:t>其他收入</w:t>
      </w:r>
      <w:r>
        <w:rPr>
          <w:rFonts w:hint="eastAsia"/>
          <w:snapToGrid w:val="0"/>
          <w:kern w:val="0"/>
          <w:sz w:val="28"/>
          <w:szCs w:val="28"/>
        </w:rPr>
        <w:t>0.03万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 xml:space="preserve">减少94 </w:t>
      </w:r>
      <w:r>
        <w:rPr>
          <w:snapToGrid w:val="0"/>
          <w:kern w:val="0"/>
          <w:sz w:val="28"/>
          <w:szCs w:val="28"/>
        </w:rPr>
        <w:t>%，</w:t>
      </w:r>
      <w:r>
        <w:rPr>
          <w:rFonts w:hint="eastAsia"/>
          <w:snapToGrid w:val="0"/>
          <w:kern w:val="0"/>
          <w:sz w:val="28"/>
          <w:szCs w:val="28"/>
        </w:rPr>
        <w:t>减少0.44万元，</w:t>
      </w:r>
      <w:r>
        <w:rPr>
          <w:snapToGrid w:val="0"/>
          <w:kern w:val="0"/>
          <w:sz w:val="28"/>
          <w:szCs w:val="28"/>
        </w:rPr>
        <w:t>主要原因</w:t>
      </w:r>
      <w:r>
        <w:rPr>
          <w:rFonts w:hint="eastAsia"/>
          <w:snapToGrid w:val="0"/>
          <w:kern w:val="0"/>
          <w:sz w:val="28"/>
          <w:szCs w:val="28"/>
        </w:rPr>
        <w:t>查处大要案 涉及金额减少。</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1095.99万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1054.97万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96</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41.02万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4</w:t>
      </w:r>
      <w:r>
        <w:rPr>
          <w:snapToGrid w:val="0"/>
          <w:kern w:val="0"/>
          <w:sz w:val="28"/>
          <w:szCs w:val="28"/>
        </w:rPr>
        <w:t>%</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pPr>
        <w:numPr>
          <w:ilvl w:val="0"/>
          <w:numId w:val="1"/>
        </w:numPr>
        <w:adjustRightInd w:val="0"/>
        <w:snapToGrid w:val="0"/>
        <w:spacing w:line="560" w:lineRule="exact"/>
        <w:ind w:firstLine="560" w:firstLineChars="200"/>
        <w:rPr>
          <w:rFonts w:ascii="仿宋_GB2312" w:hAnsi="仿宋" w:eastAsia="仿宋_GB2312"/>
          <w:sz w:val="32"/>
          <w:szCs w:val="32"/>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1136.24万</w:t>
      </w:r>
      <w:r>
        <w:rPr>
          <w:snapToGrid w:val="0"/>
          <w:kern w:val="0"/>
          <w:sz w:val="28"/>
          <w:szCs w:val="28"/>
        </w:rPr>
        <w:t>元，较上年增长</w:t>
      </w:r>
      <w:r>
        <w:rPr>
          <w:rFonts w:hint="eastAsia"/>
          <w:snapToGrid w:val="0"/>
          <w:kern w:val="0"/>
          <w:sz w:val="28"/>
          <w:szCs w:val="28"/>
        </w:rPr>
        <w:t>55</w:t>
      </w:r>
      <w:r>
        <w:rPr>
          <w:snapToGrid w:val="0"/>
          <w:kern w:val="0"/>
          <w:sz w:val="28"/>
          <w:szCs w:val="28"/>
        </w:rPr>
        <w:t>%，增收</w:t>
      </w:r>
      <w:r>
        <w:rPr>
          <w:rFonts w:hint="eastAsia"/>
          <w:snapToGrid w:val="0"/>
          <w:kern w:val="0"/>
          <w:sz w:val="28"/>
          <w:szCs w:val="28"/>
        </w:rPr>
        <w:t>403.66万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1095.99万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17</w:t>
      </w:r>
      <w:r>
        <w:rPr>
          <w:snapToGrid w:val="0"/>
          <w:kern w:val="0"/>
          <w:sz w:val="28"/>
          <w:szCs w:val="28"/>
        </w:rPr>
        <w:t>%，增支</w:t>
      </w:r>
      <w:r>
        <w:rPr>
          <w:rFonts w:hint="eastAsia"/>
          <w:snapToGrid w:val="0"/>
          <w:kern w:val="0"/>
          <w:sz w:val="28"/>
          <w:szCs w:val="28"/>
        </w:rPr>
        <w:t>159.97万</w:t>
      </w:r>
      <w:r>
        <w:rPr>
          <w:snapToGrid w:val="0"/>
          <w:kern w:val="0"/>
          <w:sz w:val="28"/>
          <w:szCs w:val="28"/>
        </w:rPr>
        <w:t>元，主要原因是：</w:t>
      </w:r>
      <w:r>
        <w:rPr>
          <w:rFonts w:hint="eastAsia"/>
          <w:snapToGrid w:val="0"/>
          <w:kern w:val="0"/>
          <w:sz w:val="28"/>
          <w:szCs w:val="28"/>
        </w:rPr>
        <w:t>本年度工资调标、职务职级晋升、级别调整、增加惠民政策落实监督检查工作经费支出。年</w:t>
      </w:r>
      <w:r>
        <w:rPr>
          <w:snapToGrid w:val="0"/>
          <w:kern w:val="0"/>
          <w:sz w:val="28"/>
          <w:szCs w:val="28"/>
        </w:rPr>
        <w:t>末财政拨款结转结余</w:t>
      </w:r>
      <w:r>
        <w:rPr>
          <w:rFonts w:hint="eastAsia"/>
          <w:snapToGrid w:val="0"/>
          <w:kern w:val="0"/>
          <w:sz w:val="28"/>
          <w:szCs w:val="28"/>
        </w:rPr>
        <w:t>103.31万</w:t>
      </w:r>
      <w:r>
        <w:rPr>
          <w:snapToGrid w:val="0"/>
          <w:kern w:val="0"/>
          <w:sz w:val="28"/>
          <w:szCs w:val="28"/>
        </w:rPr>
        <w:t>元。</w:t>
      </w:r>
    </w:p>
    <w:p>
      <w:pPr>
        <w:adjustRightInd w:val="0"/>
        <w:snapToGrid w:val="0"/>
        <w:spacing w:line="600" w:lineRule="exact"/>
        <w:rPr>
          <w:snapToGrid w:val="0"/>
          <w:kern w:val="0"/>
          <w:sz w:val="28"/>
          <w:szCs w:val="28"/>
        </w:rPr>
      </w:pPr>
      <w:r>
        <w:rPr>
          <w:rFonts w:hint="eastAsia"/>
          <w:snapToGrid w:val="0"/>
          <w:kern w:val="0"/>
          <w:sz w:val="28"/>
          <w:szCs w:val="28"/>
        </w:rPr>
        <w:t xml:space="preserve">    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本年支出合计_支出年初预算数小计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909.14</w:t>
      </w:r>
      <w:r>
        <w:rPr>
          <w:snapToGrid w:val="0"/>
          <w:kern w:val="0"/>
          <w:sz w:val="28"/>
          <w:szCs w:val="28"/>
        </w:rPr>
        <w:fldChar w:fldCharType="end"/>
      </w:r>
      <w:r>
        <w:rPr>
          <w:rFonts w:hint="eastAsia"/>
          <w:snapToGrid w:val="0"/>
          <w:kern w:val="0"/>
          <w:sz w:val="28"/>
          <w:szCs w:val="28"/>
        </w:rPr>
        <w:t>万元，本年</w:t>
      </w:r>
      <w:r>
        <w:rPr>
          <w:snapToGrid w:val="0"/>
          <w:kern w:val="0"/>
          <w:sz w:val="28"/>
          <w:szCs w:val="28"/>
        </w:rPr>
        <w:t>支出决算数为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本年支出合计_支出决算数小计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1095.95</w:t>
      </w:r>
      <w:r>
        <w:rPr>
          <w:snapToGrid w:val="0"/>
          <w:kern w:val="0"/>
          <w:sz w:val="28"/>
          <w:szCs w:val="28"/>
        </w:rPr>
        <w:fldChar w:fldCharType="end"/>
      </w:r>
      <w:r>
        <w:rPr>
          <w:rFonts w:hint="eastAsia"/>
          <w:snapToGrid w:val="0"/>
          <w:kern w:val="0"/>
          <w:sz w:val="28"/>
          <w:szCs w:val="28"/>
        </w:rPr>
        <w:t>万元，占</w:t>
      </w:r>
      <w:r>
        <w:rPr>
          <w:snapToGrid w:val="0"/>
          <w:kern w:val="0"/>
          <w:sz w:val="28"/>
          <w:szCs w:val="28"/>
        </w:rPr>
        <w:t>年初预算数的</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决算占预算</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120.55</w:t>
      </w:r>
      <w:r>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本年度工资调标及级别调整、惠民政策落实监督检查工作经费等</w:t>
      </w:r>
      <w:r>
        <w:rPr>
          <w:snapToGrid w:val="0"/>
          <w:kern w:val="0"/>
          <w:sz w:val="28"/>
          <w:szCs w:val="28"/>
        </w:rPr>
        <w:fldChar w:fldCharType="end"/>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在做好各项工作的前提下，节省各项开支，尤其严格控制“</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的支出，全年一般公共预算财政拨款“</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支出合计51.43</w:t>
      </w:r>
      <w:r>
        <w:rPr>
          <w:rFonts w:hint="eastAsia"/>
          <w:snapToGrid w:val="0"/>
          <w:kern w:val="0"/>
          <w:sz w:val="28"/>
          <w:szCs w:val="28"/>
        </w:rPr>
        <w:t>万元，</w:t>
      </w:r>
      <w:r>
        <w:rPr>
          <w:snapToGrid w:val="0"/>
          <w:kern w:val="0"/>
          <w:sz w:val="28"/>
          <w:szCs w:val="28"/>
        </w:rPr>
        <w:t>较2015</w:t>
      </w:r>
      <w:r>
        <w:rPr>
          <w:rFonts w:hint="eastAsia"/>
          <w:snapToGrid w:val="0"/>
          <w:kern w:val="0"/>
          <w:sz w:val="28"/>
          <w:szCs w:val="28"/>
        </w:rPr>
        <w:t>年</w:t>
      </w:r>
      <w:r>
        <w:rPr>
          <w:snapToGrid w:val="0"/>
          <w:kern w:val="0"/>
          <w:sz w:val="28"/>
          <w:szCs w:val="28"/>
        </w:rPr>
        <w:t>减少7.74</w:t>
      </w:r>
      <w:r>
        <w:rPr>
          <w:rFonts w:hint="eastAsia"/>
          <w:snapToGrid w:val="0"/>
          <w:kern w:val="0"/>
          <w:sz w:val="28"/>
          <w:szCs w:val="28"/>
        </w:rPr>
        <w:t>万元</w:t>
      </w:r>
      <w:r>
        <w:rPr>
          <w:snapToGrid w:val="0"/>
          <w:kern w:val="0"/>
          <w:sz w:val="28"/>
          <w:szCs w:val="28"/>
        </w:rPr>
        <w:t>，减少13.08%。</w:t>
      </w:r>
    </w:p>
    <w:p>
      <w:pPr>
        <w:adjustRightInd w:val="0"/>
        <w:snapToGrid w:val="0"/>
        <w:spacing w:line="560" w:lineRule="exact"/>
        <w:ind w:firstLine="560" w:firstLineChars="200"/>
        <w:rPr>
          <w:rFonts w:ascii="仿宋_GB2312" w:hAnsi="仿宋" w:eastAsia="仿宋_GB2312" w:cs="仿宋"/>
          <w:color w:val="000000"/>
          <w:sz w:val="32"/>
          <w:szCs w:val="32"/>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2016年因公出国（境）费本年支出</w:t>
      </w:r>
      <w:r>
        <w:rPr>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预算</w:t>
      </w:r>
      <w:r>
        <w:rPr>
          <w:rFonts w:hint="eastAsia"/>
          <w:snapToGrid w:val="0"/>
          <w:kern w:val="0"/>
          <w:sz w:val="28"/>
          <w:szCs w:val="28"/>
        </w:rPr>
        <w:t xml:space="preserve">压减 </w:t>
      </w:r>
      <w:r>
        <w:rPr>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 xml:space="preserve">0 </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%。主要原因</w:t>
      </w:r>
      <w:r>
        <w:rPr>
          <w:rFonts w:hint="eastAsia"/>
          <w:snapToGrid w:val="0"/>
          <w:kern w:val="0"/>
          <w:sz w:val="28"/>
          <w:szCs w:val="28"/>
        </w:rPr>
        <w:t>:没有</w:t>
      </w:r>
      <w:r>
        <w:rPr>
          <w:snapToGrid w:val="0"/>
          <w:kern w:val="0"/>
          <w:sz w:val="28"/>
          <w:szCs w:val="28"/>
        </w:rPr>
        <w:t>人员出国（</w:t>
      </w:r>
      <w:r>
        <w:rPr>
          <w:rFonts w:hint="eastAsia"/>
          <w:snapToGrid w:val="0"/>
          <w:kern w:val="0"/>
          <w:sz w:val="28"/>
          <w:szCs w:val="28"/>
        </w:rPr>
        <w:t>境</w:t>
      </w:r>
      <w:r>
        <w:rPr>
          <w:snapToGrid w:val="0"/>
          <w:kern w:val="0"/>
          <w:sz w:val="28"/>
          <w:szCs w:val="28"/>
        </w:rPr>
        <w:t>）</w:t>
      </w:r>
      <w:r>
        <w:rPr>
          <w:rFonts w:hint="eastAsia"/>
          <w:snapToGrid w:val="0"/>
          <w:kern w:val="0"/>
          <w:sz w:val="28"/>
          <w:szCs w:val="28"/>
        </w:rPr>
        <w:t>安排。因公出国（境）团组</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个，因公出国（境）人次数</w:t>
      </w:r>
      <w:r>
        <w:rPr>
          <w:snapToGrid w:val="0"/>
          <w:kern w:val="0"/>
          <w:sz w:val="28"/>
          <w:szCs w:val="28"/>
        </w:rPr>
        <w:t xml:space="preserve"> 0</w:t>
      </w:r>
      <w:r>
        <w:rPr>
          <w:rFonts w:hint="eastAsia"/>
          <w:snapToGrid w:val="0"/>
          <w:kern w:val="0"/>
          <w:sz w:val="28"/>
          <w:szCs w:val="28"/>
        </w:rPr>
        <w:t>人。</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40.27万元。（2016年</w:t>
      </w:r>
      <w:r>
        <w:rPr>
          <w:snapToGrid w:val="0"/>
          <w:kern w:val="0"/>
          <w:sz w:val="28"/>
          <w:szCs w:val="28"/>
        </w:rPr>
        <w:t>度未</w:t>
      </w:r>
      <w:r>
        <w:rPr>
          <w:rFonts w:hint="eastAsia"/>
          <w:snapToGrid w:val="0"/>
          <w:kern w:val="0"/>
          <w:sz w:val="28"/>
          <w:szCs w:val="28"/>
        </w:rPr>
        <w:t>购置</w:t>
      </w:r>
      <w:r>
        <w:rPr>
          <w:snapToGrid w:val="0"/>
          <w:kern w:val="0"/>
          <w:sz w:val="28"/>
          <w:szCs w:val="28"/>
        </w:rPr>
        <w:t>公务用车，</w:t>
      </w:r>
      <w:r>
        <w:rPr>
          <w:rFonts w:hint="eastAsia"/>
          <w:snapToGrid w:val="0"/>
          <w:kern w:val="0"/>
          <w:sz w:val="28"/>
          <w:szCs w:val="28"/>
        </w:rPr>
        <w:t>年末</w:t>
      </w:r>
      <w:r>
        <w:rPr>
          <w:snapToGrid w:val="0"/>
          <w:kern w:val="0"/>
          <w:sz w:val="28"/>
          <w:szCs w:val="28"/>
        </w:rPr>
        <w:t>公务用车保有量12</w:t>
      </w:r>
      <w:r>
        <w:rPr>
          <w:rFonts w:hint="eastAsia"/>
          <w:snapToGrid w:val="0"/>
          <w:kern w:val="0"/>
          <w:sz w:val="28"/>
          <w:szCs w:val="28"/>
        </w:rPr>
        <w:t>辆。）</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0万元</w:t>
      </w:r>
      <w:r>
        <w:rPr>
          <w:snapToGrid w:val="0"/>
          <w:kern w:val="0"/>
          <w:sz w:val="28"/>
          <w:szCs w:val="28"/>
        </w:rPr>
        <w:t>，</w:t>
      </w:r>
      <w:r>
        <w:rPr>
          <w:rFonts w:hint="eastAsia"/>
          <w:snapToGrid w:val="0"/>
          <w:kern w:val="0"/>
          <w:sz w:val="28"/>
          <w:szCs w:val="28"/>
        </w:rPr>
        <w:t>减少0</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w:t>
      </w:r>
      <w:r>
        <w:rPr>
          <w:rFonts w:hint="eastAsia"/>
          <w:snapToGrid w:val="0"/>
          <w:kern w:val="0"/>
          <w:sz w:val="28"/>
          <w:szCs w:val="28"/>
        </w:rPr>
        <w:t>。主要原因：无公务用车</w:t>
      </w:r>
      <w:r>
        <w:rPr>
          <w:snapToGrid w:val="0"/>
          <w:kern w:val="0"/>
          <w:sz w:val="28"/>
          <w:szCs w:val="28"/>
        </w:rPr>
        <w:t>购置</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公务用车运行维护费本年支出40.27万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9</w:t>
      </w:r>
      <w:r>
        <w:rPr>
          <w:snapToGrid w:val="0"/>
          <w:kern w:val="0"/>
          <w:sz w:val="28"/>
          <w:szCs w:val="28"/>
        </w:rPr>
        <w:t>.73</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1</w:t>
      </w:r>
      <w:r>
        <w:rPr>
          <w:snapToGrid w:val="0"/>
          <w:kern w:val="0"/>
          <w:sz w:val="28"/>
          <w:szCs w:val="28"/>
        </w:rPr>
        <w:t>9.46%；</w:t>
      </w:r>
      <w:r>
        <w:rPr>
          <w:rFonts w:hint="eastAsia"/>
          <w:snapToGrid w:val="0"/>
          <w:kern w:val="0"/>
          <w:sz w:val="28"/>
          <w:szCs w:val="28"/>
        </w:rPr>
        <w:t>较2015年减少7.73万元，减少1</w:t>
      </w:r>
      <w:r>
        <w:rPr>
          <w:snapToGrid w:val="0"/>
          <w:kern w:val="0"/>
          <w:sz w:val="28"/>
          <w:szCs w:val="28"/>
        </w:rPr>
        <w:t>6.11%。</w:t>
      </w:r>
      <w:r>
        <w:rPr>
          <w:rFonts w:hint="eastAsia"/>
          <w:snapToGrid w:val="0"/>
          <w:kern w:val="0"/>
          <w:sz w:val="28"/>
          <w:szCs w:val="28"/>
        </w:rPr>
        <w:t>主要原因各职级股室压减公务用车费用所致。</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w:t>
      </w:r>
      <w:r>
        <w:rPr>
          <w:snapToGrid w:val="0"/>
          <w:kern w:val="0"/>
          <w:sz w:val="28"/>
          <w:szCs w:val="28"/>
        </w:rPr>
        <w:t>11.16</w:t>
      </w:r>
      <w:r>
        <w:rPr>
          <w:rFonts w:hint="eastAsia"/>
          <w:snapToGrid w:val="0"/>
          <w:kern w:val="0"/>
          <w:sz w:val="28"/>
          <w:szCs w:val="28"/>
        </w:rPr>
        <w:t>万元，较</w:t>
      </w:r>
      <w:r>
        <w:rPr>
          <w:snapToGrid w:val="0"/>
          <w:kern w:val="0"/>
          <w:sz w:val="28"/>
          <w:szCs w:val="28"/>
        </w:rPr>
        <w:t>预算</w:t>
      </w:r>
      <w:r>
        <w:rPr>
          <w:rFonts w:hint="eastAsia"/>
          <w:snapToGrid w:val="0"/>
          <w:kern w:val="0"/>
          <w:sz w:val="28"/>
          <w:szCs w:val="28"/>
        </w:rPr>
        <w:t>压减</w:t>
      </w:r>
      <w:r>
        <w:rPr>
          <w:snapToGrid w:val="0"/>
          <w:kern w:val="0"/>
          <w:sz w:val="28"/>
          <w:szCs w:val="28"/>
        </w:rPr>
        <w:t>2.84</w:t>
      </w:r>
      <w:r>
        <w:rPr>
          <w:rFonts w:hint="eastAsia"/>
          <w:snapToGrid w:val="0"/>
          <w:kern w:val="0"/>
          <w:sz w:val="28"/>
          <w:szCs w:val="28"/>
        </w:rPr>
        <w:t>万元，</w:t>
      </w:r>
      <w:r>
        <w:rPr>
          <w:snapToGrid w:val="0"/>
          <w:kern w:val="0"/>
          <w:sz w:val="28"/>
          <w:szCs w:val="28"/>
        </w:rPr>
        <w:t>减少20.29%；</w:t>
      </w:r>
      <w:r>
        <w:rPr>
          <w:rFonts w:hint="eastAsia"/>
          <w:snapToGrid w:val="0"/>
          <w:kern w:val="0"/>
          <w:sz w:val="28"/>
          <w:szCs w:val="28"/>
        </w:rPr>
        <w:t>较2015年减少</w:t>
      </w:r>
      <w:r>
        <w:rPr>
          <w:snapToGrid w:val="0"/>
          <w:kern w:val="0"/>
          <w:sz w:val="28"/>
          <w:szCs w:val="28"/>
        </w:rPr>
        <w:t>0.01</w:t>
      </w:r>
      <w:r>
        <w:rPr>
          <w:rFonts w:hint="eastAsia"/>
          <w:snapToGrid w:val="0"/>
          <w:kern w:val="0"/>
          <w:sz w:val="28"/>
          <w:szCs w:val="28"/>
        </w:rPr>
        <w:t>万元，减少0</w:t>
      </w:r>
      <w:r>
        <w:rPr>
          <w:snapToGrid w:val="0"/>
          <w:kern w:val="0"/>
          <w:sz w:val="28"/>
          <w:szCs w:val="28"/>
        </w:rPr>
        <w:t>.1%</w:t>
      </w:r>
      <w:r>
        <w:rPr>
          <w:rFonts w:hint="eastAsia"/>
          <w:snapToGrid w:val="0"/>
          <w:kern w:val="0"/>
          <w:sz w:val="28"/>
          <w:szCs w:val="28"/>
        </w:rPr>
        <w:t>。主要原因提倡厉行节约 、反对浪费，接待上级来人略有减少。</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国内公务接待批次128个，国内公务接待人次653人；国外公务接待批次0个，国外公务接待人次0人。</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办案专项补助经费项目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28.6    万元</w:t>
      </w:r>
      <w:r>
        <w:rPr>
          <w:snapToGrid w:val="0"/>
          <w:kern w:val="0"/>
          <w:sz w:val="28"/>
          <w:szCs w:val="28"/>
        </w:rPr>
        <w:t>，</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28.6万元，</w:t>
      </w:r>
      <w:r>
        <w:rPr>
          <w:snapToGrid w:val="0"/>
          <w:kern w:val="0"/>
          <w:sz w:val="28"/>
          <w:szCs w:val="28"/>
        </w:rPr>
        <w:t>较好的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2016年度公用经费总支出 201.46万元，其中办公费44.42 万元、印刷费 6.14万元、水费 0.66万元、电费0万元、邮电费4.44万元、取暖费0万元、  差旅费  10.2  万元、维修（护）费1.48万元、会议费 4.5万元、培训费0.98 万元、公务接待费10.66 万元、工会经费8.94万元、福利费 8.07万元、公务用车运行维护费 40.27万元、其他交通费用0万元等。</w:t>
      </w:r>
    </w:p>
    <w:p>
      <w:pPr>
        <w:pStyle w:val="6"/>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w:t>
      </w:r>
      <w:r>
        <w:rPr>
          <w:snapToGrid w:val="0"/>
          <w:kern w:val="0"/>
          <w:sz w:val="28"/>
          <w:szCs w:val="28"/>
        </w:rPr>
        <w:t>201.46</w:t>
      </w:r>
      <w:r>
        <w:rPr>
          <w:rFonts w:hint="eastAsia"/>
          <w:snapToGrid w:val="0"/>
          <w:kern w:val="0"/>
          <w:sz w:val="28"/>
          <w:szCs w:val="28"/>
        </w:rPr>
        <w:t>万元，比201</w:t>
      </w:r>
      <w:r>
        <w:rPr>
          <w:snapToGrid w:val="0"/>
          <w:kern w:val="0"/>
          <w:sz w:val="28"/>
          <w:szCs w:val="28"/>
        </w:rPr>
        <w:t>5</w:t>
      </w:r>
      <w:r>
        <w:rPr>
          <w:rFonts w:hint="eastAsia"/>
          <w:snapToGrid w:val="0"/>
          <w:kern w:val="0"/>
          <w:sz w:val="28"/>
          <w:szCs w:val="28"/>
        </w:rPr>
        <w:t>年减少36</w:t>
      </w:r>
      <w:r>
        <w:rPr>
          <w:snapToGrid w:val="0"/>
          <w:kern w:val="0"/>
          <w:sz w:val="28"/>
          <w:szCs w:val="28"/>
        </w:rPr>
        <w:t xml:space="preserve"> </w:t>
      </w:r>
      <w:r>
        <w:rPr>
          <w:rFonts w:hint="eastAsia"/>
          <w:snapToGrid w:val="0"/>
          <w:kern w:val="0"/>
          <w:sz w:val="28"/>
          <w:szCs w:val="28"/>
        </w:rPr>
        <w:t>万元，下降15</w:t>
      </w:r>
      <w:r>
        <w:rPr>
          <w:snapToGrid w:val="0"/>
          <w:kern w:val="0"/>
          <w:sz w:val="28"/>
          <w:szCs w:val="28"/>
        </w:rPr>
        <w:t xml:space="preserve"> </w:t>
      </w:r>
      <w:r>
        <w:rPr>
          <w:rFonts w:hint="eastAsia"/>
          <w:snapToGrid w:val="0"/>
          <w:kern w:val="0"/>
          <w:sz w:val="28"/>
          <w:szCs w:val="28"/>
        </w:rPr>
        <w:t>%。主要原因是压缩各项公用开支 。</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2016年政府采购预算总额为0万元，主要包括政府采购货物0    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年本部门政府采购支出总额0万元，其中：政府采购货物支出0万元、政府采购工程支出0万元、政府采购服务支出0万元。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 xml:space="preserve">我单位2016年末固定资产总额为320万元，主要包括房屋 0平方米价值0万元，车辆12辆价值155万元，单价在50万元以上的设备0万元，及其他固定资产165万元。 </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2016年资产变动情况：固定资产减少0.245  万元，包括房屋减少0 万元,车辆减少0万元，单价在50万元以上的设备0减少0万元，其他固定资产减少0.245万元。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情况：无</w:t>
      </w:r>
    </w:p>
    <w:p>
      <w:pPr>
        <w:jc w:val="center"/>
        <w:rPr>
          <w:b/>
          <w:sz w:val="44"/>
          <w:szCs w:val="44"/>
        </w:rPr>
      </w:pPr>
      <w:r>
        <w:rPr>
          <w:rFonts w:hint="eastAsia"/>
          <w:b/>
          <w:sz w:val="44"/>
          <w:szCs w:val="44"/>
        </w:rPr>
        <w:t>第三部分      名词</w:t>
      </w:r>
      <w:r>
        <w:rPr>
          <w:b/>
          <w:sz w:val="44"/>
          <w:szCs w:val="44"/>
        </w:rPr>
        <w:t>解释</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（一）财政拨款收入：本年度从本级财政部门取得的财政拨款，包括一般公共预算财政拨款和政府性基金预算财政拨款。</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（二）其他收入：指除上述“财政拨款收入”、“事业收入”、“经营收入”等以外的收入。</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（三）年初结转和结余：指以前年度尚未完成、结转到本年仍按原规定用途继续使用的资金，或项目已完成等产生的结余资金。</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（四）年末结转和结余：指单位按有关规定结转到下年或以后年度继续使用的资金，或项目已完成等产生的结余资金。</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（五）基本支出：填列单位为保障机构正常运转、完成日常工作任务而发生的各项支出。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（六）项目支出：填列单位为完成特定的行政工作任务或事业发展目标，在基本支出之外发生的各项支出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（七）其他资本性支出：填列由各级非发展与改革部门集中安排的用于购置固定资产、战备性和应急性储备、土地和无形资产，以及购建基础设施、大型修缮和财政支持企业更新改造所发生的支出。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  （九）其他交通费用：填列单位除公务用车运行维护费以外的其他交通费用。如飞机、船舶等的燃料费、维修费、过桥过路费、保险费、出租车费用、公务交通补贴等。</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（十）公务用车购置：填列单位公务用车车辆购置支出（含车辆购置税）。</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一）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6"/>
        <w:adjustRightInd w:val="0"/>
        <w:snapToGrid w:val="0"/>
        <w:spacing w:line="600" w:lineRule="exact"/>
        <w:ind w:left="105" w:leftChars="50" w:firstLine="560"/>
        <w:rPr>
          <w:snapToGrid w:val="0"/>
          <w:kern w:val="0"/>
          <w:sz w:val="28"/>
          <w:szCs w:val="28"/>
        </w:rPr>
      </w:pPr>
    </w:p>
    <w:p>
      <w:pPr>
        <w:pStyle w:val="6"/>
        <w:adjustRightInd w:val="0"/>
        <w:snapToGrid w:val="0"/>
        <w:spacing w:line="600" w:lineRule="exact"/>
        <w:ind w:left="105" w:leftChars="50" w:firstLine="560"/>
        <w:rPr>
          <w:snapToGrid w:val="0"/>
          <w:kern w:val="0"/>
          <w:sz w:val="28"/>
          <w:szCs w:val="28"/>
        </w:rPr>
      </w:pPr>
    </w:p>
    <w:p>
      <w:pPr>
        <w:pStyle w:val="6"/>
        <w:adjustRightInd w:val="0"/>
        <w:snapToGrid w:val="0"/>
        <w:spacing w:line="600" w:lineRule="exact"/>
        <w:ind w:left="105" w:leftChars="50" w:firstLine="560"/>
        <w:rPr>
          <w:snapToGrid w:val="0"/>
          <w:kern w:val="0"/>
          <w:sz w:val="28"/>
          <w:szCs w:val="28"/>
        </w:rPr>
      </w:pPr>
    </w:p>
    <w:p>
      <w:pPr>
        <w:pStyle w:val="6"/>
        <w:adjustRightInd w:val="0"/>
        <w:snapToGrid w:val="0"/>
        <w:spacing w:line="600" w:lineRule="exact"/>
        <w:ind w:left="105" w:leftChars="50" w:firstLine="560"/>
        <w:rPr>
          <w:snapToGrid w:val="0"/>
          <w:kern w:val="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CA6C7"/>
    <w:multiLevelType w:val="singleLevel"/>
    <w:tmpl w:val="586CA6C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E62CF"/>
    <w:rsid w:val="001041EE"/>
    <w:rsid w:val="00131F98"/>
    <w:rsid w:val="00135EF6"/>
    <w:rsid w:val="0015089B"/>
    <w:rsid w:val="00152908"/>
    <w:rsid w:val="001A12FE"/>
    <w:rsid w:val="001C50D1"/>
    <w:rsid w:val="001C673D"/>
    <w:rsid w:val="001E68F2"/>
    <w:rsid w:val="001F3811"/>
    <w:rsid w:val="001F53CF"/>
    <w:rsid w:val="0025468D"/>
    <w:rsid w:val="002705DF"/>
    <w:rsid w:val="00296D69"/>
    <w:rsid w:val="002A32CE"/>
    <w:rsid w:val="003277A3"/>
    <w:rsid w:val="00372DF7"/>
    <w:rsid w:val="003F0B48"/>
    <w:rsid w:val="003F3B34"/>
    <w:rsid w:val="004643DB"/>
    <w:rsid w:val="00471A6A"/>
    <w:rsid w:val="004E0211"/>
    <w:rsid w:val="00567CE7"/>
    <w:rsid w:val="0058070E"/>
    <w:rsid w:val="0058572E"/>
    <w:rsid w:val="005B3169"/>
    <w:rsid w:val="005F19A3"/>
    <w:rsid w:val="0060361A"/>
    <w:rsid w:val="006B564B"/>
    <w:rsid w:val="006E71D0"/>
    <w:rsid w:val="00713840"/>
    <w:rsid w:val="00772B1E"/>
    <w:rsid w:val="00791B38"/>
    <w:rsid w:val="00796D42"/>
    <w:rsid w:val="008026BF"/>
    <w:rsid w:val="0082704B"/>
    <w:rsid w:val="008369B3"/>
    <w:rsid w:val="008423F5"/>
    <w:rsid w:val="00842CBB"/>
    <w:rsid w:val="00870E09"/>
    <w:rsid w:val="00871F7B"/>
    <w:rsid w:val="008D073E"/>
    <w:rsid w:val="00945D0B"/>
    <w:rsid w:val="009831FC"/>
    <w:rsid w:val="00985214"/>
    <w:rsid w:val="009B74FB"/>
    <w:rsid w:val="00A372C2"/>
    <w:rsid w:val="00A5456F"/>
    <w:rsid w:val="00AA21A2"/>
    <w:rsid w:val="00AB5996"/>
    <w:rsid w:val="00B005DA"/>
    <w:rsid w:val="00B15360"/>
    <w:rsid w:val="00B17297"/>
    <w:rsid w:val="00B40ED6"/>
    <w:rsid w:val="00B86AEF"/>
    <w:rsid w:val="00C222CB"/>
    <w:rsid w:val="00C82568"/>
    <w:rsid w:val="00C9166F"/>
    <w:rsid w:val="00CA2480"/>
    <w:rsid w:val="00CB45AA"/>
    <w:rsid w:val="00CC635B"/>
    <w:rsid w:val="00D00B57"/>
    <w:rsid w:val="00D378A3"/>
    <w:rsid w:val="00D6325B"/>
    <w:rsid w:val="00D9008B"/>
    <w:rsid w:val="00DB7E7C"/>
    <w:rsid w:val="00DC5EA2"/>
    <w:rsid w:val="00E04DAC"/>
    <w:rsid w:val="00E1758E"/>
    <w:rsid w:val="00E30830"/>
    <w:rsid w:val="00E71A30"/>
    <w:rsid w:val="00EF2F47"/>
    <w:rsid w:val="00F00F83"/>
    <w:rsid w:val="00F35548"/>
    <w:rsid w:val="00F7078F"/>
    <w:rsid w:val="00FB7FC2"/>
    <w:rsid w:val="063B311A"/>
    <w:rsid w:val="064A3FAD"/>
    <w:rsid w:val="0B6A15E4"/>
    <w:rsid w:val="0D6054DA"/>
    <w:rsid w:val="0DD0448A"/>
    <w:rsid w:val="1AF90D88"/>
    <w:rsid w:val="1F545778"/>
    <w:rsid w:val="223F3F76"/>
    <w:rsid w:val="62A02981"/>
    <w:rsid w:val="67317415"/>
    <w:rsid w:val="6DB55011"/>
    <w:rsid w:val="6E5238A6"/>
    <w:rsid w:val="70FA7241"/>
    <w:rsid w:val="739A1501"/>
    <w:rsid w:val="7A46057B"/>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列出段落2"/>
    <w:basedOn w:val="1"/>
    <w:qFormat/>
    <w:uiPriority w:val="34"/>
    <w:pPr>
      <w:ind w:firstLine="420" w:firstLineChars="200"/>
    </w:pPr>
  </w:style>
  <w:style w:type="character" w:customStyle="1" w:styleId="8">
    <w:name w:val="页眉 Char"/>
    <w:basedOn w:val="5"/>
    <w:link w:val="3"/>
    <w:qFormat/>
    <w:uiPriority w:val="99"/>
    <w:rPr>
      <w:rFonts w:asciiTheme="minorHAnsi" w:hAnsiTheme="minorHAnsi" w:eastAsiaTheme="minorEastAsia" w:cstheme="minorBidi"/>
      <w:kern w:val="2"/>
      <w:sz w:val="18"/>
      <w:szCs w:val="18"/>
    </w:rPr>
  </w:style>
  <w:style w:type="character" w:customStyle="1" w:styleId="9">
    <w:name w:val="页脚 Char"/>
    <w:basedOn w:val="5"/>
    <w:link w:val="2"/>
    <w:qFormat/>
    <w:uiPriority w:val="99"/>
    <w:rPr>
      <w:rFonts w:asciiTheme="minorHAnsi" w:hAnsiTheme="minorHAnsi" w:eastAsiaTheme="minorEastAsia" w:cstheme="minorBidi"/>
      <w:kern w:val="2"/>
      <w:sz w:val="18"/>
      <w:szCs w:val="18"/>
    </w:rPr>
  </w:style>
  <w:style w:type="paragraph" w:customStyle="1" w:styleId="10">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600</Words>
  <Characters>3422</Characters>
  <Lines>28</Lines>
  <Paragraphs>8</Paragraphs>
  <TotalTime>8</TotalTime>
  <ScaleCrop>false</ScaleCrop>
  <LinksUpToDate>false</LinksUpToDate>
  <CharactersWithSpaces>4014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Administrator</cp:lastModifiedBy>
  <cp:lastPrinted>2017-08-29T03:35:00Z</cp:lastPrinted>
  <dcterms:modified xsi:type="dcterms:W3CDTF">2025-05-12T04:16:04Z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