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81569">
      <w:pPr>
        <w:widowControl w:val="0"/>
        <w:adjustRightInd/>
        <w:snapToGrid/>
        <w:spacing w:after="0" w:line="540" w:lineRule="exact"/>
        <w:rPr>
          <w:rFonts w:ascii="Times New Roman" w:hAnsi="Times New Roman" w:eastAsia="宋体" w:cs="Times New Roman"/>
          <w:bCs/>
          <w:kern w:val="2"/>
          <w:sz w:val="32"/>
          <w:szCs w:val="32"/>
        </w:rPr>
      </w:pPr>
      <w:bookmarkStart w:id="78" w:name="_GoBack"/>
      <w:bookmarkEnd w:id="78"/>
      <w:r>
        <w:rPr>
          <w:rFonts w:hint="eastAsia" w:ascii="Times New Roman" w:hAnsi="Times New Roman" w:eastAsia="宋体" w:cs="Times New Roman"/>
          <w:bCs/>
          <w:kern w:val="2"/>
          <w:sz w:val="32"/>
          <w:szCs w:val="32"/>
        </w:rPr>
        <w:t>附件3：</w:t>
      </w:r>
    </w:p>
    <w:p w14:paraId="23F1789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6782117">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保定市徐水区遂城镇人民政府</w:t>
      </w:r>
    </w:p>
    <w:p w14:paraId="2C912D6A">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2019年部门整体支出绩效评价自评报告</w:t>
      </w:r>
    </w:p>
    <w:p w14:paraId="0A8A4A0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7DF6EE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8A1E4F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0FB359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4500E4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F211BF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10F766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CE35D6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851C80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5AB657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3D9986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ADAFDA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1B1F3A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7CB421F">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2020年8月</w:t>
      </w:r>
    </w:p>
    <w:p w14:paraId="21849DB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4AC623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DE5486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5FBC8191">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3281A209">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9FB41A3">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BE20C07">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一、保定市徐水区遂城镇基本情况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A8617B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AE7A13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49D4DF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76B4C8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78292B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D0DB162">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B7DC6F4">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15F152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2EF33C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6493FD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8E216C5">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13</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F27380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0C21BD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555AF9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1DFECC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814BE0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41E137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FE3E257">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17</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AD2A47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DC1061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454513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74D840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E7830F0">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9BE5BCE">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776A264">
          <w:pPr>
            <w:spacing w:line="312" w:lineRule="auto"/>
            <w:ind w:firstLine="440" w:firstLineChars="200"/>
            <w:jc w:val="both"/>
            <w:sectPr>
              <w:headerReference r:id="rId6" w:type="first"/>
              <w:footerReference r:id="rId9" w:type="first"/>
              <w:headerReference r:id="rId4" w:type="default"/>
              <w:footerReference r:id="rId7" w:type="default"/>
              <w:headerReference r:id="rId5" w:type="even"/>
              <w:footerReference r:id="rId8" w:type="even"/>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2E963455">
      <w:pPr>
        <w:pStyle w:val="3"/>
        <w:spacing w:line="540" w:lineRule="exact"/>
        <w:jc w:val="center"/>
        <w:rPr>
          <w:rFonts w:ascii="黑体" w:hAnsi="黑体"/>
          <w:b w:val="0"/>
        </w:rPr>
      </w:pPr>
      <w:bookmarkStart w:id="0" w:name="_Toc25184"/>
      <w:bookmarkStart w:id="1" w:name="_Toc465149500"/>
      <w:bookmarkStart w:id="2" w:name="_Toc492652766"/>
      <w:r>
        <w:rPr>
          <w:rFonts w:hint="eastAsia" w:ascii="黑体" w:hAnsi="黑体"/>
          <w:b w:val="0"/>
        </w:rPr>
        <w:t>第一部分   摘  要</w:t>
      </w:r>
      <w:bookmarkEnd w:id="0"/>
    </w:p>
    <w:p w14:paraId="2066840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2019年部门整体支出情况开展了绩效自评价工作。</w:t>
      </w:r>
    </w:p>
    <w:p w14:paraId="764754B8">
      <w:pPr>
        <w:widowControl w:val="0"/>
        <w:tabs>
          <w:tab w:val="center" w:pos="4381"/>
        </w:tabs>
        <w:spacing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保定市徐水区遂城镇人民政府为正科级行政单位，经费保障形式为财政拨款，下设8个股室，分别为：党政办公室、经济发展办公室（财政所）、社会事务办公室、计划生育办公室、社会治安综合治理委员会办公室、城镇建设办公室、计划生育服务中心、综合文化服务中心。主要职责有：1、执行本级代表大会的决议和上级国家行政机关的决定和命令，发布决定和命令。2、制定并落实本行政区域内的经济发展计划，加强公共设施的建设和管理，发展各项服务事业。3、加强水利建设、土地使用管理和环境综合整治，合理利用自然资源，保护、改善生态和生活环境。4、依法管理镇财政，执行本级预算。5、管理和发展文化、教育、科学、广播、体育、卫生等事业。6、保护社会主义的全民所有财产和劳动群众的集体所有财产，保护公民个人所有的合法财产，保护公民的人身权利、</w:t>
      </w:r>
      <w:r>
        <w:rPr>
          <w:rFonts w:hint="eastAsia" w:ascii="仿宋_GB2312" w:eastAsia="仿宋_GB2312" w:cs="DengXian-Regular"/>
          <w:sz w:val="32"/>
          <w:szCs w:val="32"/>
          <w:lang w:eastAsia="zh-CN"/>
        </w:rPr>
        <w:t>民主权利</w:t>
      </w:r>
      <w:r>
        <w:rPr>
          <w:rFonts w:hint="eastAsia" w:ascii="仿宋_GB2312" w:eastAsia="仿宋_GB2312" w:cs="DengXian-Regular"/>
          <w:sz w:val="32"/>
          <w:szCs w:val="32"/>
        </w:rPr>
        <w:t>和其他权利，保护各种经济的合法权益。7、组织实施社会主义与民主法制教育，协调公安、司法行政工作，调解民事纠纷，维护社会秩序。8、推行计划生育政策，控制人口增长，保护妇女、儿童和老人的合法权益。9、管理民政事务工作，发展社会福利事业，做好社会保障工作，办理兵役事项。10、办理上级人民政府交办的其他事项。</w:t>
      </w:r>
    </w:p>
    <w:p w14:paraId="185B11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53EBDD2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7F96584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保定市徐水区遂城镇人民政府2019年部门整体支出绩效评价工作。</w:t>
      </w:r>
    </w:p>
    <w:p w14:paraId="7EDAD69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遂城镇2019年部门整体支出绩效评价指标体系共设置4个一级指标、7个二级指标、25个三级指标，从投入、过程、产出、效果四个方面对遂城镇部门整体支出情况评分定级。指标体系设定满分为100分，绩效评价分值≥90为“优”；80≤分值＜90为“良”；60≤分值＜80为“合格”；60分以下为“差”。</w:t>
      </w:r>
    </w:p>
    <w:p w14:paraId="4038441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遂城镇2019年部门整体支出综合评价得分为90分，评价等级为“优”。</w:t>
      </w:r>
    </w:p>
    <w:p w14:paraId="147ABAE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遂城镇2019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46ABA0C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0788B34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p>
    <w:p w14:paraId="62EE2C7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p>
    <w:p w14:paraId="4E0564C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w:t>
      </w:r>
    </w:p>
    <w:p w14:paraId="68C7E3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4.项目资金使用率</w:t>
      </w:r>
    </w:p>
    <w:p w14:paraId="49A4AE3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72DD51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3A82238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6427348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07AB2F5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5D76F4E4">
      <w:pPr>
        <w:spacing w:after="0" w:line="360" w:lineRule="auto"/>
        <w:ind w:firstLine="640" w:firstLineChars="200"/>
        <w:jc w:val="both"/>
        <w:textAlignment w:val="baseline"/>
        <w:rPr>
          <w:rFonts w:ascii="仿宋_GB2312" w:eastAsia="仿宋_GB2312" w:cs="DengXian-Regular"/>
          <w:sz w:val="32"/>
          <w:szCs w:val="32"/>
        </w:rPr>
      </w:pPr>
      <w:bookmarkStart w:id="3" w:name="_Toc4346"/>
      <w:r>
        <w:rPr>
          <w:rFonts w:hint="eastAsia" w:ascii="仿宋_GB2312" w:eastAsia="仿宋_GB2312" w:cs="DengXian-Regular"/>
          <w:sz w:val="32"/>
          <w:szCs w:val="32"/>
        </w:rPr>
        <w:t>3.提高项目资金使用率</w:t>
      </w:r>
    </w:p>
    <w:p w14:paraId="4C2594D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加强日常对项目资金的管理，督促项目进度和资金拨付进度，应拨付的资金及时拨付，提高项目资金使用效率。</w:t>
      </w:r>
    </w:p>
    <w:p w14:paraId="10EB78CE">
      <w:pPr>
        <w:pStyle w:val="3"/>
        <w:spacing w:line="540" w:lineRule="exact"/>
        <w:jc w:val="center"/>
        <w:rPr>
          <w:rFonts w:ascii="黑体" w:hAnsi="黑体"/>
          <w:b w:val="0"/>
        </w:rPr>
      </w:pPr>
      <w:r>
        <w:rPr>
          <w:rFonts w:hint="eastAsia" w:ascii="黑体" w:hAnsi="黑体"/>
          <w:b w:val="0"/>
        </w:rPr>
        <w:t>第二部分   绩效评价报告</w:t>
      </w:r>
      <w:bookmarkEnd w:id="3"/>
    </w:p>
    <w:p w14:paraId="6A9C74F5">
      <w:pPr>
        <w:pStyle w:val="3"/>
        <w:spacing w:before="0" w:after="0" w:line="360" w:lineRule="auto"/>
        <w:ind w:firstLine="643" w:firstLineChars="200"/>
        <w:rPr>
          <w:rFonts w:ascii="楷体" w:hAnsi="楷体" w:eastAsia="楷体" w:cs="楷体"/>
        </w:rPr>
      </w:pPr>
      <w:bookmarkStart w:id="4" w:name="_Toc427"/>
      <w:bookmarkStart w:id="5" w:name="_Toc492652763"/>
      <w:r>
        <w:rPr>
          <w:rFonts w:hint="eastAsia" w:ascii="楷体" w:hAnsi="楷体" w:eastAsia="楷体" w:cs="楷体"/>
        </w:rPr>
        <w:t>一、保定市徐水区遂城镇人民政府基本情况</w:t>
      </w:r>
      <w:bookmarkEnd w:id="4"/>
      <w:bookmarkEnd w:id="5"/>
      <w:bookmarkStart w:id="6" w:name="_Toc492652764"/>
    </w:p>
    <w:p w14:paraId="6E04BB0A">
      <w:pPr>
        <w:pStyle w:val="4"/>
        <w:spacing w:before="0" w:after="0"/>
        <w:ind w:firstLine="643" w:firstLineChars="200"/>
        <w:jc w:val="both"/>
        <w:rPr>
          <w:rFonts w:ascii="仿宋_GB2312" w:hAnsi="Tahoma" w:cs="DengXian-Regular"/>
          <w:sz w:val="32"/>
        </w:rPr>
      </w:pPr>
      <w:bookmarkStart w:id="7" w:name="_Toc11473"/>
      <w:r>
        <w:rPr>
          <w:rFonts w:hint="eastAsia" w:ascii="仿宋_GB2312" w:hAnsi="Tahoma" w:cs="DengXian-Regular"/>
          <w:sz w:val="32"/>
        </w:rPr>
        <w:t>（一）部门职责和工作活动</w:t>
      </w:r>
      <w:bookmarkEnd w:id="6"/>
      <w:bookmarkEnd w:id="7"/>
    </w:p>
    <w:p w14:paraId="763D052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保定市徐水区遂城镇单位职能配置内设机构和人员编制规定》的通知，保定市徐水区遂城镇人民政府为正科级行政单位，下设8个股室，根据绩效预算管理改革的相关要求，按照“部门职责—工作活动绩效目标”的层级设立了绩效预算架构，职责活动包括协调维护社会稳定和国家安全、综合事务管理、促进土地流转、农村面貌改造提升等共42部分。</w:t>
      </w:r>
      <w:bookmarkStart w:id="8" w:name="_Toc465149499"/>
      <w:bookmarkStart w:id="9" w:name="_Toc492652765"/>
    </w:p>
    <w:p w14:paraId="7CC931BA">
      <w:pPr>
        <w:pStyle w:val="4"/>
        <w:spacing w:before="0" w:after="0"/>
        <w:ind w:firstLine="643" w:firstLineChars="200"/>
        <w:jc w:val="both"/>
        <w:rPr>
          <w:rFonts w:ascii="仿宋_GB2312" w:hAnsi="Tahoma" w:cs="DengXian-Regular"/>
          <w:sz w:val="32"/>
        </w:rPr>
      </w:pPr>
      <w:bookmarkStart w:id="10" w:name="_Toc7075"/>
      <w:r>
        <w:rPr>
          <w:rFonts w:hint="eastAsia" w:ascii="仿宋_GB2312" w:hAnsi="Tahoma" w:cs="DengXian-Regular"/>
          <w:sz w:val="32"/>
        </w:rPr>
        <w:t>（二）</w:t>
      </w:r>
      <w:bookmarkEnd w:id="8"/>
      <w:r>
        <w:rPr>
          <w:rFonts w:hint="eastAsia" w:ascii="仿宋_GB2312" w:hAnsi="Tahoma" w:cs="DengXian-Regular"/>
          <w:sz w:val="32"/>
        </w:rPr>
        <w:t>部门年度发展规划总体目标和职责分类绩效目标</w:t>
      </w:r>
      <w:bookmarkEnd w:id="9"/>
      <w:bookmarkEnd w:id="10"/>
    </w:p>
    <w:p w14:paraId="186BAB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按照2019年绩效预算编制要求，我单位设置的年度发展规划总体目标为：</w:t>
      </w:r>
      <w:r>
        <w:rPr>
          <w:rFonts w:ascii="仿宋_GB2312" w:eastAsia="仿宋_GB2312" w:cs="DengXian-Regular"/>
          <w:sz w:val="32"/>
          <w:szCs w:val="32"/>
        </w:rPr>
        <w:t>坚持以习近平新时代中国特色社会主义思想为指导，深入贯彻党的十九大和十九届二中、三中、四中全会精神，紧紧围绕全区中心工作和区委重要部署，紧紧围绕全区中心工作和区委重要部署，民主表决，科学决策，坚持以人为本，把维护群众利益、落实精准扶贫政策，改善民生作为乡镇工作的着力点。制定、落实镇经济发展规划；组织实施社会主义法制与民主教育；维护社会秩序稳定；加强公共设施建设和管理，保护、改善生态和群众生活环境，保护群众人身权利和财产安全，保障群众合法权益；管理民政事务工作，发展好社会福利工作，做好社会保障工作，为建设社会主义新农村，努力开创我镇工作新局面。</w:t>
      </w:r>
    </w:p>
    <w:p w14:paraId="620167B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职责分类绩效目标为：1.</w:t>
      </w:r>
      <w:r>
        <w:rPr>
          <w:rFonts w:ascii="仿宋_GB2312" w:eastAsia="仿宋_GB2312" w:cs="DengXian-Regular"/>
          <w:sz w:val="32"/>
          <w:szCs w:val="32"/>
        </w:rPr>
        <w:t>有效化解不稳定隐患，维护社会稳定。</w:t>
      </w:r>
      <w:r>
        <w:rPr>
          <w:rFonts w:hint="eastAsia" w:ascii="仿宋_GB2312" w:eastAsia="仿宋_GB2312" w:cs="DengXian-Regular"/>
          <w:sz w:val="32"/>
          <w:szCs w:val="32"/>
        </w:rPr>
        <w:t>2.</w:t>
      </w:r>
      <w:r>
        <w:rPr>
          <w:rFonts w:ascii="仿宋_GB2312" w:eastAsia="仿宋_GB2312" w:cs="DengXian-Regular"/>
          <w:sz w:val="32"/>
          <w:szCs w:val="32"/>
        </w:rPr>
        <w:t>促进农村文化建设发展。</w:t>
      </w:r>
      <w:r>
        <w:rPr>
          <w:rFonts w:hint="eastAsia" w:ascii="仿宋_GB2312" w:eastAsia="仿宋_GB2312" w:cs="DengXian-Regular"/>
          <w:sz w:val="32"/>
          <w:szCs w:val="32"/>
        </w:rPr>
        <w:t>3.</w:t>
      </w:r>
      <w:r>
        <w:rPr>
          <w:rFonts w:ascii="仿宋_GB2312" w:eastAsia="仿宋_GB2312" w:cs="DengXian-Regular"/>
          <w:sz w:val="32"/>
          <w:szCs w:val="32"/>
        </w:rPr>
        <w:t>搞好服务保障，保障各项工作顺利开展。</w:t>
      </w:r>
      <w:r>
        <w:rPr>
          <w:rFonts w:hint="eastAsia" w:ascii="仿宋_GB2312" w:eastAsia="仿宋_GB2312" w:cs="DengXian-Regular"/>
          <w:sz w:val="32"/>
          <w:szCs w:val="32"/>
        </w:rPr>
        <w:t>4.</w:t>
      </w:r>
      <w:r>
        <w:rPr>
          <w:rFonts w:ascii="仿宋_GB2312" w:eastAsia="仿宋_GB2312" w:cs="DengXian-Regular"/>
          <w:sz w:val="32"/>
          <w:szCs w:val="32"/>
        </w:rPr>
        <w:t>加强安全生产综合监督管理。</w:t>
      </w:r>
      <w:r>
        <w:rPr>
          <w:rFonts w:hint="eastAsia" w:ascii="仿宋_GB2312" w:eastAsia="仿宋_GB2312" w:cs="DengXian-Regular"/>
          <w:sz w:val="32"/>
          <w:szCs w:val="32"/>
        </w:rPr>
        <w:t>5.</w:t>
      </w:r>
      <w:r>
        <w:rPr>
          <w:rFonts w:ascii="仿宋_GB2312" w:eastAsia="仿宋_GB2312" w:cs="DengXian-Regular"/>
          <w:sz w:val="32"/>
          <w:szCs w:val="32"/>
        </w:rPr>
        <w:t>地震群测群防补贴及时足额落实到位，保证工作顺利开展。</w:t>
      </w:r>
      <w:r>
        <w:rPr>
          <w:rFonts w:hint="eastAsia" w:ascii="仿宋_GB2312" w:eastAsia="仿宋_GB2312" w:cs="DengXian-Regular"/>
          <w:sz w:val="32"/>
          <w:szCs w:val="32"/>
        </w:rPr>
        <w:t>6.</w:t>
      </w:r>
      <w:r>
        <w:rPr>
          <w:rFonts w:ascii="仿宋_GB2312" w:eastAsia="仿宋_GB2312" w:cs="DengXian-Regular"/>
          <w:sz w:val="32"/>
          <w:szCs w:val="32"/>
        </w:rPr>
        <w:t>改善农村空气质量及人居环境。</w:t>
      </w:r>
      <w:bookmarkStart w:id="11" w:name="_Toc1678"/>
      <w:r>
        <w:rPr>
          <w:rFonts w:hint="eastAsia" w:ascii="仿宋_GB2312" w:eastAsia="仿宋_GB2312" w:cs="DengXian-Regular"/>
          <w:sz w:val="32"/>
          <w:szCs w:val="32"/>
        </w:rPr>
        <w:t>7.</w:t>
      </w:r>
      <w:r>
        <w:rPr>
          <w:rFonts w:ascii="仿宋_GB2312" w:eastAsia="仿宋_GB2312" w:cs="DengXian-Regular"/>
          <w:sz w:val="32"/>
          <w:szCs w:val="32"/>
        </w:rPr>
        <w:t>保证土地流转资金及时足额发放到位，维护社会稳定。</w:t>
      </w:r>
    </w:p>
    <w:p w14:paraId="704F568A">
      <w:pPr>
        <w:spacing w:after="0" w:line="360" w:lineRule="auto"/>
        <w:ind w:firstLine="643" w:firstLineChars="200"/>
        <w:jc w:val="both"/>
        <w:textAlignment w:val="baseline"/>
        <w:rPr>
          <w:rFonts w:ascii="仿宋_GB2312" w:eastAsia="仿宋_GB2312" w:cs="DengXian-Regular"/>
          <w:b/>
          <w:bCs/>
          <w:sz w:val="32"/>
          <w:szCs w:val="32"/>
          <w:u w:color="000000"/>
        </w:rPr>
      </w:pPr>
      <w:r>
        <w:rPr>
          <w:rFonts w:hint="eastAsia" w:ascii="仿宋_GB2312" w:eastAsia="仿宋_GB2312" w:cs="DengXian-Regular"/>
          <w:b/>
          <w:bCs/>
          <w:sz w:val="32"/>
          <w:szCs w:val="32"/>
          <w:u w:color="000000"/>
        </w:rPr>
        <w:t>（三）部门预算收入及决算收入</w:t>
      </w:r>
      <w:bookmarkEnd w:id="11"/>
    </w:p>
    <w:p w14:paraId="5992B5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我单位预算收入2124.69万元，一般公共预算拨款2111.49万元，其中：财政拨款2111.49万元；政府性基金预算拨款13.2万元。预算收入按功能分类包含：一般公共服务支出1412.41万元，科学技术支出0.6万元，文化体育传媒支出16.39万元，社会保障和就业支出200.84万元，医疗卫生与计划生育支出46.96万元，节能环保支出14万元，城乡社区支出13.2万元，农林水支出327.52万元，交通运输支出13.5万元，住房保障支出77.17万元，灾害防治及应急管理支出2.1万元。具体预算收入详见附件2。</w:t>
      </w:r>
    </w:p>
    <w:p w14:paraId="707227F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我单位决算收入3685.94万元，其中：财政拨款收入3685.66万元，其他收入0.28万元（全部为利息收入）。决算收入按功能分类包含：一般公共服务支出1287.54万元，占比34.93%；公共安全支出3.18万元，占比0.08%；科学技术支出0.6万元，占比0.02%；文化旅游体育与传媒支出19.24万元，占比0.52%；社会保障和就业支出333.64万元，占比9.05%；卫生健康支出42.2万元，占比1.14%；节能环保支出86.65万元，占比2.35%；城乡社区支出946.09万元，占比25.67%；农林水支出873.3万元，占比23.69%；交通运输支出13.01万元，占比0.35%；住房保障支出78.41万元，占比2.13%；灾害防治及应急管理支出2.1万元，占比0.06%。具体决算收入详见附件2。决算收入结构如图1。</w:t>
      </w:r>
    </w:p>
    <w:p w14:paraId="481CC48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 xml:space="preserve">    图一  2019年度遂城镇决算收入结构图</w:t>
      </w:r>
    </w:p>
    <w:p w14:paraId="6FD6C35A">
      <w:pPr>
        <w:spacing w:after="0" w:line="360" w:lineRule="auto"/>
        <w:ind w:firstLine="640" w:firstLineChars="200"/>
        <w:jc w:val="center"/>
        <w:textAlignment w:val="baseline"/>
        <w:rPr>
          <w:rFonts w:ascii="仿宋_GB2312" w:eastAsia="仿宋_GB2312" w:cs="DengXian-Regular"/>
          <w:sz w:val="32"/>
          <w:szCs w:val="32"/>
        </w:rPr>
      </w:pPr>
      <w:r>
        <w:rPr>
          <w:rFonts w:hint="eastAsia" w:ascii="仿宋_GB2312" w:eastAsia="仿宋_GB2312" w:cs="DengXian-Regular"/>
          <w:sz w:val="32"/>
          <w:szCs w:val="32"/>
        </w:rPr>
        <w:drawing>
          <wp:inline distT="0" distB="0" distL="0" distR="0">
            <wp:extent cx="5838825" cy="33147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929AC9">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遂城镇一般公共预算财政拨款决算收入比年初预算增加628.08万元，完成年初预算的129.75%。决算收入大于预算收入的主要原因为2019年度人员经费和项目支出增加；预算收入与决算收入对比情况见图2。</w:t>
      </w:r>
    </w:p>
    <w:p w14:paraId="0F50D497">
      <w:pPr>
        <w:spacing w:after="0" w:line="360" w:lineRule="auto"/>
        <w:jc w:val="both"/>
        <w:rPr>
          <w:rFonts w:ascii="仿宋_GB2312" w:eastAsia="仿宋_GB2312" w:cs="DengXian-Regular"/>
          <w:sz w:val="32"/>
          <w:szCs w:val="32"/>
        </w:rPr>
      </w:pPr>
      <w:r>
        <w:rPr>
          <w:rFonts w:hint="eastAsia" w:asciiTheme="minorEastAsia" w:hAnsiTheme="minorEastAsia" w:eastAsiaTheme="minorEastAsia" w:cstheme="minorEastAsia"/>
          <w:b/>
          <w:sz w:val="32"/>
          <w:szCs w:val="32"/>
          <w:u w:color="000000"/>
        </w:rPr>
        <w:t>图2  2019年度区遂城镇预算收入与决算收入对比图</w:t>
      </w:r>
    </w:p>
    <w:p w14:paraId="29348C1C">
      <w:pPr>
        <w:spacing w:after="0" w:line="360" w:lineRule="auto"/>
        <w:rPr>
          <w:rFonts w:asciiTheme="minorEastAsia" w:hAnsiTheme="minorEastAsia" w:eastAsiaTheme="minorEastAsia" w:cstheme="minorEastAsia"/>
          <w:b/>
          <w:sz w:val="32"/>
          <w:szCs w:val="32"/>
          <w:u w:color="000000"/>
        </w:rPr>
      </w:pPr>
    </w:p>
    <w:p w14:paraId="2B1D7649">
      <w:pPr>
        <w:spacing w:after="0" w:line="360" w:lineRule="auto"/>
        <w:rPr>
          <w:rFonts w:asciiTheme="minorEastAsia" w:hAnsiTheme="minorEastAsia" w:eastAsiaTheme="minorEastAsia" w:cstheme="minorEastAsia"/>
          <w:b/>
          <w:sz w:val="32"/>
          <w:szCs w:val="32"/>
          <w:u w:color="000000"/>
        </w:rPr>
      </w:pPr>
      <w:r>
        <w:rPr>
          <w:rFonts w:hint="eastAsia" w:asciiTheme="minorEastAsia" w:hAnsiTheme="minorEastAsia" w:eastAsiaTheme="minorEastAsia" w:cstheme="minorEastAsia"/>
          <w:b/>
          <w:sz w:val="32"/>
          <w:szCs w:val="32"/>
          <w:u w:color="000000"/>
        </w:rPr>
        <w:drawing>
          <wp:inline distT="0" distB="0" distL="0" distR="0">
            <wp:extent cx="5972175" cy="3400425"/>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46C378">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t>（四）预算支出及决算</w:t>
      </w:r>
      <w:bookmarkEnd w:id="1"/>
      <w:bookmarkEnd w:id="2"/>
      <w:r>
        <w:rPr>
          <w:rFonts w:hint="eastAsia" w:ascii="仿宋_GB2312" w:hAnsiTheme="minorEastAsia"/>
          <w:sz w:val="32"/>
        </w:rPr>
        <w:t>支出</w:t>
      </w:r>
      <w:bookmarkEnd w:id="12"/>
    </w:p>
    <w:p w14:paraId="610F3F4B">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2019年度遂城镇</w:t>
      </w:r>
      <w:r>
        <w:rPr>
          <w:rFonts w:hint="eastAsia" w:ascii="仿宋_GB2312" w:eastAsia="仿宋_GB2312" w:cs="Times New Roman" w:hAnsiTheme="minorEastAsia"/>
          <w:sz w:val="32"/>
          <w:szCs w:val="32"/>
          <w:u w:color="000000"/>
        </w:rPr>
        <w:t>预算支出安排</w:t>
      </w:r>
      <w:r>
        <w:rPr>
          <w:rFonts w:hint="eastAsia" w:ascii="仿宋_GB2312" w:eastAsia="仿宋_GB2312" w:cs="DengXian-Regular"/>
          <w:sz w:val="32"/>
          <w:szCs w:val="32"/>
        </w:rPr>
        <w:t>2124.69</w:t>
      </w:r>
      <w:r>
        <w:rPr>
          <w:rFonts w:hint="eastAsia" w:ascii="仿宋_GB2312" w:eastAsia="仿宋_GB2312" w:cs="Times New Roman" w:hAnsiTheme="minorEastAsia"/>
          <w:sz w:val="32"/>
          <w:szCs w:val="32"/>
          <w:u w:color="000000"/>
        </w:rPr>
        <w:t>万元，其中：基本支出1637.6万元，项目支出487.09万元。预算支出按功能分类包含：</w:t>
      </w:r>
      <w:r>
        <w:rPr>
          <w:rFonts w:hint="eastAsia" w:ascii="仿宋_GB2312" w:eastAsia="仿宋_GB2312" w:cs="DengXian-Regular"/>
          <w:sz w:val="32"/>
          <w:szCs w:val="32"/>
        </w:rPr>
        <w:t>一般公共服务支出1412.41万元，科学技术支出0.6万元，文化体育传媒支出16.39万元，社会保障和就业支出200.84万元，医疗卫生与计划生育支出46.96万元，节能环保支出14万元，城乡社区支出13.2万元，农林水支出327.52万元，住房保障支出77.17万元，交通运输13.5万元，灾害防治及应急管理支出2.1万元。</w:t>
      </w:r>
      <w:r>
        <w:rPr>
          <w:rFonts w:hint="eastAsia" w:ascii="仿宋_GB2312" w:eastAsia="仿宋_GB2312" w:cs="Times New Roman" w:hAnsiTheme="minorEastAsia"/>
          <w:sz w:val="32"/>
          <w:szCs w:val="32"/>
          <w:u w:color="000000"/>
        </w:rPr>
        <w:t>具体预算支出详见附件2。</w:t>
      </w:r>
    </w:p>
    <w:p w14:paraId="4797D553">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2019年度我单位</w:t>
      </w:r>
      <w:r>
        <w:rPr>
          <w:rFonts w:hint="eastAsia" w:ascii="仿宋_GB2312" w:eastAsia="仿宋_GB2312" w:cs="Times New Roman" w:hAnsiTheme="minorEastAsia"/>
          <w:sz w:val="32"/>
          <w:szCs w:val="32"/>
          <w:u w:color="000000"/>
        </w:rPr>
        <w:t>决算支出为</w:t>
      </w:r>
      <w:r>
        <w:rPr>
          <w:rFonts w:hint="eastAsia" w:ascii="仿宋_GB2312" w:eastAsia="仿宋_GB2312" w:cs="DengXian-Regular"/>
          <w:sz w:val="32"/>
          <w:szCs w:val="32"/>
        </w:rPr>
        <w:t>3725.78</w:t>
      </w:r>
      <w:r>
        <w:rPr>
          <w:rFonts w:hint="eastAsia" w:ascii="仿宋_GB2312" w:eastAsia="仿宋_GB2312" w:cs="Times New Roman" w:hAnsiTheme="minorEastAsia"/>
          <w:sz w:val="32"/>
          <w:szCs w:val="32"/>
          <w:u w:color="000000"/>
        </w:rPr>
        <w:t>万元，其中：基本支出1575.91万元，项目支出2149.87万元。决算支出按功能分类包含：</w:t>
      </w:r>
      <w:r>
        <w:rPr>
          <w:rFonts w:hint="eastAsia" w:ascii="仿宋_GB2312" w:eastAsia="仿宋_GB2312" w:cs="DengXian-Regular"/>
          <w:sz w:val="32"/>
          <w:szCs w:val="32"/>
        </w:rPr>
        <w:t>一般公共服务支出</w:t>
      </w:r>
      <w:r>
        <w:rPr>
          <w:rFonts w:hint="eastAsia" w:ascii="仿宋_GB2312" w:eastAsia="仿宋_GB2312" w:cs="Times New Roman" w:hAnsiTheme="minorEastAsia"/>
          <w:sz w:val="32"/>
          <w:szCs w:val="32"/>
          <w:u w:color="000000"/>
        </w:rPr>
        <w:t>1299.33万元，占比34.87%；公共安全支出3.18万元，占比0.09%；科学技术支出0.6万元，占比0.02%；文化旅游体育与传媒支出20.35万元，占比0.55%；社会保障和就业支出332.93万元，占比8.94%；医疗卫生与计划教育支出42.2万元，占比1.13%；节能环保支出86.65万，占比2.33%；城乡社区支出984.09万元，占比26.41%；农林水支出862.93万元，占比23.16%；住房保障支出78.41万元，占比2.1%；交通运输支出13.01万元，占比0.35%，灾害防治与应急管理支出2.1万元，占比0.06%；具体决算支出详见附件2。</w:t>
      </w:r>
    </w:p>
    <w:p w14:paraId="1ADC323A">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14:paraId="5126F005">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图3  2019年度区遂城镇决算支出结构图</w:t>
      </w:r>
    </w:p>
    <w:p w14:paraId="0E5A0F6E">
      <w:pPr>
        <w:spacing w:after="0" w:line="360" w:lineRule="auto"/>
        <w:ind w:firstLine="643" w:firstLineChars="200"/>
        <w:jc w:val="both"/>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rPr>
        <w:drawing>
          <wp:inline distT="0" distB="0" distL="0" distR="0">
            <wp:extent cx="5276850" cy="3924300"/>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46DA9D">
      <w:pPr>
        <w:spacing w:after="0" w:line="580" w:lineRule="exact"/>
        <w:ind w:firstLine="640" w:firstLineChars="200"/>
        <w:rPr>
          <w:rFonts w:ascii="仿宋" w:hAnsi="仿宋" w:eastAsia="仿宋"/>
          <w:snapToGrid w:val="0"/>
          <w:sz w:val="32"/>
          <w:szCs w:val="32"/>
        </w:rPr>
      </w:pPr>
      <w:r>
        <w:rPr>
          <w:rFonts w:hint="eastAsia" w:ascii="仿宋_GB2312" w:eastAsia="仿宋_GB2312" w:cs="DengXian-Regular"/>
          <w:sz w:val="32"/>
          <w:szCs w:val="32"/>
        </w:rPr>
        <w:t>财政拨款决算支出比年初预算增加1601.09万元。决算支出完成年初预算的175%。</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主要原因为主要是2019年人员经费和项目支出增加。</w:t>
      </w:r>
      <w:r>
        <w:rPr>
          <w:rFonts w:hint="eastAsia" w:ascii="仿宋" w:hAnsi="仿宋" w:eastAsia="仿宋"/>
          <w:snapToGrid w:val="0"/>
          <w:sz w:val="32"/>
          <w:szCs w:val="32"/>
        </w:rPr>
        <w:t>预算支出与决算支出对比情况如图4。</w:t>
      </w:r>
    </w:p>
    <w:p w14:paraId="0C4813C1">
      <w:pPr>
        <w:spacing w:after="0" w:line="580" w:lineRule="exact"/>
        <w:ind w:firstLine="640" w:firstLineChars="200"/>
        <w:rPr>
          <w:rFonts w:ascii="仿宋_GB2312" w:eastAsia="仿宋_GB2312" w:cs="DengXian-Regular"/>
          <w:sz w:val="32"/>
          <w:szCs w:val="32"/>
        </w:rPr>
      </w:pPr>
    </w:p>
    <w:p w14:paraId="4A50F557">
      <w:pPr>
        <w:spacing w:after="0"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图4  2019年度遂城镇预算支出与决算支出对比图</w:t>
      </w:r>
    </w:p>
    <w:p w14:paraId="593B07CC">
      <w:pPr>
        <w:spacing w:after="0"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drawing>
          <wp:inline distT="0" distB="0" distL="0" distR="0">
            <wp:extent cx="5278120" cy="3362960"/>
            <wp:effectExtent l="19050" t="0" r="17780" b="866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6E333D5">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我单位2019年实际项目支出2149.87万元，决算报表中项目支出2149.87万元，实际支出与决算报表差0万元。</w:t>
      </w:r>
    </w:p>
    <w:p w14:paraId="6F465844">
      <w:pPr>
        <w:pStyle w:val="4"/>
        <w:spacing w:before="0" w:after="0"/>
        <w:ind w:firstLine="643" w:firstLineChars="200"/>
        <w:jc w:val="both"/>
        <w:rPr>
          <w:rFonts w:ascii="仿宋_GB2312" w:hAnsi="Tahoma" w:cs="DengXian-Regular"/>
          <w:sz w:val="32"/>
        </w:rPr>
      </w:pPr>
      <w:bookmarkStart w:id="13" w:name="_Toc492652769"/>
      <w:bookmarkStart w:id="14" w:name="_Toc19291"/>
      <w:bookmarkStart w:id="15" w:name="_Toc465149503"/>
      <w:r>
        <w:rPr>
          <w:rFonts w:hint="eastAsia" w:ascii="仿宋_GB2312" w:hAnsi="Tahoma" w:cs="DengXian-Regular"/>
          <w:sz w:val="32"/>
        </w:rPr>
        <w:t>（五）“三公”经费预算安排及支出情况</w:t>
      </w:r>
      <w:bookmarkEnd w:id="13"/>
      <w:bookmarkEnd w:id="14"/>
      <w:bookmarkEnd w:id="15"/>
    </w:p>
    <w:p w14:paraId="6D71BAFD">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2019年遂城镇“三公”经费预算27.21万元（公务用车运行维护费23.94万元，公务接待费3.27万元），实际支出10.31万元（公务用车运行维护费10.31万元），比预算减少16.9万元，节约率62%。2019年“三公”经费预算数比2018年预算数增加3万元，决算数与2018年实际支出相比，减少0.84万元。具体详见表1。</w:t>
      </w:r>
    </w:p>
    <w:p w14:paraId="30F5EDCF">
      <w:pPr>
        <w:spacing w:after="0" w:line="360" w:lineRule="auto"/>
        <w:ind w:firstLine="640" w:firstLineChars="200"/>
        <w:jc w:val="both"/>
        <w:rPr>
          <w:rFonts w:ascii="仿宋_GB2312" w:eastAsia="仿宋_GB2312" w:cs="DengXian-Regular"/>
          <w:sz w:val="32"/>
          <w:szCs w:val="32"/>
        </w:rPr>
      </w:pPr>
    </w:p>
    <w:p w14:paraId="1AF0FBF5">
      <w:pPr>
        <w:spacing w:after="0" w:line="360" w:lineRule="auto"/>
        <w:ind w:firstLine="1124" w:firstLineChars="35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表1 遂城镇“三公”经费预算及决算明细表</w:t>
      </w:r>
    </w:p>
    <w:p w14:paraId="042F834B">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13A67F24">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4DF18">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13AE21">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A2ACF4">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2018年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15E14C24">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BBFA6">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7D8D13E0">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BACD02">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B2DC35">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ED33AB">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0C677EC">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8271F9F">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5E93BB1">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A0A0C2C">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233EB2E">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7546FF68">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D5BD7">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136A59AD">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41F1F">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FE5BD">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A0A3E">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EA66DC">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F3B0EE">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0E58EA">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14:paraId="038B9892">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CA4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9EF067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7858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20.94</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989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8.65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E0F4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23.94</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C559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10.31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8E4526">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8E037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1.66</w:t>
            </w:r>
          </w:p>
        </w:tc>
      </w:tr>
      <w:tr w14:paraId="47AB18FB">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BE0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6E6E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4D4D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3.27</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FB0EE">
            <w:pPr>
              <w:spacing w:after="0"/>
              <w:ind w:firstLine="210" w:firstLineChars="1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0.82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CF5F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3.27</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7276">
            <w:pPr>
              <w:spacing w:after="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0EE26C">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AF974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-0.82</w:t>
            </w:r>
          </w:p>
        </w:tc>
      </w:tr>
      <w:tr w14:paraId="671B5B3D">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DCC07">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C028D8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B776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24.21</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1468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9.47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34B1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27.21</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A1A00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10.31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DED902">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667D4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0.84</w:t>
            </w:r>
          </w:p>
        </w:tc>
      </w:tr>
    </w:tbl>
    <w:p w14:paraId="43B4EAD1">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2019年底我单位车辆合计4辆，其中公务用车4辆，其他用车0辆。2019年公务用车购置及运维费年初预算23.94万元，全部为公务用车运行维护费，实际支出10.31万元，比预算减少13.63万元，节约率57%。2019年预算数比2018年预算增加3万元，决算数与2018年实际支出相比，增加0.84万元。</w:t>
      </w:r>
    </w:p>
    <w:p w14:paraId="6407F0C6">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2、公务接待：2019年我单位公务接待费年初预算3.27万元，实际支出0万元，比预算减少了3.27万元，节约率100%。2019年预算数与2018年预算相比无变化，决算数与2018年实际支出相比，减少0.82万元。</w:t>
      </w:r>
    </w:p>
    <w:p w14:paraId="2A479925">
      <w:pPr>
        <w:pStyle w:val="3"/>
        <w:spacing w:before="0" w:after="0" w:line="360" w:lineRule="auto"/>
        <w:ind w:firstLine="643" w:firstLineChars="200"/>
        <w:rPr>
          <w:rFonts w:ascii="黑体" w:hAnsiTheme="minorEastAsia"/>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14:paraId="3B86F548">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根据绩效预算管理改革的有关政策和文件规定，绩效评价工作组以绩效预算架构为指导，以部门预算文本及相关资料为基础，制定了部门整体支出绩效评价指标体系。</w:t>
      </w:r>
    </w:p>
    <w:p w14:paraId="74A17D84">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25个（详见附件3）。指标体系设定满分100分，绩效评价分值≥90为“优”；80≤分值＜90为“良”；60≤分值＜80为“中”；60分以下为“差”。评价指标体系具体构成如下：</w:t>
      </w:r>
      <w:bookmarkStart w:id="19" w:name="_Toc492652771"/>
      <w:bookmarkStart w:id="20" w:name="_Toc9569"/>
    </w:p>
    <w:p w14:paraId="14226A06">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14:paraId="57DB93A5">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投入指标指标分值为12分，下设2个二级指标：绩效目标设定和预算配置，6个三级指标：绩效目标合理性、绩效目标科学性、绩效指标明确性、预算编制完整性、项目预算细化率、在职人员控制率。</w:t>
      </w:r>
      <w:bookmarkStart w:id="21" w:name="_Toc30221"/>
      <w:bookmarkStart w:id="22" w:name="_Toc492652772"/>
    </w:p>
    <w:p w14:paraId="64565EE7">
      <w:pPr>
        <w:spacing w:after="0" w:line="360" w:lineRule="auto"/>
        <w:ind w:firstLine="640" w:firstLineChars="200"/>
        <w:jc w:val="both"/>
        <w:rPr>
          <w:rFonts w:ascii="仿宋_GB2312" w:eastAsia="仿宋_GB2312" w:cs="DengXian-Regular"/>
          <w:sz w:val="32"/>
          <w:szCs w:val="32"/>
        </w:rPr>
      </w:pPr>
      <w:r>
        <w:rPr>
          <w:rFonts w:hint="eastAsia" w:ascii="楷体" w:hAnsi="楷体" w:eastAsia="楷体"/>
          <w:kern w:val="2"/>
          <w:sz w:val="32"/>
        </w:rPr>
        <w:t>（二）过程（48分）</w:t>
      </w:r>
      <w:bookmarkEnd w:id="21"/>
      <w:bookmarkEnd w:id="22"/>
    </w:p>
    <w:p w14:paraId="6C7C5FC0">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07AC66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0EB0B3D6">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14:paraId="1DFDF439">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14:paraId="3BC9141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产出指标指标分值为20分，下设1个二级指标：责任履行，3个三级指标：结转结余率、项目资金使用率、实际完成工作及时率。</w:t>
      </w:r>
    </w:p>
    <w:p w14:paraId="1984769A">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14:paraId="34137546">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2E12B08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效果指标指标分值20分，下设1个二级指标：履职效率，2个三级指标：部门整体效益和考核满意度。</w:t>
      </w:r>
    </w:p>
    <w:p w14:paraId="0DE8FA14">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65149505"/>
      <w:bookmarkStart w:id="30" w:name="_Toc492652776"/>
    </w:p>
    <w:p w14:paraId="1112C83F">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031EBB06">
      <w:pPr>
        <w:spacing w:after="0" w:line="360" w:lineRule="auto"/>
        <w:ind w:firstLine="640" w:firstLineChars="200"/>
        <w:jc w:val="both"/>
        <w:textAlignment w:val="baseline"/>
        <w:rPr>
          <w:rFonts w:ascii="仿宋_GB2312" w:eastAsia="仿宋_GB2312" w:cs="DengXian-Regular"/>
          <w:sz w:val="32"/>
          <w:szCs w:val="32"/>
        </w:rPr>
      </w:pPr>
      <w:bookmarkStart w:id="32" w:name="_Toc492652777"/>
      <w:bookmarkStart w:id="33" w:name="_Toc465149506"/>
      <w:r>
        <w:rPr>
          <w:rFonts w:hint="eastAsia" w:ascii="仿宋_GB2312" w:eastAsia="仿宋_GB2312" w:cs="DengXian-Regular"/>
          <w:sz w:val="32"/>
          <w:szCs w:val="32"/>
        </w:rPr>
        <w:t>通过对遂城镇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570998F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34986EA0">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76B41DEE">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12742C6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723AB71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08439A2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31B1D0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29F7037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00B5294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36" w:name="_Toc492652778"/>
    </w:p>
    <w:p w14:paraId="0143A6CE">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52A16516">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遂城镇2019年部门整体支出绩效目标和指标的设置及完成情况；资金预算情况、实际收支情况及结转结余情况；部门履职对社会发展所带来的直接或间接影响及服务对象对部门履职效果的满意程度。</w:t>
      </w:r>
    </w:p>
    <w:p w14:paraId="130F16A5">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3E8300E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4159C7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24559AE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1032E9D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3DCA7CC0">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276CA80F">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54C703BD">
      <w:pPr>
        <w:spacing w:after="0" w:line="360" w:lineRule="auto"/>
        <w:ind w:firstLine="640" w:firstLineChars="20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6662F648">
      <w:pPr>
        <w:spacing w:after="0" w:line="360" w:lineRule="auto"/>
        <w:ind w:firstLine="640" w:firstLineChars="200"/>
        <w:jc w:val="both"/>
        <w:textAlignment w:val="baseline"/>
        <w:rPr>
          <w:rFonts w:ascii="仿宋_GB2312" w:eastAsia="仿宋_GB2312" w:cs="DengXian-Regular"/>
          <w:sz w:val="32"/>
          <w:szCs w:val="32"/>
        </w:rPr>
      </w:pPr>
      <w:bookmarkStart w:id="49" w:name="_Toc421623220"/>
      <w:bookmarkStart w:id="50"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45D4E2A3">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1404F056">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392F051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214F8A4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52006EF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充分收集相关资料，主要包括部门职责、工作活动、预决算文本、相关管理制度、资金使用等相关资料，为制定绩效评价实施方案和指标体系奠定了基础。</w:t>
      </w:r>
    </w:p>
    <w:p w14:paraId="1535A53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79031DD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通过对相关资料的收集，制定绩效评价实施方案和体系,确定最终方案。</w:t>
      </w:r>
    </w:p>
    <w:p w14:paraId="1BD28C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4899F0B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遂城镇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1A781D7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14:paraId="092A00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28956B3A">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2770DF5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遂城镇部门整体支出绩效评价总得分为90分，综合绩效评价等级为“优”。各项得分情况如下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248D36F8">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14:paraId="2568CA9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6E3B2EF2">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3DAD0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56CEB2B6">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5A982738">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0F6A183E">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1E0A1B19">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00C47BE8">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7DC1B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4CEB4D6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304F9F61">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40A4C39C">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43536B6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05F530C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85FF93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3871F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7FF483F5">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64D0F630">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43C9353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333B673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7139673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0E3E7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1804986">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21654A8F">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5BEE157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5D39735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2477D83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256C6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6B7561A">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33AA2FF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1160D0C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401E222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0B9DA4C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7E1BDBE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75D81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B6EBCAB">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6289F7BF">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702CE4E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4DE3C3F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4ACE071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77DF6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FE470E7">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224AF639">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6E34238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2B1E4FC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58999F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0B172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56DA630C">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1B3A3F9C">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30BE998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46DB250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bl>
    <w:p w14:paraId="2E228900">
      <w:pPr>
        <w:spacing w:after="0" w:line="360" w:lineRule="auto"/>
        <w:ind w:firstLine="640" w:firstLineChars="200"/>
        <w:jc w:val="both"/>
        <w:textAlignment w:val="baseline"/>
        <w:rPr>
          <w:rFonts w:ascii="仿宋_GB2312" w:eastAsia="仿宋_GB2312" w:cs="DengXian-Regular"/>
          <w:sz w:val="32"/>
          <w:szCs w:val="32"/>
        </w:rPr>
      </w:pPr>
      <w:bookmarkStart w:id="60" w:name="_Toc465149513"/>
      <w:bookmarkStart w:id="61" w:name="_Toc464638478"/>
      <w:r>
        <w:rPr>
          <w:rFonts w:hint="eastAsia" w:ascii="仿宋_GB2312" w:eastAsia="仿宋_GB2312" w:cs="DengXian-Regular"/>
          <w:sz w:val="32"/>
          <w:szCs w:val="32"/>
        </w:rPr>
        <w:t>1.绩效目标设定（6分）</w:t>
      </w:r>
    </w:p>
    <w:p w14:paraId="1CE30C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5E2F345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52BACC6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遂城镇单位职能配置内设机构和人员编制规定》和徐水区遂城镇2019年预算文本—部门职责工作活动绩效目标，评价工作组认为遂城镇部门职责符合“三定”方案中所赋予的职责，绩效目标设立依据充分，符合客观实际，与部门职责、工作规划和重点工作相关，工作活动和项目预算安排合理。</w:t>
      </w:r>
    </w:p>
    <w:p w14:paraId="020B0E2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5DBE02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364404F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02121D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根据遂城镇2019年预算文本—部门职责工作活动绩效目标（详见附件4），绩效目标与部门履职、年度工作任务相符；工作活动有明确的绩效目标，绩效目标与部门职责目标、部门年度工作目标一致。</w:t>
      </w:r>
    </w:p>
    <w:p w14:paraId="42B23CF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3B2364F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251E89C8">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4729859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根据遂城镇2019年预算文本—部门职责工作活动绩效目标,该指标实际得分2分。</w:t>
      </w:r>
    </w:p>
    <w:p w14:paraId="636A21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501D17F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242A7CF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4A8498B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根据2019年预算文本及相关会计资料，单位所有收入均已纳入部门预算，部门支出按基本支出、项目支出分别编制。</w:t>
      </w:r>
    </w:p>
    <w:p w14:paraId="0A5C8E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7DEBDFE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7A0656C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1CE8FEF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0AFB6B3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根据2019年预算文本—部门项目支出预算表，遂城镇2019年预算项目共28个，涉及资金487.09万元，所有项目均细化到具体用款单位及项目资金额度。项目预算细化率=（487.09/487.09）*100%=100%</w:t>
      </w:r>
    </w:p>
    <w:p w14:paraId="1E3BFCF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16CAE19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5F899D8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该指标主要考核截至2019年底在职人员控制情况，通过在职人员控制率衡量。</w:t>
      </w:r>
    </w:p>
    <w:p w14:paraId="3D25EE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0DAFB10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遂城镇单位职能配置内设机构和人员编制规定》的通知，遂城镇人员编制为59人，根据区2019年决算文本-部门基本情况表，截至2019年底，在职人员110人，在职人员控制率=（110/59）*100%=186%。</w:t>
      </w:r>
    </w:p>
    <w:p w14:paraId="55D2F5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bookmarkEnd w:id="60"/>
    <w:bookmarkEnd w:id="61"/>
    <w:p w14:paraId="07CB741C">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14:paraId="4B57B11C">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5241878D">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7DE0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79B85A9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50333B0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238EBD9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3302D1ED">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1E809B2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164F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027EE27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0FD69F0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7558BC2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2551D9F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23C60AB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0A41202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4BE0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555E3C7">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DE8EE94">
            <w:pPr>
              <w:spacing w:line="420" w:lineRule="exact"/>
              <w:jc w:val="center"/>
              <w:rPr>
                <w:rFonts w:cs="宋体" w:asciiTheme="minorEastAsia" w:hAnsiTheme="minorEastAsia" w:eastAsiaTheme="minorEastAsia"/>
                <w:sz w:val="21"/>
                <w:szCs w:val="21"/>
              </w:rPr>
            </w:pPr>
          </w:p>
        </w:tc>
        <w:tc>
          <w:tcPr>
            <w:tcW w:w="2277" w:type="dxa"/>
            <w:vAlign w:val="center"/>
          </w:tcPr>
          <w:p w14:paraId="523C4A9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1D651FB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BBCF6A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31ED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64A1E5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863B822">
            <w:pPr>
              <w:spacing w:line="420" w:lineRule="exact"/>
              <w:jc w:val="center"/>
              <w:rPr>
                <w:rFonts w:cs="宋体" w:asciiTheme="minorEastAsia" w:hAnsiTheme="minorEastAsia" w:eastAsiaTheme="minorEastAsia"/>
                <w:sz w:val="21"/>
                <w:szCs w:val="21"/>
              </w:rPr>
            </w:pPr>
          </w:p>
        </w:tc>
        <w:tc>
          <w:tcPr>
            <w:tcW w:w="2277" w:type="dxa"/>
            <w:vAlign w:val="center"/>
          </w:tcPr>
          <w:p w14:paraId="4F05140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1EB9787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45B91C5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6866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57D066A">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3423651">
            <w:pPr>
              <w:spacing w:line="420" w:lineRule="exact"/>
              <w:jc w:val="center"/>
              <w:rPr>
                <w:rFonts w:cs="宋体" w:asciiTheme="minorEastAsia" w:hAnsiTheme="minorEastAsia" w:eastAsiaTheme="minorEastAsia"/>
                <w:sz w:val="21"/>
                <w:szCs w:val="21"/>
              </w:rPr>
            </w:pPr>
          </w:p>
        </w:tc>
        <w:tc>
          <w:tcPr>
            <w:tcW w:w="2277" w:type="dxa"/>
            <w:vAlign w:val="center"/>
          </w:tcPr>
          <w:p w14:paraId="1F30A45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05C8A96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81B350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EA6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DDF481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F6C5970">
            <w:pPr>
              <w:spacing w:line="420" w:lineRule="exact"/>
              <w:jc w:val="center"/>
              <w:rPr>
                <w:rFonts w:cs="宋体" w:asciiTheme="minorEastAsia" w:hAnsiTheme="minorEastAsia" w:eastAsiaTheme="minorEastAsia"/>
                <w:sz w:val="21"/>
                <w:szCs w:val="21"/>
              </w:rPr>
            </w:pPr>
          </w:p>
        </w:tc>
        <w:tc>
          <w:tcPr>
            <w:tcW w:w="2277" w:type="dxa"/>
            <w:vAlign w:val="center"/>
          </w:tcPr>
          <w:p w14:paraId="10AA401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1A7EEBC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0F44AAB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4589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DC19CF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0AE9CFC">
            <w:pPr>
              <w:spacing w:line="420" w:lineRule="exact"/>
              <w:jc w:val="center"/>
              <w:rPr>
                <w:rFonts w:cs="宋体" w:asciiTheme="minorEastAsia" w:hAnsiTheme="minorEastAsia" w:eastAsiaTheme="minorEastAsia"/>
                <w:sz w:val="21"/>
                <w:szCs w:val="21"/>
              </w:rPr>
            </w:pPr>
          </w:p>
        </w:tc>
        <w:tc>
          <w:tcPr>
            <w:tcW w:w="2277" w:type="dxa"/>
            <w:vAlign w:val="center"/>
          </w:tcPr>
          <w:p w14:paraId="347D0D1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6D11ED8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7A2993B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7F2C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27431D6">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54F47E6">
            <w:pPr>
              <w:spacing w:line="420" w:lineRule="exact"/>
              <w:jc w:val="center"/>
              <w:rPr>
                <w:rFonts w:cs="宋体" w:asciiTheme="minorEastAsia" w:hAnsiTheme="minorEastAsia" w:eastAsiaTheme="minorEastAsia"/>
                <w:sz w:val="21"/>
                <w:szCs w:val="21"/>
              </w:rPr>
            </w:pPr>
          </w:p>
        </w:tc>
        <w:tc>
          <w:tcPr>
            <w:tcW w:w="2277" w:type="dxa"/>
            <w:vAlign w:val="center"/>
          </w:tcPr>
          <w:p w14:paraId="652B38C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29F7A8E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257E4D4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6A07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0A89BC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814773F">
            <w:pPr>
              <w:spacing w:line="420" w:lineRule="exact"/>
              <w:jc w:val="center"/>
              <w:rPr>
                <w:rFonts w:cs="宋体" w:asciiTheme="minorEastAsia" w:hAnsiTheme="minorEastAsia" w:eastAsiaTheme="minorEastAsia"/>
                <w:sz w:val="21"/>
                <w:szCs w:val="21"/>
              </w:rPr>
            </w:pPr>
          </w:p>
        </w:tc>
        <w:tc>
          <w:tcPr>
            <w:tcW w:w="2277" w:type="dxa"/>
            <w:vAlign w:val="center"/>
          </w:tcPr>
          <w:p w14:paraId="68CD073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3795C8B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3334BC3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1D2C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B06B4E7">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644B33A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7C1AEFD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2CD9192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2D5B26C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6B12A9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69F1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ACC167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C46A6A7">
            <w:pPr>
              <w:spacing w:line="420" w:lineRule="exact"/>
              <w:jc w:val="center"/>
              <w:rPr>
                <w:rFonts w:cs="宋体" w:asciiTheme="minorEastAsia" w:hAnsiTheme="minorEastAsia" w:eastAsiaTheme="minorEastAsia"/>
                <w:sz w:val="21"/>
                <w:szCs w:val="21"/>
              </w:rPr>
            </w:pPr>
          </w:p>
        </w:tc>
        <w:tc>
          <w:tcPr>
            <w:tcW w:w="2277" w:type="dxa"/>
            <w:vAlign w:val="center"/>
          </w:tcPr>
          <w:p w14:paraId="032FF52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0366189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ECEC85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1D9A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7237DD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5E6A82D">
            <w:pPr>
              <w:spacing w:line="420" w:lineRule="exact"/>
              <w:jc w:val="center"/>
              <w:rPr>
                <w:rFonts w:cs="宋体" w:asciiTheme="minorEastAsia" w:hAnsiTheme="minorEastAsia" w:eastAsiaTheme="minorEastAsia"/>
                <w:sz w:val="21"/>
                <w:szCs w:val="21"/>
              </w:rPr>
            </w:pPr>
          </w:p>
        </w:tc>
        <w:tc>
          <w:tcPr>
            <w:tcW w:w="2277" w:type="dxa"/>
            <w:vAlign w:val="center"/>
          </w:tcPr>
          <w:p w14:paraId="6A0761F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692A900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A85C3E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77C9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0B6A13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A881183">
            <w:pPr>
              <w:spacing w:line="420" w:lineRule="exact"/>
              <w:jc w:val="center"/>
              <w:rPr>
                <w:rFonts w:cs="宋体" w:asciiTheme="minorEastAsia" w:hAnsiTheme="minorEastAsia" w:eastAsiaTheme="minorEastAsia"/>
                <w:sz w:val="21"/>
                <w:szCs w:val="21"/>
              </w:rPr>
            </w:pPr>
          </w:p>
        </w:tc>
        <w:tc>
          <w:tcPr>
            <w:tcW w:w="2277" w:type="dxa"/>
            <w:vAlign w:val="center"/>
          </w:tcPr>
          <w:p w14:paraId="66967D7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333863F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F56B5C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7E06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398FC250">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2F4119F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784F565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6761A71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1F2B5EF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B9F547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22D1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1DAB479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32DA8B7">
            <w:pPr>
              <w:spacing w:line="420" w:lineRule="exact"/>
              <w:jc w:val="center"/>
              <w:rPr>
                <w:rFonts w:cs="宋体" w:asciiTheme="minorEastAsia" w:hAnsiTheme="minorEastAsia" w:eastAsiaTheme="minorEastAsia"/>
                <w:sz w:val="21"/>
                <w:szCs w:val="21"/>
              </w:rPr>
            </w:pPr>
          </w:p>
        </w:tc>
        <w:tc>
          <w:tcPr>
            <w:tcW w:w="2277" w:type="dxa"/>
            <w:vAlign w:val="center"/>
          </w:tcPr>
          <w:p w14:paraId="727C5F4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10AE89C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58CDDB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6F36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1DC909D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1349365B">
            <w:pPr>
              <w:spacing w:line="420" w:lineRule="exact"/>
              <w:jc w:val="center"/>
              <w:rPr>
                <w:rFonts w:cs="宋体" w:asciiTheme="minorEastAsia" w:hAnsiTheme="minorEastAsia" w:eastAsiaTheme="minorEastAsia"/>
                <w:sz w:val="21"/>
                <w:szCs w:val="21"/>
              </w:rPr>
            </w:pPr>
          </w:p>
        </w:tc>
        <w:tc>
          <w:tcPr>
            <w:tcW w:w="1155" w:type="dxa"/>
            <w:vAlign w:val="center"/>
          </w:tcPr>
          <w:p w14:paraId="091AE55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6FC5E34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44</w:t>
            </w:r>
          </w:p>
        </w:tc>
      </w:tr>
      <w:bookmarkEnd w:id="63"/>
    </w:tbl>
    <w:p w14:paraId="06339993">
      <w:pPr>
        <w:spacing w:after="0" w:line="360" w:lineRule="auto"/>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1.预算执行（24分）</w:t>
      </w:r>
    </w:p>
    <w:p w14:paraId="60D3248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4832CA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75EA33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bookmarkEnd w:id="64"/>
    <w:bookmarkEnd w:id="65"/>
    <w:p w14:paraId="5BE21CF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遂城镇的预算指标文件，其中主要包括：徐财预指[2019]1-1053号追加遂城村面貌改造提升工程款42.6628万元；徐财预指[2019]1-1119号追加村级村级退役军人管理服务站吸收参战、进藏退役军人补贴资金28.08万元、徐财预指[2019]1-1194号追加取缔畜禽养殖补偿资金22.575万元；徐财预指[2019]1-1387号追加2019年绿化占地租金870.37426万元；徐财预指[2019]1-1216号追加气代煤及散煤治理工作经费37.002万元；徐财预指[2019]1-1317号追加雄安建材运输通道工作经费12.3万元，预算收入调整率大于10%。</w:t>
      </w:r>
    </w:p>
    <w:p w14:paraId="3A63A9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该项指标实际得分0分。</w:t>
      </w:r>
    </w:p>
    <w:p w14:paraId="7EA85FF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7BDFAF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6B45654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66E29D0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根据2019年预算文本、决算文本，2019年收入预算数2124.69万元，收入决算数3685.94万元，收入完成率=（决算数/预算数）*100%=174%。</w:t>
      </w:r>
    </w:p>
    <w:p w14:paraId="70C3C31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5DADBE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55A6E5B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3C8B54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22C4715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遂城镇的预算指标文件，其中主要包括：徐财预指[2019]1-1053号追加遂城村面貌改造提升工程款42.6628万元；徐财预指[2019]1-1119号追加村级村级退役军人管理服务站吸收参战、进藏退役军人补贴资金28.08万元、徐财预指[2019]1-1194号追加取缔畜禽养殖补偿资金22.575万元；徐财预指[2019]1-1387号追加2019年绿化占地租金870.37426万元；徐财预指[2019]1-1216号追加气代煤及散煤治理工作经费37.002万元；徐财预指[2019]1-1317号追加雄安建材运输通道工作经费12.3万元，预算</w:t>
      </w:r>
      <w:r>
        <w:rPr>
          <w:rFonts w:hint="eastAsia" w:ascii="仿宋_GB2312" w:eastAsia="仿宋_GB2312" w:cs="DengXian-Regular"/>
          <w:sz w:val="32"/>
          <w:szCs w:val="32"/>
          <w:lang w:eastAsia="zh-CN"/>
        </w:rPr>
        <w:t>调整</w:t>
      </w:r>
      <w:r>
        <w:rPr>
          <w:rFonts w:hint="eastAsia" w:ascii="仿宋_GB2312" w:eastAsia="仿宋_GB2312" w:cs="DengXian-Regular"/>
          <w:sz w:val="32"/>
          <w:szCs w:val="32"/>
        </w:rPr>
        <w:t>率大于10%。</w:t>
      </w:r>
    </w:p>
    <w:p w14:paraId="18203BB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p w14:paraId="264877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1B17FB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0577BC4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4DC1236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根据2019年决算文本，部门决算财政拨款支出数3725.78万元，财政拨款收入数3753.48万元，财政拨款支出率=（财政拨款支出数/财政拨款收入数）*100%=99%</w:t>
      </w:r>
      <w:r>
        <w:rPr>
          <w:rFonts w:ascii="Arial" w:hAnsi="Arial" w:eastAsia="仿宋_GB2312" w:cs="Arial"/>
          <w:sz w:val="32"/>
          <w:szCs w:val="32"/>
        </w:rPr>
        <w:t>≥</w:t>
      </w:r>
      <w:r>
        <w:rPr>
          <w:rFonts w:hint="eastAsia" w:ascii="仿宋_GB2312" w:eastAsia="仿宋_GB2312" w:cs="DengXian-Regular"/>
          <w:sz w:val="32"/>
          <w:szCs w:val="32"/>
        </w:rPr>
        <w:t>90%。</w:t>
      </w:r>
    </w:p>
    <w:p w14:paraId="4271F2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28D1C35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26F484B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067C274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07B173E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根据2019年预算文本及决算文本，“三公”经费年初预算数27.21万元，年末决算数10.31万元，“三公”经费控制率=（年末决算数/年初预算数）*100%=38%</w:t>
      </w:r>
      <w:r>
        <w:rPr>
          <w:rFonts w:ascii="Arial" w:hAnsi="Arial" w:eastAsia="仿宋_GB2312" w:cs="Arial"/>
          <w:sz w:val="32"/>
          <w:szCs w:val="32"/>
        </w:rPr>
        <w:t>≤</w:t>
      </w:r>
      <w:r>
        <w:rPr>
          <w:rFonts w:hint="eastAsia" w:ascii="仿宋_GB2312" w:eastAsia="仿宋_GB2312" w:cs="DengXian-Regular"/>
          <w:sz w:val="32"/>
          <w:szCs w:val="32"/>
        </w:rPr>
        <w:t>100%。</w:t>
      </w:r>
    </w:p>
    <w:p w14:paraId="2D4E4E4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372F746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10F04DC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1DEAFBB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0BC3B36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根据遂城镇2019年预算文本及决算文本，政府采购年初预算数0万元，年末决算数23.14万元，政府采购执行率为100%。</w:t>
      </w:r>
    </w:p>
    <w:p w14:paraId="637CFED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该指标实际得分为3分。</w:t>
      </w:r>
    </w:p>
    <w:p w14:paraId="2956DA3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39AC1F9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2ACDC8B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根据2019年明细账、会计凭证等相关资料，遂城镇资金使用符合相关会计准则和财务制度，资金拨付有完备的审批程序和手续，资金使用符合部门预算批复的用途，未发现截留、挤占、挪用财政资金的情况。</w:t>
      </w:r>
    </w:p>
    <w:p w14:paraId="424DD3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75BB7C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69B0E12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4656C2F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经核查遂城镇2019年决算文本、明细账及总账，遂城镇决算文本数据均与明细账、总账一致。</w:t>
      </w:r>
    </w:p>
    <w:p w14:paraId="2C83F8F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5A87373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3ED569D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0A30673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7C2FDD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遂城镇工作制度涵盖了财务制度、网络安全制度、公务用车制度等相关制度，经检查遂城镇付款流程审批单、资产盘点表等资料，遂城镇已按照相关管理制度的规定执行。</w:t>
      </w:r>
    </w:p>
    <w:p w14:paraId="56D2363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16663D2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4D2CBB1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0FBA3C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遂城镇2019年按政府信息公开的有关要求在保定市徐水区人民政府网公开了2019年的预决算情况、部门责任清单、行政监督清单等相关信息。</w:t>
      </w:r>
    </w:p>
    <w:p w14:paraId="5516B2D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23842EC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004DD5E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1B2FB6C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根据提供的会计账簿、凭证及其他相关资料，遂城镇会计信息资料真实完整，</w:t>
      </w:r>
    </w:p>
    <w:p w14:paraId="0485694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6B3718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501DE9B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43E1F5B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遂城镇建立了固定资产台账、无形资产台账，资产保存完整，2019年新增资产6.4088万元，包含：通用设备（电脑、高拍仪等）2.016万元、图书2.5128万元、家具（办公桌椅、密码柜等）1.88万元，资产购置手续完备，配置符合要求，资产管理整体较规范。</w:t>
      </w:r>
    </w:p>
    <w:p w14:paraId="21DFB0C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4D7545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721F88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1E07C6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0AB4209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28BA9C4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2019年度财政专项资金部门绩效自评价工作的通知》及遂城镇2019年一般项目部门绩效自评表，遂城镇2019年开展绩效自评的项目数为28个，年初预算文本项目数28个，要求自评项目个数28个，自评覆盖率为 100%。</w:t>
      </w:r>
    </w:p>
    <w:p w14:paraId="2CD1961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4B038E4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6EE70FE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5B46A43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6334EC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遂城镇2019年参评数量24个，绩效评价结果达到优等的数量23个，绩效评价优等率为97%。</w:t>
      </w:r>
    </w:p>
    <w:p w14:paraId="73FA1CB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4FEF1385">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14:paraId="0B799CB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该一级指标包含责任履行一个二级指标，主要反映结转结余率，项目资金使用率，实际完成供暖工作及时率。</w:t>
      </w:r>
    </w:p>
    <w:p w14:paraId="56D2FEC1">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0A0BF685">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6A8BA2B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4F0010DD">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636E4DF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6B012A5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572535A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0FD4126A">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6500181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510301E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（20分）</w:t>
            </w:r>
          </w:p>
        </w:tc>
        <w:tc>
          <w:tcPr>
            <w:tcW w:w="1004" w:type="dxa"/>
            <w:vMerge w:val="restart"/>
            <w:tcBorders>
              <w:top w:val="single" w:color="000000" w:sz="4" w:space="0"/>
              <w:left w:val="single" w:color="000000" w:sz="4" w:space="0"/>
              <w:right w:val="single" w:color="000000" w:sz="4" w:space="0"/>
            </w:tcBorders>
            <w:vAlign w:val="center"/>
          </w:tcPr>
          <w:p w14:paraId="15BC099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责任履行（20分）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523ABC9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0B9DF4C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69C7012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289DCA5F">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1C9AD54F">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6F9DD4AD">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484FDB2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A043E8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853" w:type="dxa"/>
            <w:tcBorders>
              <w:top w:val="single" w:color="000000" w:sz="4" w:space="0"/>
              <w:left w:val="single" w:color="000000" w:sz="4" w:space="0"/>
              <w:bottom w:val="single" w:color="000000" w:sz="4" w:space="0"/>
              <w:right w:val="single" w:color="000000" w:sz="4" w:space="0"/>
            </w:tcBorders>
            <w:vAlign w:val="center"/>
          </w:tcPr>
          <w:p w14:paraId="746A2DF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14:paraId="00FDA55F">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6DB6AA68">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69A2AD78">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61EB45D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实际完成工作及时率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34FEF83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3FAFF2E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3DA3399A">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099B970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70D5987D">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590EEF8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190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w:t>
            </w:r>
          </w:p>
        </w:tc>
      </w:tr>
    </w:tbl>
    <w:p w14:paraId="6A856445">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1.结转结余率（5分）</w:t>
      </w:r>
    </w:p>
    <w:p w14:paraId="17C0D23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168BEC8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67F1A7C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根据2019年决算文本及相关资料，遂城镇2019年结转结余资金27.98万元，决算收入3753.76万元，结转结余率0.7%，小于5%。</w:t>
      </w:r>
    </w:p>
    <w:p w14:paraId="62FCC8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该项指标实际得分5分。</w:t>
      </w:r>
    </w:p>
    <w:p w14:paraId="7784F24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2.项目资金使用率（10分）</w:t>
      </w:r>
    </w:p>
    <w:p w14:paraId="03804B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6B987B7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项目资金使用率=（实际支出项目资金总额/计划完成项目资金总数）*100%。</w:t>
      </w:r>
    </w:p>
    <w:p w14:paraId="26048FA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2019年实际支出项目资金总额2149.87万元，年初预算共28个项目，预算数487.09万元，年中追加项目资金1662.78万元，项目资金使用率为100%。</w:t>
      </w:r>
    </w:p>
    <w:p w14:paraId="24E0471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该指标实际得分10分。</w:t>
      </w:r>
    </w:p>
    <w:p w14:paraId="37F7E4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hint="eastAsia"/>
        </w:rPr>
        <w:t xml:space="preserve"> </w:t>
      </w:r>
      <w:r>
        <w:rPr>
          <w:rFonts w:hint="eastAsia" w:ascii="仿宋_GB2312" w:eastAsia="仿宋_GB2312" w:cs="DengXian-Regular"/>
          <w:sz w:val="32"/>
          <w:szCs w:val="32"/>
        </w:rPr>
        <w:t>实际完成工作及时率（5分）</w:t>
      </w:r>
    </w:p>
    <w:p w14:paraId="1A0E42B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该指标主要评价实际完成工作及时率，通过项目资金完成及时率来衡量。</w:t>
      </w:r>
    </w:p>
    <w:p w14:paraId="042F67B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实际完成工作及时率=（实际完成工作数/计划完成工作数）*100%。</w:t>
      </w:r>
    </w:p>
    <w:p w14:paraId="5D0E0C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2019年实际完成工作数53个项目，年初预算共28个项目，年中追加项目25个，实际完成工作及时率为100%。</w:t>
      </w:r>
    </w:p>
    <w:p w14:paraId="5CB293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0B984858">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14:paraId="439F3004">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62E97E78">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13A5F2D4">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569AAA4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692E015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445491C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40D6020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4FE9F87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2F926DF8">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59BE158A">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4830D093">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0330EE72">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0D65C11D">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090D654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1D31301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2DFF240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14:paraId="090F5E26">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56735F64">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4EC798AE">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122D024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510D26D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05FB24B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14:paraId="543CBBA1">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5EAE84E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5B5E8311">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7ED9473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w:t>
            </w:r>
          </w:p>
        </w:tc>
        <w:tc>
          <w:tcPr>
            <w:tcW w:w="1045" w:type="dxa"/>
            <w:tcBorders>
              <w:top w:val="single" w:color="000000" w:sz="4" w:space="0"/>
              <w:left w:val="single" w:color="000000" w:sz="4" w:space="0"/>
              <w:bottom w:val="single" w:color="000000" w:sz="4" w:space="0"/>
              <w:right w:val="single" w:color="000000" w:sz="4" w:space="0"/>
            </w:tcBorders>
            <w:vAlign w:val="center"/>
          </w:tcPr>
          <w:p w14:paraId="39B6B8D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w:t>
            </w:r>
          </w:p>
        </w:tc>
      </w:tr>
      <w:bookmarkEnd w:id="70"/>
    </w:tbl>
    <w:p w14:paraId="55A3249D">
      <w:pPr>
        <w:spacing w:after="0" w:line="360" w:lineRule="auto"/>
        <w:ind w:firstLine="640" w:firstLineChars="200"/>
        <w:jc w:val="both"/>
        <w:textAlignment w:val="baseline"/>
        <w:rPr>
          <w:rFonts w:ascii="仿宋_GB2312" w:eastAsia="仿宋_GB2312" w:cs="DengXian-Regular"/>
          <w:sz w:val="32"/>
          <w:szCs w:val="32"/>
        </w:rPr>
      </w:pPr>
      <w:bookmarkStart w:id="71" w:name="_Toc492652784"/>
      <w:bookmarkStart w:id="72" w:name="_Toc464638561"/>
      <w:bookmarkStart w:id="73" w:name="_Toc465149516"/>
      <w:r>
        <w:rPr>
          <w:rFonts w:hint="eastAsia" w:ascii="仿宋_GB2312" w:eastAsia="仿宋_GB2312" w:cs="DengXian-Regular"/>
          <w:sz w:val="32"/>
          <w:szCs w:val="32"/>
        </w:rPr>
        <w:t>1.部门整体效益（10分）</w:t>
      </w:r>
    </w:p>
    <w:p w14:paraId="689F3F0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2CEF27E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经查看相关资料，岁城镇履行职责对社会发展所带来的社会效益一般，有效的提高了社会公众的维权意识，减少了社会不稳定因素。</w:t>
      </w:r>
    </w:p>
    <w:p w14:paraId="7E8B99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该项指标实际得分6分。</w:t>
      </w:r>
    </w:p>
    <w:p w14:paraId="49B618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2.考评满意度（10分）</w:t>
      </w:r>
    </w:p>
    <w:p w14:paraId="510B0BA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671FDFFF">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5C1114A8">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20830369">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48CAE10A">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0FBBCA78">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1080941A">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5F4B7468">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58A11983">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5C119AA5">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3640CD14">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634AC2DA">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6AAC800C">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w:t>
            </w:r>
          </w:p>
        </w:tc>
        <w:tc>
          <w:tcPr>
            <w:tcW w:w="1114" w:type="dxa"/>
            <w:tcBorders>
              <w:top w:val="single" w:color="000000" w:sz="4" w:space="0"/>
              <w:left w:val="single" w:color="000000" w:sz="4" w:space="0"/>
              <w:bottom w:val="single" w:color="000000" w:sz="4" w:space="0"/>
              <w:right w:val="single" w:color="000000" w:sz="4" w:space="0"/>
            </w:tcBorders>
            <w:vAlign w:val="center"/>
          </w:tcPr>
          <w:p w14:paraId="0DD998DB">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5BEC0F9C">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4616A22A">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4497C190">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34BCD40E">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14:paraId="27FA598B">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7146CB10">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417940BD">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7AEB147C">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3F8669BF">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587A8000">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0A72DE43">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14:paraId="653C9A74">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19DE62FC">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您对某项具体工作了解程度如何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328BF643">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37854BF4">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33D77964">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5D8B732E">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4418926A">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bl>
    <w:p w14:paraId="028BA17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7B9BB26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309EBC8D">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6863038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经计算，总体得分为100分，大于90分，评价等级为“满意”。</w:t>
      </w:r>
    </w:p>
    <w:p w14:paraId="5C7BCF2B">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该指标实际得分10分。</w:t>
      </w:r>
    </w:p>
    <w:p w14:paraId="7B9A2162">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2DEA67E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遂城镇</w:t>
      </w:r>
      <w:r>
        <w:rPr>
          <w:rFonts w:hint="eastAsia" w:ascii="仿宋_GB2312" w:eastAsia="仿宋_GB2312" w:cs="Times New Roman" w:hAnsiTheme="minorEastAsia"/>
          <w:sz w:val="32"/>
          <w:szCs w:val="32"/>
          <w:u w:color="000000"/>
        </w:rPr>
        <w:t>2019年部门整体支出基本按相关要求执行预算、决算，完成了绩效目标，资金使用效益良好。通过评价，也发现一些不足之处，具体情况如下：</w:t>
      </w:r>
      <w:bookmarkStart w:id="76" w:name="_Toc20723"/>
    </w:p>
    <w:p w14:paraId="6F026DE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Times New Roman" w:hAnsiTheme="minorEastAsia"/>
          <w:sz w:val="32"/>
          <w:szCs w:val="32"/>
          <w:u w:color="000000"/>
        </w:rPr>
        <w:t>1.部分绩效指标方面。</w:t>
      </w:r>
      <w:r>
        <w:rPr>
          <w:rFonts w:hint="eastAsia" w:ascii="仿宋_GB2312" w:eastAsia="仿宋_GB2312" w:cs="DengXian-Regular"/>
          <w:sz w:val="32"/>
          <w:szCs w:val="32"/>
        </w:rPr>
        <w:t>在设置职责活动绩效指标时，绩效目标没有细化分解为具体的工作任务数，绩效目标量化较困难，不便于对目标实现情况进行考核。</w:t>
      </w:r>
    </w:p>
    <w:p w14:paraId="5E1917F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Times New Roman" w:hAnsiTheme="minorEastAsia"/>
          <w:sz w:val="32"/>
          <w:szCs w:val="32"/>
          <w:u w:color="000000"/>
        </w:rPr>
        <w:t>2.预算决算比较。预算与决算差额较大，</w:t>
      </w:r>
      <w:r>
        <w:rPr>
          <w:rFonts w:hint="eastAsia" w:ascii="仿宋_GB2312" w:eastAsia="仿宋_GB2312" w:cs="DengXian-Regular"/>
          <w:sz w:val="32"/>
          <w:szCs w:val="32"/>
        </w:rPr>
        <w:t>没有根据具体情况及时调整预算的编制。</w:t>
      </w:r>
    </w:p>
    <w:p w14:paraId="1481A3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Times New Roman" w:hAnsiTheme="minorEastAsia"/>
          <w:sz w:val="32"/>
          <w:szCs w:val="32"/>
          <w:u w:color="000000"/>
        </w:rPr>
        <w:t>3.预算追加方面。</w:t>
      </w:r>
      <w:r>
        <w:rPr>
          <w:rFonts w:hint="eastAsia" w:ascii="仿宋_GB2312" w:eastAsia="仿宋_GB2312" w:cs="DengXian-Regular"/>
          <w:sz w:val="32"/>
          <w:szCs w:val="32"/>
        </w:rPr>
        <w:t>中期预算追加金额较大，提高预算编制质量，发挥预算约束作用。</w:t>
      </w:r>
    </w:p>
    <w:p w14:paraId="6A15AC10">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4.项目资金使用率方面。个别项目进展较慢，应拨付的资金未及时拨付，项目资金使用效率不高。</w:t>
      </w:r>
    </w:p>
    <w:bookmarkEnd w:id="75"/>
    <w:bookmarkEnd w:id="76"/>
    <w:p w14:paraId="7FD27CD5">
      <w:pPr>
        <w:spacing w:after="0" w:line="360" w:lineRule="auto"/>
        <w:jc w:val="both"/>
        <w:textAlignment w:val="baseline"/>
        <w:rPr>
          <w:rFonts w:ascii="仿宋_GB2312" w:eastAsia="仿宋_GB2312" w:cs="Times New Roman" w:hAnsiTheme="minorEastAsia"/>
          <w:sz w:val="32"/>
          <w:szCs w:val="32"/>
          <w:u w:color="000000"/>
        </w:rPr>
      </w:pPr>
      <w:bookmarkStart w:id="77" w:name="_Toc465149521"/>
    </w:p>
    <w:bookmarkEnd w:id="77"/>
    <w:p w14:paraId="0D11E495">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60FCD953">
      <w:pPr>
        <w:spacing w:after="0" w:line="360" w:lineRule="auto"/>
        <w:ind w:firstLine="640" w:firstLineChars="200"/>
        <w:jc w:val="both"/>
        <w:textAlignment w:val="baseline"/>
        <w:rPr>
          <w:rFonts w:ascii="仿宋_GB2312" w:eastAsia="仿宋_GB2312" w:cs="Times New Roman" w:hAnsiTheme="minorEastAsia"/>
          <w:sz w:val="32"/>
          <w:szCs w:val="32"/>
          <w:u w:color="000000"/>
        </w:rPr>
      </w:pPr>
    </w:p>
    <w:sectPr>
      <w:footerReference r:id="rId10"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AB026">
    <w:pPr>
      <w:pStyle w:val="14"/>
      <w:jc w:val="center"/>
    </w:pPr>
  </w:p>
  <w:p w14:paraId="755A5B0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F8153">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6662D">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73B90">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1A070">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CA03B">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86AAA">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GRkNGUyM2Q3ODAyMjk3YzczMGFkNzcyMzU1MzMifQ=="/>
  </w:docVars>
  <w:rsids>
    <w:rsidRoot w:val="00D31D50"/>
    <w:rsid w:val="00004179"/>
    <w:rsid w:val="0000439F"/>
    <w:rsid w:val="00007CA0"/>
    <w:rsid w:val="00015C39"/>
    <w:rsid w:val="000174D3"/>
    <w:rsid w:val="000209AA"/>
    <w:rsid w:val="0002415F"/>
    <w:rsid w:val="00025620"/>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5EDC"/>
    <w:rsid w:val="00077648"/>
    <w:rsid w:val="00080E48"/>
    <w:rsid w:val="00081E0A"/>
    <w:rsid w:val="00091D50"/>
    <w:rsid w:val="000935D5"/>
    <w:rsid w:val="0009618D"/>
    <w:rsid w:val="00096195"/>
    <w:rsid w:val="0009756F"/>
    <w:rsid w:val="000A067E"/>
    <w:rsid w:val="000A1D05"/>
    <w:rsid w:val="000A1F67"/>
    <w:rsid w:val="000A2079"/>
    <w:rsid w:val="000A5467"/>
    <w:rsid w:val="000A792B"/>
    <w:rsid w:val="000B071A"/>
    <w:rsid w:val="000B09F3"/>
    <w:rsid w:val="000B0C4A"/>
    <w:rsid w:val="000B23E8"/>
    <w:rsid w:val="000B3D8F"/>
    <w:rsid w:val="000B62FE"/>
    <w:rsid w:val="000B72BC"/>
    <w:rsid w:val="000B78D7"/>
    <w:rsid w:val="000C1503"/>
    <w:rsid w:val="000C1EA5"/>
    <w:rsid w:val="000C52FB"/>
    <w:rsid w:val="000C55E6"/>
    <w:rsid w:val="000C5D23"/>
    <w:rsid w:val="000C6D5A"/>
    <w:rsid w:val="000D09B2"/>
    <w:rsid w:val="000D7C38"/>
    <w:rsid w:val="000E0902"/>
    <w:rsid w:val="000E3830"/>
    <w:rsid w:val="000E41A6"/>
    <w:rsid w:val="000F070B"/>
    <w:rsid w:val="000F1687"/>
    <w:rsid w:val="000F3158"/>
    <w:rsid w:val="000F364D"/>
    <w:rsid w:val="000F4432"/>
    <w:rsid w:val="000F465E"/>
    <w:rsid w:val="000F5E8C"/>
    <w:rsid w:val="001000B2"/>
    <w:rsid w:val="00104C6C"/>
    <w:rsid w:val="0010560E"/>
    <w:rsid w:val="0010612A"/>
    <w:rsid w:val="00106FF7"/>
    <w:rsid w:val="00107111"/>
    <w:rsid w:val="001073D6"/>
    <w:rsid w:val="00107819"/>
    <w:rsid w:val="001117B5"/>
    <w:rsid w:val="00114EA8"/>
    <w:rsid w:val="0011574B"/>
    <w:rsid w:val="00116132"/>
    <w:rsid w:val="00117B9C"/>
    <w:rsid w:val="00117E7D"/>
    <w:rsid w:val="00120EA6"/>
    <w:rsid w:val="00122196"/>
    <w:rsid w:val="0012439D"/>
    <w:rsid w:val="0012587C"/>
    <w:rsid w:val="00127A01"/>
    <w:rsid w:val="0013591D"/>
    <w:rsid w:val="00141DE8"/>
    <w:rsid w:val="00144105"/>
    <w:rsid w:val="00145B4E"/>
    <w:rsid w:val="001544E1"/>
    <w:rsid w:val="00154AF2"/>
    <w:rsid w:val="001551CE"/>
    <w:rsid w:val="00155903"/>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965F7"/>
    <w:rsid w:val="001A0F7A"/>
    <w:rsid w:val="001A1677"/>
    <w:rsid w:val="001A1BB1"/>
    <w:rsid w:val="001A5FD3"/>
    <w:rsid w:val="001B0380"/>
    <w:rsid w:val="001B04A4"/>
    <w:rsid w:val="001B30D5"/>
    <w:rsid w:val="001B382A"/>
    <w:rsid w:val="001B5C88"/>
    <w:rsid w:val="001B6CE6"/>
    <w:rsid w:val="001C046D"/>
    <w:rsid w:val="001C1412"/>
    <w:rsid w:val="001C391F"/>
    <w:rsid w:val="001C4554"/>
    <w:rsid w:val="001C5135"/>
    <w:rsid w:val="001C6339"/>
    <w:rsid w:val="001C796E"/>
    <w:rsid w:val="001D1367"/>
    <w:rsid w:val="001D4DAD"/>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18D0"/>
    <w:rsid w:val="0021307B"/>
    <w:rsid w:val="002142B8"/>
    <w:rsid w:val="002161F4"/>
    <w:rsid w:val="00216E75"/>
    <w:rsid w:val="00221907"/>
    <w:rsid w:val="00222FA8"/>
    <w:rsid w:val="00223D9B"/>
    <w:rsid w:val="0022532A"/>
    <w:rsid w:val="00227AFB"/>
    <w:rsid w:val="0023477E"/>
    <w:rsid w:val="00235741"/>
    <w:rsid w:val="00236B18"/>
    <w:rsid w:val="00237551"/>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18A4"/>
    <w:rsid w:val="00272569"/>
    <w:rsid w:val="0027345D"/>
    <w:rsid w:val="002736FD"/>
    <w:rsid w:val="00274CFA"/>
    <w:rsid w:val="00275677"/>
    <w:rsid w:val="00275A3F"/>
    <w:rsid w:val="0028068C"/>
    <w:rsid w:val="00282A89"/>
    <w:rsid w:val="00283F8F"/>
    <w:rsid w:val="002869F9"/>
    <w:rsid w:val="002923C9"/>
    <w:rsid w:val="00292F98"/>
    <w:rsid w:val="002939A0"/>
    <w:rsid w:val="002959A3"/>
    <w:rsid w:val="0029626E"/>
    <w:rsid w:val="00296E59"/>
    <w:rsid w:val="00297CEF"/>
    <w:rsid w:val="002A0117"/>
    <w:rsid w:val="002A0364"/>
    <w:rsid w:val="002A1661"/>
    <w:rsid w:val="002A1A25"/>
    <w:rsid w:val="002A563C"/>
    <w:rsid w:val="002A563F"/>
    <w:rsid w:val="002A61F9"/>
    <w:rsid w:val="002B05EF"/>
    <w:rsid w:val="002B2E34"/>
    <w:rsid w:val="002B76FA"/>
    <w:rsid w:val="002C029E"/>
    <w:rsid w:val="002C0D76"/>
    <w:rsid w:val="002C2C71"/>
    <w:rsid w:val="002C5A65"/>
    <w:rsid w:val="002C71F3"/>
    <w:rsid w:val="002D2112"/>
    <w:rsid w:val="002D53D7"/>
    <w:rsid w:val="002D5508"/>
    <w:rsid w:val="002D5FC1"/>
    <w:rsid w:val="002D7AB3"/>
    <w:rsid w:val="002E1482"/>
    <w:rsid w:val="002E1D3C"/>
    <w:rsid w:val="002E1F73"/>
    <w:rsid w:val="002E269D"/>
    <w:rsid w:val="002E3460"/>
    <w:rsid w:val="002E70AE"/>
    <w:rsid w:val="002F0A2B"/>
    <w:rsid w:val="002F0C41"/>
    <w:rsid w:val="002F46F6"/>
    <w:rsid w:val="002F5B6A"/>
    <w:rsid w:val="002F5BF5"/>
    <w:rsid w:val="002F5ECA"/>
    <w:rsid w:val="00306572"/>
    <w:rsid w:val="003079A4"/>
    <w:rsid w:val="003079C7"/>
    <w:rsid w:val="003169F3"/>
    <w:rsid w:val="0032078D"/>
    <w:rsid w:val="00321CE0"/>
    <w:rsid w:val="0032231F"/>
    <w:rsid w:val="00323B43"/>
    <w:rsid w:val="00325BCC"/>
    <w:rsid w:val="003309A3"/>
    <w:rsid w:val="003345BC"/>
    <w:rsid w:val="00343662"/>
    <w:rsid w:val="00350EEA"/>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85512"/>
    <w:rsid w:val="00391AE3"/>
    <w:rsid w:val="00396D4C"/>
    <w:rsid w:val="003A02BE"/>
    <w:rsid w:val="003A1765"/>
    <w:rsid w:val="003A3C32"/>
    <w:rsid w:val="003A4D02"/>
    <w:rsid w:val="003A4D52"/>
    <w:rsid w:val="003A536E"/>
    <w:rsid w:val="003B5592"/>
    <w:rsid w:val="003B6DEC"/>
    <w:rsid w:val="003B79D3"/>
    <w:rsid w:val="003C1B64"/>
    <w:rsid w:val="003C2B92"/>
    <w:rsid w:val="003D126B"/>
    <w:rsid w:val="003D1D33"/>
    <w:rsid w:val="003D22C9"/>
    <w:rsid w:val="003D28AC"/>
    <w:rsid w:val="003D37D8"/>
    <w:rsid w:val="003D7B2A"/>
    <w:rsid w:val="003E266C"/>
    <w:rsid w:val="003E3C05"/>
    <w:rsid w:val="003F282F"/>
    <w:rsid w:val="003F5B1B"/>
    <w:rsid w:val="00400E89"/>
    <w:rsid w:val="00401AB4"/>
    <w:rsid w:val="00402CA2"/>
    <w:rsid w:val="00402D95"/>
    <w:rsid w:val="00403ADD"/>
    <w:rsid w:val="00407629"/>
    <w:rsid w:val="004108EE"/>
    <w:rsid w:val="00410F1A"/>
    <w:rsid w:val="00412A31"/>
    <w:rsid w:val="0041627D"/>
    <w:rsid w:val="004200B9"/>
    <w:rsid w:val="00426133"/>
    <w:rsid w:val="004300B1"/>
    <w:rsid w:val="00430AF8"/>
    <w:rsid w:val="0043148F"/>
    <w:rsid w:val="0043354D"/>
    <w:rsid w:val="00434EB0"/>
    <w:rsid w:val="004358AB"/>
    <w:rsid w:val="00435DA7"/>
    <w:rsid w:val="00436636"/>
    <w:rsid w:val="004370A2"/>
    <w:rsid w:val="00445C28"/>
    <w:rsid w:val="004468B5"/>
    <w:rsid w:val="00450AA0"/>
    <w:rsid w:val="00451E9F"/>
    <w:rsid w:val="004551F1"/>
    <w:rsid w:val="00456648"/>
    <w:rsid w:val="00457E00"/>
    <w:rsid w:val="00461E7C"/>
    <w:rsid w:val="004639E0"/>
    <w:rsid w:val="00463A6D"/>
    <w:rsid w:val="00465A21"/>
    <w:rsid w:val="0047047F"/>
    <w:rsid w:val="00472C49"/>
    <w:rsid w:val="00474DE3"/>
    <w:rsid w:val="00476A93"/>
    <w:rsid w:val="00477959"/>
    <w:rsid w:val="00486217"/>
    <w:rsid w:val="00486A56"/>
    <w:rsid w:val="00494D73"/>
    <w:rsid w:val="004A19C4"/>
    <w:rsid w:val="004A6EA4"/>
    <w:rsid w:val="004B0D0C"/>
    <w:rsid w:val="004B146A"/>
    <w:rsid w:val="004B1E69"/>
    <w:rsid w:val="004B4146"/>
    <w:rsid w:val="004B5892"/>
    <w:rsid w:val="004B59DD"/>
    <w:rsid w:val="004B5E88"/>
    <w:rsid w:val="004B5EDE"/>
    <w:rsid w:val="004C0341"/>
    <w:rsid w:val="004C0B24"/>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1B56"/>
    <w:rsid w:val="004E1F9E"/>
    <w:rsid w:val="004E3774"/>
    <w:rsid w:val="004E446B"/>
    <w:rsid w:val="004E4ED4"/>
    <w:rsid w:val="004E5448"/>
    <w:rsid w:val="004E5DFC"/>
    <w:rsid w:val="004E642E"/>
    <w:rsid w:val="004E7ADC"/>
    <w:rsid w:val="004F4875"/>
    <w:rsid w:val="005031BA"/>
    <w:rsid w:val="00503AB5"/>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2387"/>
    <w:rsid w:val="00544C1A"/>
    <w:rsid w:val="00546D1B"/>
    <w:rsid w:val="0055027D"/>
    <w:rsid w:val="00554FA1"/>
    <w:rsid w:val="00556934"/>
    <w:rsid w:val="005607DF"/>
    <w:rsid w:val="00564377"/>
    <w:rsid w:val="00564538"/>
    <w:rsid w:val="00566A89"/>
    <w:rsid w:val="00567E07"/>
    <w:rsid w:val="005703B8"/>
    <w:rsid w:val="00575E9C"/>
    <w:rsid w:val="005771F7"/>
    <w:rsid w:val="00577B7B"/>
    <w:rsid w:val="00583F7F"/>
    <w:rsid w:val="0058600B"/>
    <w:rsid w:val="00587913"/>
    <w:rsid w:val="00593428"/>
    <w:rsid w:val="00593B65"/>
    <w:rsid w:val="005A039D"/>
    <w:rsid w:val="005A15D6"/>
    <w:rsid w:val="005A1FD8"/>
    <w:rsid w:val="005A317D"/>
    <w:rsid w:val="005A79F9"/>
    <w:rsid w:val="005B2741"/>
    <w:rsid w:val="005C3594"/>
    <w:rsid w:val="005C46B7"/>
    <w:rsid w:val="005C7C8B"/>
    <w:rsid w:val="005D5617"/>
    <w:rsid w:val="005D6591"/>
    <w:rsid w:val="005D6869"/>
    <w:rsid w:val="005D7446"/>
    <w:rsid w:val="005E5F88"/>
    <w:rsid w:val="005F06F5"/>
    <w:rsid w:val="005F46C0"/>
    <w:rsid w:val="005F471D"/>
    <w:rsid w:val="005F5F54"/>
    <w:rsid w:val="005F720A"/>
    <w:rsid w:val="005F7467"/>
    <w:rsid w:val="005F78E7"/>
    <w:rsid w:val="006007F3"/>
    <w:rsid w:val="0060402C"/>
    <w:rsid w:val="00606AD4"/>
    <w:rsid w:val="0061252A"/>
    <w:rsid w:val="006135B3"/>
    <w:rsid w:val="006138D4"/>
    <w:rsid w:val="00616C03"/>
    <w:rsid w:val="00616F30"/>
    <w:rsid w:val="006215A2"/>
    <w:rsid w:val="00621F7D"/>
    <w:rsid w:val="00622AD1"/>
    <w:rsid w:val="00623267"/>
    <w:rsid w:val="0062494C"/>
    <w:rsid w:val="00625428"/>
    <w:rsid w:val="0062670B"/>
    <w:rsid w:val="00630B86"/>
    <w:rsid w:val="00630F5B"/>
    <w:rsid w:val="00634C66"/>
    <w:rsid w:val="006352D1"/>
    <w:rsid w:val="00636E1A"/>
    <w:rsid w:val="00641546"/>
    <w:rsid w:val="00642BA5"/>
    <w:rsid w:val="006434E0"/>
    <w:rsid w:val="00645E3D"/>
    <w:rsid w:val="00650C90"/>
    <w:rsid w:val="0065172D"/>
    <w:rsid w:val="0065287D"/>
    <w:rsid w:val="0065671B"/>
    <w:rsid w:val="00656A5A"/>
    <w:rsid w:val="00663A42"/>
    <w:rsid w:val="0066418E"/>
    <w:rsid w:val="0066469F"/>
    <w:rsid w:val="00666827"/>
    <w:rsid w:val="00667817"/>
    <w:rsid w:val="0067644C"/>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51AD"/>
    <w:rsid w:val="006B65B0"/>
    <w:rsid w:val="006C0E80"/>
    <w:rsid w:val="006C5198"/>
    <w:rsid w:val="006C6280"/>
    <w:rsid w:val="006C6A07"/>
    <w:rsid w:val="006D04BD"/>
    <w:rsid w:val="006D2C34"/>
    <w:rsid w:val="006E0A3D"/>
    <w:rsid w:val="006E27F1"/>
    <w:rsid w:val="006E5BC8"/>
    <w:rsid w:val="006E74C7"/>
    <w:rsid w:val="006E7CBA"/>
    <w:rsid w:val="006F1355"/>
    <w:rsid w:val="006F222F"/>
    <w:rsid w:val="006F7B69"/>
    <w:rsid w:val="0070241F"/>
    <w:rsid w:val="007024A9"/>
    <w:rsid w:val="00703C96"/>
    <w:rsid w:val="00704C40"/>
    <w:rsid w:val="007130D7"/>
    <w:rsid w:val="00713E98"/>
    <w:rsid w:val="00715591"/>
    <w:rsid w:val="00715AE8"/>
    <w:rsid w:val="0072516F"/>
    <w:rsid w:val="0073034D"/>
    <w:rsid w:val="00731ADC"/>
    <w:rsid w:val="007330F2"/>
    <w:rsid w:val="00733DB0"/>
    <w:rsid w:val="00735043"/>
    <w:rsid w:val="00740444"/>
    <w:rsid w:val="00744577"/>
    <w:rsid w:val="007452CF"/>
    <w:rsid w:val="00746055"/>
    <w:rsid w:val="00746DA9"/>
    <w:rsid w:val="00747086"/>
    <w:rsid w:val="007515E2"/>
    <w:rsid w:val="00756D66"/>
    <w:rsid w:val="00756DE9"/>
    <w:rsid w:val="00761D80"/>
    <w:rsid w:val="0076364A"/>
    <w:rsid w:val="00766FC5"/>
    <w:rsid w:val="00770E5B"/>
    <w:rsid w:val="00772930"/>
    <w:rsid w:val="00776E20"/>
    <w:rsid w:val="007814AF"/>
    <w:rsid w:val="007825F0"/>
    <w:rsid w:val="00787F88"/>
    <w:rsid w:val="00791F20"/>
    <w:rsid w:val="0079721A"/>
    <w:rsid w:val="007A095C"/>
    <w:rsid w:val="007A0AF8"/>
    <w:rsid w:val="007A283A"/>
    <w:rsid w:val="007A65C8"/>
    <w:rsid w:val="007A6B16"/>
    <w:rsid w:val="007A7AC4"/>
    <w:rsid w:val="007B50A7"/>
    <w:rsid w:val="007B639C"/>
    <w:rsid w:val="007B7036"/>
    <w:rsid w:val="007C0870"/>
    <w:rsid w:val="007C2D10"/>
    <w:rsid w:val="007C457D"/>
    <w:rsid w:val="007D02A9"/>
    <w:rsid w:val="007D166D"/>
    <w:rsid w:val="007D17C7"/>
    <w:rsid w:val="007D2766"/>
    <w:rsid w:val="007D2FF7"/>
    <w:rsid w:val="007D5AEF"/>
    <w:rsid w:val="007D74D8"/>
    <w:rsid w:val="007E13A4"/>
    <w:rsid w:val="007E20CA"/>
    <w:rsid w:val="007E3988"/>
    <w:rsid w:val="007E4698"/>
    <w:rsid w:val="007E6959"/>
    <w:rsid w:val="007E6991"/>
    <w:rsid w:val="007E7A36"/>
    <w:rsid w:val="007F222D"/>
    <w:rsid w:val="007F3FB7"/>
    <w:rsid w:val="007F518D"/>
    <w:rsid w:val="007F68FE"/>
    <w:rsid w:val="007F7E7E"/>
    <w:rsid w:val="00802A21"/>
    <w:rsid w:val="00803C29"/>
    <w:rsid w:val="00804E5E"/>
    <w:rsid w:val="00804FAA"/>
    <w:rsid w:val="00805678"/>
    <w:rsid w:val="00805D26"/>
    <w:rsid w:val="0081553D"/>
    <w:rsid w:val="00815BE9"/>
    <w:rsid w:val="00815C94"/>
    <w:rsid w:val="00815CF6"/>
    <w:rsid w:val="00816990"/>
    <w:rsid w:val="0081745D"/>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6E62"/>
    <w:rsid w:val="00847E07"/>
    <w:rsid w:val="00851297"/>
    <w:rsid w:val="008527FB"/>
    <w:rsid w:val="00852C43"/>
    <w:rsid w:val="0085331C"/>
    <w:rsid w:val="00853737"/>
    <w:rsid w:val="008541B8"/>
    <w:rsid w:val="00857249"/>
    <w:rsid w:val="00861067"/>
    <w:rsid w:val="00862AE2"/>
    <w:rsid w:val="00862C25"/>
    <w:rsid w:val="00863CA2"/>
    <w:rsid w:val="00864A80"/>
    <w:rsid w:val="008655ED"/>
    <w:rsid w:val="00866942"/>
    <w:rsid w:val="00871B0D"/>
    <w:rsid w:val="00871B14"/>
    <w:rsid w:val="00871E1D"/>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6728"/>
    <w:rsid w:val="008B7726"/>
    <w:rsid w:val="008C08EC"/>
    <w:rsid w:val="008C15DD"/>
    <w:rsid w:val="008C2997"/>
    <w:rsid w:val="008C443B"/>
    <w:rsid w:val="008C538A"/>
    <w:rsid w:val="008C6DB8"/>
    <w:rsid w:val="008D0618"/>
    <w:rsid w:val="008D196B"/>
    <w:rsid w:val="008D1AEB"/>
    <w:rsid w:val="008D1E23"/>
    <w:rsid w:val="008D2A7C"/>
    <w:rsid w:val="008D3031"/>
    <w:rsid w:val="008D4F00"/>
    <w:rsid w:val="008D7DBC"/>
    <w:rsid w:val="008E08B2"/>
    <w:rsid w:val="008E0AFC"/>
    <w:rsid w:val="008E1E43"/>
    <w:rsid w:val="008E3116"/>
    <w:rsid w:val="008E637F"/>
    <w:rsid w:val="008E66FE"/>
    <w:rsid w:val="008E6C1C"/>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3647"/>
    <w:rsid w:val="0092425B"/>
    <w:rsid w:val="00924D39"/>
    <w:rsid w:val="00924FFE"/>
    <w:rsid w:val="009263C3"/>
    <w:rsid w:val="009268AB"/>
    <w:rsid w:val="00930B26"/>
    <w:rsid w:val="0093494F"/>
    <w:rsid w:val="00934BD9"/>
    <w:rsid w:val="00935053"/>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9C3"/>
    <w:rsid w:val="0097337C"/>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2D6F"/>
    <w:rsid w:val="009A37AE"/>
    <w:rsid w:val="009A4059"/>
    <w:rsid w:val="009A47EF"/>
    <w:rsid w:val="009B1979"/>
    <w:rsid w:val="009B1E1B"/>
    <w:rsid w:val="009B2CC0"/>
    <w:rsid w:val="009B4C38"/>
    <w:rsid w:val="009C0DAB"/>
    <w:rsid w:val="009C1E20"/>
    <w:rsid w:val="009C380B"/>
    <w:rsid w:val="009D0378"/>
    <w:rsid w:val="009D0F18"/>
    <w:rsid w:val="009D1EFB"/>
    <w:rsid w:val="009D5964"/>
    <w:rsid w:val="009D6A0C"/>
    <w:rsid w:val="009E0725"/>
    <w:rsid w:val="009E1492"/>
    <w:rsid w:val="009E1AEE"/>
    <w:rsid w:val="009E4B3F"/>
    <w:rsid w:val="009E5877"/>
    <w:rsid w:val="009F4CA7"/>
    <w:rsid w:val="009F69B0"/>
    <w:rsid w:val="00A0310D"/>
    <w:rsid w:val="00A073F4"/>
    <w:rsid w:val="00A07BBE"/>
    <w:rsid w:val="00A155C4"/>
    <w:rsid w:val="00A16439"/>
    <w:rsid w:val="00A21057"/>
    <w:rsid w:val="00A217CE"/>
    <w:rsid w:val="00A21E86"/>
    <w:rsid w:val="00A22844"/>
    <w:rsid w:val="00A22DFB"/>
    <w:rsid w:val="00A30283"/>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67C15"/>
    <w:rsid w:val="00A73299"/>
    <w:rsid w:val="00A7536B"/>
    <w:rsid w:val="00A80356"/>
    <w:rsid w:val="00A805B5"/>
    <w:rsid w:val="00A816B6"/>
    <w:rsid w:val="00A82D81"/>
    <w:rsid w:val="00A96E79"/>
    <w:rsid w:val="00AA03FF"/>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045C"/>
    <w:rsid w:val="00B019E2"/>
    <w:rsid w:val="00B020ED"/>
    <w:rsid w:val="00B0351C"/>
    <w:rsid w:val="00B036CB"/>
    <w:rsid w:val="00B130D5"/>
    <w:rsid w:val="00B13566"/>
    <w:rsid w:val="00B13A54"/>
    <w:rsid w:val="00B14220"/>
    <w:rsid w:val="00B16868"/>
    <w:rsid w:val="00B16EF3"/>
    <w:rsid w:val="00B17251"/>
    <w:rsid w:val="00B2159A"/>
    <w:rsid w:val="00B21D32"/>
    <w:rsid w:val="00B313B2"/>
    <w:rsid w:val="00B320C3"/>
    <w:rsid w:val="00B331C4"/>
    <w:rsid w:val="00B34A43"/>
    <w:rsid w:val="00B36912"/>
    <w:rsid w:val="00B404A0"/>
    <w:rsid w:val="00B4256A"/>
    <w:rsid w:val="00B432AB"/>
    <w:rsid w:val="00B54D75"/>
    <w:rsid w:val="00B60C2A"/>
    <w:rsid w:val="00B61C81"/>
    <w:rsid w:val="00B65FC0"/>
    <w:rsid w:val="00B665EF"/>
    <w:rsid w:val="00B707DD"/>
    <w:rsid w:val="00B719F4"/>
    <w:rsid w:val="00B73995"/>
    <w:rsid w:val="00B74DBC"/>
    <w:rsid w:val="00B75E08"/>
    <w:rsid w:val="00B76684"/>
    <w:rsid w:val="00B7698F"/>
    <w:rsid w:val="00B80653"/>
    <w:rsid w:val="00B85F5F"/>
    <w:rsid w:val="00B86395"/>
    <w:rsid w:val="00B86E2B"/>
    <w:rsid w:val="00B87ADA"/>
    <w:rsid w:val="00B901FA"/>
    <w:rsid w:val="00B91DEC"/>
    <w:rsid w:val="00B92A56"/>
    <w:rsid w:val="00B931F8"/>
    <w:rsid w:val="00B95DB0"/>
    <w:rsid w:val="00B9722F"/>
    <w:rsid w:val="00B97741"/>
    <w:rsid w:val="00BA0721"/>
    <w:rsid w:val="00BA1883"/>
    <w:rsid w:val="00BA227D"/>
    <w:rsid w:val="00BA4C84"/>
    <w:rsid w:val="00BB55F7"/>
    <w:rsid w:val="00BC09FC"/>
    <w:rsid w:val="00BC0DD5"/>
    <w:rsid w:val="00BC1393"/>
    <w:rsid w:val="00BC60E6"/>
    <w:rsid w:val="00BD59B5"/>
    <w:rsid w:val="00BE2395"/>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2FF6"/>
    <w:rsid w:val="00C447FD"/>
    <w:rsid w:val="00C44B90"/>
    <w:rsid w:val="00C51434"/>
    <w:rsid w:val="00C51743"/>
    <w:rsid w:val="00C51A61"/>
    <w:rsid w:val="00C57393"/>
    <w:rsid w:val="00C60C78"/>
    <w:rsid w:val="00C64C71"/>
    <w:rsid w:val="00C6528B"/>
    <w:rsid w:val="00C661B3"/>
    <w:rsid w:val="00C70300"/>
    <w:rsid w:val="00C7037D"/>
    <w:rsid w:val="00C70637"/>
    <w:rsid w:val="00C71DC8"/>
    <w:rsid w:val="00C73A20"/>
    <w:rsid w:val="00C73E69"/>
    <w:rsid w:val="00C74592"/>
    <w:rsid w:val="00C767BA"/>
    <w:rsid w:val="00C8048C"/>
    <w:rsid w:val="00C80C68"/>
    <w:rsid w:val="00C86E9A"/>
    <w:rsid w:val="00C93A3D"/>
    <w:rsid w:val="00C94F0A"/>
    <w:rsid w:val="00CA1117"/>
    <w:rsid w:val="00CA3203"/>
    <w:rsid w:val="00CA6058"/>
    <w:rsid w:val="00CA6BD1"/>
    <w:rsid w:val="00CB07E9"/>
    <w:rsid w:val="00CB1B1B"/>
    <w:rsid w:val="00CB3E03"/>
    <w:rsid w:val="00CB405C"/>
    <w:rsid w:val="00CB5762"/>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D5DE5"/>
    <w:rsid w:val="00CE33C1"/>
    <w:rsid w:val="00CE3834"/>
    <w:rsid w:val="00CE7BFE"/>
    <w:rsid w:val="00CF148C"/>
    <w:rsid w:val="00CF3D94"/>
    <w:rsid w:val="00CF48A3"/>
    <w:rsid w:val="00CF5081"/>
    <w:rsid w:val="00CF55BD"/>
    <w:rsid w:val="00CF6B0E"/>
    <w:rsid w:val="00D0330E"/>
    <w:rsid w:val="00D058E4"/>
    <w:rsid w:val="00D07178"/>
    <w:rsid w:val="00D11C0B"/>
    <w:rsid w:val="00D11EE9"/>
    <w:rsid w:val="00D12957"/>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2A22"/>
    <w:rsid w:val="00D45C1B"/>
    <w:rsid w:val="00D45E14"/>
    <w:rsid w:val="00D51C9A"/>
    <w:rsid w:val="00D5318C"/>
    <w:rsid w:val="00D53371"/>
    <w:rsid w:val="00D53BD5"/>
    <w:rsid w:val="00D55621"/>
    <w:rsid w:val="00D6000E"/>
    <w:rsid w:val="00D6028F"/>
    <w:rsid w:val="00D61A64"/>
    <w:rsid w:val="00D713D6"/>
    <w:rsid w:val="00D71510"/>
    <w:rsid w:val="00D72DAF"/>
    <w:rsid w:val="00D75BB9"/>
    <w:rsid w:val="00D76276"/>
    <w:rsid w:val="00D77919"/>
    <w:rsid w:val="00D8083C"/>
    <w:rsid w:val="00D85B08"/>
    <w:rsid w:val="00D85F8D"/>
    <w:rsid w:val="00D87F81"/>
    <w:rsid w:val="00D90E39"/>
    <w:rsid w:val="00D97E89"/>
    <w:rsid w:val="00DA3692"/>
    <w:rsid w:val="00DA45EE"/>
    <w:rsid w:val="00DA58A3"/>
    <w:rsid w:val="00DA6631"/>
    <w:rsid w:val="00DB2F5B"/>
    <w:rsid w:val="00DB46CB"/>
    <w:rsid w:val="00DB695F"/>
    <w:rsid w:val="00DC03E7"/>
    <w:rsid w:val="00DC304D"/>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DF01EB"/>
    <w:rsid w:val="00DF1ADD"/>
    <w:rsid w:val="00DF2AE9"/>
    <w:rsid w:val="00E00A5F"/>
    <w:rsid w:val="00E016E3"/>
    <w:rsid w:val="00E05D64"/>
    <w:rsid w:val="00E07ABB"/>
    <w:rsid w:val="00E07D8F"/>
    <w:rsid w:val="00E13762"/>
    <w:rsid w:val="00E14E2F"/>
    <w:rsid w:val="00E1552D"/>
    <w:rsid w:val="00E1640B"/>
    <w:rsid w:val="00E20832"/>
    <w:rsid w:val="00E317A6"/>
    <w:rsid w:val="00E3190E"/>
    <w:rsid w:val="00E31F05"/>
    <w:rsid w:val="00E32285"/>
    <w:rsid w:val="00E34295"/>
    <w:rsid w:val="00E3667E"/>
    <w:rsid w:val="00E40112"/>
    <w:rsid w:val="00E40999"/>
    <w:rsid w:val="00E4160A"/>
    <w:rsid w:val="00E4228D"/>
    <w:rsid w:val="00E4254E"/>
    <w:rsid w:val="00E4608C"/>
    <w:rsid w:val="00E502A2"/>
    <w:rsid w:val="00E521B6"/>
    <w:rsid w:val="00E52931"/>
    <w:rsid w:val="00E53ACE"/>
    <w:rsid w:val="00E5519B"/>
    <w:rsid w:val="00E55FEE"/>
    <w:rsid w:val="00E57BD3"/>
    <w:rsid w:val="00E57D00"/>
    <w:rsid w:val="00E57D38"/>
    <w:rsid w:val="00E60CBF"/>
    <w:rsid w:val="00E65332"/>
    <w:rsid w:val="00E65F77"/>
    <w:rsid w:val="00E670CD"/>
    <w:rsid w:val="00E67EA9"/>
    <w:rsid w:val="00E7195B"/>
    <w:rsid w:val="00E734FB"/>
    <w:rsid w:val="00E7727F"/>
    <w:rsid w:val="00E83519"/>
    <w:rsid w:val="00E91889"/>
    <w:rsid w:val="00E91F0F"/>
    <w:rsid w:val="00E92AAF"/>
    <w:rsid w:val="00E944E2"/>
    <w:rsid w:val="00E95C54"/>
    <w:rsid w:val="00E96103"/>
    <w:rsid w:val="00EA027D"/>
    <w:rsid w:val="00EA112B"/>
    <w:rsid w:val="00EA21D1"/>
    <w:rsid w:val="00EA496F"/>
    <w:rsid w:val="00EA5A2D"/>
    <w:rsid w:val="00EB22CF"/>
    <w:rsid w:val="00EB3414"/>
    <w:rsid w:val="00EB39DD"/>
    <w:rsid w:val="00EB40E4"/>
    <w:rsid w:val="00EB67BA"/>
    <w:rsid w:val="00EC16F8"/>
    <w:rsid w:val="00EC306F"/>
    <w:rsid w:val="00EC408E"/>
    <w:rsid w:val="00EC41F2"/>
    <w:rsid w:val="00EC4488"/>
    <w:rsid w:val="00EC4EB3"/>
    <w:rsid w:val="00EC5617"/>
    <w:rsid w:val="00EC7C9E"/>
    <w:rsid w:val="00ED090B"/>
    <w:rsid w:val="00ED230D"/>
    <w:rsid w:val="00ED2440"/>
    <w:rsid w:val="00ED2E0E"/>
    <w:rsid w:val="00EE1C0B"/>
    <w:rsid w:val="00EE3127"/>
    <w:rsid w:val="00EE59D0"/>
    <w:rsid w:val="00EE5F73"/>
    <w:rsid w:val="00EE7DB3"/>
    <w:rsid w:val="00EE7FF3"/>
    <w:rsid w:val="00EF26BF"/>
    <w:rsid w:val="00EF26C1"/>
    <w:rsid w:val="00EF4861"/>
    <w:rsid w:val="00EF4EC1"/>
    <w:rsid w:val="00EF50C7"/>
    <w:rsid w:val="00EF56C6"/>
    <w:rsid w:val="00EF5E19"/>
    <w:rsid w:val="00EF779D"/>
    <w:rsid w:val="00EF7E82"/>
    <w:rsid w:val="00F007DE"/>
    <w:rsid w:val="00F01970"/>
    <w:rsid w:val="00F01B91"/>
    <w:rsid w:val="00F06A68"/>
    <w:rsid w:val="00F06AF6"/>
    <w:rsid w:val="00F079A5"/>
    <w:rsid w:val="00F07F69"/>
    <w:rsid w:val="00F107F9"/>
    <w:rsid w:val="00F111E0"/>
    <w:rsid w:val="00F117D4"/>
    <w:rsid w:val="00F16475"/>
    <w:rsid w:val="00F22D55"/>
    <w:rsid w:val="00F24A9A"/>
    <w:rsid w:val="00F2592D"/>
    <w:rsid w:val="00F25C5F"/>
    <w:rsid w:val="00F26F6E"/>
    <w:rsid w:val="00F3182D"/>
    <w:rsid w:val="00F34EF2"/>
    <w:rsid w:val="00F3580F"/>
    <w:rsid w:val="00F406BB"/>
    <w:rsid w:val="00F41AFA"/>
    <w:rsid w:val="00F43CCC"/>
    <w:rsid w:val="00F44AD0"/>
    <w:rsid w:val="00F50379"/>
    <w:rsid w:val="00F55102"/>
    <w:rsid w:val="00F57115"/>
    <w:rsid w:val="00F6298B"/>
    <w:rsid w:val="00F63B02"/>
    <w:rsid w:val="00F65350"/>
    <w:rsid w:val="00F65C21"/>
    <w:rsid w:val="00F700A6"/>
    <w:rsid w:val="00F760D1"/>
    <w:rsid w:val="00F81272"/>
    <w:rsid w:val="00F8151A"/>
    <w:rsid w:val="00F83788"/>
    <w:rsid w:val="00F84D69"/>
    <w:rsid w:val="00F85054"/>
    <w:rsid w:val="00F852D9"/>
    <w:rsid w:val="00F87328"/>
    <w:rsid w:val="00F87AEF"/>
    <w:rsid w:val="00F87C14"/>
    <w:rsid w:val="00F94F61"/>
    <w:rsid w:val="00F9672A"/>
    <w:rsid w:val="00FA17B4"/>
    <w:rsid w:val="00FA3581"/>
    <w:rsid w:val="00FB10B8"/>
    <w:rsid w:val="00FB24BA"/>
    <w:rsid w:val="00FB28C8"/>
    <w:rsid w:val="00FB381D"/>
    <w:rsid w:val="00FB6172"/>
    <w:rsid w:val="00FB6492"/>
    <w:rsid w:val="00FC007D"/>
    <w:rsid w:val="00FC131A"/>
    <w:rsid w:val="00FC224A"/>
    <w:rsid w:val="00FC4136"/>
    <w:rsid w:val="00FC43D6"/>
    <w:rsid w:val="00FC76CA"/>
    <w:rsid w:val="00FD2208"/>
    <w:rsid w:val="00FD2EC4"/>
    <w:rsid w:val="00FD5E8E"/>
    <w:rsid w:val="00FD63D3"/>
    <w:rsid w:val="00FD717D"/>
    <w:rsid w:val="00FE0D6A"/>
    <w:rsid w:val="00FE44CF"/>
    <w:rsid w:val="00FF0FE1"/>
    <w:rsid w:val="00FF11EB"/>
    <w:rsid w:val="00FF1239"/>
    <w:rsid w:val="00FF1AC1"/>
    <w:rsid w:val="00FF5353"/>
    <w:rsid w:val="00FF5DE3"/>
    <w:rsid w:val="00FF62F7"/>
    <w:rsid w:val="00FF6BB0"/>
    <w:rsid w:val="00FF6EAF"/>
    <w:rsid w:val="00FF7408"/>
    <w:rsid w:val="01F65399"/>
    <w:rsid w:val="026A1A9F"/>
    <w:rsid w:val="02AF54A4"/>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1F3CF8"/>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040D59"/>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ABC01EE"/>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autoRedefine/>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autoRedefine/>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autoRedefine/>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autoRedefine/>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autoRedefine/>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autoRedefine/>
    <w:qFormat/>
    <w:uiPriority w:val="99"/>
    <w:rPr>
      <w:color w:val="0000FF"/>
      <w:u w:val="single"/>
    </w:rPr>
  </w:style>
  <w:style w:type="character" w:styleId="29">
    <w:name w:val="annotation reference"/>
    <w:basedOn w:val="24"/>
    <w:autoRedefine/>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autoRedefine/>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autoRedefine/>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autoRedefine/>
    <w:qFormat/>
    <w:uiPriority w:val="99"/>
    <w:pPr>
      <w:ind w:firstLine="420" w:firstLineChars="200"/>
    </w:pPr>
  </w:style>
  <w:style w:type="character" w:customStyle="1" w:styleId="41">
    <w:name w:val="批注文字 Char"/>
    <w:basedOn w:val="24"/>
    <w:link w:val="9"/>
    <w:autoRedefine/>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autoRedefine/>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autoRedefine/>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autoRedefine/>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autoRedefine/>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autoRedefine/>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autoRedefine/>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autoRedefine/>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autoRedefine/>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autoRedefine/>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autoRedefine/>
    <w:qFormat/>
    <w:uiPriority w:val="0"/>
    <w:rPr>
      <w:rFonts w:eastAsia="宋体" w:asciiTheme="majorHAnsi" w:hAnsiTheme="majorHAnsi" w:cstheme="majorBidi"/>
      <w:b/>
      <w:bCs/>
      <w:kern w:val="2"/>
      <w:sz w:val="32"/>
      <w:szCs w:val="32"/>
    </w:rPr>
  </w:style>
  <w:style w:type="paragraph" w:customStyle="1" w:styleId="71">
    <w:name w:val="TOC 标题1"/>
    <w:basedOn w:val="2"/>
    <w:next w:val="1"/>
    <w:autoRedefine/>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autoRedefine/>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2019</a:t>
            </a:r>
            <a:r>
              <a:rPr lang="zh-CN" altLang="en-US"/>
              <a:t>年度决算收入结构图</a:t>
            </a:r>
            <a:endParaRPr lang="zh-CN" altLang="en-US"/>
          </a:p>
        </c:rich>
      </c:tx>
      <c:layout/>
      <c:overlay val="0"/>
    </c:title>
    <c:autoTitleDeleted val="0"/>
    <c:plotArea>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dPt>
            <c:idx val="1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Sheet1!$A$2:$A$13</c:f>
              <c:strCache>
                <c:ptCount val="12"/>
                <c:pt idx="0">
                  <c:v>一般公共服务</c:v>
                </c:pt>
                <c:pt idx="1">
                  <c:v>公共安全</c:v>
                </c:pt>
                <c:pt idx="2">
                  <c:v>科学技术</c:v>
                </c:pt>
                <c:pt idx="3">
                  <c:v>文化旅游体育与传媒</c:v>
                </c:pt>
                <c:pt idx="4">
                  <c:v>社会保障和就业</c:v>
                </c:pt>
                <c:pt idx="5">
                  <c:v>卫生健康</c:v>
                </c:pt>
                <c:pt idx="6">
                  <c:v>节能环保</c:v>
                </c:pt>
                <c:pt idx="7">
                  <c:v>城乡社区</c:v>
                </c:pt>
                <c:pt idx="8">
                  <c:v>农林水</c:v>
                </c:pt>
                <c:pt idx="9">
                  <c:v>住房保障</c:v>
                </c:pt>
                <c:pt idx="10">
                  <c:v>交通运输</c:v>
                </c:pt>
                <c:pt idx="11">
                  <c:v>灾害防治及应急管理</c:v>
                </c:pt>
              </c:strCache>
            </c:strRef>
          </c:cat>
          <c:val>
            <c:numRef>
              <c:f>Sheet1!$B$2:$B$13</c:f>
              <c:numCache>
                <c:formatCode>General</c:formatCode>
                <c:ptCount val="12"/>
                <c:pt idx="0">
                  <c:v>1287.54</c:v>
                </c:pt>
                <c:pt idx="1">
                  <c:v>3.18</c:v>
                </c:pt>
                <c:pt idx="2">
                  <c:v>0.6</c:v>
                </c:pt>
                <c:pt idx="3">
                  <c:v>19.24</c:v>
                </c:pt>
                <c:pt idx="4">
                  <c:v>333.64</c:v>
                </c:pt>
                <c:pt idx="5">
                  <c:v>42.2</c:v>
                </c:pt>
                <c:pt idx="6">
                  <c:v>86.65</c:v>
                </c:pt>
                <c:pt idx="7">
                  <c:v>946.09</c:v>
                </c:pt>
                <c:pt idx="8">
                  <c:v>873.3</c:v>
                </c:pt>
                <c:pt idx="9">
                  <c:v>78.41</c:v>
                </c:pt>
                <c:pt idx="10">
                  <c:v>13.01</c:v>
                </c:pt>
                <c:pt idx="11">
                  <c:v>2.1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718511422534277"/>
          <c:y val="0.148336453818711"/>
          <c:w val="0.257421771388297"/>
          <c:h val="0.74584093156637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8e43729d-cb19-4c2b-bd2f-18853d6ca565}"/>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r">
              <a:defRPr lang="zh-CN" sz="1800" b="1" i="0" u="none" strike="noStrike" kern="1200" baseline="0">
                <a:solidFill>
                  <a:schemeClr val="tx1"/>
                </a:solidFill>
                <a:latin typeface="+mn-lt"/>
                <a:ea typeface="+mn-ea"/>
                <a:cs typeface="+mn-cs"/>
              </a:defRPr>
            </a:pPr>
            <a:r>
              <a:rPr lang="en-US" altLang="zh-CN"/>
              <a:t>2019</a:t>
            </a:r>
            <a:r>
              <a:rPr lang="zh-CN" altLang="en-US"/>
              <a:t>年度预算收入与决算收入对比图</a:t>
            </a:r>
            <a:endParaRPr lang="en-US" altLang="zh-CN"/>
          </a:p>
          <a:p>
            <a:pPr algn="r">
              <a:defRPr lang="zh-CN" sz="1800" b="1" i="0" u="none" strike="noStrike" kern="1200" baseline="0">
                <a:solidFill>
                  <a:schemeClr val="tx1"/>
                </a:solidFill>
                <a:latin typeface="+mn-lt"/>
                <a:ea typeface="+mn-ea"/>
                <a:cs typeface="+mn-cs"/>
              </a:defRPr>
            </a:pPr>
            <a:r>
              <a:rPr lang="zh-CN" altLang="en-US" sz="1100"/>
              <a:t>单位：万元</a:t>
            </a:r>
            <a:endParaRPr lang="zh-CN" altLang="en-US" sz="1100"/>
          </a:p>
        </c:rich>
      </c:tx>
      <c:layout>
        <c:manualLayout>
          <c:xMode val="edge"/>
          <c:yMode val="edge"/>
          <c:x val="0.166986501116584"/>
          <c:y val="0.000461253818682501"/>
        </c:manualLayout>
      </c:layout>
      <c:overlay val="0"/>
    </c:title>
    <c:autoTitleDeleted val="0"/>
    <c:plotArea>
      <c:layout/>
      <c:barChart>
        <c:barDir val="col"/>
        <c:grouping val="clustered"/>
        <c:varyColors val="0"/>
        <c:ser>
          <c:idx val="0"/>
          <c:order val="0"/>
          <c:tx>
            <c:strRef>
              <c:f>Sheet1!$B$1</c:f>
              <c:strCache>
                <c:ptCount val="1"/>
                <c:pt idx="0">
                  <c:v>预算</c:v>
                </c:pt>
              </c:strCache>
            </c:strRef>
          </c:tx>
          <c:invertIfNegative val="0"/>
          <c:dLbls>
            <c:delete val="1"/>
          </c:dLbls>
          <c:cat>
            <c:strRef>
              <c:f>Sheet1!$A$2:$A$13</c:f>
              <c:strCache>
                <c:ptCount val="12"/>
                <c:pt idx="0">
                  <c:v>一般公共服务支出</c:v>
                </c:pt>
                <c:pt idx="1">
                  <c:v>公共安全</c:v>
                </c:pt>
                <c:pt idx="2">
                  <c:v>科学技术</c:v>
                </c:pt>
                <c:pt idx="3">
                  <c:v>文化旅游体育与传媒</c:v>
                </c:pt>
                <c:pt idx="4">
                  <c:v>社会保障和就业</c:v>
                </c:pt>
                <c:pt idx="5">
                  <c:v>卫生健康</c:v>
                </c:pt>
                <c:pt idx="6">
                  <c:v>节能环保</c:v>
                </c:pt>
                <c:pt idx="7">
                  <c:v>城乡社区</c:v>
                </c:pt>
                <c:pt idx="8">
                  <c:v>农林水</c:v>
                </c:pt>
                <c:pt idx="9">
                  <c:v>住房保障</c:v>
                </c:pt>
                <c:pt idx="10">
                  <c:v>灾害防治及应急管理</c:v>
                </c:pt>
                <c:pt idx="11">
                  <c:v>交通运输</c:v>
                </c:pt>
              </c:strCache>
            </c:strRef>
          </c:cat>
          <c:val>
            <c:numRef>
              <c:f>Sheet1!$B$2:$B$13</c:f>
              <c:numCache>
                <c:formatCode>General</c:formatCode>
                <c:ptCount val="12"/>
                <c:pt idx="0">
                  <c:v>1412.41</c:v>
                </c:pt>
                <c:pt idx="1">
                  <c:v>0</c:v>
                </c:pt>
                <c:pt idx="2">
                  <c:v>0.6</c:v>
                </c:pt>
                <c:pt idx="3">
                  <c:v>16.39</c:v>
                </c:pt>
                <c:pt idx="4">
                  <c:v>200.84</c:v>
                </c:pt>
                <c:pt idx="5">
                  <c:v>46.96</c:v>
                </c:pt>
                <c:pt idx="6">
                  <c:v>14</c:v>
                </c:pt>
                <c:pt idx="7">
                  <c:v>13.2</c:v>
                </c:pt>
                <c:pt idx="8">
                  <c:v>327.52</c:v>
                </c:pt>
                <c:pt idx="9">
                  <c:v>77.17</c:v>
                </c:pt>
                <c:pt idx="10">
                  <c:v>2.1</c:v>
                </c:pt>
                <c:pt idx="11">
                  <c:v>13.5</c:v>
                </c:pt>
              </c:numCache>
            </c:numRef>
          </c:val>
        </c:ser>
        <c:ser>
          <c:idx val="1"/>
          <c:order val="1"/>
          <c:tx>
            <c:strRef>
              <c:f>Sheet1!$C$1</c:f>
              <c:strCache>
                <c:ptCount val="1"/>
                <c:pt idx="0">
                  <c:v>决算</c:v>
                </c:pt>
              </c:strCache>
            </c:strRef>
          </c:tx>
          <c:invertIfNegative val="0"/>
          <c:dLbls>
            <c:delete val="1"/>
          </c:dLbls>
          <c:cat>
            <c:strRef>
              <c:f>Sheet1!$A$2:$A$13</c:f>
              <c:strCache>
                <c:ptCount val="12"/>
                <c:pt idx="0">
                  <c:v>一般公共服务支出</c:v>
                </c:pt>
                <c:pt idx="1">
                  <c:v>公共安全</c:v>
                </c:pt>
                <c:pt idx="2">
                  <c:v>科学技术</c:v>
                </c:pt>
                <c:pt idx="3">
                  <c:v>文化旅游体育与传媒</c:v>
                </c:pt>
                <c:pt idx="4">
                  <c:v>社会保障和就业</c:v>
                </c:pt>
                <c:pt idx="5">
                  <c:v>卫生健康</c:v>
                </c:pt>
                <c:pt idx="6">
                  <c:v>节能环保</c:v>
                </c:pt>
                <c:pt idx="7">
                  <c:v>城乡社区</c:v>
                </c:pt>
                <c:pt idx="8">
                  <c:v>农林水</c:v>
                </c:pt>
                <c:pt idx="9">
                  <c:v>住房保障</c:v>
                </c:pt>
                <c:pt idx="10">
                  <c:v>灾害防治及应急管理</c:v>
                </c:pt>
                <c:pt idx="11">
                  <c:v>交通运输</c:v>
                </c:pt>
              </c:strCache>
            </c:strRef>
          </c:cat>
          <c:val>
            <c:numRef>
              <c:f>Sheet1!$C$2:$C$13</c:f>
              <c:numCache>
                <c:formatCode>General</c:formatCode>
                <c:ptCount val="12"/>
                <c:pt idx="0">
                  <c:v>1287.54</c:v>
                </c:pt>
                <c:pt idx="1">
                  <c:v>3.18</c:v>
                </c:pt>
                <c:pt idx="2">
                  <c:v>0.6</c:v>
                </c:pt>
                <c:pt idx="3">
                  <c:v>19.24</c:v>
                </c:pt>
                <c:pt idx="4">
                  <c:v>333.64</c:v>
                </c:pt>
                <c:pt idx="5">
                  <c:v>42.2</c:v>
                </c:pt>
                <c:pt idx="6">
                  <c:v>86.65</c:v>
                </c:pt>
                <c:pt idx="7">
                  <c:v>984.09</c:v>
                </c:pt>
                <c:pt idx="8">
                  <c:v>862.93</c:v>
                </c:pt>
                <c:pt idx="9">
                  <c:v>78.41</c:v>
                </c:pt>
                <c:pt idx="10">
                  <c:v>2.1</c:v>
                </c:pt>
                <c:pt idx="11">
                  <c:v>13.01</c:v>
                </c:pt>
              </c:numCache>
            </c:numRef>
          </c:val>
        </c:ser>
        <c:dLbls>
          <c:showLegendKey val="0"/>
          <c:showVal val="0"/>
          <c:showCatName val="0"/>
          <c:showSerName val="0"/>
          <c:showPercent val="0"/>
          <c:showBubbleSize val="0"/>
        </c:dLbls>
        <c:gapWidth val="150"/>
        <c:axId val="316958208"/>
        <c:axId val="316959744"/>
      </c:barChart>
      <c:catAx>
        <c:axId val="31695820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16959744"/>
        <c:crosses val="autoZero"/>
        <c:auto val="1"/>
        <c:lblAlgn val="ctr"/>
        <c:lblOffset val="100"/>
        <c:noMultiLvlLbl val="0"/>
      </c:catAx>
      <c:valAx>
        <c:axId val="31695974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16958208"/>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extLst>
      <c:ext uri="{0b15fc19-7d7d-44ad-8c2d-2c3a37ce22c3}">
        <chartProps xmlns="https://web.wps.cn/et/2018/main" chartId="{833ec414-35aa-4894-adaa-a16271107173}"/>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2019</a:t>
            </a:r>
            <a:r>
              <a:rPr lang="zh-CN" altLang="en-US"/>
              <a:t>年度遂城镇决算支出结构图</a:t>
            </a:r>
            <a:endParaRPr lang="zh-CN" altLang="en-US"/>
          </a:p>
        </c:rich>
      </c:tx>
      <c:layout/>
      <c:overlay val="0"/>
    </c:title>
    <c:autoTitleDeleted val="0"/>
    <c:plotArea>
      <c:layout/>
      <c:pieChart>
        <c:varyColors val="1"/>
        <c:ser>
          <c:idx val="0"/>
          <c:order val="0"/>
          <c:tx>
            <c:strRef>
              <c:f>Sheet1!$B$1</c:f>
              <c:strCache>
                <c:ptCount val="1"/>
                <c:pt idx="0">
                  <c:v>2019年度遂城镇决算收入结构图</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dPt>
            <c:idx val="1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Sheet1!$A$2:$A$13</c:f>
              <c:strCache>
                <c:ptCount val="12"/>
                <c:pt idx="0">
                  <c:v>一般公共服务支出</c:v>
                </c:pt>
                <c:pt idx="1">
                  <c:v>公共安全</c:v>
                </c:pt>
                <c:pt idx="2">
                  <c:v>科学技术</c:v>
                </c:pt>
                <c:pt idx="3">
                  <c:v>文化旅游体育与传媒</c:v>
                </c:pt>
                <c:pt idx="4">
                  <c:v>社会保障和就业</c:v>
                </c:pt>
                <c:pt idx="5">
                  <c:v>卫生健康</c:v>
                </c:pt>
                <c:pt idx="6">
                  <c:v>节能环保</c:v>
                </c:pt>
                <c:pt idx="7">
                  <c:v>城乡社区</c:v>
                </c:pt>
                <c:pt idx="8">
                  <c:v>农林水</c:v>
                </c:pt>
                <c:pt idx="9">
                  <c:v>住房保障</c:v>
                </c:pt>
                <c:pt idx="10">
                  <c:v>灾害防治及应急管理</c:v>
                </c:pt>
                <c:pt idx="11">
                  <c:v>交通运输</c:v>
                </c:pt>
              </c:strCache>
            </c:strRef>
          </c:cat>
          <c:val>
            <c:numRef>
              <c:f>Sheet1!$B$2:$B$13</c:f>
              <c:numCache>
                <c:formatCode>General</c:formatCode>
                <c:ptCount val="12"/>
                <c:pt idx="0">
                  <c:v>1299.33</c:v>
                </c:pt>
                <c:pt idx="1">
                  <c:v>3.18</c:v>
                </c:pt>
                <c:pt idx="2">
                  <c:v>0.6</c:v>
                </c:pt>
                <c:pt idx="3">
                  <c:v>20.35</c:v>
                </c:pt>
                <c:pt idx="4">
                  <c:v>332.93</c:v>
                </c:pt>
                <c:pt idx="5">
                  <c:v>42.2</c:v>
                </c:pt>
                <c:pt idx="6">
                  <c:v>86.65</c:v>
                </c:pt>
                <c:pt idx="7">
                  <c:v>984.09</c:v>
                </c:pt>
                <c:pt idx="8">
                  <c:v>862.93</c:v>
                </c:pt>
                <c:pt idx="9">
                  <c:v>78.41</c:v>
                </c:pt>
                <c:pt idx="10">
                  <c:v>2.1</c:v>
                </c:pt>
                <c:pt idx="11">
                  <c:v>13.01</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631b915-9404-4068-a0ea-3b407684c8e6}"/>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r">
              <a:defRPr lang="zh-CN" sz="1800" b="1" i="0" u="none" strike="noStrike" kern="1200" baseline="0">
                <a:solidFill>
                  <a:schemeClr val="tx1"/>
                </a:solidFill>
                <a:latin typeface="+mn-lt"/>
                <a:ea typeface="+mn-ea"/>
                <a:cs typeface="+mn-cs"/>
              </a:defRPr>
            </a:pPr>
            <a:r>
              <a:rPr lang="en-US" altLang="zh-CN" sz="1400" b="0" i="0" baseline="0"/>
              <a:t>2019</a:t>
            </a:r>
            <a:r>
              <a:rPr lang="zh-CN" altLang="zh-CN" sz="1400" b="0" i="0" baseline="0"/>
              <a:t>年度预算</a:t>
            </a:r>
            <a:r>
              <a:rPr lang="zh-CN" altLang="en-US" sz="1400" b="0" i="0" baseline="0"/>
              <a:t>支出</a:t>
            </a:r>
            <a:r>
              <a:rPr lang="zh-CN" altLang="zh-CN" sz="1400" b="0" i="0" baseline="0"/>
              <a:t>与决算</a:t>
            </a:r>
            <a:r>
              <a:rPr lang="zh-CN" altLang="en-US" sz="1400" b="0" i="0" baseline="0"/>
              <a:t>支出</a:t>
            </a:r>
            <a:r>
              <a:rPr lang="zh-CN" altLang="zh-CN" sz="1400" b="0" i="0" baseline="0"/>
              <a:t>对比图</a:t>
            </a:r>
            <a:r>
              <a:rPr lang="en-US" altLang="zh-CN" sz="1400" b="0" i="0" baseline="0"/>
              <a:t>                                         </a:t>
            </a:r>
            <a:r>
              <a:rPr lang="zh-CN" altLang="en-US" sz="1100" b="0" i="0" baseline="0"/>
              <a:t>单位：万元</a:t>
            </a:r>
            <a:endParaRPr lang="zh-CN" altLang="zh-CN" sz="1100"/>
          </a:p>
        </c:rich>
      </c:tx>
      <c:layout>
        <c:manualLayout>
          <c:xMode val="edge"/>
          <c:yMode val="edge"/>
          <c:x val="0.24738106679481"/>
          <c:y val="0.0301659125188537"/>
        </c:manualLayout>
      </c:layout>
      <c:overlay val="0"/>
    </c:title>
    <c:autoTitleDeleted val="0"/>
    <c:plotArea>
      <c:layout/>
      <c:barChart>
        <c:barDir val="col"/>
        <c:grouping val="clustered"/>
        <c:varyColors val="0"/>
        <c:ser>
          <c:idx val="0"/>
          <c:order val="0"/>
          <c:tx>
            <c:strRef>
              <c:f>Sheet1!$B$1</c:f>
              <c:strCache>
                <c:ptCount val="1"/>
                <c:pt idx="0">
                  <c:v>预算</c:v>
                </c:pt>
              </c:strCache>
            </c:strRef>
          </c:tx>
          <c:invertIfNegative val="0"/>
          <c:dLbls>
            <c:delete val="1"/>
          </c:dLbls>
          <c:cat>
            <c:strRef>
              <c:f>Sheet1!$A$2:$A$13</c:f>
              <c:strCache>
                <c:ptCount val="12"/>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pt idx="11">
                  <c:v>交通运输</c:v>
                </c:pt>
              </c:strCache>
            </c:strRef>
          </c:cat>
          <c:val>
            <c:numRef>
              <c:f>Sheet1!$B$2:$B$13</c:f>
              <c:numCache>
                <c:formatCode>General</c:formatCode>
                <c:ptCount val="12"/>
                <c:pt idx="0">
                  <c:v>1412.41</c:v>
                </c:pt>
                <c:pt idx="1">
                  <c:v>0</c:v>
                </c:pt>
                <c:pt idx="2">
                  <c:v>0.6</c:v>
                </c:pt>
                <c:pt idx="3">
                  <c:v>16.39</c:v>
                </c:pt>
                <c:pt idx="4">
                  <c:v>200.84</c:v>
                </c:pt>
                <c:pt idx="5">
                  <c:v>46.96</c:v>
                </c:pt>
                <c:pt idx="6">
                  <c:v>14</c:v>
                </c:pt>
                <c:pt idx="7">
                  <c:v>13.2</c:v>
                </c:pt>
                <c:pt idx="8">
                  <c:v>327.52</c:v>
                </c:pt>
                <c:pt idx="9">
                  <c:v>77.17</c:v>
                </c:pt>
                <c:pt idx="10">
                  <c:v>2.1</c:v>
                </c:pt>
                <c:pt idx="11">
                  <c:v>13.5</c:v>
                </c:pt>
              </c:numCache>
            </c:numRef>
          </c:val>
        </c:ser>
        <c:ser>
          <c:idx val="1"/>
          <c:order val="1"/>
          <c:tx>
            <c:strRef>
              <c:f>Sheet1!$C$1</c:f>
              <c:strCache>
                <c:ptCount val="1"/>
                <c:pt idx="0">
                  <c:v>决算</c:v>
                </c:pt>
              </c:strCache>
            </c:strRef>
          </c:tx>
          <c:invertIfNegative val="0"/>
          <c:dLbls>
            <c:delete val="1"/>
          </c:dLbls>
          <c:cat>
            <c:strRef>
              <c:f>Sheet1!$A$2:$A$13</c:f>
              <c:strCache>
                <c:ptCount val="12"/>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pt idx="11">
                  <c:v>交通运输</c:v>
                </c:pt>
              </c:strCache>
            </c:strRef>
          </c:cat>
          <c:val>
            <c:numRef>
              <c:f>Sheet1!$C$2:$C$13</c:f>
              <c:numCache>
                <c:formatCode>General</c:formatCode>
                <c:ptCount val="12"/>
                <c:pt idx="0">
                  <c:v>1299.33</c:v>
                </c:pt>
                <c:pt idx="1">
                  <c:v>3.18</c:v>
                </c:pt>
                <c:pt idx="2">
                  <c:v>0.6</c:v>
                </c:pt>
                <c:pt idx="3">
                  <c:v>20.35</c:v>
                </c:pt>
                <c:pt idx="4">
                  <c:v>332.93</c:v>
                </c:pt>
                <c:pt idx="5">
                  <c:v>42.2</c:v>
                </c:pt>
                <c:pt idx="6">
                  <c:v>86.65</c:v>
                </c:pt>
                <c:pt idx="7">
                  <c:v>984.09</c:v>
                </c:pt>
                <c:pt idx="8">
                  <c:v>862.93</c:v>
                </c:pt>
                <c:pt idx="9">
                  <c:v>78.41</c:v>
                </c:pt>
                <c:pt idx="10">
                  <c:v>2.8</c:v>
                </c:pt>
                <c:pt idx="11">
                  <c:v>13.01</c:v>
                </c:pt>
              </c:numCache>
            </c:numRef>
          </c:val>
        </c:ser>
        <c:dLbls>
          <c:showLegendKey val="0"/>
          <c:showVal val="0"/>
          <c:showCatName val="0"/>
          <c:showSerName val="0"/>
          <c:showPercent val="0"/>
          <c:showBubbleSize val="0"/>
        </c:dLbls>
        <c:gapWidth val="150"/>
        <c:axId val="319340544"/>
        <c:axId val="319342080"/>
      </c:barChart>
      <c:catAx>
        <c:axId val="31934054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19342080"/>
        <c:crosses val="autoZero"/>
        <c:auto val="1"/>
        <c:lblAlgn val="ctr"/>
        <c:lblOffset val="100"/>
        <c:noMultiLvlLbl val="0"/>
      </c:catAx>
      <c:valAx>
        <c:axId val="31934208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19340544"/>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extLst>
      <c:ext uri="{0b15fc19-7d7d-44ad-8c2d-2c3a37ce22c3}">
        <chartProps xmlns="https://web.wps.cn/et/2018/main" chartId="{d25c366e-551a-4f2c-8606-2a79b94fde6e}"/>
      </c:ext>
    </c:extLst>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AE3E6-B8E5-44AB-B8C1-53D29389B1B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513</Words>
  <Characters>542</Characters>
  <Lines>109</Lines>
  <Paragraphs>30</Paragraphs>
  <TotalTime>3105</TotalTime>
  <ScaleCrop>false</ScaleCrop>
  <LinksUpToDate>false</LinksUpToDate>
  <CharactersWithSpaces>640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雪儿~影</cp:lastModifiedBy>
  <cp:lastPrinted>2020-11-26T01:36:00Z</cp:lastPrinted>
  <dcterms:modified xsi:type="dcterms:W3CDTF">2025-05-12T03:40:28Z</dcterms:modified>
  <cp:revision>340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F7CF14FBDF58494ABA0B99B1ECD39F20_13</vt:lpwstr>
  </property>
  <property fmtid="{D5CDD505-2E9C-101B-9397-08002B2CF9AE}" pid="4" name="KSOTemplateDocerSaveRecord">
    <vt:lpwstr>eyJoZGlkIjoiYWM1MjFiMjkzYjJiNzIyZWRkNWFjMzdlYTMyY2ZmOTkiLCJ1c2VySWQiOiIxMTM1NDEyNTI0In0=</vt:lpwstr>
  </property>
</Properties>
</file>