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F4A20">
      <w:pPr>
        <w:widowControl w:val="0"/>
        <w:adjustRightInd/>
        <w:snapToGrid/>
        <w:spacing w:after="0" w:line="540" w:lineRule="exact"/>
        <w:rPr>
          <w:rFonts w:ascii="Times New Roman" w:hAnsi="Times New Roman" w:eastAsia="宋体" w:cs="Times New Roman"/>
          <w:bCs/>
          <w:kern w:val="2"/>
          <w:sz w:val="32"/>
          <w:szCs w:val="32"/>
        </w:rPr>
      </w:pPr>
    </w:p>
    <w:p w14:paraId="225B6392">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B41724C">
      <w:pPr>
        <w:widowControl w:val="0"/>
        <w:adjustRightInd/>
        <w:snapToGrid/>
        <w:spacing w:after="0" w:line="580" w:lineRule="exact"/>
        <w:jc w:val="center"/>
        <w:rPr>
          <w:rFonts w:asciiTheme="majorEastAsia" w:hAnsiTheme="majorEastAsia" w:eastAsiaTheme="majorEastAsia" w:cstheme="majorEastAsia"/>
          <w:b/>
          <w:kern w:val="2"/>
          <w:sz w:val="44"/>
          <w:szCs w:val="44"/>
        </w:rPr>
      </w:pPr>
      <w:r>
        <w:rPr>
          <w:rFonts w:hint="eastAsia" w:asciiTheme="majorEastAsia" w:hAnsiTheme="majorEastAsia" w:eastAsiaTheme="majorEastAsia" w:cstheme="majorEastAsia"/>
          <w:b/>
          <w:kern w:val="2"/>
          <w:sz w:val="44"/>
          <w:szCs w:val="44"/>
        </w:rPr>
        <w:t>中共保定市徐水区委统战部</w:t>
      </w:r>
    </w:p>
    <w:p w14:paraId="1DED8FE2">
      <w:pPr>
        <w:widowControl w:val="0"/>
        <w:adjustRightInd/>
        <w:snapToGrid/>
        <w:spacing w:after="0" w:line="580" w:lineRule="exact"/>
        <w:jc w:val="center"/>
        <w:rPr>
          <w:rFonts w:ascii="黑体" w:hAnsi="黑体" w:eastAsia="黑体" w:cs="Times New Roman"/>
          <w:bCs/>
          <w:kern w:val="2"/>
          <w:sz w:val="48"/>
          <w:szCs w:val="48"/>
        </w:rPr>
      </w:pPr>
      <w:r>
        <w:rPr>
          <w:rFonts w:hint="eastAsia" w:asciiTheme="majorEastAsia" w:hAnsiTheme="majorEastAsia" w:eastAsiaTheme="majorEastAsia" w:cstheme="majorEastAsia"/>
          <w:b/>
          <w:kern w:val="2"/>
          <w:sz w:val="44"/>
          <w:szCs w:val="44"/>
        </w:rPr>
        <w:t>202</w:t>
      </w:r>
      <w:r>
        <w:rPr>
          <w:rFonts w:asciiTheme="majorEastAsia" w:hAnsiTheme="majorEastAsia" w:eastAsiaTheme="majorEastAsia" w:cstheme="majorEastAsia"/>
          <w:b/>
          <w:kern w:val="2"/>
          <w:sz w:val="44"/>
          <w:szCs w:val="44"/>
        </w:rPr>
        <w:t>1</w:t>
      </w:r>
      <w:r>
        <w:rPr>
          <w:rFonts w:hint="eastAsia" w:asciiTheme="majorEastAsia" w:hAnsiTheme="majorEastAsia" w:eastAsiaTheme="majorEastAsia" w:cstheme="majorEastAsia"/>
          <w:b/>
          <w:kern w:val="2"/>
          <w:sz w:val="44"/>
          <w:szCs w:val="44"/>
        </w:rPr>
        <w:t>年部门整体支出绩效评价自评报告</w:t>
      </w:r>
    </w:p>
    <w:p w14:paraId="4274E5F2">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69BB94D">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EA79937">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883FF0C">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AD75D18">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371E996">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AA68E8D">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0E42E58">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C2237C7">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8656DBD">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833600D">
      <w:pPr>
        <w:widowControl w:val="0"/>
        <w:adjustRightInd/>
        <w:snapToGrid/>
        <w:spacing w:after="0" w:line="540" w:lineRule="exact"/>
        <w:jc w:val="both"/>
        <w:rPr>
          <w:rFonts w:ascii="Times New Roman" w:hAnsi="Times New Roman" w:eastAsia="宋体" w:cs="Times New Roman"/>
          <w:bCs/>
          <w:kern w:val="2"/>
          <w:sz w:val="72"/>
          <w:szCs w:val="24"/>
        </w:rPr>
      </w:pPr>
    </w:p>
    <w:p w14:paraId="528B62CF">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DA7737C">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DA891F4">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FE54C21">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ABF4E4D">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w:t>
      </w:r>
      <w:r>
        <w:rPr>
          <w:rFonts w:cs="Times New Roman" w:asciiTheme="minorEastAsia" w:hAnsiTheme="minorEastAsia" w:eastAsiaTheme="minorEastAsia"/>
          <w:bCs/>
          <w:kern w:val="2"/>
          <w:sz w:val="36"/>
          <w:szCs w:val="36"/>
        </w:rPr>
        <w:t>22</w:t>
      </w:r>
      <w:r>
        <w:rPr>
          <w:rFonts w:hint="eastAsia" w:cs="Times New Roman" w:asciiTheme="minorEastAsia" w:hAnsiTheme="minorEastAsia" w:eastAsiaTheme="minorEastAsia"/>
          <w:bCs/>
          <w:kern w:val="2"/>
          <w:sz w:val="36"/>
          <w:szCs w:val="36"/>
        </w:rPr>
        <w:t>年</w:t>
      </w:r>
      <w:r>
        <w:rPr>
          <w:rFonts w:cs="Times New Roman" w:asciiTheme="minorEastAsia" w:hAnsiTheme="minorEastAsia" w:eastAsiaTheme="minorEastAsia"/>
          <w:bCs/>
          <w:kern w:val="2"/>
          <w:sz w:val="36"/>
          <w:szCs w:val="36"/>
        </w:rPr>
        <w:t>11</w:t>
      </w:r>
      <w:r>
        <w:rPr>
          <w:rFonts w:hint="eastAsia" w:cs="Times New Roman" w:asciiTheme="minorEastAsia" w:hAnsiTheme="minorEastAsia" w:eastAsiaTheme="minorEastAsia"/>
          <w:bCs/>
          <w:kern w:val="2"/>
          <w:sz w:val="36"/>
          <w:szCs w:val="36"/>
        </w:rPr>
        <w:t>月</w:t>
      </w:r>
    </w:p>
    <w:p w14:paraId="6394A68B">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4E297BA">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553602B">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0E957E3">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14:paraId="5B02A92F">
          <w:pPr>
            <w:pStyle w:val="71"/>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14:paraId="0C123461">
          <w:pPr>
            <w:pStyle w:val="18"/>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13B26E24">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_Toc4346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6</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7A87BC30">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一、中共保定市徐水区委统战部基本情况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_Toc427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6</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73C6F3C6">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_Toc11473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F702D20">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_Toc7075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8E93DFE">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_Toc1678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D83E92D">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_Toc18197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7F10DB9">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_Toc19291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369AF24">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_Toc20454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14</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33155220">
          <w:pPr>
            <w:pStyle w:val="18"/>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_Toc9569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9D8AA18">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5D2CA1C">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B9CB1E7">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_Toc21821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E0C4379">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16</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0E053CE4">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920773D">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14D74E2">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3B48E08">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EDDD91A">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DEA7CF8">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_Toc20821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99BF759">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_Toc6467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20</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115CBFE1">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_Toc4390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20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F08FC63">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_Toc19940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24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A45D7CF">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31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CB899B2">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_Toc28363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32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9AE22E4">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_Toc13757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34</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75A6B81B">
          <w:pPr>
            <w:pStyle w:val="18"/>
            <w:tabs>
              <w:tab w:val="right" w:leader="dot" w:pos="8312"/>
            </w:tabs>
            <w:spacing w:line="312" w:lineRule="auto"/>
            <w:ind w:left="0" w:leftChars="0"/>
            <w:rPr>
              <w:b/>
              <w:bCs/>
            </w:rPr>
          </w:pPr>
          <w:r>
            <w:fldChar w:fldCharType="begin"/>
          </w:r>
          <w:r>
            <w:instrText xml:space="preserve"> HYPERLINK \l "_Toc20723" </w:instrText>
          </w:r>
          <w:r>
            <w:fldChar w:fldCharType="separate"/>
          </w:r>
          <w:r>
            <w:rPr>
              <w:rFonts w:hint="eastAsia" w:asciiTheme="majorEastAsia" w:hAnsiTheme="majorEastAsia" w:eastAsiaTheme="majorEastAsia" w:cstheme="majorEastAsia"/>
              <w:b/>
              <w:bCs/>
              <w:sz w:val="24"/>
            </w:rPr>
            <w:t>六、绩效评价意见及建议</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_Toc20723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34</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51987889">
          <w:pPr>
            <w:spacing w:line="312" w:lineRule="auto"/>
            <w:ind w:firstLine="44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14:paraId="1630A496">
      <w:pPr>
        <w:pStyle w:val="3"/>
        <w:spacing w:line="540" w:lineRule="exact"/>
        <w:jc w:val="center"/>
        <w:rPr>
          <w:rFonts w:ascii="黑体" w:hAnsi="黑体"/>
          <w:b w:val="0"/>
        </w:rPr>
      </w:pPr>
      <w:bookmarkStart w:id="0" w:name="_Toc25184"/>
      <w:r>
        <w:rPr>
          <w:rFonts w:hint="eastAsia" w:ascii="黑体" w:hAnsi="黑体"/>
          <w:b w:val="0"/>
        </w:rPr>
        <w:t>第一部分   摘  要</w:t>
      </w:r>
      <w:bookmarkEnd w:id="0"/>
    </w:p>
    <w:p w14:paraId="1740C9B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w:t>
      </w:r>
      <w:r>
        <w:rPr>
          <w:rFonts w:ascii="仿宋_GB2312" w:eastAsia="仿宋_GB2312" w:cs="DengXian-Regular"/>
          <w:sz w:val="32"/>
          <w:szCs w:val="32"/>
        </w:rPr>
        <w:t>2021</w:t>
      </w:r>
      <w:r>
        <w:rPr>
          <w:rFonts w:hint="eastAsia" w:ascii="仿宋_GB2312" w:eastAsia="仿宋_GB2312" w:cs="DengXian-Regular"/>
          <w:sz w:val="32"/>
          <w:szCs w:val="32"/>
        </w:rPr>
        <w:t>年部门整体支出情况开展了绩效自评价工作。</w:t>
      </w:r>
    </w:p>
    <w:p w14:paraId="126A330B">
      <w:pPr>
        <w:spacing w:after="0" w:line="56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中共保定市徐水区委机构编制委员会办公室（简称区委统战部）为正科级行政单位，经费保障形式为财政拨款，下设</w:t>
      </w:r>
      <w:r>
        <w:rPr>
          <w:rFonts w:ascii="仿宋_GB2312" w:eastAsia="仿宋_GB2312" w:cs="DengXian-Regular"/>
          <w:sz w:val="32"/>
          <w:szCs w:val="32"/>
        </w:rPr>
        <w:t>2</w:t>
      </w:r>
      <w:r>
        <w:rPr>
          <w:rFonts w:hint="eastAsia" w:ascii="仿宋_GB2312" w:eastAsia="仿宋_GB2312" w:cs="DengXian-Regular"/>
          <w:sz w:val="32"/>
          <w:szCs w:val="32"/>
        </w:rPr>
        <w:t>个股室，分别为综合股、民族宗教股。</w:t>
      </w:r>
    </w:p>
    <w:p w14:paraId="374F1D08">
      <w:pPr>
        <w:spacing w:after="0" w:line="56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主要职责：</w:t>
      </w:r>
    </w:p>
    <w:p w14:paraId="68EB996A">
      <w:pPr>
        <w:spacing w:line="50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一）贯彻落实加强党对统一战线工作集中统一领导的要求，发挥区委在统战工作方面的参谋机构、组织协调机构、具体执行机构、督促检查机构作用，了解情况、掌握政策协调关系、安排人事、増进共识、加强团结，协调统一战线各方面关系。开展统一战线理论研究，及时向区委报告统一战线工作情况并提出建议。</w:t>
      </w:r>
    </w:p>
    <w:p w14:paraId="57F20E5A">
      <w:pPr>
        <w:spacing w:line="50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组织和落实中央、省委、市委、区委关于统一战线工作重大决策部署，巩固壮大最广泛的爱国统一战线。</w:t>
      </w:r>
    </w:p>
    <w:p w14:paraId="3C551C7D">
      <w:pPr>
        <w:spacing w:line="50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二）负责发现、培养党外代表人士，负责党外人士的政治安排，会同有关部门做好安排党外人士担任政府和司法机关等领导职务的工作，协助区工商联、区民族宗教事务局做好干部管理工作，反映和协调解决党外代表人士工作生活中的实际困难。</w:t>
      </w:r>
    </w:p>
    <w:p w14:paraId="1209F71E">
      <w:pPr>
        <w:spacing w:line="50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（三）贯彻落实党的宣传工作方针政策，统筹推进全区统一战线宣传工作，加强统一战线意识形态领域建设，拟订全区统一战线宣传工作规划并组织实施，研判涉及统一战线的舆情并协调有关部门应对处置。</w:t>
      </w:r>
    </w:p>
    <w:p w14:paraId="7F20A10C">
      <w:pPr>
        <w:spacing w:line="50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四）负责联系各民主党派，通报情况、反映意见，贯彻落实中国共产党领导的多党合作和政治协商制度以及对民主党派的方针政策，支持、帮助民主党派加强自身建设做好支持民主党派履行职责、发挥作用的工作。</w:t>
      </w:r>
    </w:p>
    <w:p w14:paraId="64A71377">
      <w:pPr>
        <w:spacing w:line="50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（五）统一领导民族工作，贯彻落实党的民族工作方针协调落实民族工作政策和重大措施，协调处理民族工作中的重大</w:t>
      </w:r>
      <w:r>
        <w:rPr>
          <w:rFonts w:hint="eastAsia" w:ascii="仿宋_GB2312" w:eastAsia="仿宋_GB2312" w:cs="DengXian-Regular"/>
          <w:sz w:val="32"/>
          <w:szCs w:val="32"/>
          <w:lang w:eastAsia="zh-CN"/>
        </w:rPr>
        <w:t>问题</w:t>
      </w:r>
      <w:r>
        <w:rPr>
          <w:rFonts w:hint="eastAsia" w:ascii="仿宋_GB2312" w:eastAsia="仿宋_GB2312" w:cs="DengXian-Regular"/>
          <w:sz w:val="32"/>
          <w:szCs w:val="32"/>
        </w:rPr>
        <w:t>，根据分工做好少数民族干部和少数民族代表人士工作，领导区民族宗教事务局依法管理民族事务，全面促进民族事业发展。</w:t>
      </w:r>
    </w:p>
    <w:p w14:paraId="0D793FE6">
      <w:pPr>
        <w:spacing w:line="50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（六）统一领导宗教工作，贯彻落实党和国家的宗教工作基本方针政策和法律法规，领导区民族宗教事务局，依法管理宗教事务，妥善处理重</w:t>
      </w:r>
      <w:bookmarkStart w:id="80" w:name="_GoBack"/>
      <w:bookmarkEnd w:id="80"/>
      <w:r>
        <w:rPr>
          <w:rFonts w:hint="eastAsia" w:ascii="仿宋_GB2312" w:eastAsia="仿宋_GB2312" w:cs="DengXian-Regular"/>
          <w:sz w:val="32"/>
          <w:szCs w:val="32"/>
        </w:rPr>
        <w:t>大突发问题保护公民宗教信仰自由和正常的宗教活动，维护宗教界合法权益，抵御境外利用宗教进行渗透。联系、培养宗教界代表人士，指导帮助宗教团体加强自身建设，引导各宗教坚持中国化方向，巩固和发展同宗教界的爱国统一战线。</w:t>
      </w:r>
    </w:p>
    <w:p w14:paraId="7DF2F06A">
      <w:pPr>
        <w:spacing w:line="50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七）负责联系、培养无党派代表人士，支持、帮助无党派人士加强自身建设、发挥作用。调查研究党外知识分子和新的社会阶层人士情况并提出政策建议，联系、培养党外知识分子和新的社会阶层代表人士，开展思想政治工作，指导学校、医院及国有企事业单位和社会组织开展党外知识分子和新的社会阶层人士统战工作。</w:t>
      </w:r>
    </w:p>
    <w:p w14:paraId="38EE7A2C">
      <w:pPr>
        <w:spacing w:line="50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（八）参与制定、推动落实鼓励支持引导非公有制经济发展的政策措施，调查研究非公有制经济入士情况并提出政策建议，了解和反映非公有制经济人士的意见，团结、服务引导、教育非公有制经济人士，构建</w:t>
      </w:r>
      <w:r>
        <w:rPr>
          <w:rFonts w:ascii="仿宋_GB2312" w:eastAsia="仿宋_GB2312" w:cs="DengXian-Regular"/>
          <w:sz w:val="32"/>
          <w:szCs w:val="32"/>
        </w:rPr>
        <w:t>“</w:t>
      </w:r>
      <w:r>
        <w:rPr>
          <w:rFonts w:hint="eastAsia" w:ascii="仿宋_GB2312" w:eastAsia="仿宋_GB2312" w:cs="DengXian-Regular"/>
          <w:sz w:val="32"/>
          <w:szCs w:val="32"/>
        </w:rPr>
        <w:t>亲</w:t>
      </w:r>
      <w:r>
        <w:rPr>
          <w:rFonts w:ascii="仿宋_GB2312" w:eastAsia="仿宋_GB2312" w:cs="DengXian-Regular"/>
          <w:sz w:val="32"/>
          <w:szCs w:val="32"/>
        </w:rPr>
        <w:t>”“</w:t>
      </w:r>
      <w:r>
        <w:rPr>
          <w:rFonts w:hint="eastAsia" w:ascii="仿宋_GB2312" w:eastAsia="仿宋_GB2312" w:cs="DengXian-Regular"/>
          <w:sz w:val="32"/>
          <w:szCs w:val="32"/>
        </w:rPr>
        <w:t>清</w:t>
      </w:r>
      <w:r>
        <w:rPr>
          <w:rFonts w:ascii="仿宋_GB2312" w:eastAsia="仿宋_GB2312" w:cs="DengXian-Regular"/>
          <w:sz w:val="32"/>
          <w:szCs w:val="32"/>
        </w:rPr>
        <w:t>”</w:t>
      </w:r>
      <w:r>
        <w:rPr>
          <w:rFonts w:hint="eastAsia" w:ascii="仿宋_GB2312" w:eastAsia="仿宋_GB2312" w:cs="DengXian-Regular"/>
          <w:sz w:val="32"/>
          <w:szCs w:val="32"/>
        </w:rPr>
        <w:t>新型政商关系，促进非公有制经济健康发展和非公有制经济人士健康成长。</w:t>
      </w:r>
    </w:p>
    <w:p w14:paraId="409D21FC">
      <w:pPr>
        <w:spacing w:line="50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九）承担区委台湾工作和区政府台湾事务工作。贯彻执行党中央、国务院对台工作的方针政策，开展对台工作调查研究，掌握望台经贸之间交流交往动向，并结合我区实际提出对策和建议。会同有关部门统筹协调和指导对台经贸工作，组织重要台商的投资活动，参与区政府对台大型招商活动。协调、指导全区涉台金融、文化学术、教育、科技、体育、卫生等领域的交流与合作及赴台人员往来工作。</w:t>
      </w:r>
    </w:p>
    <w:p w14:paraId="3CF79AE3">
      <w:pPr>
        <w:spacing w:line="50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十）统一管理全区侨务工作，贯彻落实党的侨务工作方针政策并组织协调、督促检查落实，调查研究侨情和侨务工作情况，管理侨务行政事务，统筹协调有关部门和社会团体涉侨工作，联系海外华侨社团及其代表人士，指导推动涉侨宣传、文化交流、华文教育工作等，保护华侨和归侨侨眷在我区的合法权利和利益。</w:t>
      </w:r>
    </w:p>
    <w:p w14:paraId="51409E19">
      <w:pPr>
        <w:spacing w:line="50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（十一）协助管理乡镇城区办统战干部、宗教专干，领导区工商联党组，指导工商联工作。负责区委统一战线工作领导小组、区宗教工作领导小组、区对台工作领导小组的日常工作。</w:t>
      </w:r>
    </w:p>
    <w:p w14:paraId="4B21E91F">
      <w:pPr>
        <w:spacing w:after="0" w:line="56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（十二）完成区委、区政府交办的其他任务。</w:t>
      </w:r>
    </w:p>
    <w:p w14:paraId="0E29CDAE">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14:paraId="4CDACAC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14:paraId="1ECCB34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区委统战部202</w:t>
      </w:r>
      <w:r>
        <w:rPr>
          <w:rFonts w:ascii="仿宋_GB2312" w:eastAsia="仿宋_GB2312" w:cs="DengXian-Regular"/>
          <w:sz w:val="32"/>
          <w:szCs w:val="32"/>
        </w:rPr>
        <w:t>1</w:t>
      </w:r>
      <w:r>
        <w:rPr>
          <w:rFonts w:hint="eastAsia" w:ascii="仿宋_GB2312" w:eastAsia="仿宋_GB2312" w:cs="DengXian-Regular"/>
          <w:sz w:val="32"/>
          <w:szCs w:val="32"/>
        </w:rPr>
        <w:t>年部门整体支出绩效评价工作。</w:t>
      </w:r>
    </w:p>
    <w:p w14:paraId="4CC2742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区委统战部202</w:t>
      </w:r>
      <w:r>
        <w:rPr>
          <w:rFonts w:ascii="仿宋_GB2312" w:eastAsia="仿宋_GB2312" w:cs="DengXian-Regular"/>
          <w:sz w:val="32"/>
          <w:szCs w:val="32"/>
        </w:rPr>
        <w:t>1</w:t>
      </w:r>
      <w:r>
        <w:rPr>
          <w:rFonts w:hint="eastAsia" w:ascii="仿宋_GB2312" w:eastAsia="仿宋_GB2312" w:cs="DengXian-Regular"/>
          <w:sz w:val="32"/>
          <w:szCs w:val="32"/>
        </w:rPr>
        <w:t>年部门整体支出绩效评价指标体系共设置4个一级指标、7个二级指标、27个三级指标，从投入、过程、产出、效果四个方面对区委统战部部门整体支出情况评分定级。指标体系设定满分为100分，绩效评价分值≥90为“优”；80≤分值＜90为“良”；60≤分值＜80为“合格”；60分以下为“差”。</w:t>
      </w:r>
    </w:p>
    <w:p w14:paraId="5ACFDEC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区委统战部202</w:t>
      </w:r>
      <w:r>
        <w:rPr>
          <w:rFonts w:ascii="仿宋_GB2312" w:eastAsia="仿宋_GB2312" w:cs="DengXian-Regular"/>
          <w:sz w:val="32"/>
          <w:szCs w:val="32"/>
        </w:rPr>
        <w:t>1</w:t>
      </w:r>
      <w:r>
        <w:rPr>
          <w:rFonts w:hint="eastAsia" w:ascii="仿宋_GB2312" w:eastAsia="仿宋_GB2312" w:cs="DengXian-Regular"/>
          <w:sz w:val="32"/>
          <w:szCs w:val="32"/>
        </w:rPr>
        <w:t>年部门整体支出综合评价得分为</w:t>
      </w:r>
      <w:r>
        <w:rPr>
          <w:rFonts w:ascii="仿宋_GB2312" w:eastAsia="仿宋_GB2312" w:cs="DengXian-Regular"/>
          <w:sz w:val="32"/>
          <w:szCs w:val="32"/>
        </w:rPr>
        <w:t>93.5</w:t>
      </w:r>
      <w:r>
        <w:rPr>
          <w:rFonts w:hint="eastAsia" w:ascii="仿宋_GB2312" w:eastAsia="仿宋_GB2312" w:cs="DengXian-Regular"/>
          <w:sz w:val="32"/>
          <w:szCs w:val="32"/>
        </w:rPr>
        <w:t>分，评价等级为“优”。</w:t>
      </w:r>
    </w:p>
    <w:p w14:paraId="77BA4A3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经评价，区委统战部202</w:t>
      </w:r>
      <w:r>
        <w:rPr>
          <w:rFonts w:ascii="仿宋_GB2312" w:eastAsia="仿宋_GB2312" w:cs="DengXian-Regular"/>
          <w:sz w:val="32"/>
          <w:szCs w:val="32"/>
        </w:rPr>
        <w:t>1</w:t>
      </w:r>
      <w:r>
        <w:rPr>
          <w:rFonts w:hint="eastAsia" w:ascii="仿宋_GB2312" w:eastAsia="仿宋_GB2312" w:cs="DengXian-Regular"/>
          <w:sz w:val="32"/>
          <w:szCs w:val="32"/>
        </w:rPr>
        <w:t>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14:paraId="0F67847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14:paraId="744F81D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政府采购方面，采购预算编制不够科学合理。</w:t>
      </w:r>
    </w:p>
    <w:p w14:paraId="3AA08BF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14:paraId="2DDF257A">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1.</w:t>
      </w:r>
      <w:r>
        <w:rPr>
          <w:rFonts w:hint="eastAsia" w:ascii="仿宋_GB2312" w:eastAsia="仿宋_GB2312" w:cs="DengXian-Regular"/>
          <w:sz w:val="32"/>
          <w:szCs w:val="32"/>
        </w:rPr>
        <w:t>提高预算编制质量</w:t>
      </w:r>
    </w:p>
    <w:p w14:paraId="7003575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14:paraId="2B6E8027">
      <w:pPr>
        <w:spacing w:after="0" w:line="360" w:lineRule="auto"/>
        <w:ind w:firstLine="640" w:firstLineChars="200"/>
        <w:jc w:val="both"/>
        <w:textAlignment w:val="baseline"/>
        <w:rPr>
          <w:rFonts w:ascii="仿宋_GB2312" w:eastAsia="仿宋_GB2312" w:cs="DengXian-Regular"/>
          <w:sz w:val="32"/>
          <w:szCs w:val="32"/>
        </w:rPr>
      </w:pPr>
      <w:bookmarkStart w:id="1" w:name="_Toc4346"/>
      <w:r>
        <w:rPr>
          <w:rFonts w:ascii="仿宋_GB2312" w:eastAsia="仿宋_GB2312" w:cs="DengXian-Regular"/>
          <w:sz w:val="32"/>
          <w:szCs w:val="32"/>
        </w:rPr>
        <w:t>2</w:t>
      </w:r>
      <w:r>
        <w:rPr>
          <w:rFonts w:hint="eastAsia" w:ascii="仿宋_GB2312" w:eastAsia="仿宋_GB2312" w:cs="DengXian-Regular"/>
          <w:sz w:val="32"/>
          <w:szCs w:val="32"/>
        </w:rPr>
        <w:t>.预算安排建议</w:t>
      </w:r>
    </w:p>
    <w:p w14:paraId="73A11C4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人员经费方面：</w:t>
      </w:r>
      <w:r>
        <w:rPr>
          <w:rFonts w:ascii="仿宋_GB2312" w:eastAsia="仿宋_GB2312" w:cs="DengXian-Regular"/>
          <w:sz w:val="32"/>
          <w:szCs w:val="32"/>
        </w:rPr>
        <w:t>2021年基本支出决算数较预算数增加比例较大，主要原因为</w:t>
      </w:r>
      <w:r>
        <w:rPr>
          <w:rFonts w:hint="eastAsia" w:ascii="仿宋_GB2312" w:eastAsia="仿宋_GB2312" w:cs="DengXian-Regular"/>
          <w:sz w:val="32"/>
          <w:szCs w:val="32"/>
        </w:rPr>
        <w:t>区委统战部人员转入，</w:t>
      </w:r>
      <w:r>
        <w:rPr>
          <w:rFonts w:ascii="仿宋_GB2312" w:eastAsia="仿宋_GB2312" w:cs="DengXian-Regular"/>
          <w:sz w:val="32"/>
          <w:szCs w:val="32"/>
        </w:rPr>
        <w:t>增加人员经费支出，建议2022年预算根据</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年实际发生人员经费支出、人员数量和工资标准适当安排人员经费预算。</w:t>
      </w:r>
    </w:p>
    <w:p w14:paraId="502F384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项目资金方面：</w:t>
      </w:r>
      <w:r>
        <w:rPr>
          <w:rFonts w:ascii="仿宋_GB2312" w:eastAsia="仿宋_GB2312" w:cs="DengXian-Regular"/>
          <w:sz w:val="32"/>
          <w:szCs w:val="32"/>
        </w:rPr>
        <w:t>2021年项目支出资金使用率较低，</w:t>
      </w:r>
      <w:r>
        <w:rPr>
          <w:rFonts w:hint="eastAsia" w:ascii="仿宋_GB2312" w:eastAsia="仿宋_GB2312" w:cs="DengXian-Regular"/>
          <w:sz w:val="32"/>
          <w:szCs w:val="32"/>
        </w:rPr>
        <w:t>针对</w:t>
      </w:r>
      <w:r>
        <w:rPr>
          <w:rFonts w:ascii="仿宋_GB2312" w:eastAsia="仿宋_GB2312" w:cs="DengXian-Regular"/>
          <w:sz w:val="32"/>
          <w:szCs w:val="32"/>
        </w:rPr>
        <w:t>部分实施项目资金</w:t>
      </w:r>
      <w:r>
        <w:rPr>
          <w:rFonts w:hint="eastAsia" w:ascii="仿宋_GB2312" w:eastAsia="仿宋_GB2312" w:cs="DengXian-Regular"/>
          <w:sz w:val="32"/>
          <w:szCs w:val="32"/>
        </w:rPr>
        <w:t>支出缓慢问题，建议</w:t>
      </w:r>
      <w:r>
        <w:rPr>
          <w:rFonts w:ascii="仿宋_GB2312" w:eastAsia="仿宋_GB2312" w:cs="DengXian-Regular"/>
          <w:sz w:val="32"/>
          <w:szCs w:val="32"/>
        </w:rPr>
        <w:t>2022年预算</w:t>
      </w:r>
      <w:r>
        <w:rPr>
          <w:rFonts w:hint="eastAsia" w:ascii="仿宋_GB2312" w:eastAsia="仿宋_GB2312" w:cs="DengXian-Regular"/>
          <w:sz w:val="32"/>
          <w:szCs w:val="32"/>
        </w:rPr>
        <w:t>按照年度</w:t>
      </w:r>
      <w:r>
        <w:rPr>
          <w:rFonts w:ascii="仿宋_GB2312" w:eastAsia="仿宋_GB2312" w:cs="DengXian-Regular"/>
          <w:sz w:val="32"/>
          <w:szCs w:val="32"/>
        </w:rPr>
        <w:t>工作计划严格执行项目资金预算</w:t>
      </w:r>
      <w:r>
        <w:rPr>
          <w:rFonts w:hint="eastAsia" w:ascii="仿宋_GB2312" w:eastAsia="仿宋_GB2312" w:cs="DengXian-Regular"/>
          <w:sz w:val="32"/>
          <w:szCs w:val="32"/>
        </w:rPr>
        <w:t>，</w:t>
      </w:r>
      <w:r>
        <w:rPr>
          <w:rFonts w:ascii="仿宋_GB2312" w:eastAsia="仿宋_GB2312" w:cs="DengXian-Regular"/>
          <w:sz w:val="32"/>
          <w:szCs w:val="32"/>
        </w:rPr>
        <w:t>并纳入绩效考核。</w:t>
      </w:r>
    </w:p>
    <w:p w14:paraId="475A44FC">
      <w:pPr>
        <w:pStyle w:val="3"/>
        <w:spacing w:line="540" w:lineRule="exact"/>
        <w:jc w:val="center"/>
        <w:rPr>
          <w:rFonts w:ascii="黑体" w:hAnsi="黑体"/>
          <w:b w:val="0"/>
        </w:rPr>
      </w:pPr>
      <w:r>
        <w:rPr>
          <w:rFonts w:hint="eastAsia" w:ascii="黑体" w:hAnsi="黑体"/>
          <w:b w:val="0"/>
        </w:rPr>
        <w:t>第二部分   绩效评价报告</w:t>
      </w:r>
      <w:bookmarkEnd w:id="1"/>
    </w:p>
    <w:p w14:paraId="26240EA8">
      <w:pPr>
        <w:pStyle w:val="3"/>
        <w:spacing w:before="0" w:after="0" w:line="360" w:lineRule="auto"/>
        <w:ind w:firstLine="643" w:firstLineChars="200"/>
        <w:rPr>
          <w:rFonts w:ascii="楷体" w:hAnsi="楷体" w:eastAsia="楷体" w:cs="楷体"/>
        </w:rPr>
      </w:pPr>
      <w:bookmarkStart w:id="2" w:name="_Toc427"/>
      <w:bookmarkStart w:id="3" w:name="_Toc492652763"/>
      <w:r>
        <w:rPr>
          <w:rFonts w:hint="eastAsia" w:ascii="楷体" w:hAnsi="楷体" w:eastAsia="楷体" w:cs="楷体"/>
        </w:rPr>
        <w:t>一、</w:t>
      </w:r>
      <w:bookmarkEnd w:id="2"/>
      <w:bookmarkEnd w:id="3"/>
      <w:bookmarkStart w:id="4" w:name="_Toc492652764"/>
      <w:r>
        <w:rPr>
          <w:rFonts w:hint="eastAsia" w:ascii="楷体" w:hAnsi="楷体" w:eastAsia="楷体" w:cs="楷体"/>
        </w:rPr>
        <w:t>区委统战部基本情况</w:t>
      </w:r>
    </w:p>
    <w:p w14:paraId="0C30E275">
      <w:pPr>
        <w:pStyle w:val="4"/>
        <w:spacing w:before="0" w:after="0"/>
        <w:ind w:firstLine="643" w:firstLineChars="200"/>
        <w:jc w:val="both"/>
        <w:rPr>
          <w:rFonts w:ascii="仿宋_GB2312" w:hAnsi="Tahoma" w:cs="DengXian-Regular"/>
          <w:sz w:val="32"/>
        </w:rPr>
      </w:pPr>
      <w:bookmarkStart w:id="5" w:name="_Toc11473"/>
      <w:r>
        <w:rPr>
          <w:rFonts w:hint="eastAsia" w:ascii="仿宋_GB2312" w:hAnsi="Tahoma" w:cs="DengXian-Regular"/>
          <w:sz w:val="32"/>
        </w:rPr>
        <w:t>（一）部门职责和工作活动</w:t>
      </w:r>
      <w:bookmarkEnd w:id="4"/>
      <w:bookmarkEnd w:id="5"/>
    </w:p>
    <w:p w14:paraId="7D5B51BC">
      <w:pPr>
        <w:spacing w:after="0" w:line="600" w:lineRule="exact"/>
        <w:ind w:firstLine="640" w:firstLineChars="200"/>
        <w:jc w:val="both"/>
        <w:rPr>
          <w:rFonts w:ascii="仿宋_GB2312" w:eastAsia="仿宋_GB2312" w:cs="DengXian-Regular"/>
          <w:sz w:val="32"/>
          <w:szCs w:val="32"/>
        </w:rPr>
      </w:pPr>
      <w:bookmarkStart w:id="6" w:name="_Toc465149499"/>
      <w:bookmarkStart w:id="7" w:name="_Toc7075"/>
      <w:bookmarkStart w:id="8" w:name="_Toc492652765"/>
      <w:r>
        <w:rPr>
          <w:rFonts w:hint="eastAsia" w:ascii="仿宋_GB2312" w:eastAsia="仿宋_GB2312" w:cs="DengXian-Regular"/>
          <w:sz w:val="32"/>
          <w:szCs w:val="32"/>
        </w:rPr>
        <w:t>根据中共保定市徐水区委办公室、保定市徐水区人民政府办公室关于印发</w:t>
      </w:r>
      <w:r>
        <w:rPr>
          <w:rFonts w:hint="eastAsia" w:ascii="Times New Roman" w:hAnsi="微软雅黑" w:eastAsia="方正仿宋_GBK" w:cs="微软雅黑"/>
          <w:sz w:val="28"/>
        </w:rPr>
        <w:t>《中共徐水区委统一战线工作部职能配置、内设机构和人员编制规定》的通知（徐政办</w:t>
      </w:r>
      <w:r>
        <w:rPr>
          <w:rFonts w:ascii="Times New Roman" w:eastAsia="方正仿宋_GBK"/>
          <w:sz w:val="28"/>
        </w:rPr>
        <w:t>[2019]33</w:t>
      </w:r>
      <w:r>
        <w:rPr>
          <w:rFonts w:hint="eastAsia" w:ascii="Times New Roman" w:hAnsi="微软雅黑" w:eastAsia="方正仿宋_GBK" w:cs="微软雅黑"/>
          <w:sz w:val="28"/>
        </w:rPr>
        <w:t>号）</w:t>
      </w:r>
      <w:r>
        <w:rPr>
          <w:rFonts w:hint="eastAsia" w:ascii="仿宋_GB2312" w:eastAsia="仿宋_GB2312" w:cs="DengXian-Regular"/>
          <w:sz w:val="32"/>
          <w:szCs w:val="32"/>
        </w:rPr>
        <w:t>的通知，区委统战部为</w:t>
      </w:r>
      <w:r>
        <w:rPr>
          <w:rFonts w:hint="eastAsia" w:ascii="仿宋_GB2312" w:hAnsi="宋体" w:eastAsia="仿宋_GB2312"/>
          <w:sz w:val="32"/>
        </w:rPr>
        <w:t>区委工作机关</w:t>
      </w:r>
      <w:r>
        <w:rPr>
          <w:rFonts w:hint="eastAsia" w:ascii="仿宋_GB2312" w:eastAsia="仿宋_GB2312" w:cs="DengXian-Regular"/>
          <w:sz w:val="32"/>
          <w:szCs w:val="32"/>
        </w:rPr>
        <w:t>，正科级单位，下设</w:t>
      </w:r>
      <w:r>
        <w:rPr>
          <w:rFonts w:ascii="仿宋_GB2312" w:eastAsia="仿宋_GB2312" w:cs="DengXian-Regular"/>
          <w:sz w:val="32"/>
          <w:szCs w:val="32"/>
        </w:rPr>
        <w:t>2</w:t>
      </w:r>
      <w:r>
        <w:rPr>
          <w:rFonts w:hint="eastAsia" w:ascii="仿宋_GB2312" w:eastAsia="仿宋_GB2312" w:cs="DengXian-Regular"/>
          <w:sz w:val="32"/>
          <w:szCs w:val="32"/>
        </w:rPr>
        <w:t>个股室。根据绩效预算管理改革的相关要求，按照“部门职责—工作活动绩效目标”的层级设立了绩效预算架构，职责活动包括：</w:t>
      </w:r>
    </w:p>
    <w:p w14:paraId="00D55F16">
      <w:pPr>
        <w:spacing w:line="560" w:lineRule="exact"/>
        <w:ind w:firstLine="640" w:firstLineChars="200"/>
        <w:rPr>
          <w:rFonts w:ascii="仿宋_GB2312" w:eastAsia="仿宋_GB2312"/>
          <w:sz w:val="32"/>
          <w:szCs w:val="32"/>
        </w:rPr>
      </w:pPr>
      <w:r>
        <w:rPr>
          <w:rFonts w:hint="eastAsia" w:ascii="仿宋_GB2312" w:eastAsia="仿宋_GB2312"/>
          <w:sz w:val="32"/>
          <w:szCs w:val="32"/>
        </w:rPr>
        <w:t>（一）</w:t>
      </w:r>
      <w:r>
        <w:rPr>
          <w:rFonts w:hint="eastAsia" w:ascii="楷体" w:hAnsi="楷体" w:eastAsia="楷体"/>
          <w:sz w:val="32"/>
          <w:szCs w:val="32"/>
        </w:rPr>
        <w:t>综合股</w:t>
      </w:r>
      <w:r>
        <w:rPr>
          <w:rFonts w:hint="eastAsia" w:ascii="仿宋_GB2312" w:eastAsia="仿宋_GB2312"/>
          <w:sz w:val="32"/>
          <w:szCs w:val="32"/>
        </w:rPr>
        <w:t>。负责统战部的日常工作，传达领导班子研究部署的各项工作；承担机关的文件、会务、信息、廉政和党务等方面的工作；负责统战部机关干部、退休人员管理，负责财务工作和国有资产管理工作；负责公务用车的管理工作。</w:t>
      </w:r>
    </w:p>
    <w:p w14:paraId="5AC3A24E">
      <w:pPr>
        <w:spacing w:line="560" w:lineRule="exact"/>
        <w:ind w:firstLine="640" w:firstLineChars="200"/>
        <w:rPr>
          <w:rFonts w:ascii="仿宋_GB2312" w:eastAsia="仿宋_GB2312"/>
          <w:sz w:val="32"/>
          <w:szCs w:val="32"/>
        </w:rPr>
      </w:pPr>
      <w:r>
        <w:rPr>
          <w:rFonts w:hint="eastAsia" w:ascii="仿宋_GB2312" w:eastAsia="仿宋_GB2312"/>
          <w:sz w:val="32"/>
          <w:szCs w:val="32"/>
        </w:rPr>
        <w:t>负责宣传贯彻党有关非公经济的方针政策，引导非公经济健康成长、健康发展；教育引导非公有制经济人士，投身社会公益事业、履行社会责任；做好工商界代表人士政治安排的推荐工作；做好非公经济人士的综合评价；负责各民主党派、无党派人士和党外知识分子的团结和引领，做好党外干部的培训、推荐和队伍建设工作；贯彻执行党中央、国务院和省、市、区党委、政府对台工作方针政策；组织、指导、管理、协调全区各部门、各乡镇的对台工作；指导、协调全区对台经济工作，指导全区对台招商引资活动；负责全区对台宣传、涉台教育和涉台新闻发布的事务管理工作，处理涉台事件；贯彻党和政府的各项侨务政策、法规；密切与海外侨胞、留学人员及其社团的联系，为有关部门制定侨务工作的方针、政策提供建议和议案；调查研究侨情和侨务工作开展情况；负责华侨、华人的联谊、来访、接待工作，组织有关部门开展海外联谊与交流；协助海外侨胞捐资兴办文化、教育、卫生等社会公益事业，指导扶持侨属企业。</w:t>
      </w:r>
    </w:p>
    <w:p w14:paraId="554F9EC4">
      <w:pPr>
        <w:spacing w:line="560" w:lineRule="exact"/>
        <w:ind w:firstLine="640" w:firstLineChars="200"/>
        <w:rPr>
          <w:rFonts w:ascii="仿宋_GB2312" w:eastAsia="仿宋_GB2312"/>
          <w:sz w:val="32"/>
          <w:szCs w:val="32"/>
        </w:rPr>
      </w:pPr>
      <w:r>
        <w:rPr>
          <w:rFonts w:hint="eastAsia" w:ascii="仿宋_GB2312" w:eastAsia="仿宋_GB2312"/>
          <w:sz w:val="32"/>
          <w:szCs w:val="32"/>
        </w:rPr>
        <w:t>（二）</w:t>
      </w:r>
      <w:r>
        <w:rPr>
          <w:rFonts w:hint="eastAsia" w:ascii="楷体" w:hAnsi="楷体" w:eastAsia="楷体"/>
          <w:sz w:val="32"/>
          <w:szCs w:val="32"/>
        </w:rPr>
        <w:t>民族宗教股</w:t>
      </w:r>
      <w:r>
        <w:rPr>
          <w:rFonts w:hint="eastAsia" w:ascii="仿宋_GB2312" w:eastAsia="仿宋_GB2312"/>
          <w:sz w:val="32"/>
          <w:szCs w:val="32"/>
        </w:rPr>
        <w:t>。宣传贯彻执行民族、宗教方面工作的方针政策；对基层民族宗教工作进行指导、监督和检查，教育培养少数民族干部和爱国宗教人士；依法维护少数民族和宗教人士、宗教场所的合法权益；及时了解掌握国内外宗教动态，处理民族宗教方面的突发性事件；促进民族团结，巩固和发展党同宗教界人士的爱国统一战线，做好保密工作。</w:t>
      </w:r>
    </w:p>
    <w:p w14:paraId="2039E03E">
      <w:pPr>
        <w:pStyle w:val="4"/>
        <w:spacing w:before="0" w:after="0"/>
        <w:ind w:firstLine="482" w:firstLineChars="150"/>
        <w:jc w:val="both"/>
        <w:rPr>
          <w:rFonts w:ascii="仿宋_GB2312" w:hAnsi="Tahoma" w:cs="DengXian-Regular"/>
          <w:sz w:val="32"/>
        </w:rPr>
      </w:pPr>
      <w:r>
        <w:rPr>
          <w:rFonts w:hint="eastAsia" w:ascii="仿宋_GB2312" w:hAnsi="Tahoma" w:cs="DengXian-Regular"/>
          <w:sz w:val="32"/>
        </w:rPr>
        <w:t>（二）</w:t>
      </w:r>
      <w:bookmarkEnd w:id="6"/>
      <w:r>
        <w:rPr>
          <w:rFonts w:hint="eastAsia" w:ascii="仿宋_GB2312" w:hAnsi="Tahoma" w:cs="DengXian-Regular"/>
          <w:sz w:val="32"/>
        </w:rPr>
        <w:t>部门年度发展规划总体目标和职责分类绩效目标</w:t>
      </w:r>
      <w:bookmarkEnd w:id="7"/>
      <w:bookmarkEnd w:id="8"/>
    </w:p>
    <w:p w14:paraId="4B789B5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按照202</w:t>
      </w:r>
      <w:r>
        <w:rPr>
          <w:rFonts w:ascii="仿宋_GB2312" w:eastAsia="仿宋_GB2312" w:cs="DengXian-Regular"/>
          <w:sz w:val="32"/>
          <w:szCs w:val="32"/>
        </w:rPr>
        <w:t>1</w:t>
      </w:r>
      <w:r>
        <w:rPr>
          <w:rFonts w:hint="eastAsia" w:ascii="仿宋_GB2312" w:eastAsia="仿宋_GB2312" w:cs="DengXian-Regular"/>
          <w:sz w:val="32"/>
          <w:szCs w:val="32"/>
        </w:rPr>
        <w:t>年绩效预算编制要求，设置的年度发展规划总体目标为：</w:t>
      </w:r>
    </w:p>
    <w:p w14:paraId="247B6701">
      <w:pPr>
        <w:spacing w:after="0" w:line="600" w:lineRule="exact"/>
        <w:ind w:firstLine="640" w:firstLineChars="200"/>
        <w:jc w:val="both"/>
        <w:textAlignment w:val="baseline"/>
        <w:rPr>
          <w:rFonts w:ascii="仿宋_GB2312" w:eastAsia="仿宋_GB2312" w:cs="DengXian-Regular"/>
          <w:sz w:val="32"/>
          <w:szCs w:val="32"/>
        </w:rPr>
      </w:pPr>
      <w:bookmarkStart w:id="9" w:name="_Toc1678"/>
      <w:bookmarkStart w:id="10" w:name="_Toc465149500"/>
      <w:bookmarkStart w:id="11" w:name="_Toc492652766"/>
      <w:r>
        <w:rPr>
          <w:rFonts w:ascii="仿宋" w:hAnsi="仿宋" w:eastAsia="仿宋" w:cs="宋体"/>
          <w:color w:val="000000"/>
          <w:sz w:val="32"/>
          <w:szCs w:val="32"/>
        </w:rPr>
        <w:t>（</w:t>
      </w:r>
      <w:r>
        <w:rPr>
          <w:rFonts w:ascii="仿宋_GB2312" w:eastAsia="仿宋_GB2312" w:cs="DengXian-Regular"/>
          <w:sz w:val="32"/>
          <w:szCs w:val="32"/>
        </w:rPr>
        <w:t>一）</w:t>
      </w:r>
      <w:r>
        <w:rPr>
          <w:rFonts w:hint="eastAsia" w:ascii="仿宋_GB2312" w:eastAsia="仿宋_GB2312" w:cs="DengXian-Regular"/>
          <w:sz w:val="32"/>
          <w:szCs w:val="32"/>
        </w:rPr>
        <w:t>贯彻落实统一战线的理论、政策和法律法规，向党委全面反映统一战线情况，提出开展统一战线工作的意见和建议，检查执行情况，协调统一战线各方面的关系。1、民主党派和无党派代表人士工作；2、民族宗教统战工作；3、港澳台海外统战工作；4、非公经济统战工作；5、党外知识分子统战工作；6、党外代表人士队伍建设工作。</w:t>
      </w:r>
      <w:r>
        <w:rPr>
          <w:rFonts w:ascii="仿宋_GB2312" w:eastAsia="仿宋_GB2312" w:cs="DengXian-Regular"/>
          <w:sz w:val="32"/>
          <w:szCs w:val="32"/>
        </w:rPr>
        <w:t xml:space="preserve"> </w:t>
      </w:r>
    </w:p>
    <w:p w14:paraId="75B96CF2">
      <w:pPr>
        <w:spacing w:after="0" w:line="600" w:lineRule="exact"/>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（二）</w:t>
      </w:r>
      <w:r>
        <w:rPr>
          <w:rFonts w:hint="eastAsia" w:ascii="仿宋_GB2312" w:eastAsia="仿宋_GB2312" w:cs="DengXian-Regular"/>
          <w:sz w:val="32"/>
          <w:szCs w:val="32"/>
        </w:rPr>
        <w:t>负责统战业务管理，综合调研统战理论政策；负责全区统战宣传和联络工作以及涉及统战各界人士的综合性工作；领导、指导、联系、代管相关统战单位；完成省</w:t>
      </w:r>
      <w:r>
        <w:rPr>
          <w:rFonts w:hint="eastAsia" w:ascii="仿宋_GB2312" w:eastAsia="仿宋_GB2312" w:cs="DengXian-Regular"/>
          <w:sz w:val="32"/>
          <w:szCs w:val="32"/>
          <w:lang w:eastAsia="zh-CN"/>
        </w:rPr>
        <w:t>市委统战部</w:t>
      </w:r>
      <w:r>
        <w:rPr>
          <w:rFonts w:hint="eastAsia" w:ascii="仿宋_GB2312" w:eastAsia="仿宋_GB2312" w:cs="DengXian-Regular"/>
          <w:sz w:val="32"/>
          <w:szCs w:val="32"/>
        </w:rPr>
        <w:t>和区委交办的其他任务；</w:t>
      </w:r>
      <w:r>
        <w:rPr>
          <w:rFonts w:ascii="仿宋_GB2312" w:eastAsia="仿宋_GB2312" w:cs="DengXian-Regular"/>
          <w:sz w:val="32"/>
          <w:szCs w:val="32"/>
        </w:rPr>
        <w:t xml:space="preserve"> </w:t>
      </w:r>
    </w:p>
    <w:p w14:paraId="6394B4BC">
      <w:pPr>
        <w:spacing w:after="0" w:line="600" w:lineRule="exact"/>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（三）</w:t>
      </w:r>
      <w:r>
        <w:rPr>
          <w:rFonts w:hint="eastAsia" w:ascii="仿宋_GB2312" w:eastAsia="仿宋_GB2312" w:cs="DengXian-Regular"/>
          <w:sz w:val="32"/>
          <w:szCs w:val="32"/>
        </w:rPr>
        <w:t>组织建设及宣传教育、培训等事项。贯彻全国工商联组织建设工作方针，指导全市各级组织的建设，维护会员合法权益，组织换届、培训、思想教育和基层建设工作，对非公有制经济优秀事迹进行宣传。</w:t>
      </w:r>
    </w:p>
    <w:p w14:paraId="2C9F9EDA">
      <w:pPr>
        <w:spacing w:after="0" w:line="600" w:lineRule="exact"/>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职责分类绩效目标为：</w:t>
      </w:r>
    </w:p>
    <w:p w14:paraId="37153F80">
      <w:pPr>
        <w:spacing w:after="0" w:line="600" w:lineRule="exact"/>
        <w:ind w:firstLine="640" w:firstLineChars="200"/>
        <w:jc w:val="both"/>
        <w:rPr>
          <w:rFonts w:ascii="仿宋_GB2312" w:hAnsi="仿宋" w:eastAsia="仿宋_GB2312"/>
          <w:sz w:val="32"/>
          <w:szCs w:val="32"/>
        </w:rPr>
      </w:pPr>
      <w:r>
        <w:rPr>
          <w:rFonts w:hint="eastAsia" w:ascii="仿宋" w:hAnsi="仿宋" w:eastAsia="仿宋" w:cs="DengXian-Regular"/>
          <w:sz w:val="32"/>
          <w:szCs w:val="32"/>
        </w:rPr>
        <w:t>1.开展</w:t>
      </w:r>
      <w:r>
        <w:rPr>
          <w:rFonts w:hint="eastAsia" w:ascii="仿宋" w:hAnsi="仿宋" w:eastAsia="仿宋"/>
          <w:sz w:val="32"/>
          <w:szCs w:val="32"/>
        </w:rPr>
        <w:t>区大统战工作,</w:t>
      </w:r>
      <w:r>
        <w:rPr>
          <w:rFonts w:hint="eastAsia" w:ascii="仿宋" w:hAnsi="仿宋" w:eastAsia="仿宋" w:cs="宋体"/>
          <w:color w:val="000000"/>
          <w:sz w:val="32"/>
          <w:szCs w:val="32"/>
        </w:rPr>
        <w:t xml:space="preserve"> 负责统战业务管理，综合调研统战理论政策；负责全区统战宣传和联络工作以及涉及统战各界人士的综合性工作；领导、指导、联系、代管相关统战单位；完成省</w:t>
      </w:r>
      <w:r>
        <w:rPr>
          <w:rFonts w:hint="eastAsia" w:ascii="仿宋" w:hAnsi="仿宋" w:eastAsia="仿宋" w:cs="宋体"/>
          <w:color w:val="000000"/>
          <w:sz w:val="32"/>
          <w:szCs w:val="32"/>
          <w:lang w:eastAsia="zh-CN"/>
        </w:rPr>
        <w:t>市委统战部</w:t>
      </w:r>
      <w:r>
        <w:rPr>
          <w:rFonts w:hint="eastAsia" w:ascii="仿宋" w:hAnsi="仿宋" w:eastAsia="仿宋" w:cs="宋体"/>
          <w:color w:val="000000"/>
          <w:sz w:val="32"/>
          <w:szCs w:val="32"/>
        </w:rPr>
        <w:t>和区委交办的其他任务</w:t>
      </w:r>
      <w:r>
        <w:rPr>
          <w:rFonts w:hint="eastAsia" w:ascii="仿宋" w:hAnsi="仿宋" w:eastAsia="仿宋"/>
          <w:sz w:val="32"/>
          <w:szCs w:val="32"/>
        </w:rPr>
        <w:t>。</w:t>
      </w:r>
    </w:p>
    <w:p w14:paraId="541E8A1A">
      <w:pPr>
        <w:spacing w:after="0" w:line="600" w:lineRule="exact"/>
        <w:ind w:firstLine="640" w:firstLineChars="200"/>
        <w:jc w:val="both"/>
        <w:rPr>
          <w:rFonts w:ascii="仿宋" w:hAnsi="仿宋" w:eastAsia="仿宋"/>
          <w:sz w:val="32"/>
          <w:szCs w:val="32"/>
        </w:rPr>
      </w:pPr>
      <w:r>
        <w:rPr>
          <w:rFonts w:hint="eastAsia" w:ascii="仿宋" w:hAnsi="仿宋" w:eastAsia="仿宋"/>
          <w:sz w:val="32"/>
          <w:szCs w:val="32"/>
        </w:rPr>
        <w:t>2.</w:t>
      </w:r>
      <w:r>
        <w:rPr>
          <w:rFonts w:hint="eastAsia" w:ascii="仿宋" w:hAnsi="仿宋" w:eastAsia="仿宋" w:cs="微软雅黑"/>
          <w:sz w:val="32"/>
          <w:szCs w:val="32"/>
        </w:rPr>
        <w:t>发现、培养党外代表人士，负责党外人士的政治安排，会同有关部门做好安排党外人士担任政府和司法机关等领导职务的工作，协助区工商联、区民族宗教事务局做好干部管理工作，反映和协调解决党外代表人士工作生活中的实际困难。</w:t>
      </w:r>
    </w:p>
    <w:p w14:paraId="2C364327">
      <w:pPr>
        <w:spacing w:after="0" w:line="600" w:lineRule="exact"/>
        <w:ind w:firstLine="640" w:firstLineChars="200"/>
        <w:jc w:val="both"/>
        <w:rPr>
          <w:rFonts w:ascii="仿宋" w:hAnsi="仿宋" w:eastAsia="仿宋"/>
          <w:sz w:val="32"/>
          <w:szCs w:val="32"/>
        </w:rPr>
      </w:pPr>
      <w:r>
        <w:rPr>
          <w:rFonts w:hint="eastAsia" w:ascii="仿宋" w:hAnsi="仿宋" w:eastAsia="仿宋"/>
          <w:sz w:val="32"/>
          <w:szCs w:val="32"/>
        </w:rPr>
        <w:t>3.</w:t>
      </w:r>
      <w:r>
        <w:rPr>
          <w:rFonts w:hint="eastAsia" w:ascii="仿宋" w:hAnsi="仿宋" w:eastAsia="仿宋" w:cs="微软雅黑"/>
          <w:sz w:val="32"/>
          <w:szCs w:val="32"/>
        </w:rPr>
        <w:t>联系各民主党派，通报情况、反映意见，贯彻落实中国共产党领导的多党合作和政治协商制度以及对民主党派的方针政策，支持、帮助民主党派加强自身建设做好支持民主党派履行职责、发挥作用的工作。</w:t>
      </w:r>
    </w:p>
    <w:p w14:paraId="69D19350">
      <w:pPr>
        <w:spacing w:after="0" w:line="600" w:lineRule="exact"/>
        <w:ind w:firstLine="640" w:firstLineChars="200"/>
        <w:jc w:val="both"/>
        <w:rPr>
          <w:rFonts w:ascii="仿宋" w:hAnsi="仿宋" w:eastAsia="仿宋"/>
          <w:sz w:val="32"/>
          <w:szCs w:val="32"/>
        </w:rPr>
      </w:pPr>
      <w:r>
        <w:rPr>
          <w:rFonts w:hint="eastAsia" w:ascii="仿宋" w:hAnsi="仿宋" w:eastAsia="仿宋"/>
          <w:sz w:val="32"/>
          <w:szCs w:val="32"/>
        </w:rPr>
        <w:t>4.</w:t>
      </w:r>
      <w:r>
        <w:rPr>
          <w:rFonts w:hint="eastAsia" w:ascii="仿宋" w:hAnsi="仿宋" w:eastAsia="仿宋" w:cs="微软雅黑"/>
          <w:sz w:val="32"/>
          <w:szCs w:val="32"/>
        </w:rPr>
        <w:t xml:space="preserve"> 开展</w:t>
      </w:r>
      <w:r>
        <w:rPr>
          <w:rFonts w:ascii="仿宋" w:hAnsi="仿宋" w:eastAsia="仿宋" w:cs="微软雅黑"/>
          <w:sz w:val="32"/>
          <w:szCs w:val="32"/>
        </w:rPr>
        <w:t>工商联各做：</w:t>
      </w:r>
      <w:r>
        <w:rPr>
          <w:rFonts w:hint="eastAsia" w:ascii="仿宋" w:hAnsi="仿宋" w:eastAsia="仿宋" w:cs="微软雅黑"/>
          <w:sz w:val="32"/>
          <w:szCs w:val="32"/>
        </w:rPr>
        <w:t>了解和反映非公有制经济人士的意见，团结、服务引导、教育非公有制经济人士，构建</w:t>
      </w:r>
      <w:r>
        <w:rPr>
          <w:rFonts w:ascii="仿宋" w:hAnsi="仿宋" w:eastAsia="仿宋"/>
          <w:sz w:val="32"/>
          <w:szCs w:val="32"/>
        </w:rPr>
        <w:t>“</w:t>
      </w:r>
      <w:r>
        <w:rPr>
          <w:rFonts w:hint="eastAsia" w:ascii="仿宋" w:hAnsi="仿宋" w:eastAsia="仿宋" w:cs="微软雅黑"/>
          <w:sz w:val="32"/>
          <w:szCs w:val="32"/>
        </w:rPr>
        <w:t>亲</w:t>
      </w:r>
      <w:r>
        <w:rPr>
          <w:rFonts w:ascii="仿宋" w:hAnsi="仿宋" w:eastAsia="仿宋"/>
          <w:sz w:val="32"/>
          <w:szCs w:val="32"/>
        </w:rPr>
        <w:t>”“</w:t>
      </w:r>
      <w:r>
        <w:rPr>
          <w:rFonts w:hint="eastAsia" w:ascii="仿宋" w:hAnsi="仿宋" w:eastAsia="仿宋" w:cs="微软雅黑"/>
          <w:sz w:val="32"/>
          <w:szCs w:val="32"/>
        </w:rPr>
        <w:t>清</w:t>
      </w:r>
      <w:r>
        <w:rPr>
          <w:rFonts w:ascii="仿宋" w:hAnsi="仿宋" w:eastAsia="仿宋"/>
          <w:sz w:val="32"/>
          <w:szCs w:val="32"/>
        </w:rPr>
        <w:t>”</w:t>
      </w:r>
      <w:r>
        <w:rPr>
          <w:rFonts w:hint="eastAsia" w:ascii="仿宋" w:hAnsi="仿宋" w:eastAsia="仿宋" w:cs="微软雅黑"/>
          <w:sz w:val="32"/>
          <w:szCs w:val="32"/>
        </w:rPr>
        <w:t>新型政商关系，促进非公有制经济健康发展和非公有制经济人士健康成长</w:t>
      </w:r>
      <w:r>
        <w:rPr>
          <w:rFonts w:hint="eastAsia" w:ascii="仿宋" w:hAnsi="仿宋" w:eastAsia="仿宋"/>
          <w:sz w:val="32"/>
          <w:szCs w:val="32"/>
        </w:rPr>
        <w:t>。</w:t>
      </w:r>
    </w:p>
    <w:p w14:paraId="075B5CFF">
      <w:pPr>
        <w:spacing w:after="0" w:line="360" w:lineRule="auto"/>
        <w:ind w:firstLine="640" w:firstLineChars="200"/>
        <w:jc w:val="both"/>
        <w:textAlignment w:val="baseline"/>
        <w:rPr>
          <w:rFonts w:ascii="仿宋_GB2312" w:eastAsia="仿宋_GB2312" w:cs="DengXian-Regular"/>
          <w:sz w:val="32"/>
          <w:szCs w:val="32"/>
        </w:rPr>
      </w:pPr>
      <w:r>
        <w:rPr>
          <w:rFonts w:hint="eastAsia" w:ascii="仿宋" w:hAnsi="仿宋" w:eastAsia="仿宋"/>
          <w:sz w:val="32"/>
          <w:szCs w:val="32"/>
        </w:rPr>
        <w:t>5.</w:t>
      </w:r>
      <w:r>
        <w:rPr>
          <w:rFonts w:hint="eastAsia" w:ascii="仿宋" w:hAnsi="仿宋" w:eastAsia="仿宋" w:cs="微软雅黑"/>
          <w:sz w:val="32"/>
          <w:szCs w:val="32"/>
        </w:rPr>
        <w:t xml:space="preserve"> 全区侨务工作，贯彻落实党的侨务工作方针政策并组织协调、督促检查落实，调查研究侨情和侨务工作情况，管理侨务行政事务，统筹协调有关部门和社会团体涉侨工作，联系海外华侨社团及其代表人士，指导推动涉侨宣传、文化交流、华文教育工作等，保护华侨和归侨侨眷在我区的合法权利和利益。</w:t>
      </w:r>
    </w:p>
    <w:p w14:paraId="376EDB5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（三）部门预算收入及决算收入</w:t>
      </w:r>
      <w:bookmarkEnd w:id="9"/>
    </w:p>
    <w:p w14:paraId="1554A85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年区委统战部预算收入</w:t>
      </w:r>
      <w:r>
        <w:rPr>
          <w:rFonts w:ascii="仿宋_GB2312" w:eastAsia="仿宋_GB2312" w:cs="DengXian-Regular"/>
          <w:sz w:val="32"/>
          <w:szCs w:val="32"/>
        </w:rPr>
        <w:t>184.65</w:t>
      </w:r>
      <w:r>
        <w:rPr>
          <w:rFonts w:hint="eastAsia" w:ascii="仿宋_GB2312" w:eastAsia="仿宋_GB2312" w:cs="DengXian-Regular"/>
          <w:sz w:val="32"/>
          <w:szCs w:val="32"/>
        </w:rPr>
        <w:t>万元，均为一般公共预算拨款，其中：财政拨款</w:t>
      </w:r>
      <w:r>
        <w:rPr>
          <w:rFonts w:ascii="仿宋_GB2312" w:eastAsia="仿宋_GB2312" w:cs="DengXian-Regular"/>
          <w:sz w:val="32"/>
          <w:szCs w:val="32"/>
        </w:rPr>
        <w:t>184.65</w:t>
      </w:r>
      <w:r>
        <w:rPr>
          <w:rFonts w:hint="eastAsia" w:ascii="仿宋_GB2312" w:eastAsia="仿宋_GB2312" w:cs="DengXian-Regular"/>
          <w:sz w:val="32"/>
          <w:szCs w:val="32"/>
        </w:rPr>
        <w:t>万元。预算收入按功能分类包含：一般公共服务支出</w:t>
      </w:r>
      <w:r>
        <w:rPr>
          <w:rFonts w:ascii="仿宋_GB2312" w:eastAsia="仿宋_GB2312" w:cs="DengXian-Regular"/>
          <w:sz w:val="32"/>
          <w:szCs w:val="32"/>
        </w:rPr>
        <w:t>146.86</w:t>
      </w:r>
      <w:r>
        <w:rPr>
          <w:rFonts w:hint="eastAsia" w:ascii="仿宋_GB2312" w:eastAsia="仿宋_GB2312" w:cs="DengXian-Regular"/>
          <w:sz w:val="32"/>
          <w:szCs w:val="32"/>
        </w:rPr>
        <w:t>万元，社会保障和就业支出</w:t>
      </w:r>
      <w:r>
        <w:rPr>
          <w:rFonts w:ascii="仿宋_GB2312" w:eastAsia="仿宋_GB2312" w:cs="DengXian-Regular"/>
          <w:sz w:val="32"/>
          <w:szCs w:val="32"/>
        </w:rPr>
        <w:t>22.94</w:t>
      </w:r>
      <w:r>
        <w:rPr>
          <w:rFonts w:hint="eastAsia" w:ascii="仿宋_GB2312" w:eastAsia="仿宋_GB2312" w:cs="DengXian-Regular"/>
          <w:sz w:val="32"/>
          <w:szCs w:val="32"/>
        </w:rPr>
        <w:t>万元，卫生健康支出</w:t>
      </w:r>
      <w:r>
        <w:rPr>
          <w:rFonts w:ascii="仿宋_GB2312" w:eastAsia="仿宋_GB2312" w:cs="DengXian-Regular"/>
          <w:sz w:val="32"/>
          <w:szCs w:val="32"/>
        </w:rPr>
        <w:t>6.39</w:t>
      </w:r>
      <w:r>
        <w:rPr>
          <w:rFonts w:hint="eastAsia" w:ascii="仿宋_GB2312" w:eastAsia="仿宋_GB2312" w:cs="DengXian-Regular"/>
          <w:sz w:val="32"/>
          <w:szCs w:val="32"/>
        </w:rPr>
        <w:t>万元，住房保障支出</w:t>
      </w:r>
      <w:r>
        <w:rPr>
          <w:rFonts w:ascii="仿宋_GB2312" w:eastAsia="仿宋_GB2312" w:cs="DengXian-Regular"/>
          <w:sz w:val="32"/>
          <w:szCs w:val="32"/>
        </w:rPr>
        <w:t>8.46</w:t>
      </w:r>
      <w:r>
        <w:rPr>
          <w:rFonts w:hint="eastAsia" w:ascii="仿宋_GB2312" w:eastAsia="仿宋_GB2312" w:cs="DengXian-Regular"/>
          <w:sz w:val="32"/>
          <w:szCs w:val="32"/>
        </w:rPr>
        <w:t>万元。具体预算收入详见附件2。</w:t>
      </w:r>
    </w:p>
    <w:p w14:paraId="6FCEA86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年区委统战部决算收入</w:t>
      </w:r>
      <w:r>
        <w:rPr>
          <w:rFonts w:ascii="仿宋_GB2312" w:eastAsia="仿宋_GB2312" w:cs="DengXian-Regular"/>
          <w:sz w:val="32"/>
          <w:szCs w:val="32"/>
        </w:rPr>
        <w:t>220.99</w:t>
      </w:r>
      <w:r>
        <w:rPr>
          <w:rFonts w:hint="eastAsia" w:ascii="仿宋_GB2312" w:eastAsia="仿宋_GB2312" w:cs="DengXian-Regular"/>
          <w:sz w:val="32"/>
          <w:szCs w:val="32"/>
        </w:rPr>
        <w:t>万元，其中：财政拨款收入</w:t>
      </w:r>
      <w:r>
        <w:rPr>
          <w:rFonts w:ascii="仿宋_GB2312" w:eastAsia="仿宋_GB2312" w:cs="DengXian-Regular"/>
          <w:sz w:val="32"/>
          <w:szCs w:val="32"/>
        </w:rPr>
        <w:t>220.98</w:t>
      </w:r>
      <w:r>
        <w:rPr>
          <w:rFonts w:hint="eastAsia" w:ascii="仿宋_GB2312" w:eastAsia="仿宋_GB2312" w:cs="DengXian-Regular"/>
          <w:sz w:val="32"/>
          <w:szCs w:val="32"/>
        </w:rPr>
        <w:t>万元，其他收入</w:t>
      </w:r>
      <w:r>
        <w:rPr>
          <w:rFonts w:ascii="仿宋_GB2312" w:eastAsia="仿宋_GB2312" w:cs="DengXian-Regular"/>
          <w:sz w:val="32"/>
          <w:szCs w:val="32"/>
        </w:rPr>
        <w:t>0.01</w:t>
      </w:r>
      <w:r>
        <w:rPr>
          <w:rFonts w:hint="eastAsia" w:ascii="仿宋_GB2312" w:eastAsia="仿宋_GB2312" w:cs="DengXian-Regular"/>
          <w:sz w:val="32"/>
          <w:szCs w:val="32"/>
        </w:rPr>
        <w:t>万元（全部为利息收入）。决算收入按功能分类包含：一般公共服务支出</w:t>
      </w:r>
      <w:r>
        <w:rPr>
          <w:rFonts w:ascii="仿宋_GB2312" w:eastAsia="仿宋_GB2312" w:cs="DengXian-Regular"/>
          <w:sz w:val="32"/>
          <w:szCs w:val="32"/>
        </w:rPr>
        <w:t>183.69</w:t>
      </w:r>
      <w:r>
        <w:rPr>
          <w:rFonts w:hint="eastAsia" w:ascii="仿宋_GB2312" w:eastAsia="仿宋_GB2312" w:cs="DengXian-Regular"/>
          <w:sz w:val="32"/>
          <w:szCs w:val="32"/>
        </w:rPr>
        <w:t>万元，占</w:t>
      </w:r>
      <w:r>
        <w:rPr>
          <w:rFonts w:ascii="仿宋_GB2312" w:eastAsia="仿宋_GB2312" w:cs="DengXian-Regular"/>
          <w:sz w:val="32"/>
          <w:szCs w:val="32"/>
        </w:rPr>
        <w:t>83.00%</w:t>
      </w:r>
      <w:r>
        <w:rPr>
          <w:rFonts w:hint="eastAsia" w:ascii="仿宋_GB2312" w:eastAsia="仿宋_GB2312" w:cs="DengXian-Regular"/>
          <w:sz w:val="32"/>
          <w:szCs w:val="32"/>
        </w:rPr>
        <w:t>；社会保障和就业支出</w:t>
      </w:r>
      <w:r>
        <w:rPr>
          <w:rFonts w:ascii="仿宋_GB2312" w:eastAsia="仿宋_GB2312" w:cs="DengXian-Regular"/>
          <w:sz w:val="32"/>
          <w:szCs w:val="32"/>
        </w:rPr>
        <w:t>22.31</w:t>
      </w:r>
      <w:r>
        <w:rPr>
          <w:rFonts w:hint="eastAsia" w:ascii="仿宋_GB2312" w:eastAsia="仿宋_GB2312" w:cs="DengXian-Regular"/>
          <w:sz w:val="32"/>
          <w:szCs w:val="32"/>
        </w:rPr>
        <w:t>万元，占</w:t>
      </w:r>
      <w:r>
        <w:rPr>
          <w:rFonts w:ascii="仿宋_GB2312" w:eastAsia="仿宋_GB2312" w:cs="DengXian-Regular"/>
          <w:sz w:val="32"/>
          <w:szCs w:val="32"/>
        </w:rPr>
        <w:t>10.10</w:t>
      </w:r>
      <w:r>
        <w:rPr>
          <w:rFonts w:hint="eastAsia" w:ascii="仿宋_GB2312" w:eastAsia="仿宋_GB2312" w:cs="DengXian-Regular"/>
          <w:sz w:val="32"/>
          <w:szCs w:val="32"/>
        </w:rPr>
        <w:t>%；卫生健康支出</w:t>
      </w:r>
      <w:r>
        <w:rPr>
          <w:rFonts w:ascii="仿宋_GB2312" w:eastAsia="仿宋_GB2312" w:cs="DengXian-Regular"/>
          <w:sz w:val="32"/>
          <w:szCs w:val="32"/>
        </w:rPr>
        <w:t>5.12</w:t>
      </w:r>
      <w:r>
        <w:rPr>
          <w:rFonts w:hint="eastAsia" w:ascii="仿宋_GB2312" w:eastAsia="仿宋_GB2312" w:cs="DengXian-Regular"/>
          <w:sz w:val="32"/>
          <w:szCs w:val="32"/>
        </w:rPr>
        <w:t>万元，占</w:t>
      </w:r>
      <w:r>
        <w:rPr>
          <w:rFonts w:ascii="仿宋_GB2312" w:eastAsia="仿宋_GB2312" w:cs="DengXian-Regular"/>
          <w:sz w:val="32"/>
          <w:szCs w:val="32"/>
        </w:rPr>
        <w:t>2.32</w:t>
      </w:r>
      <w:r>
        <w:rPr>
          <w:rFonts w:hint="eastAsia" w:ascii="仿宋_GB2312" w:eastAsia="仿宋_GB2312" w:cs="DengXian-Regular"/>
          <w:sz w:val="32"/>
          <w:szCs w:val="32"/>
        </w:rPr>
        <w:t>%；住房保障支出</w:t>
      </w:r>
      <w:r>
        <w:rPr>
          <w:rFonts w:ascii="仿宋_GB2312" w:eastAsia="仿宋_GB2312" w:cs="DengXian-Regular"/>
          <w:sz w:val="32"/>
          <w:szCs w:val="32"/>
        </w:rPr>
        <w:t>9.87</w:t>
      </w:r>
      <w:r>
        <w:rPr>
          <w:rFonts w:hint="eastAsia" w:ascii="仿宋_GB2312" w:eastAsia="仿宋_GB2312" w:cs="DengXian-Regular"/>
          <w:sz w:val="32"/>
          <w:szCs w:val="32"/>
        </w:rPr>
        <w:t>万元，占</w:t>
      </w:r>
      <w:r>
        <w:rPr>
          <w:rFonts w:ascii="仿宋_GB2312" w:eastAsia="仿宋_GB2312" w:cs="DengXian-Regular"/>
          <w:sz w:val="32"/>
          <w:szCs w:val="32"/>
        </w:rPr>
        <w:t>4.47</w:t>
      </w:r>
      <w:r>
        <w:rPr>
          <w:rFonts w:hint="eastAsia" w:ascii="仿宋_GB2312" w:eastAsia="仿宋_GB2312" w:cs="DengXian-Regular"/>
          <w:sz w:val="32"/>
          <w:szCs w:val="32"/>
        </w:rPr>
        <w:t>%。具体决算收入详见附件2。决算收入结构如图1。</w:t>
      </w:r>
    </w:p>
    <w:p w14:paraId="7BD9396C">
      <w:pPr>
        <w:spacing w:after="0" w:line="360" w:lineRule="auto"/>
        <w:jc w:val="center"/>
        <w:textAlignment w:val="baseline"/>
        <w:rPr>
          <w:rFonts w:ascii="仿宋_GB2312" w:eastAsia="仿宋_GB2312" w:cs="DengXian-Regular"/>
          <w:sz w:val="32"/>
          <w:szCs w:val="32"/>
        </w:rPr>
      </w:pPr>
      <w:r>
        <w:rPr>
          <w:rFonts w:hint="eastAsia" w:asciiTheme="minorEastAsia" w:hAnsiTheme="minorEastAsia" w:eastAsiaTheme="minorEastAsia" w:cstheme="minorEastAsia"/>
          <w:b/>
          <w:bCs/>
          <w:sz w:val="32"/>
          <w:szCs w:val="32"/>
        </w:rPr>
        <w:t>图1  202</w:t>
      </w:r>
      <w:r>
        <w:rPr>
          <w:rFonts w:asciiTheme="minorEastAsia" w:hAnsiTheme="minorEastAsia" w:eastAsiaTheme="minorEastAsia" w:cstheme="minorEastAsia"/>
          <w:b/>
          <w:bCs/>
          <w:sz w:val="32"/>
          <w:szCs w:val="32"/>
        </w:rPr>
        <w:t>1</w:t>
      </w:r>
      <w:r>
        <w:rPr>
          <w:rFonts w:hint="eastAsia" w:asciiTheme="minorEastAsia" w:hAnsiTheme="minorEastAsia" w:eastAsiaTheme="minorEastAsia" w:cstheme="minorEastAsia"/>
          <w:b/>
          <w:bCs/>
          <w:sz w:val="32"/>
          <w:szCs w:val="32"/>
        </w:rPr>
        <w:t>年度区委统战部决算收入结构图</w:t>
      </w:r>
    </w:p>
    <w:p w14:paraId="72D8305A">
      <w:pPr>
        <w:spacing w:after="0" w:line="240" w:lineRule="auto"/>
        <w:ind w:firstLine="640" w:firstLineChars="200"/>
        <w:jc w:val="both"/>
        <w:rPr>
          <w:rFonts w:ascii="仿宋_GB2312" w:eastAsia="仿宋_GB2312" w:cs="DengXian-Regular"/>
          <w:sz w:val="32"/>
          <w:szCs w:val="32"/>
        </w:rPr>
      </w:pPr>
      <w:r>
        <w:rPr>
          <w:rFonts w:ascii="仿宋_GB2312" w:eastAsia="仿宋_GB2312" w:cs="DengXian-Regular"/>
          <w:sz w:val="32"/>
          <w:szCs w:val="32"/>
        </w:rPr>
        <w:drawing>
          <wp:inline distT="0" distB="0" distL="114300" distR="114300">
            <wp:extent cx="4584065" cy="2853055"/>
            <wp:effectExtent l="0" t="0" r="6985" b="4445"/>
            <wp:docPr id="3" name="图片 3" descr="决算收入结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决算收入结构图"/>
                    <pic:cNvPicPr>
                      <a:picLocks noChangeAspect="1"/>
                    </pic:cNvPicPr>
                  </pic:nvPicPr>
                  <pic:blipFill>
                    <a:blip r:embed="rId7"/>
                    <a:stretch>
                      <a:fillRect/>
                    </a:stretch>
                  </pic:blipFill>
                  <pic:spPr>
                    <a:xfrm>
                      <a:off x="0" y="0"/>
                      <a:ext cx="4584065" cy="2853055"/>
                    </a:xfrm>
                    <a:prstGeom prst="rect">
                      <a:avLst/>
                    </a:prstGeom>
                  </pic:spPr>
                </pic:pic>
              </a:graphicData>
            </a:graphic>
          </wp:inline>
        </w:drawing>
      </w:r>
    </w:p>
    <w:p w14:paraId="155125EF">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区委统战部一般公共预算财政拨款决算收入比年初预算增加</w:t>
      </w:r>
      <w:r>
        <w:rPr>
          <w:rFonts w:ascii="仿宋_GB2312" w:eastAsia="仿宋_GB2312" w:cs="DengXian-Regular"/>
          <w:sz w:val="32"/>
          <w:szCs w:val="32"/>
        </w:rPr>
        <w:t>32.33</w:t>
      </w:r>
      <w:r>
        <w:rPr>
          <w:rFonts w:hint="eastAsia" w:ascii="仿宋_GB2312" w:eastAsia="仿宋_GB2312" w:cs="DengXian-Regular"/>
          <w:sz w:val="32"/>
          <w:szCs w:val="32"/>
        </w:rPr>
        <w:t>万元，完成年初预算的</w:t>
      </w:r>
      <w:r>
        <w:rPr>
          <w:rFonts w:ascii="仿宋_GB2312" w:eastAsia="仿宋_GB2312" w:cs="DengXian-Regular"/>
          <w:sz w:val="32"/>
          <w:szCs w:val="32"/>
        </w:rPr>
        <w:t>117.50</w:t>
      </w:r>
      <w:r>
        <w:rPr>
          <w:rFonts w:hint="eastAsia" w:ascii="仿宋_GB2312" w:eastAsia="仿宋_GB2312" w:cs="DengXian-Regular"/>
          <w:sz w:val="32"/>
          <w:szCs w:val="32"/>
        </w:rPr>
        <w:t>%。决算收入大于预算收入的主要原因为202</w:t>
      </w:r>
      <w:r>
        <w:rPr>
          <w:rFonts w:ascii="仿宋_GB2312" w:eastAsia="仿宋_GB2312" w:cs="DengXian-Regular"/>
          <w:sz w:val="32"/>
          <w:szCs w:val="32"/>
        </w:rPr>
        <w:t>1</w:t>
      </w:r>
      <w:r>
        <w:rPr>
          <w:rFonts w:hint="eastAsia" w:ascii="仿宋_GB2312" w:eastAsia="仿宋_GB2312" w:cs="DengXian-Regular"/>
          <w:sz w:val="32"/>
          <w:szCs w:val="32"/>
        </w:rPr>
        <w:t>年度</w:t>
      </w:r>
      <w:r>
        <w:rPr>
          <w:rFonts w:hint="eastAsia" w:ascii="仿宋_GB2312" w:eastAsia="仿宋_GB2312" w:cs="DengXian-Regular"/>
          <w:color w:val="000000" w:themeColor="text1"/>
          <w:sz w:val="32"/>
          <w:szCs w:val="32"/>
        </w:rPr>
        <w:t>人员经费</w:t>
      </w:r>
      <w:r>
        <w:rPr>
          <w:rFonts w:ascii="仿宋_GB2312" w:eastAsia="仿宋_GB2312" w:cs="DengXian-Regular"/>
          <w:color w:val="000000" w:themeColor="text1"/>
          <w:sz w:val="32"/>
          <w:szCs w:val="32"/>
        </w:rPr>
        <w:t>和项目资金的增加</w:t>
      </w:r>
      <w:r>
        <w:rPr>
          <w:rFonts w:hint="eastAsia" w:ascii="仿宋_GB2312" w:eastAsia="仿宋_GB2312" w:cs="DengXian-Regular"/>
          <w:sz w:val="32"/>
          <w:szCs w:val="32"/>
        </w:rPr>
        <w:t>。预算收入与决算收入对比情况见图2。</w:t>
      </w:r>
    </w:p>
    <w:p w14:paraId="06918516">
      <w:pPr>
        <w:spacing w:after="0" w:line="360" w:lineRule="auto"/>
        <w:jc w:val="center"/>
        <w:rPr>
          <w:rFonts w:asciiTheme="minorEastAsia" w:hAnsiTheme="minorEastAsia" w:eastAsiaTheme="minorEastAsia" w:cstheme="minorEastAsia"/>
          <w:b/>
          <w:sz w:val="32"/>
          <w:szCs w:val="32"/>
          <w:u w:color="000000"/>
        </w:rPr>
      </w:pPr>
      <w:r>
        <w:rPr>
          <w:rFonts w:hint="eastAsia" w:asciiTheme="minorEastAsia" w:hAnsiTheme="minorEastAsia" w:eastAsiaTheme="minorEastAsia" w:cstheme="minorEastAsia"/>
          <w:b/>
          <w:sz w:val="32"/>
          <w:szCs w:val="32"/>
          <w:u w:color="000000"/>
        </w:rPr>
        <w:t>图2  202</w:t>
      </w:r>
      <w:r>
        <w:rPr>
          <w:rFonts w:asciiTheme="minorEastAsia" w:hAnsiTheme="minorEastAsia" w:eastAsiaTheme="minorEastAsia" w:cstheme="minorEastAsia"/>
          <w:b/>
          <w:sz w:val="32"/>
          <w:szCs w:val="32"/>
          <w:u w:color="000000"/>
        </w:rPr>
        <w:t>1</w:t>
      </w:r>
      <w:r>
        <w:rPr>
          <w:rFonts w:hint="eastAsia" w:asciiTheme="minorEastAsia" w:hAnsiTheme="minorEastAsia" w:eastAsiaTheme="minorEastAsia" w:cstheme="minorEastAsia"/>
          <w:b/>
          <w:sz w:val="32"/>
          <w:szCs w:val="32"/>
          <w:u w:color="000000"/>
        </w:rPr>
        <w:t>年度区委统战部预算收入与决算收入对比图</w:t>
      </w:r>
    </w:p>
    <w:p w14:paraId="1593BF97">
      <w:pPr>
        <w:spacing w:after="0" w:line="360" w:lineRule="auto"/>
        <w:jc w:val="center"/>
        <w:rPr>
          <w:rFonts w:asciiTheme="minorEastAsia" w:hAnsiTheme="minorEastAsia" w:eastAsiaTheme="minorEastAsia" w:cstheme="minorEastAsia"/>
          <w:b/>
          <w:sz w:val="32"/>
          <w:szCs w:val="32"/>
          <w:u w:color="000000"/>
        </w:rPr>
      </w:pPr>
      <w:r>
        <w:rPr>
          <w:rFonts w:asciiTheme="minorEastAsia" w:hAnsiTheme="minorEastAsia" w:eastAsiaTheme="minorEastAsia" w:cstheme="minorEastAsia"/>
          <w:b/>
          <w:sz w:val="32"/>
          <w:szCs w:val="32"/>
          <w:u w:color="000000"/>
        </w:rPr>
        <w:drawing>
          <wp:inline distT="0" distB="0" distL="114300" distR="114300">
            <wp:extent cx="4968240" cy="2005330"/>
            <wp:effectExtent l="0" t="0" r="3810" b="13970"/>
            <wp:docPr id="4" name="图片 4" descr="预算收入与决算收入结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预算收入与决算收入结构图"/>
                    <pic:cNvPicPr>
                      <a:picLocks noChangeAspect="1"/>
                    </pic:cNvPicPr>
                  </pic:nvPicPr>
                  <pic:blipFill>
                    <a:blip r:embed="rId8"/>
                    <a:stretch>
                      <a:fillRect/>
                    </a:stretch>
                  </pic:blipFill>
                  <pic:spPr>
                    <a:xfrm>
                      <a:off x="0" y="0"/>
                      <a:ext cx="4968240" cy="2005330"/>
                    </a:xfrm>
                    <a:prstGeom prst="rect">
                      <a:avLst/>
                    </a:prstGeom>
                  </pic:spPr>
                </pic:pic>
              </a:graphicData>
            </a:graphic>
          </wp:inline>
        </w:drawing>
      </w:r>
    </w:p>
    <w:p w14:paraId="659CD514">
      <w:pPr>
        <w:pStyle w:val="4"/>
        <w:spacing w:before="0" w:after="0"/>
        <w:ind w:firstLine="643" w:firstLineChars="200"/>
        <w:jc w:val="both"/>
        <w:rPr>
          <w:rFonts w:ascii="仿宋_GB2312" w:hAnsiTheme="minorEastAsia"/>
          <w:sz w:val="32"/>
        </w:rPr>
      </w:pPr>
      <w:bookmarkStart w:id="12" w:name="_Toc18197"/>
      <w:r>
        <w:rPr>
          <w:rFonts w:hint="eastAsia" w:ascii="仿宋_GB2312" w:hAnsiTheme="minorEastAsia"/>
          <w:sz w:val="32"/>
        </w:rPr>
        <w:t>（四）预算支出及决算</w:t>
      </w:r>
      <w:bookmarkEnd w:id="10"/>
      <w:bookmarkEnd w:id="11"/>
      <w:r>
        <w:rPr>
          <w:rFonts w:hint="eastAsia" w:ascii="仿宋_GB2312" w:hAnsiTheme="minorEastAsia"/>
          <w:sz w:val="32"/>
        </w:rPr>
        <w:t>支出</w:t>
      </w:r>
      <w:bookmarkEnd w:id="12"/>
    </w:p>
    <w:p w14:paraId="325C4051">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年度区委统战部</w:t>
      </w:r>
      <w:r>
        <w:rPr>
          <w:rFonts w:hint="eastAsia" w:ascii="仿宋_GB2312" w:eastAsia="仿宋_GB2312" w:cs="Times New Roman" w:hAnsiTheme="minorEastAsia"/>
          <w:sz w:val="32"/>
          <w:szCs w:val="32"/>
          <w:u w:color="000000"/>
        </w:rPr>
        <w:t>预算支出安排</w:t>
      </w:r>
      <w:r>
        <w:rPr>
          <w:rFonts w:ascii="仿宋_GB2312" w:eastAsia="仿宋_GB2312" w:cs="Times New Roman" w:hAnsiTheme="minorEastAsia"/>
          <w:sz w:val="32"/>
          <w:szCs w:val="32"/>
          <w:u w:color="000000"/>
        </w:rPr>
        <w:t>184.65</w:t>
      </w:r>
      <w:r>
        <w:rPr>
          <w:rFonts w:hint="eastAsia" w:ascii="仿宋_GB2312" w:eastAsia="仿宋_GB2312" w:cs="Times New Roman" w:hAnsiTheme="minorEastAsia"/>
          <w:sz w:val="32"/>
          <w:szCs w:val="32"/>
          <w:u w:color="000000"/>
        </w:rPr>
        <w:t>万元，其中：基本支出</w:t>
      </w:r>
      <w:r>
        <w:rPr>
          <w:rFonts w:ascii="仿宋_GB2312" w:eastAsia="仿宋_GB2312" w:cs="Times New Roman" w:hAnsiTheme="minorEastAsia"/>
          <w:sz w:val="32"/>
          <w:szCs w:val="32"/>
          <w:u w:color="000000"/>
        </w:rPr>
        <w:t>164.3</w:t>
      </w:r>
      <w:r>
        <w:rPr>
          <w:rFonts w:hint="eastAsia" w:ascii="仿宋_GB2312" w:eastAsia="仿宋_GB2312" w:cs="Times New Roman" w:hAnsiTheme="minorEastAsia"/>
          <w:sz w:val="32"/>
          <w:szCs w:val="32"/>
          <w:u w:color="000000"/>
        </w:rPr>
        <w:t>万元，项目支出</w:t>
      </w:r>
      <w:r>
        <w:rPr>
          <w:rFonts w:ascii="仿宋_GB2312" w:eastAsia="仿宋_GB2312" w:cs="Times New Roman" w:hAnsiTheme="minorEastAsia"/>
          <w:sz w:val="32"/>
          <w:szCs w:val="32"/>
          <w:u w:color="000000"/>
        </w:rPr>
        <w:t>20.35</w:t>
      </w:r>
      <w:r>
        <w:rPr>
          <w:rFonts w:hint="eastAsia" w:ascii="仿宋_GB2312" w:eastAsia="仿宋_GB2312" w:cs="Times New Roman" w:hAnsiTheme="minorEastAsia"/>
          <w:sz w:val="32"/>
          <w:szCs w:val="32"/>
          <w:u w:color="000000"/>
        </w:rPr>
        <w:t>万元。预算支出按功能分类包含：一般公共与服务</w:t>
      </w:r>
      <w:r>
        <w:rPr>
          <w:rFonts w:ascii="仿宋_GB2312" w:eastAsia="仿宋_GB2312" w:cs="Times New Roman" w:hAnsiTheme="minorEastAsia"/>
          <w:sz w:val="32"/>
          <w:szCs w:val="32"/>
          <w:u w:color="000000"/>
        </w:rPr>
        <w:t>支出</w:t>
      </w:r>
      <w:r>
        <w:rPr>
          <w:rFonts w:hint="eastAsia" w:ascii="仿宋_GB2312" w:eastAsia="仿宋_GB2312" w:cs="Times New Roman" w:hAnsiTheme="minorEastAsia"/>
          <w:sz w:val="32"/>
          <w:szCs w:val="32"/>
          <w:u w:color="000000"/>
        </w:rPr>
        <w:t>146.86万元，社会保障和就业支出</w:t>
      </w:r>
      <w:r>
        <w:rPr>
          <w:rFonts w:ascii="仿宋_GB2312" w:eastAsia="仿宋_GB2312" w:cs="Times New Roman" w:hAnsiTheme="minorEastAsia"/>
          <w:sz w:val="32"/>
          <w:szCs w:val="32"/>
          <w:u w:color="000000"/>
        </w:rPr>
        <w:t>22.94</w:t>
      </w:r>
      <w:r>
        <w:rPr>
          <w:rFonts w:hint="eastAsia" w:ascii="仿宋_GB2312" w:eastAsia="仿宋_GB2312" w:cs="Times New Roman" w:hAnsiTheme="minorEastAsia"/>
          <w:sz w:val="32"/>
          <w:szCs w:val="32"/>
          <w:u w:color="000000"/>
        </w:rPr>
        <w:t>万元，卫生健康支出</w:t>
      </w:r>
      <w:r>
        <w:rPr>
          <w:rFonts w:ascii="仿宋_GB2312" w:eastAsia="仿宋_GB2312" w:cs="Times New Roman" w:hAnsiTheme="minorEastAsia"/>
          <w:sz w:val="32"/>
          <w:szCs w:val="32"/>
          <w:u w:color="000000"/>
        </w:rPr>
        <w:t>6.39</w:t>
      </w:r>
      <w:r>
        <w:rPr>
          <w:rFonts w:hint="eastAsia" w:ascii="仿宋_GB2312" w:eastAsia="仿宋_GB2312" w:cs="Times New Roman" w:hAnsiTheme="minorEastAsia"/>
          <w:sz w:val="32"/>
          <w:szCs w:val="32"/>
          <w:u w:color="000000"/>
        </w:rPr>
        <w:t>万元，住房保障支出</w:t>
      </w:r>
      <w:r>
        <w:rPr>
          <w:rFonts w:ascii="仿宋_GB2312" w:eastAsia="仿宋_GB2312" w:cs="Times New Roman" w:hAnsiTheme="minorEastAsia"/>
          <w:sz w:val="32"/>
          <w:szCs w:val="32"/>
          <w:u w:color="000000"/>
        </w:rPr>
        <w:t>8.46</w:t>
      </w:r>
      <w:r>
        <w:rPr>
          <w:rFonts w:hint="eastAsia" w:ascii="仿宋_GB2312" w:eastAsia="仿宋_GB2312" w:cs="Times New Roman" w:hAnsiTheme="minorEastAsia"/>
          <w:sz w:val="32"/>
          <w:szCs w:val="32"/>
          <w:u w:color="000000"/>
        </w:rPr>
        <w:t>万元。具体预算支出详见附件2。</w:t>
      </w:r>
    </w:p>
    <w:p w14:paraId="3071FED0">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年度区委统战部</w:t>
      </w:r>
      <w:r>
        <w:rPr>
          <w:rFonts w:hint="eastAsia" w:ascii="仿宋_GB2312" w:eastAsia="仿宋_GB2312" w:cs="Times New Roman" w:hAnsiTheme="minorEastAsia"/>
          <w:sz w:val="32"/>
          <w:szCs w:val="32"/>
          <w:u w:color="000000"/>
        </w:rPr>
        <w:t>决算支出为</w:t>
      </w:r>
      <w:r>
        <w:rPr>
          <w:rFonts w:ascii="仿宋_GB2312" w:eastAsia="仿宋_GB2312" w:cs="Times New Roman" w:hAnsiTheme="minorEastAsia"/>
          <w:sz w:val="32"/>
          <w:szCs w:val="32"/>
          <w:u w:color="000000"/>
        </w:rPr>
        <w:t>220.99</w:t>
      </w:r>
      <w:r>
        <w:rPr>
          <w:rFonts w:hint="eastAsia" w:ascii="仿宋_GB2312" w:eastAsia="仿宋_GB2312" w:cs="Times New Roman" w:hAnsiTheme="minorEastAsia"/>
          <w:sz w:val="32"/>
          <w:szCs w:val="32"/>
          <w:u w:color="000000"/>
        </w:rPr>
        <w:t>万元，其中：基本支出</w:t>
      </w:r>
      <w:r>
        <w:rPr>
          <w:rFonts w:ascii="仿宋_GB2312" w:eastAsia="仿宋_GB2312" w:cs="Times New Roman" w:hAnsiTheme="minorEastAsia"/>
          <w:sz w:val="32"/>
          <w:szCs w:val="32"/>
          <w:u w:color="000000"/>
        </w:rPr>
        <w:t>162.12</w:t>
      </w:r>
      <w:r>
        <w:rPr>
          <w:rFonts w:hint="eastAsia" w:ascii="仿宋_GB2312" w:eastAsia="仿宋_GB2312" w:cs="Times New Roman" w:hAnsiTheme="minorEastAsia"/>
          <w:sz w:val="32"/>
          <w:szCs w:val="32"/>
          <w:u w:color="000000"/>
        </w:rPr>
        <w:t>万元，项目支出</w:t>
      </w:r>
      <w:r>
        <w:rPr>
          <w:rFonts w:ascii="仿宋_GB2312" w:eastAsia="仿宋_GB2312" w:cs="Times New Roman" w:hAnsiTheme="minorEastAsia"/>
          <w:sz w:val="32"/>
          <w:szCs w:val="32"/>
          <w:u w:color="000000"/>
        </w:rPr>
        <w:t>58.87</w:t>
      </w:r>
      <w:r>
        <w:rPr>
          <w:rFonts w:hint="eastAsia" w:ascii="仿宋_GB2312" w:eastAsia="仿宋_GB2312" w:cs="Times New Roman" w:hAnsiTheme="minorEastAsia"/>
          <w:sz w:val="32"/>
          <w:szCs w:val="32"/>
          <w:u w:color="000000"/>
        </w:rPr>
        <w:t>万元。决算支出按功能分类包含：一般公共服务</w:t>
      </w:r>
      <w:r>
        <w:rPr>
          <w:rFonts w:ascii="仿宋_GB2312" w:eastAsia="仿宋_GB2312" w:cs="Times New Roman" w:hAnsiTheme="minorEastAsia"/>
          <w:sz w:val="32"/>
          <w:szCs w:val="32"/>
          <w:u w:color="000000"/>
        </w:rPr>
        <w:t>支出</w:t>
      </w:r>
      <w:r>
        <w:rPr>
          <w:rFonts w:hint="eastAsia" w:ascii="仿宋_GB2312" w:eastAsia="仿宋_GB2312" w:cs="Times New Roman" w:hAnsiTheme="minorEastAsia"/>
          <w:sz w:val="32"/>
          <w:szCs w:val="32"/>
          <w:u w:color="000000"/>
        </w:rPr>
        <w:t>183.</w:t>
      </w:r>
      <w:r>
        <w:rPr>
          <w:rFonts w:ascii="仿宋_GB2312" w:eastAsia="仿宋_GB2312" w:cs="Times New Roman" w:hAnsiTheme="minorEastAsia"/>
          <w:sz w:val="32"/>
          <w:szCs w:val="32"/>
          <w:u w:color="000000"/>
        </w:rPr>
        <w:t>69</w:t>
      </w:r>
      <w:r>
        <w:rPr>
          <w:rFonts w:hint="eastAsia" w:ascii="仿宋_GB2312" w:eastAsia="仿宋_GB2312" w:cs="Times New Roman" w:hAnsiTheme="minorEastAsia"/>
          <w:sz w:val="32"/>
          <w:szCs w:val="32"/>
          <w:u w:color="000000"/>
        </w:rPr>
        <w:t>万元，</w:t>
      </w:r>
      <w:r>
        <w:rPr>
          <w:rFonts w:hint="eastAsia" w:ascii="仿宋_GB2312" w:eastAsia="仿宋_GB2312" w:cs="DengXian-Regular"/>
          <w:sz w:val="32"/>
          <w:szCs w:val="32"/>
        </w:rPr>
        <w:t>占</w:t>
      </w:r>
      <w:r>
        <w:rPr>
          <w:rFonts w:ascii="仿宋_GB2312" w:eastAsia="仿宋_GB2312" w:cs="DengXian-Regular"/>
          <w:sz w:val="32"/>
          <w:szCs w:val="32"/>
        </w:rPr>
        <w:t>83.13%</w:t>
      </w:r>
      <w:r>
        <w:rPr>
          <w:rFonts w:hint="eastAsia" w:ascii="仿宋_GB2312" w:eastAsia="仿宋_GB2312" w:cs="DengXian-Regular"/>
          <w:sz w:val="32"/>
          <w:szCs w:val="32"/>
        </w:rPr>
        <w:t>；社会保障和就业支出</w:t>
      </w:r>
      <w:r>
        <w:rPr>
          <w:rFonts w:ascii="仿宋_GB2312" w:eastAsia="仿宋_GB2312" w:cs="DengXian-Regular"/>
          <w:sz w:val="32"/>
          <w:szCs w:val="32"/>
        </w:rPr>
        <w:t>22.31</w:t>
      </w:r>
      <w:r>
        <w:rPr>
          <w:rFonts w:hint="eastAsia" w:ascii="仿宋_GB2312" w:eastAsia="仿宋_GB2312" w:cs="DengXian-Regular"/>
          <w:sz w:val="32"/>
          <w:szCs w:val="32"/>
        </w:rPr>
        <w:t>万元，占</w:t>
      </w:r>
      <w:r>
        <w:rPr>
          <w:rFonts w:ascii="仿宋_GB2312" w:eastAsia="仿宋_GB2312" w:cs="DengXian-Regular"/>
          <w:sz w:val="32"/>
          <w:szCs w:val="32"/>
        </w:rPr>
        <w:t>10.10</w:t>
      </w:r>
      <w:r>
        <w:rPr>
          <w:rFonts w:hint="eastAsia" w:ascii="仿宋_GB2312" w:eastAsia="仿宋_GB2312" w:cs="DengXian-Regular"/>
          <w:sz w:val="32"/>
          <w:szCs w:val="32"/>
        </w:rPr>
        <w:t>%；卫生健康支出</w:t>
      </w:r>
      <w:r>
        <w:rPr>
          <w:rFonts w:ascii="仿宋_GB2312" w:eastAsia="仿宋_GB2312" w:cs="DengXian-Regular"/>
          <w:sz w:val="32"/>
          <w:szCs w:val="32"/>
        </w:rPr>
        <w:t>5.12</w:t>
      </w:r>
      <w:r>
        <w:rPr>
          <w:rFonts w:hint="eastAsia" w:ascii="仿宋_GB2312" w:eastAsia="仿宋_GB2312" w:cs="DengXian-Regular"/>
          <w:sz w:val="32"/>
          <w:szCs w:val="32"/>
        </w:rPr>
        <w:t>万元，占</w:t>
      </w:r>
      <w:r>
        <w:rPr>
          <w:rFonts w:ascii="仿宋_GB2312" w:eastAsia="仿宋_GB2312" w:cs="DengXian-Regular"/>
          <w:sz w:val="32"/>
          <w:szCs w:val="32"/>
        </w:rPr>
        <w:t>2.32</w:t>
      </w:r>
      <w:r>
        <w:rPr>
          <w:rFonts w:hint="eastAsia" w:ascii="仿宋_GB2312" w:eastAsia="仿宋_GB2312" w:cs="DengXian-Regular"/>
          <w:sz w:val="32"/>
          <w:szCs w:val="32"/>
        </w:rPr>
        <w:t>%；住房保障支出</w:t>
      </w:r>
      <w:r>
        <w:rPr>
          <w:rFonts w:ascii="仿宋_GB2312" w:eastAsia="仿宋_GB2312" w:cs="DengXian-Regular"/>
          <w:sz w:val="32"/>
          <w:szCs w:val="32"/>
        </w:rPr>
        <w:t>9.87</w:t>
      </w:r>
      <w:r>
        <w:rPr>
          <w:rFonts w:hint="eastAsia" w:ascii="仿宋_GB2312" w:eastAsia="仿宋_GB2312" w:cs="DengXian-Regular"/>
          <w:sz w:val="32"/>
          <w:szCs w:val="32"/>
        </w:rPr>
        <w:t>万元，占</w:t>
      </w:r>
      <w:r>
        <w:rPr>
          <w:rFonts w:ascii="仿宋_GB2312" w:eastAsia="仿宋_GB2312" w:cs="DengXian-Regular"/>
          <w:sz w:val="32"/>
          <w:szCs w:val="32"/>
        </w:rPr>
        <w:t>4.47</w:t>
      </w:r>
      <w:r>
        <w:rPr>
          <w:rFonts w:hint="eastAsia" w:ascii="仿宋_GB2312" w:eastAsia="仿宋_GB2312" w:cs="DengXian-Regular"/>
          <w:sz w:val="32"/>
          <w:szCs w:val="32"/>
        </w:rPr>
        <w:t>%</w:t>
      </w:r>
      <w:r>
        <w:rPr>
          <w:rFonts w:hint="eastAsia" w:ascii="仿宋_GB2312" w:eastAsia="仿宋_GB2312" w:cs="Times New Roman" w:hAnsiTheme="minorEastAsia"/>
          <w:sz w:val="32"/>
          <w:szCs w:val="32"/>
          <w:u w:color="000000"/>
        </w:rPr>
        <w:t>。具体决算支出详见附件2。</w:t>
      </w:r>
    </w:p>
    <w:p w14:paraId="785CBFCF">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决算支出结构如图3。</w:t>
      </w:r>
    </w:p>
    <w:p w14:paraId="2E1B839F">
      <w:pPr>
        <w:spacing w:after="0" w:line="360" w:lineRule="auto"/>
        <w:jc w:val="center"/>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图3  202</w:t>
      </w:r>
      <w:r>
        <w:rPr>
          <w:rFonts w:asciiTheme="minorEastAsia" w:hAnsiTheme="minorEastAsia" w:eastAsiaTheme="minorEastAsia" w:cstheme="minorEastAsia"/>
          <w:b/>
          <w:bCs/>
          <w:sz w:val="32"/>
          <w:szCs w:val="32"/>
          <w:u w:color="000000"/>
        </w:rPr>
        <w:t>1</w:t>
      </w:r>
      <w:r>
        <w:rPr>
          <w:rFonts w:hint="eastAsia" w:asciiTheme="minorEastAsia" w:hAnsiTheme="minorEastAsia" w:eastAsiaTheme="minorEastAsia" w:cstheme="minorEastAsia"/>
          <w:b/>
          <w:bCs/>
          <w:sz w:val="32"/>
          <w:szCs w:val="32"/>
          <w:u w:color="000000"/>
        </w:rPr>
        <w:t>年度区委统战部决算支出结构图</w:t>
      </w:r>
    </w:p>
    <w:p w14:paraId="23F7C6AC">
      <w:pPr>
        <w:spacing w:after="0" w:line="360" w:lineRule="auto"/>
        <w:jc w:val="center"/>
        <w:rPr>
          <w:rFonts w:asciiTheme="minorEastAsia" w:hAnsiTheme="minorEastAsia" w:eastAsiaTheme="minorEastAsia" w:cstheme="minorEastAsia"/>
          <w:b/>
          <w:bCs/>
          <w:sz w:val="32"/>
          <w:szCs w:val="32"/>
          <w:u w:color="000000"/>
        </w:rPr>
      </w:pPr>
      <w:r>
        <w:rPr>
          <w:rFonts w:asciiTheme="minorEastAsia" w:hAnsiTheme="minorEastAsia" w:eastAsiaTheme="minorEastAsia" w:cstheme="minorEastAsia"/>
          <w:b/>
          <w:bCs/>
          <w:sz w:val="32"/>
          <w:szCs w:val="32"/>
          <w:u w:color="000000"/>
        </w:rPr>
        <w:drawing>
          <wp:inline distT="0" distB="0" distL="114300" distR="114300">
            <wp:extent cx="5273040" cy="2007235"/>
            <wp:effectExtent l="0" t="0" r="3810" b="12065"/>
            <wp:docPr id="6" name="图片 6" descr="决算支出结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决算支出结构图"/>
                    <pic:cNvPicPr>
                      <a:picLocks noChangeAspect="1"/>
                    </pic:cNvPicPr>
                  </pic:nvPicPr>
                  <pic:blipFill>
                    <a:blip r:embed="rId9"/>
                    <a:stretch>
                      <a:fillRect/>
                    </a:stretch>
                  </pic:blipFill>
                  <pic:spPr>
                    <a:xfrm>
                      <a:off x="0" y="0"/>
                      <a:ext cx="5273040" cy="2007235"/>
                    </a:xfrm>
                    <a:prstGeom prst="rect">
                      <a:avLst/>
                    </a:prstGeom>
                  </pic:spPr>
                </pic:pic>
              </a:graphicData>
            </a:graphic>
          </wp:inline>
        </w:drawing>
      </w:r>
    </w:p>
    <w:p w14:paraId="436A2FC6">
      <w:pPr>
        <w:spacing w:after="0" w:line="360" w:lineRule="auto"/>
        <w:ind w:firstLine="640" w:firstLineChars="200"/>
        <w:jc w:val="both"/>
        <w:rPr>
          <w:rFonts w:ascii="仿宋" w:hAnsi="仿宋" w:eastAsia="仿宋"/>
          <w:snapToGrid w:val="0"/>
          <w:sz w:val="32"/>
          <w:szCs w:val="32"/>
        </w:rPr>
      </w:pPr>
      <w:r>
        <w:rPr>
          <w:rFonts w:hint="eastAsia" w:ascii="仿宋_GB2312" w:eastAsia="仿宋_GB2312" w:cs="DengXian-Regular"/>
          <w:sz w:val="32"/>
          <w:szCs w:val="32"/>
        </w:rPr>
        <w:t>财政拨款决算支出比年初预算增加</w:t>
      </w:r>
      <w:r>
        <w:rPr>
          <w:rFonts w:ascii="仿宋_GB2312" w:eastAsia="仿宋_GB2312" w:cs="DengXian-Regular"/>
          <w:sz w:val="32"/>
          <w:szCs w:val="32"/>
        </w:rPr>
        <w:t>32.33</w:t>
      </w:r>
      <w:r>
        <w:rPr>
          <w:rFonts w:hint="eastAsia" w:ascii="仿宋_GB2312" w:eastAsia="仿宋_GB2312" w:cs="DengXian-Regular"/>
          <w:sz w:val="32"/>
          <w:szCs w:val="32"/>
        </w:rPr>
        <w:t>万元。决算支出完成年初预算的</w:t>
      </w:r>
      <w:r>
        <w:rPr>
          <w:rFonts w:ascii="仿宋_GB2312" w:eastAsia="仿宋_GB2312" w:cs="DengXian-Regular"/>
          <w:sz w:val="32"/>
          <w:szCs w:val="32"/>
        </w:rPr>
        <w:t>117.5</w:t>
      </w:r>
      <w:r>
        <w:rPr>
          <w:rFonts w:hint="eastAsia" w:ascii="仿宋_GB2312" w:eastAsia="仿宋_GB2312" w:cs="DengXian-Regular"/>
          <w:sz w:val="32"/>
          <w:szCs w:val="32"/>
        </w:rPr>
        <w:t>%。</w:t>
      </w:r>
      <w:r>
        <w:rPr>
          <w:rFonts w:hint="eastAsia" w:ascii="仿宋_GB2312" w:eastAsia="仿宋_GB2312" w:cs="Times New Roman" w:hAnsiTheme="minorEastAsia"/>
          <w:sz w:val="32"/>
          <w:szCs w:val="32"/>
          <w:u w:color="000000"/>
        </w:rPr>
        <w:t>决算支出大于预算支出的</w:t>
      </w:r>
      <w:r>
        <w:rPr>
          <w:rFonts w:hint="eastAsia" w:ascii="仿宋_GB2312" w:eastAsia="仿宋_GB2312" w:cs="DengXian-Regular"/>
          <w:sz w:val="32"/>
          <w:szCs w:val="32"/>
        </w:rPr>
        <w:t>主要原因</w:t>
      </w:r>
      <w:r>
        <w:rPr>
          <w:rFonts w:hint="eastAsia" w:ascii="仿宋_GB2312" w:hAnsi="Times New Roman" w:eastAsia="仿宋_GB2312" w:cs="Wingdings"/>
          <w:color w:val="000000" w:themeColor="text1"/>
          <w:sz w:val="32"/>
          <w:szCs w:val="32"/>
        </w:rPr>
        <w:t>是</w:t>
      </w:r>
      <w:r>
        <w:rPr>
          <w:rFonts w:hint="eastAsia" w:ascii="仿宋_GB2312" w:eastAsia="仿宋_GB2312" w:cs="DengXian-Regular"/>
          <w:color w:val="000000" w:themeColor="text1"/>
          <w:sz w:val="32"/>
          <w:szCs w:val="32"/>
        </w:rPr>
        <w:t>人员经费</w:t>
      </w:r>
      <w:r>
        <w:rPr>
          <w:rFonts w:ascii="仿宋_GB2312" w:eastAsia="仿宋_GB2312" w:cs="DengXian-Regular"/>
          <w:color w:val="000000" w:themeColor="text1"/>
          <w:sz w:val="32"/>
          <w:szCs w:val="32"/>
        </w:rPr>
        <w:t>和项目资金的增加</w:t>
      </w:r>
      <w:r>
        <w:rPr>
          <w:rFonts w:hint="eastAsia" w:ascii="仿宋" w:hAnsi="仿宋" w:eastAsia="仿宋"/>
          <w:snapToGrid w:val="0"/>
          <w:sz w:val="32"/>
          <w:szCs w:val="32"/>
        </w:rPr>
        <w:t>。预算支出与决算支出对比情况如图4。</w:t>
      </w:r>
    </w:p>
    <w:p w14:paraId="34D0BF4B">
      <w:pPr>
        <w:spacing w:after="0" w:line="360" w:lineRule="auto"/>
        <w:jc w:val="center"/>
        <w:rPr>
          <w:rFonts w:ascii="仿宋_GB2312" w:eastAsia="仿宋_GB2312" w:cs="DengXian-Regular"/>
          <w:sz w:val="32"/>
          <w:szCs w:val="32"/>
        </w:rPr>
      </w:pPr>
      <w:r>
        <w:rPr>
          <w:rFonts w:hint="eastAsia" w:asciiTheme="minorEastAsia" w:hAnsiTheme="minorEastAsia" w:eastAsiaTheme="minorEastAsia" w:cstheme="minorEastAsia"/>
          <w:b/>
          <w:bCs/>
          <w:sz w:val="32"/>
          <w:szCs w:val="32"/>
        </w:rPr>
        <w:t>图4  202</w:t>
      </w:r>
      <w:r>
        <w:rPr>
          <w:rFonts w:asciiTheme="minorEastAsia" w:hAnsiTheme="minorEastAsia" w:eastAsiaTheme="minorEastAsia" w:cstheme="minorEastAsia"/>
          <w:b/>
          <w:bCs/>
          <w:sz w:val="32"/>
          <w:szCs w:val="32"/>
        </w:rPr>
        <w:t>1</w:t>
      </w:r>
      <w:r>
        <w:rPr>
          <w:rFonts w:hint="eastAsia" w:asciiTheme="minorEastAsia" w:hAnsiTheme="minorEastAsia" w:eastAsiaTheme="minorEastAsia" w:cstheme="minorEastAsia"/>
          <w:b/>
          <w:bCs/>
          <w:sz w:val="32"/>
          <w:szCs w:val="32"/>
        </w:rPr>
        <w:t>年度区委统战部预算支出与决算支出对比图</w:t>
      </w:r>
    </w:p>
    <w:p w14:paraId="15177550">
      <w:pPr>
        <w:spacing w:after="0" w:line="360" w:lineRule="auto"/>
        <w:ind w:firstLine="640" w:firstLineChars="200"/>
        <w:jc w:val="both"/>
        <w:rPr>
          <w:rFonts w:ascii="仿宋_GB2312" w:eastAsia="仿宋_GB2312" w:cs="DengXian-Regular"/>
          <w:sz w:val="32"/>
          <w:szCs w:val="32"/>
        </w:rPr>
      </w:pPr>
      <w:r>
        <w:rPr>
          <w:rFonts w:ascii="仿宋_GB2312" w:eastAsia="仿宋_GB2312" w:cs="DengXian-Regular"/>
          <w:sz w:val="32"/>
          <w:szCs w:val="32"/>
        </w:rPr>
        <w:drawing>
          <wp:inline distT="0" distB="0" distL="114300" distR="114300">
            <wp:extent cx="4968240" cy="2005330"/>
            <wp:effectExtent l="0" t="0" r="3810" b="13970"/>
            <wp:docPr id="7" name="图片 7" descr="预决算支出结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预决算支出结构图"/>
                    <pic:cNvPicPr>
                      <a:picLocks noChangeAspect="1"/>
                    </pic:cNvPicPr>
                  </pic:nvPicPr>
                  <pic:blipFill>
                    <a:blip r:embed="rId10"/>
                    <a:stretch>
                      <a:fillRect/>
                    </a:stretch>
                  </pic:blipFill>
                  <pic:spPr>
                    <a:xfrm>
                      <a:off x="0" y="0"/>
                      <a:ext cx="4968240" cy="2005330"/>
                    </a:xfrm>
                    <a:prstGeom prst="rect">
                      <a:avLst/>
                    </a:prstGeom>
                  </pic:spPr>
                </pic:pic>
              </a:graphicData>
            </a:graphic>
          </wp:inline>
        </w:drawing>
      </w:r>
    </w:p>
    <w:p w14:paraId="49B56008">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区委统战部202</w:t>
      </w:r>
      <w:r>
        <w:rPr>
          <w:rFonts w:ascii="仿宋_GB2312" w:eastAsia="仿宋_GB2312" w:cs="DengXian-Regular"/>
          <w:sz w:val="32"/>
          <w:szCs w:val="32"/>
        </w:rPr>
        <w:t>1</w:t>
      </w:r>
      <w:r>
        <w:rPr>
          <w:rFonts w:hint="eastAsia" w:ascii="仿宋_GB2312" w:eastAsia="仿宋_GB2312" w:cs="DengXian-Regular"/>
          <w:sz w:val="32"/>
          <w:szCs w:val="32"/>
        </w:rPr>
        <w:t>年实际项目支出</w:t>
      </w:r>
      <w:r>
        <w:rPr>
          <w:rFonts w:ascii="仿宋_GB2312" w:eastAsia="仿宋_GB2312" w:cs="DengXian-Regular"/>
          <w:sz w:val="32"/>
          <w:szCs w:val="32"/>
        </w:rPr>
        <w:t>58.87</w:t>
      </w:r>
      <w:r>
        <w:rPr>
          <w:rFonts w:hint="eastAsia" w:ascii="仿宋_GB2312" w:eastAsia="仿宋_GB2312" w:cs="DengXian-Regular"/>
          <w:sz w:val="32"/>
          <w:szCs w:val="32"/>
        </w:rPr>
        <w:t>万元，决算报表中项目支出</w:t>
      </w:r>
      <w:r>
        <w:rPr>
          <w:rFonts w:ascii="仿宋_GB2312" w:eastAsia="仿宋_GB2312" w:cs="DengXian-Regular"/>
          <w:sz w:val="32"/>
          <w:szCs w:val="32"/>
        </w:rPr>
        <w:t>58.87</w:t>
      </w:r>
      <w:r>
        <w:rPr>
          <w:rFonts w:hint="eastAsia" w:ascii="仿宋_GB2312" w:eastAsia="仿宋_GB2312" w:cs="DengXian-Regular"/>
          <w:sz w:val="32"/>
          <w:szCs w:val="32"/>
        </w:rPr>
        <w:t>万元，实际支出与决算报表差</w:t>
      </w:r>
      <w:r>
        <w:rPr>
          <w:rFonts w:ascii="仿宋_GB2312" w:eastAsia="仿宋_GB2312" w:cs="DengXian-Regular"/>
          <w:sz w:val="32"/>
          <w:szCs w:val="32"/>
        </w:rPr>
        <w:t>0</w:t>
      </w:r>
      <w:r>
        <w:rPr>
          <w:rFonts w:hint="eastAsia" w:ascii="仿宋_GB2312" w:eastAsia="仿宋_GB2312" w:cs="DengXian-Regular"/>
          <w:sz w:val="32"/>
          <w:szCs w:val="32"/>
        </w:rPr>
        <w:t>万元。</w:t>
      </w:r>
    </w:p>
    <w:p w14:paraId="2E791B02">
      <w:pPr>
        <w:pStyle w:val="4"/>
        <w:spacing w:before="0" w:after="0"/>
        <w:ind w:firstLine="643" w:firstLineChars="200"/>
        <w:jc w:val="both"/>
        <w:rPr>
          <w:rFonts w:ascii="仿宋_GB2312" w:hAnsi="Tahoma" w:cs="DengXian-Regular"/>
          <w:sz w:val="32"/>
        </w:rPr>
      </w:pPr>
      <w:bookmarkStart w:id="13" w:name="_Toc465149503"/>
      <w:bookmarkStart w:id="14" w:name="_Toc19291"/>
      <w:bookmarkStart w:id="15" w:name="_Toc492652769"/>
      <w:r>
        <w:rPr>
          <w:rFonts w:hint="eastAsia" w:ascii="仿宋_GB2312" w:hAnsi="Tahoma" w:cs="DengXian-Regular"/>
          <w:sz w:val="32"/>
        </w:rPr>
        <w:t>（五）“三公”经费预算安排及支出情况</w:t>
      </w:r>
      <w:bookmarkEnd w:id="13"/>
      <w:bookmarkEnd w:id="14"/>
      <w:bookmarkEnd w:id="15"/>
    </w:p>
    <w:p w14:paraId="7DFB74E3">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年区委统战部“三公”经费预算</w:t>
      </w:r>
      <w:r>
        <w:rPr>
          <w:rFonts w:ascii="仿宋_GB2312" w:eastAsia="仿宋_GB2312" w:cs="DengXian-Regular"/>
          <w:sz w:val="32"/>
          <w:szCs w:val="32"/>
        </w:rPr>
        <w:t>5.30</w:t>
      </w:r>
      <w:r>
        <w:rPr>
          <w:rFonts w:hint="eastAsia" w:ascii="仿宋_GB2312" w:eastAsia="仿宋_GB2312" w:cs="DengXian-Regular"/>
          <w:sz w:val="32"/>
          <w:szCs w:val="32"/>
        </w:rPr>
        <w:t>万元（公务用车运行维护费</w:t>
      </w:r>
      <w:r>
        <w:rPr>
          <w:rFonts w:ascii="仿宋_GB2312" w:eastAsia="仿宋_GB2312" w:cs="DengXian-Regular"/>
          <w:sz w:val="32"/>
          <w:szCs w:val="32"/>
        </w:rPr>
        <w:t>3.3</w:t>
      </w:r>
      <w:r>
        <w:rPr>
          <w:rFonts w:hint="eastAsia" w:ascii="仿宋_GB2312" w:eastAsia="仿宋_GB2312" w:cs="DengXian-Regular"/>
          <w:sz w:val="32"/>
          <w:szCs w:val="32"/>
        </w:rPr>
        <w:t>万元，公务接待费</w:t>
      </w:r>
      <w:r>
        <w:rPr>
          <w:rFonts w:ascii="仿宋_GB2312" w:eastAsia="仿宋_GB2312" w:cs="DengXian-Regular"/>
          <w:sz w:val="32"/>
          <w:szCs w:val="32"/>
        </w:rPr>
        <w:t>2</w:t>
      </w:r>
      <w:r>
        <w:rPr>
          <w:rFonts w:hint="eastAsia" w:ascii="仿宋_GB2312" w:eastAsia="仿宋_GB2312" w:cs="DengXian-Regular"/>
          <w:sz w:val="32"/>
          <w:szCs w:val="32"/>
        </w:rPr>
        <w:t>万元），实际支出</w:t>
      </w:r>
      <w:r>
        <w:rPr>
          <w:rFonts w:ascii="仿宋_GB2312" w:eastAsia="仿宋_GB2312" w:cs="DengXian-Regular"/>
          <w:sz w:val="32"/>
          <w:szCs w:val="32"/>
        </w:rPr>
        <w:t>4.05</w:t>
      </w:r>
      <w:r>
        <w:rPr>
          <w:rFonts w:hint="eastAsia" w:ascii="仿宋_GB2312" w:eastAsia="仿宋_GB2312" w:cs="DengXian-Regular"/>
          <w:sz w:val="32"/>
          <w:szCs w:val="32"/>
        </w:rPr>
        <w:t>万元（公务用车运行维护费</w:t>
      </w:r>
      <w:r>
        <w:rPr>
          <w:rFonts w:ascii="仿宋_GB2312" w:eastAsia="仿宋_GB2312" w:cs="DengXian-Regular"/>
          <w:sz w:val="32"/>
          <w:szCs w:val="32"/>
        </w:rPr>
        <w:t>3.13</w:t>
      </w:r>
      <w:r>
        <w:rPr>
          <w:rFonts w:hint="eastAsia" w:ascii="仿宋_GB2312" w:eastAsia="仿宋_GB2312" w:cs="DengXian-Regular"/>
          <w:sz w:val="32"/>
          <w:szCs w:val="32"/>
        </w:rPr>
        <w:t>万元，</w:t>
      </w:r>
      <w:r>
        <w:rPr>
          <w:rFonts w:ascii="仿宋_GB2312" w:eastAsia="仿宋_GB2312" w:cs="DengXian-Regular"/>
          <w:sz w:val="32"/>
          <w:szCs w:val="32"/>
        </w:rPr>
        <w:t>公务接待费支出为</w:t>
      </w:r>
      <w:r>
        <w:rPr>
          <w:rFonts w:hint="eastAsia" w:ascii="仿宋_GB2312" w:eastAsia="仿宋_GB2312" w:cs="DengXian-Regular"/>
          <w:sz w:val="32"/>
          <w:szCs w:val="32"/>
        </w:rPr>
        <w:t>0.92万元），比预算减少</w:t>
      </w:r>
      <w:r>
        <w:rPr>
          <w:rFonts w:ascii="仿宋_GB2312" w:eastAsia="仿宋_GB2312" w:cs="DengXian-Regular"/>
          <w:sz w:val="32"/>
          <w:szCs w:val="32"/>
        </w:rPr>
        <w:t>1.25</w:t>
      </w:r>
      <w:r>
        <w:rPr>
          <w:rFonts w:hint="eastAsia" w:ascii="仿宋_GB2312" w:eastAsia="仿宋_GB2312" w:cs="DengXian-Regular"/>
          <w:sz w:val="32"/>
          <w:szCs w:val="32"/>
        </w:rPr>
        <w:t>万元，节约率</w:t>
      </w:r>
      <w:r>
        <w:rPr>
          <w:rFonts w:ascii="仿宋_GB2312" w:eastAsia="仿宋_GB2312" w:cs="DengXian-Regular"/>
          <w:sz w:val="32"/>
          <w:szCs w:val="32"/>
        </w:rPr>
        <w:t>23.58</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年“三公”经费预算数与</w:t>
      </w:r>
      <w:r>
        <w:rPr>
          <w:rFonts w:ascii="仿宋_GB2312" w:eastAsia="仿宋_GB2312" w:cs="DengXian-Regular"/>
          <w:sz w:val="32"/>
          <w:szCs w:val="32"/>
        </w:rPr>
        <w:t>2020</w:t>
      </w:r>
      <w:r>
        <w:rPr>
          <w:rFonts w:hint="eastAsia" w:ascii="仿宋_GB2312" w:eastAsia="仿宋_GB2312" w:cs="DengXian-Regular"/>
          <w:sz w:val="32"/>
          <w:szCs w:val="32"/>
        </w:rPr>
        <w:t>年预算数相比无变化，决算数与</w:t>
      </w:r>
      <w:r>
        <w:rPr>
          <w:rFonts w:ascii="仿宋_GB2312" w:eastAsia="仿宋_GB2312" w:cs="DengXian-Regular"/>
          <w:sz w:val="32"/>
          <w:szCs w:val="32"/>
        </w:rPr>
        <w:t>2020</w:t>
      </w:r>
      <w:r>
        <w:rPr>
          <w:rFonts w:hint="eastAsia" w:ascii="仿宋_GB2312" w:eastAsia="仿宋_GB2312" w:cs="DengXian-Regular"/>
          <w:sz w:val="32"/>
          <w:szCs w:val="32"/>
        </w:rPr>
        <w:t>年实际支出相比，增加</w:t>
      </w:r>
      <w:r>
        <w:rPr>
          <w:rFonts w:ascii="仿宋_GB2312" w:eastAsia="仿宋_GB2312" w:cs="DengXian-Regular"/>
          <w:sz w:val="32"/>
          <w:szCs w:val="32"/>
        </w:rPr>
        <w:t>0.42</w:t>
      </w:r>
      <w:r>
        <w:rPr>
          <w:rFonts w:hint="eastAsia" w:ascii="仿宋_GB2312" w:eastAsia="仿宋_GB2312" w:cs="DengXian-Regular"/>
          <w:sz w:val="32"/>
          <w:szCs w:val="32"/>
        </w:rPr>
        <w:t>万元。具体详见表1。</w:t>
      </w:r>
    </w:p>
    <w:p w14:paraId="01AFD5EB">
      <w:pPr>
        <w:spacing w:after="0" w:line="360" w:lineRule="auto"/>
        <w:ind w:firstLine="643" w:firstLineChars="20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表1  区委统战部“三公”经费预算及决算明细表</w:t>
      </w:r>
    </w:p>
    <w:p w14:paraId="27CF5452">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14:paraId="228ED667">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CA77EF">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3E083F">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02F3C8">
            <w:pPr>
              <w:spacing w:after="0"/>
              <w:ind w:firstLine="422" w:firstLineChars="200"/>
              <w:jc w:val="center"/>
              <w:textAlignment w:val="center"/>
              <w:rPr>
                <w:rFonts w:ascii="宋体" w:hAnsi="宋体" w:eastAsia="宋体" w:cs="宋体"/>
                <w:b/>
                <w:bCs/>
                <w:color w:val="000000"/>
                <w:sz w:val="21"/>
                <w:szCs w:val="21"/>
              </w:rPr>
            </w:pPr>
            <w:r>
              <w:rPr>
                <w:rFonts w:ascii="宋体" w:hAnsi="宋体" w:eastAsia="宋体" w:cs="宋体"/>
                <w:b/>
                <w:bCs/>
                <w:color w:val="000000"/>
                <w:sz w:val="21"/>
                <w:szCs w:val="21"/>
              </w:rPr>
              <w:t>2020</w:t>
            </w:r>
            <w:r>
              <w:rPr>
                <w:rFonts w:hint="eastAsia" w:ascii="宋体" w:hAnsi="宋体" w:eastAsia="宋体" w:cs="宋体"/>
                <w:b/>
                <w:bCs/>
                <w:color w:val="000000"/>
                <w:sz w:val="21"/>
                <w:szCs w:val="21"/>
              </w:rPr>
              <w:t>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14:paraId="63244C9F">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202</w:t>
            </w:r>
            <w:r>
              <w:rPr>
                <w:rFonts w:ascii="宋体" w:hAnsi="宋体" w:eastAsia="宋体" w:cs="宋体"/>
                <w:b/>
                <w:bCs/>
                <w:color w:val="000000"/>
                <w:sz w:val="21"/>
                <w:szCs w:val="21"/>
              </w:rPr>
              <w:t>1</w:t>
            </w:r>
            <w:r>
              <w:rPr>
                <w:rFonts w:hint="eastAsia" w:ascii="宋体" w:hAnsi="宋体" w:eastAsia="宋体" w:cs="宋体"/>
                <w:b/>
                <w:bCs/>
                <w:color w:val="000000"/>
                <w:sz w:val="21"/>
                <w:szCs w:val="21"/>
              </w:rPr>
              <w:t>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6E56E">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14:paraId="53AE5ECE">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6F470A">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100DDA">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F4DFE8">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160A681">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21A39D4">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16AD7BE">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9D301B9">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DC783CF">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14:paraId="49B0CC3D">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9D0BE">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14:paraId="096BA2FB">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6245A">
            <w:pPr>
              <w:spacing w:after="0"/>
              <w:ind w:firstLine="420" w:firstLineChars="200"/>
              <w:jc w:val="both"/>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A3180">
            <w:pPr>
              <w:spacing w:after="0"/>
              <w:ind w:firstLine="420" w:firstLineChars="200"/>
              <w:jc w:val="both"/>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0D6A0">
            <w:pPr>
              <w:spacing w:after="0"/>
              <w:ind w:firstLine="420" w:firstLineChars="200"/>
              <w:jc w:val="both"/>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0</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D0E83E1">
            <w:pPr>
              <w:spacing w:after="0"/>
              <w:ind w:firstLine="420" w:firstLineChars="200"/>
              <w:jc w:val="both"/>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3A0604F">
            <w:pPr>
              <w:spacing w:after="0"/>
              <w:ind w:firstLine="420" w:firstLineChars="200"/>
              <w:jc w:val="both"/>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D83FC3E">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0</w:t>
            </w:r>
          </w:p>
        </w:tc>
      </w:tr>
      <w:tr w14:paraId="0E3B805E">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3346D">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8751648">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B34E1">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3.30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567A4">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3.25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B2927">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3.30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2F35A">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3.13</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0E69771">
            <w:pPr>
              <w:spacing w:after="0"/>
              <w:ind w:firstLine="420" w:firstLineChars="200"/>
              <w:jc w:val="both"/>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A76CA63">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-0.12</w:t>
            </w:r>
          </w:p>
        </w:tc>
      </w:tr>
      <w:tr w14:paraId="3BE17169">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5AF09">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2CA2E">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903C4">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2.00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FB144">
            <w:pPr>
              <w:spacing w:after="0"/>
              <w:ind w:firstLine="420" w:firstLineChars="200"/>
              <w:jc w:val="both"/>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2AE83">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2.00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73A8C">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0.92</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1D9D743">
            <w:pPr>
              <w:spacing w:after="0"/>
              <w:ind w:firstLine="420" w:firstLineChars="200"/>
              <w:jc w:val="both"/>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990DAB3">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0.92</w:t>
            </w:r>
          </w:p>
        </w:tc>
      </w:tr>
      <w:tr w14:paraId="18EA5956">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B771D">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21E82E8">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8B40A">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5.30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D1C2C">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3.25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8E955">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5.30</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3C6CAB6">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4.05</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2444125">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B2BA8F3">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0.80</w:t>
            </w:r>
          </w:p>
        </w:tc>
      </w:tr>
    </w:tbl>
    <w:p w14:paraId="187BAB19">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1、公务用车：202</w:t>
      </w:r>
      <w:r>
        <w:rPr>
          <w:rFonts w:ascii="仿宋_GB2312" w:eastAsia="仿宋_GB2312" w:cs="DengXian-Regular"/>
          <w:sz w:val="32"/>
          <w:szCs w:val="32"/>
        </w:rPr>
        <w:t>1</w:t>
      </w:r>
      <w:r>
        <w:rPr>
          <w:rFonts w:hint="eastAsia" w:ascii="仿宋_GB2312" w:eastAsia="仿宋_GB2312" w:cs="DengXian-Regular"/>
          <w:sz w:val="32"/>
          <w:szCs w:val="32"/>
        </w:rPr>
        <w:t>年底区委统战部车辆合计</w:t>
      </w:r>
      <w:r>
        <w:rPr>
          <w:rFonts w:ascii="仿宋_GB2312" w:eastAsia="仿宋_GB2312" w:cs="DengXian-Regular"/>
          <w:sz w:val="32"/>
          <w:szCs w:val="32"/>
        </w:rPr>
        <w:t>1</w:t>
      </w:r>
      <w:r>
        <w:rPr>
          <w:rFonts w:hint="eastAsia" w:ascii="仿宋_GB2312" w:eastAsia="仿宋_GB2312" w:cs="DengXian-Regular"/>
          <w:sz w:val="32"/>
          <w:szCs w:val="32"/>
        </w:rPr>
        <w:t>辆，其中应急保障用车</w:t>
      </w:r>
      <w:r>
        <w:rPr>
          <w:rFonts w:ascii="仿宋_GB2312" w:eastAsia="仿宋_GB2312" w:cs="DengXian-Regular"/>
          <w:sz w:val="32"/>
          <w:szCs w:val="32"/>
        </w:rPr>
        <w:t>1</w:t>
      </w:r>
      <w:r>
        <w:rPr>
          <w:rFonts w:hint="eastAsia" w:ascii="仿宋_GB2312" w:eastAsia="仿宋_GB2312" w:cs="DengXian-Regular"/>
          <w:sz w:val="32"/>
          <w:szCs w:val="32"/>
        </w:rPr>
        <w:t>辆，其他用车</w:t>
      </w:r>
      <w:r>
        <w:rPr>
          <w:rFonts w:ascii="仿宋_GB2312" w:eastAsia="仿宋_GB2312" w:cs="DengXian-Regular"/>
          <w:sz w:val="32"/>
          <w:szCs w:val="32"/>
        </w:rPr>
        <w:t>0</w:t>
      </w:r>
      <w:r>
        <w:rPr>
          <w:rFonts w:hint="eastAsia" w:ascii="仿宋_GB2312" w:eastAsia="仿宋_GB2312" w:cs="DengXian-Regular"/>
          <w:sz w:val="32"/>
          <w:szCs w:val="32"/>
        </w:rPr>
        <w:t>辆。202</w:t>
      </w:r>
      <w:r>
        <w:rPr>
          <w:rFonts w:ascii="仿宋_GB2312" w:eastAsia="仿宋_GB2312" w:cs="DengXian-Regular"/>
          <w:sz w:val="32"/>
          <w:szCs w:val="32"/>
        </w:rPr>
        <w:t>1</w:t>
      </w:r>
      <w:r>
        <w:rPr>
          <w:rFonts w:hint="eastAsia" w:ascii="仿宋_GB2312" w:eastAsia="仿宋_GB2312" w:cs="DengXian-Regular"/>
          <w:sz w:val="32"/>
          <w:szCs w:val="32"/>
        </w:rPr>
        <w:t>年公务用车购置及运维费年初预算</w:t>
      </w:r>
      <w:r>
        <w:rPr>
          <w:rFonts w:ascii="仿宋_GB2312" w:eastAsia="仿宋_GB2312" w:cs="DengXian-Regular"/>
          <w:sz w:val="32"/>
          <w:szCs w:val="32"/>
        </w:rPr>
        <w:t>3.3</w:t>
      </w:r>
      <w:r>
        <w:rPr>
          <w:rFonts w:hint="eastAsia" w:ascii="仿宋_GB2312" w:eastAsia="仿宋_GB2312" w:cs="DengXian-Regular"/>
          <w:sz w:val="32"/>
          <w:szCs w:val="32"/>
        </w:rPr>
        <w:t>万元，全部为公务用车运行维护费，实际支出</w:t>
      </w:r>
      <w:r>
        <w:rPr>
          <w:rFonts w:ascii="仿宋_GB2312" w:eastAsia="仿宋_GB2312" w:cs="DengXian-Regular"/>
          <w:sz w:val="32"/>
          <w:szCs w:val="32"/>
        </w:rPr>
        <w:t>3.13</w:t>
      </w:r>
      <w:r>
        <w:rPr>
          <w:rFonts w:hint="eastAsia" w:ascii="仿宋_GB2312" w:eastAsia="仿宋_GB2312" w:cs="DengXian-Regular"/>
          <w:sz w:val="32"/>
          <w:szCs w:val="32"/>
        </w:rPr>
        <w:t>万元，比预算减少</w:t>
      </w:r>
      <w:r>
        <w:rPr>
          <w:rFonts w:ascii="仿宋_GB2312" w:eastAsia="仿宋_GB2312" w:cs="DengXian-Regular"/>
          <w:sz w:val="32"/>
          <w:szCs w:val="32"/>
        </w:rPr>
        <w:t>0.17</w:t>
      </w:r>
      <w:r>
        <w:rPr>
          <w:rFonts w:hint="eastAsia" w:ascii="仿宋_GB2312" w:eastAsia="仿宋_GB2312" w:cs="DengXian-Regular"/>
          <w:sz w:val="32"/>
          <w:szCs w:val="32"/>
        </w:rPr>
        <w:t>万元，节约率</w:t>
      </w:r>
      <w:r>
        <w:rPr>
          <w:rFonts w:ascii="仿宋_GB2312" w:eastAsia="仿宋_GB2312" w:cs="DengXian-Regular"/>
          <w:sz w:val="32"/>
          <w:szCs w:val="32"/>
        </w:rPr>
        <w:t>5.15</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年预算数与</w:t>
      </w:r>
      <w:r>
        <w:rPr>
          <w:rFonts w:ascii="仿宋_GB2312" w:eastAsia="仿宋_GB2312" w:cs="DengXian-Regular"/>
          <w:sz w:val="32"/>
          <w:szCs w:val="32"/>
        </w:rPr>
        <w:t>2020</w:t>
      </w:r>
      <w:r>
        <w:rPr>
          <w:rFonts w:hint="eastAsia" w:ascii="仿宋_GB2312" w:eastAsia="仿宋_GB2312" w:cs="DengXian-Regular"/>
          <w:sz w:val="32"/>
          <w:szCs w:val="32"/>
        </w:rPr>
        <w:t>年预算相比无变化，决算数与</w:t>
      </w:r>
      <w:r>
        <w:rPr>
          <w:rFonts w:ascii="仿宋_GB2312" w:eastAsia="仿宋_GB2312" w:cs="DengXian-Regular"/>
          <w:sz w:val="32"/>
          <w:szCs w:val="32"/>
        </w:rPr>
        <w:t>2020</w:t>
      </w:r>
      <w:r>
        <w:rPr>
          <w:rFonts w:hint="eastAsia" w:ascii="仿宋_GB2312" w:eastAsia="仿宋_GB2312" w:cs="DengXian-Regular"/>
          <w:sz w:val="32"/>
          <w:szCs w:val="32"/>
        </w:rPr>
        <w:t>年实际支出相比，减少0.12万元。</w:t>
      </w:r>
    </w:p>
    <w:p w14:paraId="21FC4533">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2、公务接待：202</w:t>
      </w:r>
      <w:r>
        <w:rPr>
          <w:rFonts w:ascii="仿宋_GB2312" w:eastAsia="仿宋_GB2312" w:cs="DengXian-Regular"/>
          <w:sz w:val="32"/>
          <w:szCs w:val="32"/>
        </w:rPr>
        <w:t>1</w:t>
      </w:r>
      <w:r>
        <w:rPr>
          <w:rFonts w:hint="eastAsia" w:ascii="仿宋_GB2312" w:eastAsia="仿宋_GB2312" w:cs="DengXian-Regular"/>
          <w:sz w:val="32"/>
          <w:szCs w:val="32"/>
        </w:rPr>
        <w:t>年区委统战部公务接待费年初预算</w:t>
      </w:r>
      <w:r>
        <w:rPr>
          <w:rFonts w:ascii="仿宋_GB2312" w:eastAsia="仿宋_GB2312" w:cs="DengXian-Regular"/>
          <w:sz w:val="32"/>
          <w:szCs w:val="32"/>
        </w:rPr>
        <w:t>2</w:t>
      </w:r>
      <w:r>
        <w:rPr>
          <w:rFonts w:hint="eastAsia" w:ascii="仿宋_GB2312" w:eastAsia="仿宋_GB2312" w:cs="DengXian-Regular"/>
          <w:sz w:val="32"/>
          <w:szCs w:val="32"/>
        </w:rPr>
        <w:t>万元，实际支出</w:t>
      </w:r>
      <w:r>
        <w:rPr>
          <w:rFonts w:ascii="仿宋_GB2312" w:eastAsia="仿宋_GB2312" w:cs="DengXian-Regular"/>
          <w:sz w:val="32"/>
          <w:szCs w:val="32"/>
        </w:rPr>
        <w:t>0.92</w:t>
      </w:r>
      <w:r>
        <w:rPr>
          <w:rFonts w:hint="eastAsia" w:ascii="仿宋_GB2312" w:eastAsia="仿宋_GB2312" w:cs="DengXian-Regular"/>
          <w:sz w:val="32"/>
          <w:szCs w:val="32"/>
        </w:rPr>
        <w:t>万元，比预算减少了</w:t>
      </w:r>
      <w:r>
        <w:rPr>
          <w:rFonts w:ascii="仿宋_GB2312" w:eastAsia="仿宋_GB2312" w:cs="DengXian-Regular"/>
          <w:sz w:val="32"/>
          <w:szCs w:val="32"/>
        </w:rPr>
        <w:t>1.08</w:t>
      </w:r>
      <w:r>
        <w:rPr>
          <w:rFonts w:hint="eastAsia" w:ascii="仿宋_GB2312" w:eastAsia="仿宋_GB2312" w:cs="DengXian-Regular"/>
          <w:sz w:val="32"/>
          <w:szCs w:val="32"/>
        </w:rPr>
        <w:t>万元，节约率</w:t>
      </w:r>
      <w:r>
        <w:rPr>
          <w:rFonts w:ascii="仿宋_GB2312" w:eastAsia="仿宋_GB2312" w:cs="DengXian-Regular"/>
          <w:sz w:val="32"/>
          <w:szCs w:val="32"/>
        </w:rPr>
        <w:t>54</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年预算数与</w:t>
      </w:r>
      <w:r>
        <w:rPr>
          <w:rFonts w:ascii="仿宋_GB2312" w:eastAsia="仿宋_GB2312" w:cs="DengXian-Regular"/>
          <w:sz w:val="32"/>
          <w:szCs w:val="32"/>
        </w:rPr>
        <w:t>2020</w:t>
      </w:r>
      <w:r>
        <w:rPr>
          <w:rFonts w:hint="eastAsia" w:ascii="仿宋_GB2312" w:eastAsia="仿宋_GB2312" w:cs="DengXian-Regular"/>
          <w:sz w:val="32"/>
          <w:szCs w:val="32"/>
        </w:rPr>
        <w:t>年预算相比无变化，决算数与</w:t>
      </w:r>
      <w:r>
        <w:rPr>
          <w:rFonts w:ascii="仿宋_GB2312" w:eastAsia="仿宋_GB2312" w:cs="DengXian-Regular"/>
          <w:sz w:val="32"/>
          <w:szCs w:val="32"/>
        </w:rPr>
        <w:t>2020</w:t>
      </w:r>
      <w:r>
        <w:rPr>
          <w:rFonts w:hint="eastAsia" w:ascii="仿宋_GB2312" w:eastAsia="仿宋_GB2312" w:cs="DengXian-Regular"/>
          <w:sz w:val="32"/>
          <w:szCs w:val="32"/>
        </w:rPr>
        <w:t>年实际支出相比，增加</w:t>
      </w:r>
      <w:r>
        <w:rPr>
          <w:rFonts w:ascii="仿宋_GB2312" w:eastAsia="仿宋_GB2312" w:cs="DengXian-Regular"/>
          <w:sz w:val="32"/>
          <w:szCs w:val="32"/>
        </w:rPr>
        <w:t>0.92</w:t>
      </w:r>
      <w:r>
        <w:rPr>
          <w:rFonts w:hint="eastAsia" w:ascii="仿宋_GB2312" w:eastAsia="仿宋_GB2312" w:cs="DengXian-Regular"/>
          <w:sz w:val="32"/>
          <w:szCs w:val="32"/>
        </w:rPr>
        <w:t>万元。</w:t>
      </w:r>
    </w:p>
    <w:p w14:paraId="0E4CA69C">
      <w:pPr>
        <w:pStyle w:val="3"/>
        <w:spacing w:before="0" w:after="0" w:line="360" w:lineRule="auto"/>
        <w:ind w:firstLine="643" w:firstLineChars="200"/>
        <w:rPr>
          <w:rFonts w:ascii="黑体" w:hAnsiTheme="minorEastAsia"/>
          <w:u w:color="000000"/>
        </w:rPr>
      </w:pPr>
      <w:bookmarkStart w:id="16" w:name="_Toc20454"/>
      <w:bookmarkStart w:id="17" w:name="_Toc492652770"/>
      <w:bookmarkStart w:id="18" w:name="_Toc465149504"/>
      <w:r>
        <w:rPr>
          <w:rFonts w:hint="eastAsia" w:ascii="黑体"/>
        </w:rPr>
        <w:t>二、部门整体支出绩效评价指标体系设定情况</w:t>
      </w:r>
      <w:bookmarkEnd w:id="16"/>
      <w:bookmarkEnd w:id="17"/>
    </w:p>
    <w:p w14:paraId="254334E8">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根据绩效预算管理改革的有关政策和文件规定，并与区委统战部沟通，绩效评价工作组以绩效预算架构为指导，以部门预算文本及相关资料为基础，制定了部门整体支出绩效评价指标体系。</w:t>
      </w:r>
    </w:p>
    <w:p w14:paraId="03C780ED">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27个（详见附件3）。指标体系设定满分100分，绩效评价分值≥90为“优”；80≤分值＜90为“良”；60≤分值＜80为“中”；60分以下为“差”。评价指标体系具体构成如下：</w:t>
      </w:r>
      <w:bookmarkStart w:id="19" w:name="_Toc9569"/>
      <w:bookmarkStart w:id="20" w:name="_Toc492652771"/>
    </w:p>
    <w:p w14:paraId="4A5F7748">
      <w:pPr>
        <w:spacing w:after="0" w:line="360" w:lineRule="auto"/>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19"/>
      <w:bookmarkEnd w:id="20"/>
    </w:p>
    <w:p w14:paraId="22A28CAD">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14:paraId="0AD48D75">
      <w:pPr>
        <w:keepNext/>
        <w:widowControl w:val="0"/>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14:paraId="21A2D5DF">
      <w:pPr>
        <w:pStyle w:val="4"/>
        <w:spacing w:before="0" w:after="0"/>
        <w:ind w:firstLine="643" w:firstLineChars="200"/>
        <w:jc w:val="both"/>
        <w:rPr>
          <w:rFonts w:ascii="楷体" w:hAnsi="楷体" w:eastAsia="楷体"/>
          <w:sz w:val="32"/>
        </w:rPr>
      </w:pPr>
      <w:bookmarkStart w:id="21" w:name="_Toc30221"/>
      <w:bookmarkStart w:id="22" w:name="_Toc492652772"/>
      <w:r>
        <w:rPr>
          <w:rFonts w:hint="eastAsia" w:ascii="楷体" w:hAnsi="楷体" w:eastAsia="楷体"/>
          <w:kern w:val="2"/>
          <w:sz w:val="32"/>
        </w:rPr>
        <w:t>（二）过程（48分）</w:t>
      </w:r>
      <w:bookmarkEnd w:id="21"/>
      <w:bookmarkEnd w:id="22"/>
    </w:p>
    <w:p w14:paraId="1BBABFA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14:paraId="16785C8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14:paraId="6499C3A2">
      <w:pPr>
        <w:pStyle w:val="4"/>
        <w:spacing w:before="0" w:after="0"/>
        <w:ind w:firstLine="643" w:firstLineChars="200"/>
        <w:jc w:val="both"/>
        <w:rPr>
          <w:rFonts w:ascii="楷体" w:hAnsi="楷体" w:eastAsia="楷体"/>
          <w:kern w:val="2"/>
          <w:sz w:val="32"/>
        </w:rPr>
      </w:pPr>
      <w:bookmarkStart w:id="23" w:name="_Toc492652773"/>
      <w:bookmarkStart w:id="24" w:name="_Toc24932"/>
      <w:r>
        <w:rPr>
          <w:rFonts w:hint="eastAsia" w:ascii="楷体" w:hAnsi="楷体" w:eastAsia="楷体"/>
          <w:kern w:val="2"/>
          <w:sz w:val="32"/>
        </w:rPr>
        <w:t>（三）产出（25分）</w:t>
      </w:r>
      <w:bookmarkEnd w:id="23"/>
      <w:bookmarkEnd w:id="24"/>
    </w:p>
    <w:p w14:paraId="7EF021FA">
      <w:pPr>
        <w:spacing w:after="0" w:line="360" w:lineRule="auto"/>
        <w:ind w:firstLine="640" w:firstLineChars="200"/>
        <w:jc w:val="both"/>
        <w:textAlignment w:val="baseline"/>
        <w:rPr>
          <w:rFonts w:ascii="仿宋_GB2312" w:eastAsia="仿宋_GB2312" w:cs="DengXian-Regular"/>
          <w:sz w:val="32"/>
          <w:szCs w:val="32"/>
        </w:rPr>
      </w:pPr>
      <w:bookmarkStart w:id="25" w:name="_Toc492652774"/>
      <w:r>
        <w:rPr>
          <w:rFonts w:hint="eastAsia" w:ascii="仿宋_GB2312" w:eastAsia="仿宋_GB2312" w:cs="DengXian-Regular"/>
          <w:sz w:val="32"/>
          <w:szCs w:val="32"/>
        </w:rPr>
        <w:t>主要反映结转结余率，项目资金使用率。</w:t>
      </w:r>
    </w:p>
    <w:p w14:paraId="37CB032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产出指标指标分值为25分，下设1个二级指标：责任履行，5个三级指标：结转结余率、项目资金使用率。</w:t>
      </w:r>
    </w:p>
    <w:p w14:paraId="367F1BF9">
      <w:pPr>
        <w:pStyle w:val="4"/>
        <w:spacing w:before="0" w:after="0"/>
        <w:ind w:firstLine="643" w:firstLineChars="200"/>
        <w:jc w:val="both"/>
        <w:rPr>
          <w:rFonts w:ascii="楷体_GB2312" w:eastAsia="楷体_GB2312" w:hAnsiTheme="minorEastAsia"/>
          <w:sz w:val="32"/>
        </w:rPr>
      </w:pPr>
      <w:bookmarkStart w:id="26" w:name="_Toc21821"/>
      <w:r>
        <w:rPr>
          <w:rFonts w:hint="eastAsia" w:ascii="楷体_GB2312" w:eastAsia="楷体_GB2312" w:hAnsiTheme="minorEastAsia"/>
          <w:kern w:val="2"/>
          <w:sz w:val="32"/>
        </w:rPr>
        <w:t>（四）效果（15分）</w:t>
      </w:r>
      <w:bookmarkEnd w:id="25"/>
      <w:bookmarkEnd w:id="26"/>
    </w:p>
    <w:p w14:paraId="3FFBB554">
      <w:pPr>
        <w:spacing w:after="0" w:line="360" w:lineRule="auto"/>
        <w:ind w:firstLine="640" w:firstLineChars="200"/>
        <w:jc w:val="both"/>
        <w:textAlignment w:val="baseline"/>
        <w:rPr>
          <w:rFonts w:ascii="仿宋_GB2312" w:eastAsia="仿宋_GB2312" w:cs="DengXian-Regular"/>
          <w:sz w:val="32"/>
          <w:szCs w:val="32"/>
        </w:rPr>
      </w:pPr>
      <w:bookmarkStart w:id="27"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14:paraId="2B66D2A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效果指标指标分值15分，下设1个二级指标：履职效率，2个三级指标：部门整体效益和考核满意度。</w:t>
      </w:r>
    </w:p>
    <w:p w14:paraId="533B59D8">
      <w:pPr>
        <w:pStyle w:val="3"/>
        <w:spacing w:before="0" w:after="0" w:line="360" w:lineRule="auto"/>
        <w:ind w:firstLine="643" w:firstLineChars="200"/>
        <w:rPr>
          <w:rFonts w:ascii="黑体"/>
        </w:rPr>
      </w:pPr>
      <w:bookmarkStart w:id="28" w:name="_Toc11842"/>
      <w:r>
        <w:rPr>
          <w:rFonts w:hint="eastAsia" w:ascii="黑体"/>
        </w:rPr>
        <w:t>三、综合绩效评价工作情况</w:t>
      </w:r>
      <w:bookmarkEnd w:id="18"/>
      <w:bookmarkEnd w:id="27"/>
      <w:bookmarkEnd w:id="28"/>
      <w:bookmarkStart w:id="29" w:name="_Toc465149505"/>
      <w:bookmarkStart w:id="30" w:name="_Toc492652776"/>
    </w:p>
    <w:p w14:paraId="22F5D36C">
      <w:pPr>
        <w:pStyle w:val="4"/>
        <w:spacing w:before="0" w:after="0"/>
        <w:ind w:firstLine="643" w:firstLineChars="200"/>
        <w:jc w:val="both"/>
        <w:rPr>
          <w:rFonts w:ascii="楷体_GB2312" w:eastAsia="楷体_GB2312" w:hAnsiTheme="minorEastAsia"/>
          <w:sz w:val="32"/>
        </w:rPr>
      </w:pPr>
      <w:bookmarkStart w:id="31" w:name="_Toc17138"/>
      <w:r>
        <w:rPr>
          <w:rFonts w:hint="eastAsia" w:ascii="楷体_GB2312" w:eastAsia="楷体_GB2312" w:hAnsiTheme="minorEastAsia"/>
          <w:kern w:val="2"/>
          <w:sz w:val="32"/>
        </w:rPr>
        <w:t>（一）绩效评价目的</w:t>
      </w:r>
      <w:bookmarkEnd w:id="29"/>
      <w:bookmarkEnd w:id="30"/>
      <w:bookmarkEnd w:id="31"/>
    </w:p>
    <w:p w14:paraId="37C9B8AE">
      <w:pPr>
        <w:spacing w:after="0" w:line="360" w:lineRule="auto"/>
        <w:ind w:firstLine="640" w:firstLineChars="200"/>
        <w:jc w:val="both"/>
        <w:textAlignment w:val="baseline"/>
        <w:rPr>
          <w:rFonts w:ascii="仿宋_GB2312" w:eastAsia="仿宋_GB2312" w:cs="DengXian-Regular"/>
          <w:sz w:val="32"/>
          <w:szCs w:val="32"/>
        </w:rPr>
      </w:pPr>
      <w:bookmarkStart w:id="32" w:name="_Toc465149506"/>
      <w:bookmarkStart w:id="33" w:name="_Toc492652777"/>
      <w:r>
        <w:rPr>
          <w:rFonts w:hint="eastAsia" w:ascii="仿宋_GB2312" w:eastAsia="仿宋_GB2312" w:cs="DengXian-Regular"/>
          <w:sz w:val="32"/>
          <w:szCs w:val="32"/>
        </w:rPr>
        <w:t>通过对区委统战部202</w:t>
      </w:r>
      <w:r>
        <w:rPr>
          <w:rFonts w:ascii="仿宋_GB2312" w:eastAsia="仿宋_GB2312" w:cs="DengXian-Regular"/>
          <w:sz w:val="32"/>
          <w:szCs w:val="32"/>
        </w:rPr>
        <w:t>1</w:t>
      </w:r>
      <w:r>
        <w:rPr>
          <w:rFonts w:hint="eastAsia" w:ascii="仿宋_GB2312" w:eastAsia="仿宋_GB2312" w:cs="DengXian-Regular"/>
          <w:sz w:val="32"/>
          <w:szCs w:val="32"/>
        </w:rPr>
        <w:t>年部门整体支出绩效评价，了解部门整体资金预算情况、实际收支情况及结转结余情况；绩效目标和指标的设置及完成情况；部门履职对社会发展所带来的直接或间接影响及服务对象对部门履职效果的满意程度。</w:t>
      </w:r>
    </w:p>
    <w:p w14:paraId="37A49A4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14:paraId="14A60FD3">
      <w:pPr>
        <w:pStyle w:val="4"/>
        <w:spacing w:before="0" w:after="0"/>
        <w:ind w:firstLine="643" w:firstLineChars="200"/>
        <w:jc w:val="both"/>
        <w:rPr>
          <w:rFonts w:ascii="楷体_GB2312" w:eastAsia="楷体_GB2312" w:hAnsiTheme="minorEastAsia"/>
          <w:kern w:val="2"/>
          <w:sz w:val="32"/>
        </w:rPr>
      </w:pPr>
      <w:bookmarkStart w:id="34" w:name="_Toc11607"/>
      <w:r>
        <w:rPr>
          <w:rFonts w:hint="eastAsia" w:ascii="楷体_GB2312" w:eastAsia="楷体_GB2312" w:hAnsiTheme="minorEastAsia"/>
          <w:kern w:val="2"/>
          <w:sz w:val="32"/>
        </w:rPr>
        <w:t>（二）绩效评价依据</w:t>
      </w:r>
      <w:bookmarkEnd w:id="32"/>
      <w:bookmarkEnd w:id="33"/>
      <w:bookmarkEnd w:id="34"/>
    </w:p>
    <w:p w14:paraId="341502B6">
      <w:pPr>
        <w:spacing w:after="0" w:line="360" w:lineRule="auto"/>
        <w:ind w:firstLine="640" w:firstLineChars="200"/>
        <w:jc w:val="both"/>
        <w:textAlignment w:val="baseline"/>
        <w:rPr>
          <w:rFonts w:ascii="仿宋_GB2312" w:eastAsia="仿宋_GB2312" w:cs="DengXian-Regular"/>
          <w:sz w:val="32"/>
          <w:szCs w:val="32"/>
        </w:rPr>
      </w:pPr>
      <w:bookmarkStart w:id="35"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14:paraId="254DC5B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14:paraId="1DD98E3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14:paraId="4829B67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14:paraId="6ADAC6F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14:paraId="11EEC25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6.保定市徐水区财政局《关于印发&lt;全面实施预算绩效管理推进工作方案&gt;的通知》（徐政财字〔2019〕33号）；</w:t>
      </w:r>
    </w:p>
    <w:p w14:paraId="175E81A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w:t>
      </w:r>
      <w:r>
        <w:rPr>
          <w:rFonts w:ascii="仿宋_GB2312" w:eastAsia="仿宋_GB2312" w:cs="DengXian-Regular"/>
          <w:sz w:val="32"/>
          <w:szCs w:val="32"/>
        </w:rPr>
        <w:t>.</w:t>
      </w:r>
      <w:r>
        <w:rPr>
          <w:rFonts w:hint="eastAsia"/>
        </w:rPr>
        <w:t xml:space="preserve"> </w:t>
      </w:r>
      <w:r>
        <w:rPr>
          <w:rFonts w:hint="eastAsia" w:ascii="仿宋_GB2312" w:eastAsia="仿宋_GB2312" w:cs="DengXian-Regular"/>
          <w:sz w:val="32"/>
          <w:szCs w:val="32"/>
        </w:rPr>
        <w:t>保定市徐水区财政局《关于印发保定市徐水区区级部门预算项目绩效自评管理办法的通知》（徐政财字〔2020〕9号）</w:t>
      </w:r>
    </w:p>
    <w:p w14:paraId="04C9347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8.其他与部门绩效评价工作相关的文件。</w:t>
      </w:r>
      <w:bookmarkStart w:id="36" w:name="_Toc492652778"/>
    </w:p>
    <w:p w14:paraId="4C529DB8">
      <w:pPr>
        <w:pStyle w:val="4"/>
        <w:spacing w:before="0" w:after="0"/>
        <w:ind w:firstLine="643" w:firstLineChars="200"/>
        <w:jc w:val="both"/>
        <w:rPr>
          <w:rFonts w:ascii="楷体_GB2312" w:eastAsia="楷体_GB2312" w:hAnsiTheme="minorEastAsia"/>
          <w:kern w:val="2"/>
          <w:sz w:val="32"/>
        </w:rPr>
      </w:pPr>
      <w:bookmarkStart w:id="37" w:name="_Toc7609"/>
      <w:r>
        <w:rPr>
          <w:rFonts w:hint="eastAsia" w:ascii="楷体_GB2312" w:eastAsia="楷体_GB2312" w:hAnsiTheme="minorEastAsia"/>
          <w:kern w:val="2"/>
          <w:sz w:val="32"/>
        </w:rPr>
        <w:t>（三）绩效评价</w:t>
      </w:r>
      <w:bookmarkEnd w:id="36"/>
      <w:r>
        <w:rPr>
          <w:rFonts w:hint="eastAsia" w:ascii="楷体_GB2312" w:eastAsia="楷体_GB2312" w:hAnsiTheme="minorEastAsia"/>
          <w:kern w:val="2"/>
          <w:sz w:val="32"/>
        </w:rPr>
        <w:t>内容</w:t>
      </w:r>
      <w:bookmarkEnd w:id="37"/>
    </w:p>
    <w:bookmarkEnd w:id="35"/>
    <w:p w14:paraId="615BED59">
      <w:pPr>
        <w:spacing w:after="0" w:line="360" w:lineRule="auto"/>
        <w:ind w:firstLine="640" w:firstLineChars="200"/>
        <w:jc w:val="both"/>
        <w:textAlignment w:val="baseline"/>
        <w:rPr>
          <w:rFonts w:ascii="仿宋_GB2312" w:eastAsia="仿宋_GB2312" w:cs="DengXian-Regular"/>
          <w:sz w:val="32"/>
          <w:szCs w:val="32"/>
        </w:rPr>
      </w:pPr>
      <w:bookmarkStart w:id="38" w:name="_Toc465149508"/>
      <w:bookmarkStart w:id="39" w:name="_Toc492652779"/>
      <w:r>
        <w:rPr>
          <w:rFonts w:hint="eastAsia" w:ascii="仿宋_GB2312" w:eastAsia="仿宋_GB2312" w:cs="DengXian-Regular"/>
          <w:sz w:val="32"/>
          <w:szCs w:val="32"/>
        </w:rPr>
        <w:t>区委统战部202</w:t>
      </w:r>
      <w:r>
        <w:rPr>
          <w:rFonts w:ascii="仿宋_GB2312" w:eastAsia="仿宋_GB2312" w:cs="DengXian-Regular"/>
          <w:sz w:val="32"/>
          <w:szCs w:val="32"/>
        </w:rPr>
        <w:t>1</w:t>
      </w:r>
      <w:r>
        <w:rPr>
          <w:rFonts w:hint="eastAsia" w:ascii="仿宋_GB2312" w:eastAsia="仿宋_GB2312" w:cs="DengXian-Regular"/>
          <w:sz w:val="32"/>
          <w:szCs w:val="32"/>
        </w:rPr>
        <w:t>年部门整体支出绩效目标和指标的设置及完成情况；资金预算情况、实际收支情况及结转结余情况；部门履职对社会发展所带来的直接或间接影响及服务对象对部门履职效果的满意程度。</w:t>
      </w:r>
    </w:p>
    <w:p w14:paraId="7425E3FB">
      <w:pPr>
        <w:pStyle w:val="4"/>
        <w:spacing w:before="0" w:after="0"/>
        <w:ind w:firstLine="643" w:firstLineChars="200"/>
        <w:jc w:val="both"/>
        <w:rPr>
          <w:rFonts w:ascii="楷体_GB2312" w:eastAsia="楷体_GB2312" w:hAnsiTheme="minorEastAsia"/>
          <w:kern w:val="2"/>
          <w:sz w:val="32"/>
        </w:rPr>
      </w:pPr>
      <w:bookmarkStart w:id="40" w:name="_Toc789"/>
      <w:r>
        <w:rPr>
          <w:rFonts w:hint="eastAsia" w:ascii="楷体_GB2312" w:eastAsia="楷体_GB2312" w:hAnsiTheme="minorEastAsia"/>
          <w:kern w:val="2"/>
          <w:sz w:val="32"/>
        </w:rPr>
        <w:t>（四）绩效评价原则</w:t>
      </w:r>
      <w:bookmarkEnd w:id="40"/>
    </w:p>
    <w:p w14:paraId="3CE1CDC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14:paraId="2CFF050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14:paraId="4041679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14:paraId="08A60A4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14:paraId="33D3257F">
      <w:pPr>
        <w:pStyle w:val="4"/>
        <w:spacing w:before="0" w:after="0"/>
        <w:ind w:firstLine="643" w:firstLineChars="200"/>
        <w:jc w:val="both"/>
        <w:rPr>
          <w:rFonts w:ascii="楷体_GB2312" w:eastAsia="楷体_GB2312" w:hAnsiTheme="minorEastAsia"/>
          <w:kern w:val="2"/>
          <w:sz w:val="32"/>
        </w:rPr>
      </w:pPr>
      <w:bookmarkStart w:id="41" w:name="_Toc8171"/>
      <w:r>
        <w:rPr>
          <w:rFonts w:hint="eastAsia" w:ascii="楷体_GB2312" w:eastAsia="楷体_GB2312" w:hAnsiTheme="minorEastAsia"/>
          <w:kern w:val="2"/>
          <w:sz w:val="32"/>
        </w:rPr>
        <w:t>（五）</w:t>
      </w:r>
      <w:bookmarkEnd w:id="38"/>
      <w:bookmarkStart w:id="42" w:name="_Toc465149509"/>
      <w:r>
        <w:rPr>
          <w:rFonts w:hint="eastAsia" w:ascii="楷体_GB2312" w:eastAsia="楷体_GB2312" w:hAnsiTheme="minorEastAsia"/>
          <w:kern w:val="2"/>
          <w:sz w:val="32"/>
        </w:rPr>
        <w:t>绩效评价方法</w:t>
      </w:r>
      <w:bookmarkEnd w:id="39"/>
      <w:bookmarkEnd w:id="41"/>
      <w:bookmarkEnd w:id="42"/>
    </w:p>
    <w:p w14:paraId="16EB4FB3">
      <w:pPr>
        <w:spacing w:after="0" w:line="360" w:lineRule="auto"/>
        <w:ind w:firstLine="640" w:firstLineChars="200"/>
        <w:jc w:val="both"/>
        <w:textAlignment w:val="baseline"/>
        <w:rPr>
          <w:rFonts w:ascii="仿宋_GB2312" w:eastAsia="仿宋_GB2312" w:cs="DengXian-Regular"/>
          <w:sz w:val="32"/>
          <w:szCs w:val="32"/>
        </w:rPr>
      </w:pPr>
      <w:bookmarkStart w:id="43" w:name="_Toc422314152"/>
      <w:bookmarkStart w:id="44" w:name="_Toc421623217"/>
      <w:bookmarkStart w:id="45" w:name="_Toc465149510"/>
      <w:bookmarkStart w:id="46" w:name="_Toc49265278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3"/>
      <w:bookmarkEnd w:id="44"/>
    </w:p>
    <w:p w14:paraId="4F60CF9E">
      <w:pPr>
        <w:spacing w:after="0" w:line="360" w:lineRule="auto"/>
        <w:ind w:firstLine="640" w:firstLineChars="200"/>
        <w:jc w:val="both"/>
        <w:textAlignment w:val="baseline"/>
        <w:rPr>
          <w:rFonts w:ascii="仿宋_GB2312" w:eastAsia="仿宋_GB2312" w:cs="DengXian-Regular"/>
          <w:sz w:val="32"/>
          <w:szCs w:val="32"/>
        </w:rPr>
      </w:pPr>
      <w:bookmarkStart w:id="47" w:name="_Toc421623218"/>
      <w:bookmarkStart w:id="48" w:name="_Toc422314153"/>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7"/>
      <w:bookmarkEnd w:id="48"/>
    </w:p>
    <w:p w14:paraId="3E373FD6">
      <w:pPr>
        <w:spacing w:after="0" w:line="360" w:lineRule="auto"/>
        <w:ind w:firstLine="640" w:firstLineChars="200"/>
        <w:jc w:val="both"/>
        <w:textAlignment w:val="baseline"/>
        <w:rPr>
          <w:rFonts w:ascii="仿宋_GB2312" w:eastAsia="仿宋_GB2312" w:cs="DengXian-Regular"/>
          <w:sz w:val="32"/>
          <w:szCs w:val="32"/>
        </w:rPr>
      </w:pPr>
      <w:bookmarkStart w:id="49" w:name="_Toc422314155"/>
      <w:bookmarkStart w:id="50" w:name="_Toc421623220"/>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9"/>
      <w:bookmarkEnd w:id="50"/>
    </w:p>
    <w:p w14:paraId="78810B08">
      <w:pPr>
        <w:spacing w:after="0" w:line="360" w:lineRule="auto"/>
        <w:ind w:firstLine="640" w:firstLineChars="200"/>
        <w:jc w:val="both"/>
        <w:textAlignment w:val="baseline"/>
        <w:rPr>
          <w:rFonts w:ascii="仿宋_GB2312" w:eastAsia="仿宋_GB2312" w:cs="DengXian-Regular"/>
          <w:sz w:val="32"/>
          <w:szCs w:val="32"/>
        </w:rPr>
      </w:pPr>
      <w:bookmarkStart w:id="51" w:name="_Toc421623221"/>
      <w:bookmarkStart w:id="52" w:name="_Toc422314156"/>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1"/>
      <w:bookmarkEnd w:id="52"/>
      <w:bookmarkStart w:id="53" w:name="_Toc20821"/>
    </w:p>
    <w:p w14:paraId="3A559A0B">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5"/>
      <w:bookmarkEnd w:id="46"/>
      <w:bookmarkEnd w:id="53"/>
    </w:p>
    <w:p w14:paraId="5C2F72C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14:paraId="6CDE56A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14:paraId="563432A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经与区委统战部充分沟通，并充分收集相关资料，主要包括部门职责、工作活动、预决算文本、相关管理制度、资金使用等相关资料，为制定绩效评价实施方案和指标体系奠定了基础。</w:t>
      </w:r>
    </w:p>
    <w:p w14:paraId="4EEB4CF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14:paraId="5EC4BBA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基于对区委统战部相关资料的收集，制定绩效评价实施方案和体系,确定最终方案。</w:t>
      </w:r>
    </w:p>
    <w:p w14:paraId="45212B5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14:paraId="6690890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区委统战部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14:paraId="5C2232C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4" w:name="_Toc492652781"/>
      <w:bookmarkStart w:id="55" w:name="_Toc465149511"/>
    </w:p>
    <w:p w14:paraId="27E8EF1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14:paraId="2FEC22D1">
      <w:pPr>
        <w:pStyle w:val="3"/>
        <w:spacing w:before="0" w:after="0" w:line="360" w:lineRule="auto"/>
        <w:ind w:firstLine="643" w:firstLineChars="200"/>
        <w:rPr>
          <w:rFonts w:ascii="黑体"/>
        </w:rPr>
      </w:pPr>
      <w:bookmarkStart w:id="56" w:name="_Toc6467"/>
      <w:r>
        <w:rPr>
          <w:rFonts w:hint="eastAsia" w:ascii="黑体"/>
        </w:rPr>
        <w:t>四、</w:t>
      </w:r>
      <w:bookmarkEnd w:id="54"/>
      <w:bookmarkEnd w:id="55"/>
      <w:bookmarkStart w:id="57" w:name="_Toc492652782"/>
      <w:r>
        <w:rPr>
          <w:rFonts w:hint="eastAsia" w:ascii="黑体"/>
        </w:rPr>
        <w:t>绩效评价评分情况</w:t>
      </w:r>
      <w:bookmarkEnd w:id="56"/>
    </w:p>
    <w:bookmarkEnd w:id="57"/>
    <w:p w14:paraId="5D5F41E0">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区委统战部部门整体支出绩效评价总得分为</w:t>
      </w:r>
      <w:r>
        <w:rPr>
          <w:rFonts w:ascii="仿宋_GB2312" w:eastAsia="仿宋_GB2312" w:cs="DengXian-Regular"/>
          <w:sz w:val="32"/>
          <w:szCs w:val="32"/>
        </w:rPr>
        <w:t>95.95</w:t>
      </w:r>
      <w:r>
        <w:rPr>
          <w:rFonts w:hint="eastAsia" w:ascii="仿宋_GB2312" w:eastAsia="仿宋_GB2312" w:cs="DengXian-Regular"/>
          <w:sz w:val="32"/>
          <w:szCs w:val="32"/>
        </w:rPr>
        <w:t>分，综合绩效评价等级为“优”。各项得分情况如下</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 xml:space="preserve"> </w:t>
      </w:r>
    </w:p>
    <w:p w14:paraId="184C52BA">
      <w:pPr>
        <w:pStyle w:val="4"/>
        <w:spacing w:before="0" w:after="0"/>
        <w:ind w:firstLine="643" w:firstLineChars="200"/>
        <w:jc w:val="both"/>
        <w:rPr>
          <w:rFonts w:ascii="楷体_GB2312" w:eastAsia="楷体_GB2312" w:hAnsiTheme="minorEastAsia"/>
          <w:kern w:val="2"/>
          <w:sz w:val="32"/>
        </w:rPr>
      </w:pPr>
      <w:bookmarkStart w:id="58" w:name="_Toc492652783"/>
      <w:bookmarkStart w:id="59" w:name="_Toc4390"/>
      <w:r>
        <w:rPr>
          <w:rFonts w:hint="eastAsia" w:ascii="楷体_GB2312" w:eastAsia="楷体_GB2312" w:hAnsiTheme="minorEastAsia"/>
          <w:kern w:val="2"/>
          <w:sz w:val="32"/>
        </w:rPr>
        <w:t>（一）</w:t>
      </w:r>
      <w:bookmarkEnd w:id="58"/>
      <w:r>
        <w:rPr>
          <w:rFonts w:hint="eastAsia" w:ascii="楷体_GB2312" w:eastAsia="楷体_GB2312" w:hAnsiTheme="minorEastAsia"/>
          <w:kern w:val="2"/>
          <w:sz w:val="32"/>
        </w:rPr>
        <w:t>投入（12分）</w:t>
      </w:r>
      <w:bookmarkEnd w:id="59"/>
    </w:p>
    <w:p w14:paraId="0BEAEFF5">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14:paraId="2A0668A2">
      <w:pPr>
        <w:spacing w:after="0" w:line="360" w:lineRule="auto"/>
        <w:ind w:firstLine="640" w:firstLineChars="200"/>
        <w:jc w:val="both"/>
        <w:textAlignment w:val="baseline"/>
        <w:rPr>
          <w:rFonts w:ascii="仿宋_GB2312" w:eastAsia="仿宋_GB2312" w:cs="Times New Roman" w:hAnsiTheme="minorEastAsia"/>
          <w:sz w:val="32"/>
          <w:szCs w:val="32"/>
          <w:u w:color="000000"/>
        </w:rPr>
      </w:pPr>
    </w:p>
    <w:p w14:paraId="609C3FD2">
      <w:pPr>
        <w:spacing w:after="0" w:line="360" w:lineRule="auto"/>
        <w:jc w:val="both"/>
        <w:textAlignment w:val="baseline"/>
        <w:rPr>
          <w:rFonts w:ascii="仿宋_GB2312" w:eastAsia="仿宋_GB2312" w:cs="Times New Roman" w:hAnsiTheme="minorEastAsia"/>
          <w:sz w:val="32"/>
          <w:szCs w:val="32"/>
          <w:u w:color="000000"/>
        </w:rPr>
      </w:pPr>
    </w:p>
    <w:p w14:paraId="1E75A42C">
      <w:pPr>
        <w:spacing w:after="0" w:line="360" w:lineRule="auto"/>
        <w:jc w:val="center"/>
        <w:textAlignment w:val="baseline"/>
        <w:rPr>
          <w:rFonts w:asciiTheme="minorEastAsia" w:hAnsiTheme="minorEastAsia" w:eastAsiaTheme="minorEastAsia" w:cstheme="minorEastAsia"/>
          <w:b/>
          <w:bCs/>
          <w:sz w:val="32"/>
          <w:szCs w:val="32"/>
          <w:u w:color="000000"/>
        </w:rPr>
      </w:pPr>
    </w:p>
    <w:p w14:paraId="1DC2AFE0">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14:paraId="753F2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14:paraId="72F12620">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14:paraId="1CBABAD2">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14:paraId="61C93988">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14:paraId="71A10116">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14:paraId="7699548B">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14:paraId="495D1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14:paraId="566E436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14:paraId="705F19E8">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vAlign w:val="center"/>
          </w:tcPr>
          <w:p w14:paraId="0D102550">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vAlign w:val="center"/>
          </w:tcPr>
          <w:p w14:paraId="1A6C1E4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14:paraId="10B6B14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583F5A68">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2</w:t>
            </w:r>
          </w:p>
        </w:tc>
      </w:tr>
      <w:tr w14:paraId="77338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058CFDC4">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6C15BF64">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03FB97C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14:paraId="023BBD8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536E02A5">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2</w:t>
            </w:r>
          </w:p>
        </w:tc>
      </w:tr>
      <w:tr w14:paraId="1150F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77FFBA4E">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6A501AC5">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43343D3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14:paraId="11C61E4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32037F22">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2</w:t>
            </w:r>
          </w:p>
        </w:tc>
      </w:tr>
      <w:tr w14:paraId="1DB45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2CCF4B24">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14:paraId="2779669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14:paraId="245865B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14:paraId="6B6119E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14:paraId="7C8841D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4291C86D">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2</w:t>
            </w:r>
          </w:p>
        </w:tc>
      </w:tr>
      <w:tr w14:paraId="79D8C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48245BE1">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1B2F9271">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120BE31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14:paraId="4F7BA37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22B7A1E8">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2</w:t>
            </w:r>
          </w:p>
        </w:tc>
      </w:tr>
      <w:tr w14:paraId="62403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16D9C8D7">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2E1F416A">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1A0F2A0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14:paraId="52916CE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35332FF6">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2</w:t>
            </w:r>
          </w:p>
        </w:tc>
      </w:tr>
      <w:tr w14:paraId="688A3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14:paraId="7286FF59">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14:paraId="0258ADE1">
            <w:pPr>
              <w:spacing w:line="420" w:lineRule="exact"/>
              <w:ind w:firstLine="420" w:firstLineChars="200"/>
              <w:jc w:val="center"/>
              <w:rPr>
                <w:rFonts w:cs="宋体" w:asciiTheme="minorEastAsia" w:hAnsiTheme="minorEastAsia" w:eastAsiaTheme="minorEastAsia"/>
                <w:sz w:val="21"/>
                <w:szCs w:val="21"/>
                <w:highlight w:val="yellow"/>
              </w:rPr>
            </w:pPr>
          </w:p>
        </w:tc>
        <w:tc>
          <w:tcPr>
            <w:tcW w:w="1276" w:type="dxa"/>
            <w:vAlign w:val="center"/>
          </w:tcPr>
          <w:p w14:paraId="6CC9E05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14:paraId="5675D7B4">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12</w:t>
            </w:r>
          </w:p>
        </w:tc>
      </w:tr>
    </w:tbl>
    <w:p w14:paraId="6B8F6F5B">
      <w:pPr>
        <w:spacing w:after="0" w:line="360" w:lineRule="auto"/>
        <w:ind w:firstLine="640" w:firstLineChars="200"/>
        <w:jc w:val="both"/>
        <w:textAlignment w:val="baseline"/>
        <w:rPr>
          <w:rFonts w:ascii="仿宋_GB2312" w:eastAsia="仿宋_GB2312" w:cs="DengXian-Regular"/>
          <w:sz w:val="32"/>
          <w:szCs w:val="32"/>
        </w:rPr>
      </w:pPr>
      <w:bookmarkStart w:id="60" w:name="_Toc464638478"/>
      <w:bookmarkStart w:id="61" w:name="_Toc465149513"/>
      <w:r>
        <w:rPr>
          <w:rFonts w:hint="eastAsia" w:ascii="仿宋_GB2312" w:eastAsia="仿宋_GB2312" w:cs="DengXian-Regular"/>
          <w:sz w:val="32"/>
          <w:szCs w:val="32"/>
        </w:rPr>
        <w:t>1.绩效目标设定（6分）</w:t>
      </w:r>
    </w:p>
    <w:p w14:paraId="165273A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14:paraId="36F5137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14:paraId="5FBC5E2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通过对比保定市徐水区委办公室及保定市徐水区人民政府办公室印发的《保定市徐水区委统战部职能配置内设机构和人员编制规定》和徐水区委统战部202</w:t>
      </w:r>
      <w:r>
        <w:rPr>
          <w:rFonts w:ascii="仿宋_GB2312" w:eastAsia="仿宋_GB2312" w:cs="DengXian-Regular"/>
          <w:sz w:val="32"/>
          <w:szCs w:val="32"/>
        </w:rPr>
        <w:t>1</w:t>
      </w:r>
      <w:r>
        <w:rPr>
          <w:rFonts w:hint="eastAsia" w:ascii="仿宋_GB2312" w:eastAsia="仿宋_GB2312" w:cs="DengXian-Regular"/>
          <w:sz w:val="32"/>
          <w:szCs w:val="32"/>
        </w:rPr>
        <w:t>年预算文本—部门职责工作活动绩效目标，评价工作组认为区委统战部部门职责符合“三定”方案中所赋予的职责，绩效目标设立依据充分，符合客观实际，与部门职责、工作规划和重点工作相关，工作活动和项目预算安排合理。</w:t>
      </w:r>
    </w:p>
    <w:p w14:paraId="7CDA237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605A6C5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14:paraId="7205585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14:paraId="53215F9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根据区委统战部202</w:t>
      </w:r>
      <w:r>
        <w:rPr>
          <w:rFonts w:ascii="仿宋_GB2312" w:eastAsia="仿宋_GB2312" w:cs="DengXian-Regular"/>
          <w:sz w:val="32"/>
          <w:szCs w:val="32"/>
        </w:rPr>
        <w:t>1</w:t>
      </w:r>
      <w:r>
        <w:rPr>
          <w:rFonts w:hint="eastAsia" w:ascii="仿宋_GB2312" w:eastAsia="仿宋_GB2312" w:cs="DengXian-Regular"/>
          <w:sz w:val="32"/>
          <w:szCs w:val="32"/>
        </w:rPr>
        <w:t>年预算文本—部门职责工作活动绩效目标（详见附件4），绩效目标与部门履职、年度工作任务相符；工作活动有明确的绩效目标，绩效目标与部门职责目标、部门年度工作目标一致。</w:t>
      </w:r>
    </w:p>
    <w:p w14:paraId="0CB9A45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14:paraId="731008F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14:paraId="7F294BA5">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14:paraId="29FE3EC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根据区委统战部202</w:t>
      </w:r>
      <w:r>
        <w:rPr>
          <w:rFonts w:ascii="仿宋_GB2312" w:eastAsia="仿宋_GB2312" w:cs="DengXian-Regular"/>
          <w:sz w:val="32"/>
          <w:szCs w:val="32"/>
        </w:rPr>
        <w:t>1</w:t>
      </w:r>
      <w:r>
        <w:rPr>
          <w:rFonts w:hint="eastAsia" w:ascii="仿宋_GB2312" w:eastAsia="仿宋_GB2312" w:cs="DengXian-Regular"/>
          <w:sz w:val="32"/>
          <w:szCs w:val="32"/>
        </w:rPr>
        <w:t>年预算文本—部门职责工作活动绩效目标,该指标实际得分</w:t>
      </w:r>
      <w:r>
        <w:rPr>
          <w:rFonts w:ascii="仿宋_GB2312" w:eastAsia="仿宋_GB2312" w:cs="DengXian-Regular"/>
          <w:sz w:val="32"/>
          <w:szCs w:val="32"/>
        </w:rPr>
        <w:t>2</w:t>
      </w:r>
      <w:r>
        <w:rPr>
          <w:rFonts w:hint="eastAsia" w:ascii="仿宋_GB2312" w:eastAsia="仿宋_GB2312" w:cs="DengXian-Regular"/>
          <w:sz w:val="32"/>
          <w:szCs w:val="32"/>
        </w:rPr>
        <w:t>分。</w:t>
      </w:r>
    </w:p>
    <w:p w14:paraId="40B612B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14:paraId="6C9E0E3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14:paraId="1DB19B7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14:paraId="0473979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根据区委统战部202</w:t>
      </w:r>
      <w:r>
        <w:rPr>
          <w:rFonts w:ascii="仿宋_GB2312" w:eastAsia="仿宋_GB2312" w:cs="DengXian-Regular"/>
          <w:sz w:val="32"/>
          <w:szCs w:val="32"/>
        </w:rPr>
        <w:t>1</w:t>
      </w:r>
      <w:r>
        <w:rPr>
          <w:rFonts w:hint="eastAsia" w:ascii="仿宋_GB2312" w:eastAsia="仿宋_GB2312" w:cs="DengXian-Regular"/>
          <w:sz w:val="32"/>
          <w:szCs w:val="32"/>
        </w:rPr>
        <w:t>年预算文本及相关会计资料，区委统战部所有收入均已纳入部门预算，部门支出按基本支出、项目支出分别编制。</w:t>
      </w:r>
    </w:p>
    <w:p w14:paraId="667996A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w:t>
      </w:r>
      <w:r>
        <w:rPr>
          <w:rFonts w:hint="eastAsia" w:ascii="仿宋_GB2312" w:eastAsia="仿宋_GB2312" w:cs="DengXian-Regular"/>
          <w:sz w:val="32"/>
          <w:szCs w:val="32"/>
        </w:rPr>
        <w:t>分。</w:t>
      </w:r>
    </w:p>
    <w:p w14:paraId="1BF99A2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14:paraId="474E13F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14:paraId="151390C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14:paraId="0FE229E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根据区委统战部202</w:t>
      </w:r>
      <w:r>
        <w:rPr>
          <w:rFonts w:ascii="仿宋_GB2312" w:eastAsia="仿宋_GB2312" w:cs="DengXian-Regular"/>
          <w:sz w:val="32"/>
          <w:szCs w:val="32"/>
        </w:rPr>
        <w:t>1</w:t>
      </w:r>
      <w:r>
        <w:rPr>
          <w:rFonts w:hint="eastAsia" w:ascii="仿宋_GB2312" w:eastAsia="仿宋_GB2312" w:cs="DengXian-Regular"/>
          <w:sz w:val="32"/>
          <w:szCs w:val="32"/>
        </w:rPr>
        <w:t>年预算文本—部门项目支出预算表，部门202</w:t>
      </w:r>
      <w:r>
        <w:rPr>
          <w:rFonts w:ascii="仿宋_GB2312" w:eastAsia="仿宋_GB2312" w:cs="DengXian-Regular"/>
          <w:sz w:val="32"/>
          <w:szCs w:val="32"/>
        </w:rPr>
        <w:t>1</w:t>
      </w:r>
      <w:r>
        <w:rPr>
          <w:rFonts w:hint="eastAsia" w:ascii="仿宋_GB2312" w:eastAsia="仿宋_GB2312" w:cs="DengXian-Regular"/>
          <w:sz w:val="32"/>
          <w:szCs w:val="32"/>
        </w:rPr>
        <w:t>年预算项目共</w:t>
      </w:r>
      <w:r>
        <w:rPr>
          <w:rFonts w:ascii="仿宋_GB2312" w:eastAsia="仿宋_GB2312" w:cs="DengXian-Regular"/>
          <w:sz w:val="32"/>
          <w:szCs w:val="32"/>
        </w:rPr>
        <w:t>6</w:t>
      </w:r>
      <w:r>
        <w:rPr>
          <w:rFonts w:hint="eastAsia" w:ascii="仿宋_GB2312" w:eastAsia="仿宋_GB2312" w:cs="DengXian-Regular"/>
          <w:sz w:val="32"/>
          <w:szCs w:val="32"/>
        </w:rPr>
        <w:t>个，涉及资金</w:t>
      </w:r>
      <w:r>
        <w:rPr>
          <w:rFonts w:ascii="仿宋_GB2312" w:eastAsia="仿宋_GB2312" w:cs="DengXian-Regular"/>
          <w:sz w:val="32"/>
          <w:szCs w:val="32"/>
        </w:rPr>
        <w:t>20.33</w:t>
      </w:r>
      <w:r>
        <w:rPr>
          <w:rFonts w:hint="eastAsia" w:ascii="仿宋_GB2312" w:eastAsia="仿宋_GB2312" w:cs="DengXian-Regular"/>
          <w:sz w:val="32"/>
          <w:szCs w:val="32"/>
        </w:rPr>
        <w:t>万元，所有项目均细化到具体用款单位及项目资金额度。项目预算细化率=（</w:t>
      </w:r>
      <w:r>
        <w:rPr>
          <w:rFonts w:ascii="仿宋_GB2312" w:eastAsia="仿宋_GB2312" w:cs="DengXian-Regular"/>
          <w:sz w:val="32"/>
          <w:szCs w:val="32"/>
        </w:rPr>
        <w:t>20.3</w:t>
      </w:r>
      <w:r>
        <w:rPr>
          <w:rFonts w:hint="default" w:ascii="仿宋_GB2312" w:eastAsia="仿宋_GB2312" w:cs="DengXian-Regular"/>
          <w:sz w:val="32"/>
          <w:szCs w:val="32"/>
          <w:lang w:val="en-US"/>
        </w:rPr>
        <w:t>5</w:t>
      </w:r>
      <w:r>
        <w:rPr>
          <w:rFonts w:hint="eastAsia" w:ascii="仿宋_GB2312" w:eastAsia="仿宋_GB2312" w:cs="DengXian-Regular"/>
          <w:sz w:val="32"/>
          <w:szCs w:val="32"/>
        </w:rPr>
        <w:t>/</w:t>
      </w:r>
      <w:r>
        <w:rPr>
          <w:rFonts w:ascii="仿宋_GB2312" w:eastAsia="仿宋_GB2312" w:cs="DengXian-Regular"/>
          <w:sz w:val="32"/>
          <w:szCs w:val="32"/>
        </w:rPr>
        <w:t>20.3</w:t>
      </w:r>
      <w:r>
        <w:rPr>
          <w:rFonts w:hint="default" w:ascii="仿宋_GB2312" w:eastAsia="仿宋_GB2312" w:cs="DengXian-Regular"/>
          <w:sz w:val="32"/>
          <w:szCs w:val="32"/>
          <w:lang w:val="en-US"/>
        </w:rPr>
        <w:t>5</w:t>
      </w:r>
      <w:r>
        <w:rPr>
          <w:rFonts w:hint="eastAsia" w:ascii="仿宋_GB2312" w:eastAsia="仿宋_GB2312" w:cs="DengXian-Regular"/>
          <w:sz w:val="32"/>
          <w:szCs w:val="32"/>
        </w:rPr>
        <w:t>）*100%=100%</w:t>
      </w:r>
    </w:p>
    <w:p w14:paraId="56782C4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w:t>
      </w:r>
      <w:r>
        <w:rPr>
          <w:rFonts w:hint="eastAsia" w:ascii="仿宋_GB2312" w:eastAsia="仿宋_GB2312" w:cs="DengXian-Regular"/>
          <w:sz w:val="32"/>
          <w:szCs w:val="32"/>
        </w:rPr>
        <w:t>分。</w:t>
      </w:r>
    </w:p>
    <w:p w14:paraId="4768676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14:paraId="712BDEB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该指标主要考核截至202</w:t>
      </w:r>
      <w:r>
        <w:rPr>
          <w:rFonts w:ascii="仿宋_GB2312" w:eastAsia="仿宋_GB2312" w:cs="DengXian-Regular"/>
          <w:sz w:val="32"/>
          <w:szCs w:val="32"/>
        </w:rPr>
        <w:t>1</w:t>
      </w:r>
      <w:r>
        <w:rPr>
          <w:rFonts w:hint="eastAsia" w:ascii="仿宋_GB2312" w:eastAsia="仿宋_GB2312" w:cs="DengXian-Regular"/>
          <w:sz w:val="32"/>
          <w:szCs w:val="32"/>
        </w:rPr>
        <w:t>年底区委统战部在职人员控制情况，通过在职人员控制率衡量。</w:t>
      </w:r>
    </w:p>
    <w:p w14:paraId="07BD481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14:paraId="7571608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根据保定市徐水区委办公室及保定市徐水区人民政府办公室关于印发《保定市徐水区委统战部职能配置内设机构和人员编制规定》的通知，区委统战部人员编制为</w:t>
      </w:r>
      <w:r>
        <w:rPr>
          <w:rFonts w:ascii="仿宋_GB2312" w:eastAsia="仿宋_GB2312" w:cs="DengXian-Regular"/>
          <w:sz w:val="32"/>
          <w:szCs w:val="32"/>
        </w:rPr>
        <w:t>11</w:t>
      </w:r>
      <w:r>
        <w:rPr>
          <w:rFonts w:hint="eastAsia" w:ascii="仿宋_GB2312" w:eastAsia="仿宋_GB2312" w:cs="DengXian-Regular"/>
          <w:sz w:val="32"/>
          <w:szCs w:val="32"/>
        </w:rPr>
        <w:t>人，根据区委统战部202</w:t>
      </w:r>
      <w:r>
        <w:rPr>
          <w:rFonts w:ascii="仿宋_GB2312" w:eastAsia="仿宋_GB2312" w:cs="DengXian-Regular"/>
          <w:sz w:val="32"/>
          <w:szCs w:val="32"/>
        </w:rPr>
        <w:t>1</w:t>
      </w:r>
      <w:r>
        <w:rPr>
          <w:rFonts w:hint="eastAsia" w:ascii="仿宋_GB2312" w:eastAsia="仿宋_GB2312" w:cs="DengXian-Regular"/>
          <w:sz w:val="32"/>
          <w:szCs w:val="32"/>
        </w:rPr>
        <w:t>年决算文本-部门基本情况表，截至202</w:t>
      </w:r>
      <w:r>
        <w:rPr>
          <w:rFonts w:ascii="仿宋_GB2312" w:eastAsia="仿宋_GB2312" w:cs="DengXian-Regular"/>
          <w:sz w:val="32"/>
          <w:szCs w:val="32"/>
        </w:rPr>
        <w:t>1</w:t>
      </w:r>
      <w:r>
        <w:rPr>
          <w:rFonts w:hint="eastAsia" w:ascii="仿宋_GB2312" w:eastAsia="仿宋_GB2312" w:cs="DengXian-Regular"/>
          <w:sz w:val="32"/>
          <w:szCs w:val="32"/>
        </w:rPr>
        <w:t>年底，在职人员</w:t>
      </w:r>
      <w:r>
        <w:rPr>
          <w:rFonts w:ascii="仿宋_GB2312" w:eastAsia="仿宋_GB2312" w:cs="DengXian-Regular"/>
          <w:sz w:val="32"/>
          <w:szCs w:val="32"/>
        </w:rPr>
        <w:t>11</w:t>
      </w:r>
      <w:r>
        <w:rPr>
          <w:rFonts w:hint="eastAsia" w:ascii="仿宋_GB2312" w:eastAsia="仿宋_GB2312" w:cs="DengXian-Regular"/>
          <w:sz w:val="32"/>
          <w:szCs w:val="32"/>
        </w:rPr>
        <w:t>人，在职人员控制率=（</w:t>
      </w:r>
      <w:r>
        <w:rPr>
          <w:rFonts w:ascii="仿宋_GB2312" w:eastAsia="仿宋_GB2312" w:cs="DengXian-Regular"/>
          <w:sz w:val="32"/>
          <w:szCs w:val="32"/>
        </w:rPr>
        <w:t>11</w:t>
      </w:r>
      <w:r>
        <w:rPr>
          <w:rFonts w:hint="eastAsia" w:ascii="仿宋_GB2312" w:eastAsia="仿宋_GB2312" w:cs="DengXian-Regular"/>
          <w:sz w:val="32"/>
          <w:szCs w:val="32"/>
        </w:rPr>
        <w:t>/</w:t>
      </w:r>
      <w:r>
        <w:rPr>
          <w:rFonts w:ascii="仿宋_GB2312" w:eastAsia="仿宋_GB2312" w:cs="DengXian-Regular"/>
          <w:sz w:val="32"/>
          <w:szCs w:val="32"/>
        </w:rPr>
        <w:t>11</w:t>
      </w:r>
      <w:r>
        <w:rPr>
          <w:rFonts w:hint="eastAsia" w:ascii="仿宋_GB2312" w:eastAsia="仿宋_GB2312" w:cs="DengXian-Regular"/>
          <w:sz w:val="32"/>
          <w:szCs w:val="32"/>
        </w:rPr>
        <w:t>）*100%=100%。</w:t>
      </w:r>
    </w:p>
    <w:p w14:paraId="20F935A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w:t>
      </w:r>
      <w:r>
        <w:rPr>
          <w:rFonts w:hint="eastAsia" w:ascii="仿宋_GB2312" w:eastAsia="仿宋_GB2312" w:cs="DengXian-Regular"/>
          <w:sz w:val="32"/>
          <w:szCs w:val="32"/>
        </w:rPr>
        <w:t>分。</w:t>
      </w:r>
    </w:p>
    <w:bookmarkEnd w:id="60"/>
    <w:bookmarkEnd w:id="61"/>
    <w:p w14:paraId="28D3F35E">
      <w:pPr>
        <w:pStyle w:val="4"/>
        <w:spacing w:before="0" w:after="0"/>
        <w:ind w:firstLine="643" w:firstLineChars="200"/>
        <w:jc w:val="both"/>
        <w:rPr>
          <w:rFonts w:ascii="楷体" w:hAnsi="楷体" w:eastAsia="楷体"/>
          <w:sz w:val="32"/>
        </w:rPr>
      </w:pPr>
      <w:bookmarkStart w:id="62" w:name="_Toc19940"/>
      <w:r>
        <w:rPr>
          <w:rFonts w:hint="eastAsia" w:ascii="楷体" w:hAnsi="楷体" w:eastAsia="楷体"/>
          <w:sz w:val="32"/>
        </w:rPr>
        <w:t>（二）过程（48分）</w:t>
      </w:r>
      <w:bookmarkEnd w:id="62"/>
    </w:p>
    <w:p w14:paraId="25AF7277">
      <w:pPr>
        <w:spacing w:after="0" w:line="360" w:lineRule="auto"/>
        <w:ind w:firstLine="640" w:firstLineChars="200"/>
        <w:jc w:val="both"/>
        <w:textAlignment w:val="baseline"/>
        <w:rPr>
          <w:rFonts w:ascii="仿宋_GB2312" w:eastAsia="仿宋_GB2312" w:cs="DengXian-Regular"/>
          <w:sz w:val="32"/>
          <w:szCs w:val="32"/>
        </w:rPr>
      </w:pPr>
      <w:bookmarkStart w:id="63" w:name="_Toc464638480"/>
      <w:r>
        <w:rPr>
          <w:rFonts w:hint="eastAsia" w:ascii="仿宋_GB2312" w:eastAsia="仿宋_GB2312" w:cs="DengXian-Regular"/>
          <w:sz w:val="32"/>
          <w:szCs w:val="32"/>
        </w:rPr>
        <w:t>该一级指标包含预算执行、预算管理和绩效评价三个二级指标，主要反映预算调整、收入支出完成情况，“三公”经费、政府采购执行情况，财务管理是否规范、资金使用是否合规，决算真实性。</w:t>
      </w:r>
    </w:p>
    <w:p w14:paraId="0EF1270E">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14:paraId="5A72B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7" w:hRule="exact"/>
          <w:jc w:val="center"/>
        </w:trPr>
        <w:tc>
          <w:tcPr>
            <w:tcW w:w="1557" w:type="dxa"/>
            <w:vAlign w:val="center"/>
          </w:tcPr>
          <w:p w14:paraId="521717A6">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14:paraId="54A33468">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14:paraId="48AC27EA">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14:paraId="7DD3F8A7">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14:paraId="43A0AC63">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4BB74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14:paraId="7D19DB3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14:paraId="3E391FE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14:paraId="71A6876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14:paraId="1463025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vAlign w:val="center"/>
          </w:tcPr>
          <w:p w14:paraId="2BE2120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1A8D1587">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1.95</w:t>
            </w:r>
          </w:p>
        </w:tc>
      </w:tr>
      <w:tr w14:paraId="17E2E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9477BD4">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58329147">
            <w:pPr>
              <w:spacing w:line="420" w:lineRule="exact"/>
              <w:jc w:val="center"/>
              <w:rPr>
                <w:rFonts w:cs="宋体" w:asciiTheme="minorEastAsia" w:hAnsiTheme="minorEastAsia" w:eastAsiaTheme="minorEastAsia"/>
                <w:sz w:val="21"/>
                <w:szCs w:val="21"/>
              </w:rPr>
            </w:pPr>
          </w:p>
        </w:tc>
        <w:tc>
          <w:tcPr>
            <w:tcW w:w="2277" w:type="dxa"/>
            <w:vAlign w:val="center"/>
          </w:tcPr>
          <w:p w14:paraId="41FEE09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14:paraId="313876D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44F60B18">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4</w:t>
            </w:r>
          </w:p>
        </w:tc>
      </w:tr>
      <w:tr w14:paraId="54547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07921987">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411858C4">
            <w:pPr>
              <w:spacing w:line="420" w:lineRule="exact"/>
              <w:jc w:val="center"/>
              <w:rPr>
                <w:rFonts w:cs="宋体" w:asciiTheme="minorEastAsia" w:hAnsiTheme="minorEastAsia" w:eastAsiaTheme="minorEastAsia"/>
                <w:sz w:val="21"/>
                <w:szCs w:val="21"/>
              </w:rPr>
            </w:pPr>
          </w:p>
        </w:tc>
        <w:tc>
          <w:tcPr>
            <w:tcW w:w="2277" w:type="dxa"/>
            <w:vAlign w:val="center"/>
          </w:tcPr>
          <w:p w14:paraId="6F0022E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预算支出调整率</w:t>
            </w:r>
          </w:p>
        </w:tc>
        <w:tc>
          <w:tcPr>
            <w:tcW w:w="1155" w:type="dxa"/>
            <w:vAlign w:val="center"/>
          </w:tcPr>
          <w:p w14:paraId="6EF7981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72483C06">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1</w:t>
            </w:r>
          </w:p>
        </w:tc>
      </w:tr>
      <w:tr w14:paraId="0F681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373F15AA">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4844F915">
            <w:pPr>
              <w:spacing w:line="420" w:lineRule="exact"/>
              <w:jc w:val="center"/>
              <w:rPr>
                <w:rFonts w:cs="宋体" w:asciiTheme="minorEastAsia" w:hAnsiTheme="minorEastAsia" w:eastAsiaTheme="minorEastAsia"/>
                <w:sz w:val="21"/>
                <w:szCs w:val="21"/>
              </w:rPr>
            </w:pPr>
          </w:p>
        </w:tc>
        <w:tc>
          <w:tcPr>
            <w:tcW w:w="2277" w:type="dxa"/>
            <w:vAlign w:val="center"/>
          </w:tcPr>
          <w:p w14:paraId="2026703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14:paraId="63DD0D7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1DDFAF22">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4</w:t>
            </w:r>
          </w:p>
        </w:tc>
      </w:tr>
      <w:tr w14:paraId="6730A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7032845">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614CCC82">
            <w:pPr>
              <w:spacing w:line="420" w:lineRule="exact"/>
              <w:jc w:val="center"/>
              <w:rPr>
                <w:rFonts w:cs="宋体" w:asciiTheme="minorEastAsia" w:hAnsiTheme="minorEastAsia" w:eastAsiaTheme="minorEastAsia"/>
                <w:sz w:val="21"/>
                <w:szCs w:val="21"/>
              </w:rPr>
            </w:pPr>
          </w:p>
        </w:tc>
        <w:tc>
          <w:tcPr>
            <w:tcW w:w="2277" w:type="dxa"/>
            <w:vAlign w:val="center"/>
          </w:tcPr>
          <w:p w14:paraId="2F057A8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14:paraId="52A23D0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5EA0C479">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3</w:t>
            </w:r>
          </w:p>
        </w:tc>
      </w:tr>
      <w:tr w14:paraId="0964C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76C45B5">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576EA671">
            <w:pPr>
              <w:spacing w:line="420" w:lineRule="exact"/>
              <w:jc w:val="center"/>
              <w:rPr>
                <w:rFonts w:cs="宋体" w:asciiTheme="minorEastAsia" w:hAnsiTheme="minorEastAsia" w:eastAsiaTheme="minorEastAsia"/>
                <w:sz w:val="21"/>
                <w:szCs w:val="21"/>
              </w:rPr>
            </w:pPr>
          </w:p>
        </w:tc>
        <w:tc>
          <w:tcPr>
            <w:tcW w:w="2277" w:type="dxa"/>
            <w:vAlign w:val="center"/>
          </w:tcPr>
          <w:p w14:paraId="6F4BECA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14:paraId="23986B4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29663466">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3</w:t>
            </w:r>
          </w:p>
        </w:tc>
      </w:tr>
      <w:tr w14:paraId="78C20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7097B5F">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6DE6899F">
            <w:pPr>
              <w:spacing w:line="420" w:lineRule="exact"/>
              <w:jc w:val="center"/>
              <w:rPr>
                <w:rFonts w:cs="宋体" w:asciiTheme="minorEastAsia" w:hAnsiTheme="minorEastAsia" w:eastAsiaTheme="minorEastAsia"/>
                <w:sz w:val="21"/>
                <w:szCs w:val="21"/>
              </w:rPr>
            </w:pPr>
          </w:p>
        </w:tc>
        <w:tc>
          <w:tcPr>
            <w:tcW w:w="2277" w:type="dxa"/>
            <w:vAlign w:val="center"/>
          </w:tcPr>
          <w:p w14:paraId="17CBE38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14:paraId="1C045D2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3A3C6AA1">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3</w:t>
            </w:r>
          </w:p>
        </w:tc>
      </w:tr>
      <w:tr w14:paraId="54006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B8A16F7">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09F41A44">
            <w:pPr>
              <w:spacing w:line="420" w:lineRule="exact"/>
              <w:jc w:val="center"/>
              <w:rPr>
                <w:rFonts w:cs="宋体" w:asciiTheme="minorEastAsia" w:hAnsiTheme="minorEastAsia" w:eastAsiaTheme="minorEastAsia"/>
                <w:sz w:val="21"/>
                <w:szCs w:val="21"/>
              </w:rPr>
            </w:pPr>
          </w:p>
        </w:tc>
        <w:tc>
          <w:tcPr>
            <w:tcW w:w="2277" w:type="dxa"/>
            <w:vAlign w:val="center"/>
          </w:tcPr>
          <w:p w14:paraId="10CF146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14:paraId="73ACE4B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66196C84">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3</w:t>
            </w:r>
          </w:p>
        </w:tc>
      </w:tr>
      <w:tr w14:paraId="7D608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74BB7BE">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6547665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14:paraId="581592B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14:paraId="253FA87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14:paraId="7FA1F83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180D8867">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4</w:t>
            </w:r>
          </w:p>
        </w:tc>
      </w:tr>
      <w:tr w14:paraId="58D19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081B456A">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528B89C0">
            <w:pPr>
              <w:spacing w:line="420" w:lineRule="exact"/>
              <w:jc w:val="center"/>
              <w:rPr>
                <w:rFonts w:cs="宋体" w:asciiTheme="minorEastAsia" w:hAnsiTheme="minorEastAsia" w:eastAsiaTheme="minorEastAsia"/>
                <w:sz w:val="21"/>
                <w:szCs w:val="21"/>
              </w:rPr>
            </w:pPr>
          </w:p>
        </w:tc>
        <w:tc>
          <w:tcPr>
            <w:tcW w:w="2277" w:type="dxa"/>
            <w:vAlign w:val="center"/>
          </w:tcPr>
          <w:p w14:paraId="715E397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14:paraId="018197C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67DEE876">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4</w:t>
            </w:r>
          </w:p>
        </w:tc>
      </w:tr>
      <w:tr w14:paraId="353E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38483305">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311E1416">
            <w:pPr>
              <w:spacing w:line="420" w:lineRule="exact"/>
              <w:jc w:val="center"/>
              <w:rPr>
                <w:rFonts w:cs="宋体" w:asciiTheme="minorEastAsia" w:hAnsiTheme="minorEastAsia" w:eastAsiaTheme="minorEastAsia"/>
                <w:sz w:val="21"/>
                <w:szCs w:val="21"/>
              </w:rPr>
            </w:pPr>
          </w:p>
        </w:tc>
        <w:tc>
          <w:tcPr>
            <w:tcW w:w="2277" w:type="dxa"/>
            <w:vAlign w:val="center"/>
          </w:tcPr>
          <w:p w14:paraId="5E19666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14:paraId="4AB8EA8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2DC65C95">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4</w:t>
            </w:r>
          </w:p>
        </w:tc>
      </w:tr>
      <w:tr w14:paraId="04F9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3D9AB95">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65D119E7">
            <w:pPr>
              <w:spacing w:line="420" w:lineRule="exact"/>
              <w:jc w:val="center"/>
              <w:rPr>
                <w:rFonts w:cs="宋体" w:asciiTheme="minorEastAsia" w:hAnsiTheme="minorEastAsia" w:eastAsiaTheme="minorEastAsia"/>
                <w:sz w:val="21"/>
                <w:szCs w:val="21"/>
              </w:rPr>
            </w:pPr>
          </w:p>
        </w:tc>
        <w:tc>
          <w:tcPr>
            <w:tcW w:w="2277" w:type="dxa"/>
            <w:vAlign w:val="center"/>
          </w:tcPr>
          <w:p w14:paraId="7D7EBA2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14:paraId="260A529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6258D0CF">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2</w:t>
            </w:r>
          </w:p>
        </w:tc>
      </w:tr>
      <w:tr w14:paraId="64CC5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14:paraId="6C34DE44">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02CF5F3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14:paraId="6BA0DEF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14:paraId="190390B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14:paraId="7F74755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1C2BB029">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4</w:t>
            </w:r>
          </w:p>
        </w:tc>
      </w:tr>
      <w:tr w14:paraId="71D67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14:paraId="3487B4E3">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1B4DFD10">
            <w:pPr>
              <w:spacing w:line="420" w:lineRule="exact"/>
              <w:jc w:val="center"/>
              <w:rPr>
                <w:rFonts w:cs="宋体" w:asciiTheme="minorEastAsia" w:hAnsiTheme="minorEastAsia" w:eastAsiaTheme="minorEastAsia"/>
                <w:sz w:val="21"/>
                <w:szCs w:val="21"/>
              </w:rPr>
            </w:pPr>
          </w:p>
        </w:tc>
        <w:tc>
          <w:tcPr>
            <w:tcW w:w="2277" w:type="dxa"/>
            <w:vAlign w:val="center"/>
          </w:tcPr>
          <w:p w14:paraId="7C3A5EE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14:paraId="207B949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37E6276D">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4</w:t>
            </w:r>
          </w:p>
        </w:tc>
      </w:tr>
      <w:tr w14:paraId="057CF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14:paraId="5DD4AEC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14:paraId="0C184BA6">
            <w:pPr>
              <w:spacing w:line="420" w:lineRule="exact"/>
              <w:jc w:val="center"/>
              <w:rPr>
                <w:rFonts w:cs="宋体" w:asciiTheme="minorEastAsia" w:hAnsiTheme="minorEastAsia" w:eastAsiaTheme="minorEastAsia"/>
                <w:sz w:val="21"/>
                <w:szCs w:val="21"/>
              </w:rPr>
            </w:pPr>
          </w:p>
        </w:tc>
        <w:tc>
          <w:tcPr>
            <w:tcW w:w="1155" w:type="dxa"/>
            <w:vAlign w:val="center"/>
          </w:tcPr>
          <w:p w14:paraId="4355273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14:paraId="0EA2F0FB">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44.95</w:t>
            </w:r>
          </w:p>
        </w:tc>
      </w:tr>
      <w:bookmarkEnd w:id="63"/>
    </w:tbl>
    <w:p w14:paraId="5173664C">
      <w:pPr>
        <w:spacing w:after="0" w:line="360" w:lineRule="auto"/>
        <w:ind w:firstLine="640" w:firstLineChars="200"/>
        <w:jc w:val="both"/>
        <w:textAlignment w:val="baseline"/>
        <w:rPr>
          <w:rFonts w:ascii="仿宋_GB2312" w:eastAsia="仿宋_GB2312" w:cs="DengXian-Regular"/>
          <w:sz w:val="32"/>
          <w:szCs w:val="32"/>
        </w:rPr>
      </w:pPr>
      <w:bookmarkStart w:id="64" w:name="_Toc464638487"/>
      <w:bookmarkStart w:id="65" w:name="_Toc465149514"/>
      <w:r>
        <w:rPr>
          <w:rFonts w:hint="eastAsia" w:ascii="仿宋_GB2312" w:eastAsia="仿宋_GB2312" w:cs="DengXian-Regular"/>
          <w:sz w:val="32"/>
          <w:szCs w:val="32"/>
        </w:rPr>
        <w:t>1.预算执行（24分）</w:t>
      </w:r>
    </w:p>
    <w:p w14:paraId="4523E41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（1）预算收入调整率（2分）</w:t>
      </w:r>
    </w:p>
    <w:p w14:paraId="46EA139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14:paraId="77765C7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预算收入调整率=（调整预算数-年初预算数）/年初预算数*100%</w:t>
      </w:r>
    </w:p>
    <w:p w14:paraId="0989A88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根据区委统战部的预算指标文件，其中：徐财预指[</w:t>
      </w:r>
      <w:r>
        <w:rPr>
          <w:rFonts w:ascii="仿宋_GB2312" w:eastAsia="仿宋_GB2312" w:cs="DengXian-Regular"/>
          <w:sz w:val="32"/>
          <w:szCs w:val="32"/>
        </w:rPr>
        <w:t>2021</w:t>
      </w:r>
      <w:r>
        <w:rPr>
          <w:rFonts w:hint="eastAsia" w:ascii="仿宋_GB2312" w:eastAsia="仿宋_GB2312" w:cs="DengXian-Regular"/>
          <w:sz w:val="32"/>
          <w:szCs w:val="32"/>
        </w:rPr>
        <w:t>]</w:t>
      </w:r>
      <w:r>
        <w:rPr>
          <w:rFonts w:ascii="仿宋_GB2312" w:eastAsia="仿宋_GB2312" w:cs="DengXian-Regular"/>
          <w:sz w:val="32"/>
          <w:szCs w:val="32"/>
        </w:rPr>
        <w:t>1-1307</w:t>
      </w:r>
      <w:r>
        <w:rPr>
          <w:rFonts w:hint="eastAsia" w:ascii="仿宋_GB2312" w:eastAsia="仿宋_GB2312" w:cs="DengXian-Regular"/>
          <w:sz w:val="32"/>
          <w:szCs w:val="32"/>
        </w:rPr>
        <w:t>号追加项目经费</w:t>
      </w:r>
      <w:r>
        <w:rPr>
          <w:rFonts w:ascii="仿宋_GB2312" w:eastAsia="仿宋_GB2312" w:cs="DengXian-Regular"/>
          <w:sz w:val="32"/>
          <w:szCs w:val="32"/>
        </w:rPr>
        <w:t>38.55</w:t>
      </w:r>
      <w:r>
        <w:rPr>
          <w:rFonts w:hint="eastAsia" w:ascii="仿宋_GB2312" w:eastAsia="仿宋_GB2312" w:cs="DengXian-Regular"/>
          <w:sz w:val="32"/>
          <w:szCs w:val="32"/>
        </w:rPr>
        <w:t>万元，徐财预指[</w:t>
      </w:r>
      <w:r>
        <w:rPr>
          <w:rFonts w:ascii="仿宋_GB2312" w:eastAsia="仿宋_GB2312" w:cs="DengXian-Regular"/>
          <w:sz w:val="32"/>
          <w:szCs w:val="32"/>
        </w:rPr>
        <w:t>2021</w:t>
      </w:r>
      <w:r>
        <w:rPr>
          <w:rFonts w:hint="eastAsia" w:ascii="仿宋_GB2312" w:eastAsia="仿宋_GB2312" w:cs="DengXian-Regular"/>
          <w:sz w:val="32"/>
          <w:szCs w:val="32"/>
        </w:rPr>
        <w:t>]</w:t>
      </w:r>
      <w:r>
        <w:rPr>
          <w:rFonts w:ascii="仿宋_GB2312" w:eastAsia="仿宋_GB2312" w:cs="DengXian-Regular"/>
          <w:sz w:val="32"/>
          <w:szCs w:val="32"/>
        </w:rPr>
        <w:t>1-0999</w:t>
      </w:r>
      <w:r>
        <w:rPr>
          <w:rFonts w:hint="eastAsia" w:ascii="仿宋_GB2312" w:eastAsia="仿宋_GB2312" w:cs="DengXian-Regular"/>
          <w:sz w:val="32"/>
          <w:szCs w:val="32"/>
        </w:rPr>
        <w:t>号追减基本支出经费</w:t>
      </w:r>
      <w:r>
        <w:rPr>
          <w:rFonts w:ascii="仿宋_GB2312" w:eastAsia="仿宋_GB2312" w:cs="DengXian-Regular"/>
          <w:sz w:val="32"/>
          <w:szCs w:val="32"/>
        </w:rPr>
        <w:t>6.20</w:t>
      </w:r>
      <w:r>
        <w:rPr>
          <w:rFonts w:hint="eastAsia" w:ascii="仿宋_GB2312" w:eastAsia="仿宋_GB2312" w:cs="DengXian-Regular"/>
          <w:sz w:val="32"/>
          <w:szCs w:val="32"/>
        </w:rPr>
        <w:t>万元，徐财预指[</w:t>
      </w:r>
      <w:r>
        <w:rPr>
          <w:rFonts w:ascii="仿宋_GB2312" w:eastAsia="仿宋_GB2312" w:cs="DengXian-Regular"/>
          <w:sz w:val="32"/>
          <w:szCs w:val="32"/>
        </w:rPr>
        <w:t>2021</w:t>
      </w:r>
      <w:r>
        <w:rPr>
          <w:rFonts w:hint="eastAsia" w:ascii="仿宋_GB2312" w:eastAsia="仿宋_GB2312" w:cs="DengXian-Regular"/>
          <w:sz w:val="32"/>
          <w:szCs w:val="32"/>
        </w:rPr>
        <w:t>]</w:t>
      </w:r>
      <w:r>
        <w:rPr>
          <w:rFonts w:ascii="仿宋_GB2312" w:eastAsia="仿宋_GB2312" w:cs="DengXian-Regular"/>
          <w:sz w:val="32"/>
          <w:szCs w:val="32"/>
        </w:rPr>
        <w:t>1-1999</w:t>
      </w:r>
      <w:r>
        <w:rPr>
          <w:rFonts w:hint="eastAsia" w:ascii="仿宋_GB2312" w:eastAsia="仿宋_GB2312" w:cs="DengXian-Regular"/>
          <w:sz w:val="32"/>
          <w:szCs w:val="32"/>
        </w:rPr>
        <w:t>号追减项目支出经费</w:t>
      </w:r>
      <w:r>
        <w:rPr>
          <w:rFonts w:ascii="仿宋_GB2312" w:eastAsia="仿宋_GB2312" w:cs="DengXian-Regular"/>
          <w:sz w:val="32"/>
          <w:szCs w:val="32"/>
        </w:rPr>
        <w:t>0.02</w:t>
      </w:r>
      <w:r>
        <w:rPr>
          <w:rFonts w:hint="eastAsia" w:ascii="仿宋_GB2312" w:eastAsia="仿宋_GB2312" w:cs="DengXian-Regular"/>
          <w:sz w:val="32"/>
          <w:szCs w:val="32"/>
        </w:rPr>
        <w:t>万元，区委统战部202</w:t>
      </w:r>
      <w:r>
        <w:rPr>
          <w:rFonts w:ascii="仿宋_GB2312" w:eastAsia="仿宋_GB2312" w:cs="DengXian-Regular"/>
          <w:sz w:val="32"/>
          <w:szCs w:val="32"/>
        </w:rPr>
        <w:t>1</w:t>
      </w:r>
      <w:r>
        <w:rPr>
          <w:rFonts w:hint="eastAsia" w:ascii="仿宋_GB2312" w:eastAsia="仿宋_GB2312" w:cs="DengXian-Regular"/>
          <w:sz w:val="32"/>
          <w:szCs w:val="32"/>
        </w:rPr>
        <w:t>年度预算收入的追加数为</w:t>
      </w:r>
      <w:r>
        <w:rPr>
          <w:rFonts w:ascii="仿宋_GB2312" w:eastAsia="仿宋_GB2312" w:cs="DengXian-Regular"/>
          <w:sz w:val="32"/>
          <w:szCs w:val="32"/>
        </w:rPr>
        <w:t>32.33</w:t>
      </w:r>
      <w:r>
        <w:rPr>
          <w:rFonts w:hint="eastAsia" w:ascii="仿宋_GB2312" w:eastAsia="仿宋_GB2312" w:cs="DengXian-Regular"/>
          <w:sz w:val="32"/>
          <w:szCs w:val="32"/>
        </w:rPr>
        <w:t>万元，年初预算数为</w:t>
      </w:r>
      <w:r>
        <w:rPr>
          <w:rFonts w:ascii="仿宋_GB2312" w:eastAsia="仿宋_GB2312" w:cs="DengXian-Regular"/>
          <w:sz w:val="32"/>
          <w:szCs w:val="32"/>
        </w:rPr>
        <w:t>184.65</w:t>
      </w:r>
      <w:r>
        <w:rPr>
          <w:rFonts w:hint="eastAsia" w:ascii="仿宋_GB2312" w:eastAsia="仿宋_GB2312" w:cs="DengXian-Regular"/>
          <w:sz w:val="32"/>
          <w:szCs w:val="32"/>
        </w:rPr>
        <w:t>万元，预算收入调整率为</w:t>
      </w:r>
      <w:r>
        <w:rPr>
          <w:rFonts w:ascii="仿宋_GB2312" w:eastAsia="仿宋_GB2312" w:cs="DengXian-Regular"/>
          <w:sz w:val="32"/>
          <w:szCs w:val="32"/>
        </w:rPr>
        <w:t>17.51</w:t>
      </w:r>
      <w:r>
        <w:rPr>
          <w:rFonts w:hint="eastAsia" w:ascii="仿宋_GB2312" w:eastAsia="仿宋_GB2312" w:cs="DengXian-Regular"/>
          <w:sz w:val="32"/>
          <w:szCs w:val="32"/>
        </w:rPr>
        <w:t>%，预算调整增加了</w:t>
      </w:r>
      <w:r>
        <w:rPr>
          <w:rFonts w:ascii="仿宋_GB2312" w:eastAsia="仿宋_GB2312" w:cs="DengXian-Regular"/>
          <w:sz w:val="32"/>
          <w:szCs w:val="32"/>
        </w:rPr>
        <w:t>17</w:t>
      </w:r>
      <w:r>
        <w:rPr>
          <w:rFonts w:hint="eastAsia" w:ascii="仿宋_GB2312" w:eastAsia="仿宋_GB2312" w:cs="DengXian-Regular"/>
          <w:sz w:val="32"/>
          <w:szCs w:val="32"/>
        </w:rPr>
        <w:t>个百分点，扣</w:t>
      </w:r>
      <w:r>
        <w:rPr>
          <w:rFonts w:ascii="仿宋_GB2312" w:eastAsia="仿宋_GB2312" w:cs="DengXian-Regular"/>
          <w:sz w:val="32"/>
          <w:szCs w:val="32"/>
        </w:rPr>
        <w:t>0.17</w:t>
      </w:r>
      <w:r>
        <w:rPr>
          <w:rFonts w:hint="eastAsia" w:ascii="仿宋_GB2312" w:eastAsia="仿宋_GB2312" w:cs="DengXian-Regular"/>
          <w:sz w:val="32"/>
          <w:szCs w:val="32"/>
        </w:rPr>
        <w:t>*0.1*2=</w:t>
      </w:r>
      <w:r>
        <w:rPr>
          <w:rFonts w:ascii="仿宋_GB2312" w:eastAsia="仿宋_GB2312" w:cs="DengXian-Regular"/>
          <w:sz w:val="32"/>
          <w:szCs w:val="32"/>
        </w:rPr>
        <w:t>0.034</w:t>
      </w:r>
      <w:r>
        <w:rPr>
          <w:rFonts w:hint="eastAsia" w:ascii="仿宋_GB2312" w:eastAsia="仿宋_GB2312" w:cs="DengXian-Regular"/>
          <w:sz w:val="32"/>
          <w:szCs w:val="32"/>
        </w:rPr>
        <w:t>分。</w:t>
      </w:r>
    </w:p>
    <w:p w14:paraId="707B943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1.95</w:t>
      </w:r>
      <w:r>
        <w:rPr>
          <w:rFonts w:hint="eastAsia" w:ascii="仿宋_GB2312" w:eastAsia="仿宋_GB2312" w:cs="DengXian-Regular"/>
          <w:sz w:val="32"/>
          <w:szCs w:val="32"/>
        </w:rPr>
        <w:t>分。</w:t>
      </w:r>
    </w:p>
    <w:p w14:paraId="69C49AD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（2）收入完成率（4分）</w:t>
      </w:r>
    </w:p>
    <w:p w14:paraId="6BA581E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14:paraId="41256BE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14:paraId="2F5D2A5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根据区委统战部202</w:t>
      </w:r>
      <w:r>
        <w:rPr>
          <w:rFonts w:ascii="仿宋_GB2312" w:eastAsia="仿宋_GB2312" w:cs="DengXian-Regular"/>
          <w:sz w:val="32"/>
          <w:szCs w:val="32"/>
        </w:rPr>
        <w:t>1</w:t>
      </w:r>
      <w:r>
        <w:rPr>
          <w:rFonts w:hint="eastAsia" w:ascii="仿宋_GB2312" w:eastAsia="仿宋_GB2312" w:cs="DengXian-Regular"/>
          <w:sz w:val="32"/>
          <w:szCs w:val="32"/>
        </w:rPr>
        <w:t>年预算文本、决算文本，202</w:t>
      </w:r>
      <w:r>
        <w:rPr>
          <w:rFonts w:ascii="仿宋_GB2312" w:eastAsia="仿宋_GB2312" w:cs="DengXian-Regular"/>
          <w:sz w:val="32"/>
          <w:szCs w:val="32"/>
        </w:rPr>
        <w:t>1</w:t>
      </w:r>
      <w:r>
        <w:rPr>
          <w:rFonts w:hint="eastAsia" w:ascii="仿宋_GB2312" w:eastAsia="仿宋_GB2312" w:cs="DengXian-Regular"/>
          <w:sz w:val="32"/>
          <w:szCs w:val="32"/>
        </w:rPr>
        <w:t>年收入预算数</w:t>
      </w:r>
      <w:r>
        <w:rPr>
          <w:rFonts w:ascii="仿宋_GB2312" w:eastAsia="仿宋_GB2312" w:cs="DengXian-Regular"/>
          <w:sz w:val="32"/>
          <w:szCs w:val="32"/>
        </w:rPr>
        <w:t>220.99</w:t>
      </w:r>
      <w:r>
        <w:rPr>
          <w:rFonts w:hint="eastAsia" w:ascii="仿宋_GB2312" w:eastAsia="仿宋_GB2312" w:cs="DengXian-Regular"/>
          <w:sz w:val="32"/>
          <w:szCs w:val="32"/>
        </w:rPr>
        <w:t>万元，收入决算数</w:t>
      </w:r>
      <w:r>
        <w:rPr>
          <w:rFonts w:ascii="仿宋_GB2312" w:eastAsia="仿宋_GB2312" w:cs="DengXian-Regular"/>
          <w:sz w:val="32"/>
          <w:szCs w:val="32"/>
        </w:rPr>
        <w:t>220.99</w:t>
      </w:r>
      <w:r>
        <w:rPr>
          <w:rFonts w:hint="eastAsia" w:ascii="仿宋_GB2312" w:eastAsia="仿宋_GB2312" w:cs="DengXian-Regular"/>
          <w:sz w:val="32"/>
          <w:szCs w:val="32"/>
        </w:rPr>
        <w:t>万元，收入完成率=（</w:t>
      </w:r>
      <w:r>
        <w:rPr>
          <w:rFonts w:ascii="仿宋_GB2312" w:eastAsia="仿宋_GB2312" w:cs="DengXian-Regular"/>
          <w:sz w:val="32"/>
          <w:szCs w:val="32"/>
        </w:rPr>
        <w:t>220.99</w:t>
      </w:r>
      <w:r>
        <w:rPr>
          <w:rFonts w:hint="eastAsia" w:ascii="仿宋_GB2312" w:eastAsia="仿宋_GB2312" w:cs="DengXian-Regular"/>
          <w:sz w:val="32"/>
          <w:szCs w:val="32"/>
        </w:rPr>
        <w:t>/</w:t>
      </w:r>
      <w:r>
        <w:rPr>
          <w:rFonts w:ascii="仿宋_GB2312" w:eastAsia="仿宋_GB2312" w:cs="DengXian-Regular"/>
          <w:sz w:val="32"/>
          <w:szCs w:val="32"/>
        </w:rPr>
        <w:t>220.99</w:t>
      </w:r>
      <w:r>
        <w:rPr>
          <w:rFonts w:hint="eastAsia" w:ascii="仿宋_GB2312" w:eastAsia="仿宋_GB2312" w:cs="DengXian-Regular"/>
          <w:sz w:val="32"/>
          <w:szCs w:val="32"/>
        </w:rPr>
        <w:t>）*100%=</w:t>
      </w:r>
      <w:r>
        <w:rPr>
          <w:rFonts w:ascii="仿宋_GB2312" w:eastAsia="仿宋_GB2312" w:cs="DengXian-Regular"/>
          <w:sz w:val="32"/>
          <w:szCs w:val="32"/>
        </w:rPr>
        <w:t>100</w:t>
      </w:r>
      <w:r>
        <w:rPr>
          <w:rFonts w:hint="eastAsia" w:ascii="仿宋_GB2312" w:eastAsia="仿宋_GB2312" w:cs="DengXian-Regular"/>
          <w:sz w:val="32"/>
          <w:szCs w:val="32"/>
        </w:rPr>
        <w:t>%。</w:t>
      </w:r>
    </w:p>
    <w:p w14:paraId="7D1C816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2EE3E66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（3）预算支出调整率（2分）</w:t>
      </w:r>
    </w:p>
    <w:p w14:paraId="1B3B4FD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该指标主要评价预算支出的调整情况，进而衡量预算支出编制的准确性，通过预算支出调整率衡量。</w:t>
      </w:r>
    </w:p>
    <w:p w14:paraId="662D363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预算支出调整率=（调整预算数-年初预算数）/年初预算数*100%</w:t>
      </w:r>
    </w:p>
    <w:p w14:paraId="185A0C2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根据区委统战部的预算指标文件，其中：根据区委统战部的预算指标文件，其中：徐财预指[</w:t>
      </w:r>
      <w:r>
        <w:rPr>
          <w:rFonts w:ascii="仿宋_GB2312" w:eastAsia="仿宋_GB2312" w:cs="DengXian-Regular"/>
          <w:sz w:val="32"/>
          <w:szCs w:val="32"/>
        </w:rPr>
        <w:t>2021</w:t>
      </w:r>
      <w:r>
        <w:rPr>
          <w:rFonts w:hint="eastAsia" w:ascii="仿宋_GB2312" w:eastAsia="仿宋_GB2312" w:cs="DengXian-Regular"/>
          <w:sz w:val="32"/>
          <w:szCs w:val="32"/>
        </w:rPr>
        <w:t>]</w:t>
      </w:r>
      <w:r>
        <w:rPr>
          <w:rFonts w:ascii="仿宋_GB2312" w:eastAsia="仿宋_GB2312" w:cs="DengXian-Regular"/>
          <w:sz w:val="32"/>
          <w:szCs w:val="32"/>
        </w:rPr>
        <w:t>1-1307</w:t>
      </w:r>
      <w:r>
        <w:rPr>
          <w:rFonts w:hint="eastAsia" w:ascii="仿宋_GB2312" w:eastAsia="仿宋_GB2312" w:cs="DengXian-Regular"/>
          <w:sz w:val="32"/>
          <w:szCs w:val="32"/>
        </w:rPr>
        <w:t>号追加项目经费</w:t>
      </w:r>
      <w:r>
        <w:rPr>
          <w:rFonts w:ascii="仿宋_GB2312" w:eastAsia="仿宋_GB2312" w:cs="DengXian-Regular"/>
          <w:sz w:val="32"/>
          <w:szCs w:val="32"/>
        </w:rPr>
        <w:t>38.55</w:t>
      </w:r>
      <w:r>
        <w:rPr>
          <w:rFonts w:hint="eastAsia" w:ascii="仿宋_GB2312" w:eastAsia="仿宋_GB2312" w:cs="DengXian-Regular"/>
          <w:sz w:val="32"/>
          <w:szCs w:val="32"/>
        </w:rPr>
        <w:t>万元，徐财预指[</w:t>
      </w:r>
      <w:r>
        <w:rPr>
          <w:rFonts w:ascii="仿宋_GB2312" w:eastAsia="仿宋_GB2312" w:cs="DengXian-Regular"/>
          <w:sz w:val="32"/>
          <w:szCs w:val="32"/>
        </w:rPr>
        <w:t>2021</w:t>
      </w:r>
      <w:r>
        <w:rPr>
          <w:rFonts w:hint="eastAsia" w:ascii="仿宋_GB2312" w:eastAsia="仿宋_GB2312" w:cs="DengXian-Regular"/>
          <w:sz w:val="32"/>
          <w:szCs w:val="32"/>
        </w:rPr>
        <w:t>]</w:t>
      </w:r>
      <w:r>
        <w:rPr>
          <w:rFonts w:ascii="仿宋_GB2312" w:eastAsia="仿宋_GB2312" w:cs="DengXian-Regular"/>
          <w:sz w:val="32"/>
          <w:szCs w:val="32"/>
        </w:rPr>
        <w:t>1-0999</w:t>
      </w:r>
      <w:r>
        <w:rPr>
          <w:rFonts w:hint="eastAsia" w:ascii="仿宋_GB2312" w:eastAsia="仿宋_GB2312" w:cs="DengXian-Regular"/>
          <w:sz w:val="32"/>
          <w:szCs w:val="32"/>
        </w:rPr>
        <w:t>号追减基本支出经费</w:t>
      </w:r>
      <w:r>
        <w:rPr>
          <w:rFonts w:ascii="仿宋_GB2312" w:eastAsia="仿宋_GB2312" w:cs="DengXian-Regular"/>
          <w:sz w:val="32"/>
          <w:szCs w:val="32"/>
        </w:rPr>
        <w:t>6.20</w:t>
      </w:r>
      <w:r>
        <w:rPr>
          <w:rFonts w:hint="eastAsia" w:ascii="仿宋_GB2312" w:eastAsia="仿宋_GB2312" w:cs="DengXian-Regular"/>
          <w:sz w:val="32"/>
          <w:szCs w:val="32"/>
        </w:rPr>
        <w:t>万元，徐财预指[</w:t>
      </w:r>
      <w:r>
        <w:rPr>
          <w:rFonts w:ascii="仿宋_GB2312" w:eastAsia="仿宋_GB2312" w:cs="DengXian-Regular"/>
          <w:sz w:val="32"/>
          <w:szCs w:val="32"/>
        </w:rPr>
        <w:t>2021</w:t>
      </w:r>
      <w:r>
        <w:rPr>
          <w:rFonts w:hint="eastAsia" w:ascii="仿宋_GB2312" w:eastAsia="仿宋_GB2312" w:cs="DengXian-Regular"/>
          <w:sz w:val="32"/>
          <w:szCs w:val="32"/>
        </w:rPr>
        <w:t>]</w:t>
      </w:r>
      <w:r>
        <w:rPr>
          <w:rFonts w:ascii="仿宋_GB2312" w:eastAsia="仿宋_GB2312" w:cs="DengXian-Regular"/>
          <w:sz w:val="32"/>
          <w:szCs w:val="32"/>
        </w:rPr>
        <w:t>1-1999</w:t>
      </w:r>
      <w:r>
        <w:rPr>
          <w:rFonts w:hint="eastAsia" w:ascii="仿宋_GB2312" w:eastAsia="仿宋_GB2312" w:cs="DengXian-Regular"/>
          <w:sz w:val="32"/>
          <w:szCs w:val="32"/>
        </w:rPr>
        <w:t>号追减项目支出经费</w:t>
      </w:r>
      <w:r>
        <w:rPr>
          <w:rFonts w:ascii="仿宋_GB2312" w:eastAsia="仿宋_GB2312" w:cs="DengXian-Regular"/>
          <w:sz w:val="32"/>
          <w:szCs w:val="32"/>
        </w:rPr>
        <w:t>0.02</w:t>
      </w:r>
      <w:r>
        <w:rPr>
          <w:rFonts w:hint="eastAsia" w:ascii="仿宋_GB2312" w:eastAsia="仿宋_GB2312" w:cs="DengXian-Regular"/>
          <w:sz w:val="32"/>
          <w:szCs w:val="32"/>
        </w:rPr>
        <w:t>万元，区委统战部202</w:t>
      </w:r>
      <w:r>
        <w:rPr>
          <w:rFonts w:ascii="仿宋_GB2312" w:eastAsia="仿宋_GB2312" w:cs="DengXian-Regular"/>
          <w:sz w:val="32"/>
          <w:szCs w:val="32"/>
        </w:rPr>
        <w:t>1</w:t>
      </w:r>
      <w:r>
        <w:rPr>
          <w:rFonts w:hint="eastAsia" w:ascii="仿宋_GB2312" w:eastAsia="仿宋_GB2312" w:cs="DengXian-Regular"/>
          <w:sz w:val="32"/>
          <w:szCs w:val="32"/>
        </w:rPr>
        <w:t>年度预算收入的追加数为</w:t>
      </w:r>
      <w:r>
        <w:rPr>
          <w:rFonts w:ascii="仿宋_GB2312" w:eastAsia="仿宋_GB2312" w:cs="DengXian-Regular"/>
          <w:sz w:val="32"/>
          <w:szCs w:val="32"/>
        </w:rPr>
        <w:t>32.33</w:t>
      </w:r>
      <w:r>
        <w:rPr>
          <w:rFonts w:hint="eastAsia" w:ascii="仿宋_GB2312" w:eastAsia="仿宋_GB2312" w:cs="DengXian-Regular"/>
          <w:sz w:val="32"/>
          <w:szCs w:val="32"/>
        </w:rPr>
        <w:t>万元，年初预算数为</w:t>
      </w:r>
      <w:r>
        <w:rPr>
          <w:rFonts w:ascii="仿宋_GB2312" w:eastAsia="仿宋_GB2312" w:cs="DengXian-Regular"/>
          <w:sz w:val="32"/>
          <w:szCs w:val="32"/>
        </w:rPr>
        <w:t>184.65</w:t>
      </w:r>
      <w:r>
        <w:rPr>
          <w:rFonts w:hint="eastAsia" w:ascii="仿宋_GB2312" w:eastAsia="仿宋_GB2312" w:cs="DengXian-Regular"/>
          <w:sz w:val="32"/>
          <w:szCs w:val="32"/>
        </w:rPr>
        <w:t>万元，预算收入调整率为</w:t>
      </w:r>
      <w:r>
        <w:rPr>
          <w:rFonts w:ascii="仿宋_GB2312" w:eastAsia="仿宋_GB2312" w:cs="DengXian-Regular"/>
          <w:sz w:val="32"/>
          <w:szCs w:val="32"/>
        </w:rPr>
        <w:t>17.51</w:t>
      </w:r>
      <w:r>
        <w:rPr>
          <w:rFonts w:hint="eastAsia" w:ascii="仿宋_GB2312" w:eastAsia="仿宋_GB2312" w:cs="DengXian-Regular"/>
          <w:sz w:val="32"/>
          <w:szCs w:val="32"/>
        </w:rPr>
        <w:t>%。</w:t>
      </w:r>
    </w:p>
    <w:p w14:paraId="7E95F03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1</w:t>
      </w:r>
      <w:r>
        <w:rPr>
          <w:rFonts w:hint="eastAsia" w:ascii="仿宋_GB2312" w:eastAsia="仿宋_GB2312" w:cs="DengXian-Regular"/>
          <w:sz w:val="32"/>
          <w:szCs w:val="32"/>
        </w:rPr>
        <w:t>分。</w:t>
      </w:r>
    </w:p>
    <w:p w14:paraId="023C2F6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（4）财政拨款支出完成率（4分）</w:t>
      </w:r>
    </w:p>
    <w:p w14:paraId="028DE60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14:paraId="787DCB1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14:paraId="6C857A4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区委统战部提供的202</w:t>
      </w:r>
      <w:r>
        <w:rPr>
          <w:rFonts w:ascii="仿宋_GB2312" w:eastAsia="仿宋_GB2312" w:cs="DengXian-Regular"/>
          <w:sz w:val="32"/>
          <w:szCs w:val="32"/>
        </w:rPr>
        <w:t>1</w:t>
      </w:r>
      <w:r>
        <w:rPr>
          <w:rFonts w:hint="eastAsia" w:ascii="仿宋_GB2312" w:eastAsia="仿宋_GB2312" w:cs="DengXian-Regular"/>
          <w:sz w:val="32"/>
          <w:szCs w:val="32"/>
        </w:rPr>
        <w:t>年决算文本，部门决算财政拨款支出数</w:t>
      </w:r>
      <w:r>
        <w:rPr>
          <w:rFonts w:ascii="仿宋_GB2312" w:eastAsia="仿宋_GB2312" w:cs="DengXian-Regular"/>
          <w:sz w:val="32"/>
          <w:szCs w:val="32"/>
        </w:rPr>
        <w:t>216.98</w:t>
      </w:r>
      <w:r>
        <w:rPr>
          <w:rFonts w:hint="eastAsia" w:ascii="仿宋_GB2312" w:eastAsia="仿宋_GB2312" w:cs="DengXian-Regular"/>
          <w:sz w:val="32"/>
          <w:szCs w:val="32"/>
        </w:rPr>
        <w:t>万元，财政拨款收入数</w:t>
      </w:r>
      <w:r>
        <w:rPr>
          <w:rFonts w:ascii="仿宋_GB2312" w:eastAsia="仿宋_GB2312" w:cs="DengXian-Regular"/>
          <w:sz w:val="32"/>
          <w:szCs w:val="32"/>
        </w:rPr>
        <w:t>216.98</w:t>
      </w:r>
      <w:r>
        <w:rPr>
          <w:rFonts w:hint="eastAsia" w:ascii="仿宋_GB2312" w:eastAsia="仿宋_GB2312" w:cs="DengXian-Regular"/>
          <w:sz w:val="32"/>
          <w:szCs w:val="32"/>
        </w:rPr>
        <w:t>万元，财政拨款支出率=（</w:t>
      </w:r>
      <w:r>
        <w:rPr>
          <w:rFonts w:ascii="仿宋_GB2312" w:eastAsia="仿宋_GB2312" w:cs="DengXian-Regular"/>
          <w:sz w:val="32"/>
          <w:szCs w:val="32"/>
        </w:rPr>
        <w:t>216.98</w:t>
      </w:r>
      <w:r>
        <w:rPr>
          <w:rFonts w:hint="eastAsia" w:ascii="仿宋_GB2312" w:eastAsia="仿宋_GB2312" w:cs="DengXian-Regular"/>
          <w:sz w:val="32"/>
          <w:szCs w:val="32"/>
        </w:rPr>
        <w:t>/</w:t>
      </w:r>
      <w:r>
        <w:rPr>
          <w:rFonts w:ascii="仿宋_GB2312" w:eastAsia="仿宋_GB2312" w:cs="DengXian-Regular"/>
          <w:sz w:val="32"/>
          <w:szCs w:val="32"/>
        </w:rPr>
        <w:t>216.98</w:t>
      </w:r>
      <w:r>
        <w:rPr>
          <w:rFonts w:hint="eastAsia" w:ascii="仿宋_GB2312" w:eastAsia="仿宋_GB2312" w:cs="DengXian-Regular"/>
          <w:sz w:val="32"/>
          <w:szCs w:val="32"/>
        </w:rPr>
        <w:t>）*100%=</w:t>
      </w:r>
      <w:r>
        <w:rPr>
          <w:rFonts w:ascii="仿宋_GB2312" w:eastAsia="仿宋_GB2312" w:cs="DengXian-Regular"/>
          <w:sz w:val="32"/>
          <w:szCs w:val="32"/>
        </w:rPr>
        <w:t>100</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90%。区委统战部202</w:t>
      </w:r>
      <w:r>
        <w:rPr>
          <w:rFonts w:ascii="仿宋_GB2312" w:eastAsia="仿宋_GB2312" w:cs="DengXian-Regular"/>
          <w:sz w:val="32"/>
          <w:szCs w:val="32"/>
        </w:rPr>
        <w:t>1</w:t>
      </w:r>
      <w:r>
        <w:rPr>
          <w:rFonts w:hint="eastAsia" w:ascii="仿宋_GB2312" w:eastAsia="仿宋_GB2312" w:cs="DengXian-Regular"/>
          <w:sz w:val="32"/>
          <w:szCs w:val="32"/>
        </w:rPr>
        <w:t>年年初结转和结余</w:t>
      </w:r>
      <w:r>
        <w:rPr>
          <w:rFonts w:ascii="仿宋_GB2312" w:eastAsia="仿宋_GB2312" w:cs="DengXian-Regular"/>
          <w:sz w:val="32"/>
          <w:szCs w:val="32"/>
        </w:rPr>
        <w:t>11.84</w:t>
      </w:r>
      <w:r>
        <w:rPr>
          <w:rFonts w:hint="eastAsia" w:ascii="仿宋_GB2312" w:eastAsia="仿宋_GB2312" w:cs="DengXian-Regular"/>
          <w:sz w:val="32"/>
          <w:szCs w:val="32"/>
        </w:rPr>
        <w:t>万元，故支出数大于收入数。</w:t>
      </w:r>
    </w:p>
    <w:p w14:paraId="057D7F7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11F9FF0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（5）“三公”经费控制率（3分）</w:t>
      </w:r>
    </w:p>
    <w:p w14:paraId="4A412C7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14:paraId="6C90561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14:paraId="1859230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根据区委统战部202</w:t>
      </w:r>
      <w:r>
        <w:rPr>
          <w:rFonts w:ascii="仿宋_GB2312" w:eastAsia="仿宋_GB2312" w:cs="DengXian-Regular"/>
          <w:sz w:val="32"/>
          <w:szCs w:val="32"/>
        </w:rPr>
        <w:t>1</w:t>
      </w:r>
      <w:r>
        <w:rPr>
          <w:rFonts w:hint="eastAsia" w:ascii="仿宋_GB2312" w:eastAsia="仿宋_GB2312" w:cs="DengXian-Regular"/>
          <w:sz w:val="32"/>
          <w:szCs w:val="32"/>
        </w:rPr>
        <w:t>年预算文本及决算文本，“三公”经费年初预算数</w:t>
      </w:r>
      <w:r>
        <w:rPr>
          <w:rFonts w:ascii="仿宋_GB2312" w:eastAsia="仿宋_GB2312" w:cs="DengXian-Regular"/>
          <w:sz w:val="32"/>
          <w:szCs w:val="32"/>
        </w:rPr>
        <w:t>5.3</w:t>
      </w:r>
      <w:r>
        <w:rPr>
          <w:rFonts w:hint="eastAsia" w:ascii="仿宋_GB2312" w:eastAsia="仿宋_GB2312" w:cs="DengXian-Regular"/>
          <w:sz w:val="32"/>
          <w:szCs w:val="32"/>
        </w:rPr>
        <w:t>万元，年末决算数</w:t>
      </w:r>
      <w:r>
        <w:rPr>
          <w:rFonts w:ascii="仿宋_GB2312" w:eastAsia="仿宋_GB2312" w:cs="DengXian-Regular"/>
          <w:sz w:val="32"/>
          <w:szCs w:val="32"/>
        </w:rPr>
        <w:t>4.05</w:t>
      </w:r>
      <w:r>
        <w:rPr>
          <w:rFonts w:hint="eastAsia" w:ascii="仿宋_GB2312" w:eastAsia="仿宋_GB2312" w:cs="DengXian-Regular"/>
          <w:sz w:val="32"/>
          <w:szCs w:val="32"/>
        </w:rPr>
        <w:t>万元，“三公”经费控制率=（</w:t>
      </w:r>
      <w:r>
        <w:rPr>
          <w:rFonts w:ascii="仿宋_GB2312" w:eastAsia="仿宋_GB2312" w:cs="DengXian-Regular"/>
          <w:sz w:val="32"/>
          <w:szCs w:val="32"/>
        </w:rPr>
        <w:t>4.05</w:t>
      </w:r>
      <w:r>
        <w:rPr>
          <w:rFonts w:hint="eastAsia" w:ascii="仿宋_GB2312" w:eastAsia="仿宋_GB2312" w:cs="DengXian-Regular"/>
          <w:sz w:val="32"/>
          <w:szCs w:val="32"/>
        </w:rPr>
        <w:t>/</w:t>
      </w:r>
      <w:r>
        <w:rPr>
          <w:rFonts w:ascii="仿宋_GB2312" w:eastAsia="仿宋_GB2312" w:cs="DengXian-Regular"/>
          <w:sz w:val="32"/>
          <w:szCs w:val="32"/>
        </w:rPr>
        <w:t>5.3</w:t>
      </w:r>
      <w:r>
        <w:rPr>
          <w:rFonts w:hint="eastAsia" w:ascii="仿宋_GB2312" w:eastAsia="仿宋_GB2312" w:cs="DengXian-Regular"/>
          <w:sz w:val="32"/>
          <w:szCs w:val="32"/>
        </w:rPr>
        <w:t>）*100%=</w:t>
      </w:r>
      <w:r>
        <w:rPr>
          <w:rFonts w:ascii="仿宋_GB2312" w:eastAsia="仿宋_GB2312" w:cs="DengXian-Regular"/>
          <w:sz w:val="32"/>
          <w:szCs w:val="32"/>
        </w:rPr>
        <w:t>76.42</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100%。</w:t>
      </w:r>
    </w:p>
    <w:p w14:paraId="0291CEE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14:paraId="41F165B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（6）政府采购执行率（3分）</w:t>
      </w:r>
    </w:p>
    <w:p w14:paraId="5E7885B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14:paraId="0BE2A37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14:paraId="580F245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根据区委统战部202</w:t>
      </w:r>
      <w:r>
        <w:rPr>
          <w:rFonts w:ascii="仿宋_GB2312" w:eastAsia="仿宋_GB2312" w:cs="DengXian-Regular"/>
          <w:sz w:val="32"/>
          <w:szCs w:val="32"/>
        </w:rPr>
        <w:t>1</w:t>
      </w:r>
      <w:r>
        <w:rPr>
          <w:rFonts w:hint="eastAsia" w:ascii="仿宋_GB2312" w:eastAsia="仿宋_GB2312" w:cs="DengXian-Regular"/>
          <w:sz w:val="32"/>
          <w:szCs w:val="32"/>
        </w:rPr>
        <w:t>年预算文本及决算文本，政府采购年初预算数</w:t>
      </w:r>
      <w:r>
        <w:rPr>
          <w:rFonts w:ascii="仿宋_GB2312" w:eastAsia="仿宋_GB2312" w:cs="DengXian-Regular"/>
          <w:sz w:val="32"/>
          <w:szCs w:val="32"/>
        </w:rPr>
        <w:t>0.81</w:t>
      </w:r>
      <w:r>
        <w:rPr>
          <w:rFonts w:hint="eastAsia" w:ascii="仿宋_GB2312" w:eastAsia="仿宋_GB2312" w:cs="DengXian-Regular"/>
          <w:sz w:val="32"/>
          <w:szCs w:val="32"/>
        </w:rPr>
        <w:t>万元，年末决算数</w:t>
      </w:r>
      <w:r>
        <w:rPr>
          <w:rFonts w:ascii="仿宋_GB2312" w:eastAsia="仿宋_GB2312" w:cs="DengXian-Regular"/>
          <w:sz w:val="32"/>
          <w:szCs w:val="32"/>
        </w:rPr>
        <w:t>0.81</w:t>
      </w:r>
      <w:r>
        <w:rPr>
          <w:rFonts w:hint="eastAsia" w:ascii="仿宋_GB2312" w:eastAsia="仿宋_GB2312" w:cs="DengXian-Regular"/>
          <w:sz w:val="32"/>
          <w:szCs w:val="32"/>
        </w:rPr>
        <w:t>万元，政府采购执行率为</w:t>
      </w:r>
      <w:r>
        <w:rPr>
          <w:rFonts w:ascii="仿宋_GB2312" w:eastAsia="仿宋_GB2312" w:cs="DengXian-Regular"/>
          <w:sz w:val="32"/>
          <w:szCs w:val="32"/>
        </w:rPr>
        <w:t>100%</w:t>
      </w:r>
      <w:r>
        <w:rPr>
          <w:rFonts w:hint="eastAsia" w:ascii="仿宋_GB2312" w:eastAsia="仿宋_GB2312" w:cs="DengXian-Regular"/>
          <w:sz w:val="32"/>
          <w:szCs w:val="32"/>
        </w:rPr>
        <w:t>。</w:t>
      </w:r>
    </w:p>
    <w:p w14:paraId="5EF61A6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w:t>
      </w:r>
      <w:r>
        <w:rPr>
          <w:rFonts w:ascii="仿宋_GB2312" w:eastAsia="仿宋_GB2312" w:cs="DengXian-Regular"/>
          <w:sz w:val="32"/>
          <w:szCs w:val="32"/>
        </w:rPr>
        <w:t>3</w:t>
      </w:r>
      <w:r>
        <w:rPr>
          <w:rFonts w:hint="eastAsia" w:ascii="仿宋_GB2312" w:eastAsia="仿宋_GB2312" w:cs="DengXian-Regular"/>
          <w:sz w:val="32"/>
          <w:szCs w:val="32"/>
        </w:rPr>
        <w:t>分。</w:t>
      </w:r>
    </w:p>
    <w:p w14:paraId="5C077B4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（7）资金使用合规性（3分）</w:t>
      </w:r>
    </w:p>
    <w:p w14:paraId="4C9A3EE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14:paraId="6CC11A9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根据区委统战部202</w:t>
      </w:r>
      <w:r>
        <w:rPr>
          <w:rFonts w:ascii="仿宋_GB2312" w:eastAsia="仿宋_GB2312" w:cs="DengXian-Regular"/>
          <w:sz w:val="32"/>
          <w:szCs w:val="32"/>
        </w:rPr>
        <w:t>1</w:t>
      </w:r>
      <w:r>
        <w:rPr>
          <w:rFonts w:hint="eastAsia" w:ascii="仿宋_GB2312" w:eastAsia="仿宋_GB2312" w:cs="DengXian-Regular"/>
          <w:sz w:val="32"/>
          <w:szCs w:val="32"/>
        </w:rPr>
        <w:t>年明细账、会计凭证等相关资料，区委统战部资金使用符合相关会计准则和财务制度，资金拨付有完备的审批程序和手续，资金使用符合部门预算批复的用途，未发现截留、挤占、挪用财政资金的情况。</w:t>
      </w:r>
    </w:p>
    <w:p w14:paraId="0E13943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14:paraId="1929827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（8）决算真实性（3分）</w:t>
      </w:r>
    </w:p>
    <w:p w14:paraId="145223D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14:paraId="3A43170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经核查区委统战部202</w:t>
      </w:r>
      <w:r>
        <w:rPr>
          <w:rFonts w:ascii="仿宋_GB2312" w:eastAsia="仿宋_GB2312" w:cs="DengXian-Regular"/>
          <w:sz w:val="32"/>
          <w:szCs w:val="32"/>
        </w:rPr>
        <w:t>1</w:t>
      </w:r>
      <w:r>
        <w:rPr>
          <w:rFonts w:hint="eastAsia" w:ascii="仿宋_GB2312" w:eastAsia="仿宋_GB2312" w:cs="DengXian-Regular"/>
          <w:sz w:val="32"/>
          <w:szCs w:val="32"/>
        </w:rPr>
        <w:t>年决算文本、明细账及总账，区委统战部决算文本数据均与明细账、总账一致。</w:t>
      </w:r>
    </w:p>
    <w:p w14:paraId="2743C9E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14:paraId="2BED821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14:paraId="62E4E64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14:paraId="0DDDE6D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14:paraId="0F9E53F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区委统战部工作制度涵盖了财务制度、网络安全制度、公务用车制度等相关制度，经检查区委统战部付款流程审批单、资产盘点表等资料，区委统战部已按照相关管理制度的规定执行。</w:t>
      </w:r>
    </w:p>
    <w:p w14:paraId="4611B22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374C067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14:paraId="009EFE3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14:paraId="181AA3F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区委统战部202</w:t>
      </w:r>
      <w:r>
        <w:rPr>
          <w:rFonts w:ascii="仿宋_GB2312" w:eastAsia="仿宋_GB2312" w:cs="DengXian-Regular"/>
          <w:sz w:val="32"/>
          <w:szCs w:val="32"/>
        </w:rPr>
        <w:t>1</w:t>
      </w:r>
      <w:r>
        <w:rPr>
          <w:rFonts w:hint="eastAsia" w:ascii="仿宋_GB2312" w:eastAsia="仿宋_GB2312" w:cs="DengXian-Regular"/>
          <w:sz w:val="32"/>
          <w:szCs w:val="32"/>
        </w:rPr>
        <w:t>年按政府信息公开的有关要求在保定市徐水区人民政府网公开了202</w:t>
      </w:r>
      <w:r>
        <w:rPr>
          <w:rFonts w:ascii="仿宋_GB2312" w:eastAsia="仿宋_GB2312" w:cs="DengXian-Regular"/>
          <w:sz w:val="32"/>
          <w:szCs w:val="32"/>
        </w:rPr>
        <w:t>1</w:t>
      </w:r>
      <w:r>
        <w:rPr>
          <w:rFonts w:hint="eastAsia" w:ascii="仿宋_GB2312" w:eastAsia="仿宋_GB2312" w:cs="DengXian-Regular"/>
          <w:sz w:val="32"/>
          <w:szCs w:val="32"/>
        </w:rPr>
        <w:t>年的预决算情况、部门责任清单、行政监督清单等相关信息。</w:t>
      </w:r>
    </w:p>
    <w:p w14:paraId="710B78B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6F93DA0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14:paraId="5897089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14:paraId="3636DA2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根据区委统战部提供的会计账簿、凭证及其他相关资料，区委统战部会计信息资料真实完整，</w:t>
      </w:r>
    </w:p>
    <w:p w14:paraId="2661F9C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08BA656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14:paraId="6DA27DA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14:paraId="138EDA7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区委统战部建立了固定资产台账、无形资产台账，资产保存完整，202</w:t>
      </w:r>
      <w:r>
        <w:rPr>
          <w:rFonts w:ascii="仿宋_GB2312" w:eastAsia="仿宋_GB2312" w:cs="DengXian-Regular"/>
          <w:sz w:val="32"/>
          <w:szCs w:val="32"/>
        </w:rPr>
        <w:t>1</w:t>
      </w:r>
      <w:r>
        <w:rPr>
          <w:rFonts w:hint="eastAsia" w:ascii="仿宋_GB2312" w:eastAsia="仿宋_GB2312" w:cs="DengXian-Regular"/>
          <w:sz w:val="32"/>
          <w:szCs w:val="32"/>
        </w:rPr>
        <w:t>年新增资产</w:t>
      </w:r>
      <w:r>
        <w:rPr>
          <w:rFonts w:ascii="仿宋_GB2312" w:eastAsia="仿宋_GB2312" w:cs="DengXian-Regular"/>
          <w:sz w:val="32"/>
          <w:szCs w:val="32"/>
        </w:rPr>
        <w:t>4.17</w:t>
      </w:r>
      <w:r>
        <w:rPr>
          <w:rFonts w:hint="eastAsia" w:ascii="仿宋_GB2312" w:eastAsia="仿宋_GB2312" w:cs="DengXian-Regular"/>
          <w:sz w:val="32"/>
          <w:szCs w:val="32"/>
        </w:rPr>
        <w:t>万元，具体项目</w:t>
      </w:r>
      <w:r>
        <w:rPr>
          <w:rFonts w:ascii="仿宋_GB2312" w:eastAsia="仿宋_GB2312" w:cs="DengXian-Regular"/>
          <w:sz w:val="32"/>
          <w:szCs w:val="32"/>
        </w:rPr>
        <w:t>及支出涉密</w:t>
      </w:r>
      <w:r>
        <w:rPr>
          <w:rFonts w:hint="eastAsia" w:ascii="仿宋_GB2312" w:eastAsia="仿宋_GB2312" w:cs="DengXian-Regular"/>
          <w:sz w:val="32"/>
          <w:szCs w:val="32"/>
        </w:rPr>
        <w:t>，资产购置手续完备，配置符合要求，资产管理整体较规范。</w:t>
      </w:r>
    </w:p>
    <w:p w14:paraId="42C17E9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2</w:t>
      </w:r>
      <w:r>
        <w:rPr>
          <w:rFonts w:hint="eastAsia" w:ascii="仿宋_GB2312" w:eastAsia="仿宋_GB2312" w:cs="DengXian-Regular"/>
          <w:sz w:val="32"/>
          <w:szCs w:val="32"/>
        </w:rPr>
        <w:t>分。</w:t>
      </w:r>
    </w:p>
    <w:p w14:paraId="13DB11A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14:paraId="1ADD06D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14:paraId="281F9C7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14:paraId="44C6822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14:paraId="1795525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根据徐水区财政局《关于开展202</w:t>
      </w:r>
      <w:r>
        <w:rPr>
          <w:rFonts w:ascii="仿宋_GB2312" w:eastAsia="仿宋_GB2312" w:cs="DengXian-Regular"/>
          <w:sz w:val="32"/>
          <w:szCs w:val="32"/>
        </w:rPr>
        <w:t>1</w:t>
      </w:r>
      <w:r>
        <w:rPr>
          <w:rFonts w:hint="eastAsia" w:ascii="仿宋_GB2312" w:eastAsia="仿宋_GB2312" w:cs="DengXian-Regular"/>
          <w:sz w:val="32"/>
          <w:szCs w:val="32"/>
        </w:rPr>
        <w:t>年度财政专项资金部门绩效自评价工作的通知》及徐水区委统战部202</w:t>
      </w:r>
      <w:r>
        <w:rPr>
          <w:rFonts w:ascii="仿宋_GB2312" w:eastAsia="仿宋_GB2312" w:cs="DengXian-Regular"/>
          <w:sz w:val="32"/>
          <w:szCs w:val="32"/>
        </w:rPr>
        <w:t>1</w:t>
      </w:r>
      <w:r>
        <w:rPr>
          <w:rFonts w:hint="eastAsia" w:ascii="仿宋_GB2312" w:eastAsia="仿宋_GB2312" w:cs="DengXian-Regular"/>
          <w:sz w:val="32"/>
          <w:szCs w:val="32"/>
        </w:rPr>
        <w:t>年一般项目部门绩效自评表，区委统战部202</w:t>
      </w:r>
      <w:r>
        <w:rPr>
          <w:rFonts w:ascii="仿宋_GB2312" w:eastAsia="仿宋_GB2312" w:cs="DengXian-Regular"/>
          <w:sz w:val="32"/>
          <w:szCs w:val="32"/>
        </w:rPr>
        <w:t>1</w:t>
      </w:r>
      <w:r>
        <w:rPr>
          <w:rFonts w:hint="eastAsia" w:ascii="仿宋_GB2312" w:eastAsia="仿宋_GB2312" w:cs="DengXian-Regular"/>
          <w:sz w:val="32"/>
          <w:szCs w:val="32"/>
        </w:rPr>
        <w:t>年开展绩效自评的项目数为</w:t>
      </w:r>
      <w:r>
        <w:rPr>
          <w:rFonts w:ascii="仿宋_GB2312" w:eastAsia="仿宋_GB2312" w:cs="DengXian-Regular"/>
          <w:sz w:val="32"/>
          <w:szCs w:val="32"/>
        </w:rPr>
        <w:t>6</w:t>
      </w:r>
      <w:r>
        <w:rPr>
          <w:rFonts w:hint="eastAsia" w:ascii="仿宋_GB2312" w:eastAsia="仿宋_GB2312" w:cs="DengXian-Regular"/>
          <w:sz w:val="32"/>
          <w:szCs w:val="32"/>
        </w:rPr>
        <w:t>个，年初预算文本项目数</w:t>
      </w:r>
      <w:r>
        <w:rPr>
          <w:rFonts w:ascii="仿宋_GB2312" w:eastAsia="仿宋_GB2312" w:cs="DengXian-Regular"/>
          <w:sz w:val="32"/>
          <w:szCs w:val="32"/>
        </w:rPr>
        <w:t>6</w:t>
      </w:r>
      <w:r>
        <w:rPr>
          <w:rFonts w:hint="eastAsia" w:ascii="仿宋_GB2312" w:eastAsia="仿宋_GB2312" w:cs="DengXian-Regular"/>
          <w:sz w:val="32"/>
          <w:szCs w:val="32"/>
        </w:rPr>
        <w:t>个，要求自评项目个数</w:t>
      </w:r>
      <w:r>
        <w:rPr>
          <w:rFonts w:ascii="仿宋_GB2312" w:eastAsia="仿宋_GB2312" w:cs="DengXian-Regular"/>
          <w:sz w:val="32"/>
          <w:szCs w:val="32"/>
        </w:rPr>
        <w:t>6</w:t>
      </w:r>
      <w:r>
        <w:rPr>
          <w:rFonts w:hint="eastAsia" w:ascii="仿宋_GB2312" w:eastAsia="仿宋_GB2312" w:cs="DengXian-Regular"/>
          <w:sz w:val="32"/>
          <w:szCs w:val="32"/>
        </w:rPr>
        <w:t xml:space="preserve">个，自评覆盖率为 </w:t>
      </w:r>
      <w:r>
        <w:rPr>
          <w:rFonts w:ascii="仿宋_GB2312" w:eastAsia="仿宋_GB2312" w:cs="DengXian-Regular"/>
          <w:sz w:val="32"/>
          <w:szCs w:val="32"/>
        </w:rPr>
        <w:t>100</w:t>
      </w:r>
      <w:r>
        <w:rPr>
          <w:rFonts w:hint="eastAsia" w:ascii="仿宋_GB2312" w:eastAsia="仿宋_GB2312" w:cs="DengXian-Regular"/>
          <w:sz w:val="32"/>
          <w:szCs w:val="32"/>
        </w:rPr>
        <w:t>%。</w:t>
      </w:r>
    </w:p>
    <w:p w14:paraId="26FD866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735DAF8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14:paraId="539B35B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14:paraId="39B609B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14:paraId="79BB944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区委统战部202</w:t>
      </w:r>
      <w:r>
        <w:rPr>
          <w:rFonts w:ascii="仿宋_GB2312" w:eastAsia="仿宋_GB2312" w:cs="DengXian-Regular"/>
          <w:sz w:val="32"/>
          <w:szCs w:val="32"/>
        </w:rPr>
        <w:t>1</w:t>
      </w:r>
      <w:r>
        <w:rPr>
          <w:rFonts w:hint="eastAsia" w:ascii="仿宋_GB2312" w:eastAsia="仿宋_GB2312" w:cs="DengXian-Regular"/>
          <w:sz w:val="32"/>
          <w:szCs w:val="32"/>
        </w:rPr>
        <w:t>年参评数量</w:t>
      </w:r>
      <w:r>
        <w:rPr>
          <w:rFonts w:ascii="仿宋_GB2312" w:eastAsia="仿宋_GB2312" w:cs="DengXian-Regular"/>
          <w:sz w:val="32"/>
          <w:szCs w:val="32"/>
        </w:rPr>
        <w:t>6</w:t>
      </w:r>
      <w:r>
        <w:rPr>
          <w:rFonts w:hint="eastAsia" w:ascii="仿宋_GB2312" w:eastAsia="仿宋_GB2312" w:cs="DengXian-Regular"/>
          <w:sz w:val="32"/>
          <w:szCs w:val="32"/>
        </w:rPr>
        <w:t>个，绩效评价结果达到优等的数量</w:t>
      </w:r>
      <w:r>
        <w:rPr>
          <w:rFonts w:ascii="仿宋_GB2312" w:eastAsia="仿宋_GB2312" w:cs="DengXian-Regular"/>
          <w:sz w:val="32"/>
          <w:szCs w:val="32"/>
        </w:rPr>
        <w:t>6</w:t>
      </w:r>
      <w:r>
        <w:rPr>
          <w:rFonts w:hint="eastAsia" w:ascii="仿宋_GB2312" w:eastAsia="仿宋_GB2312" w:cs="DengXian-Regular"/>
          <w:sz w:val="32"/>
          <w:szCs w:val="32"/>
        </w:rPr>
        <w:t>个，绩效评价优等率为</w:t>
      </w:r>
      <w:r>
        <w:rPr>
          <w:rFonts w:ascii="仿宋_GB2312" w:eastAsia="仿宋_GB2312" w:cs="DengXian-Regular"/>
          <w:sz w:val="32"/>
          <w:szCs w:val="32"/>
        </w:rPr>
        <w:t>100</w:t>
      </w:r>
      <w:r>
        <w:rPr>
          <w:rFonts w:hint="eastAsia" w:ascii="仿宋_GB2312" w:eastAsia="仿宋_GB2312" w:cs="DengXian-Regular"/>
          <w:sz w:val="32"/>
          <w:szCs w:val="32"/>
        </w:rPr>
        <w:t>%。</w:t>
      </w:r>
    </w:p>
    <w:p w14:paraId="34A9165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bookmarkEnd w:id="64"/>
      <w:bookmarkEnd w:id="65"/>
    </w:p>
    <w:p w14:paraId="79B68CDE">
      <w:pPr>
        <w:pStyle w:val="4"/>
        <w:spacing w:before="0" w:after="0"/>
        <w:ind w:firstLine="643" w:firstLineChars="200"/>
        <w:jc w:val="both"/>
        <w:rPr>
          <w:rFonts w:ascii="楷体" w:hAnsi="楷体" w:eastAsia="楷体"/>
          <w:sz w:val="32"/>
        </w:rPr>
      </w:pPr>
      <w:bookmarkStart w:id="66" w:name="_Toc12330"/>
      <w:r>
        <w:rPr>
          <w:rFonts w:hint="eastAsia" w:ascii="楷体" w:hAnsi="楷体" w:eastAsia="楷体"/>
          <w:sz w:val="32"/>
        </w:rPr>
        <w:t>（三）产出（25分）</w:t>
      </w:r>
      <w:bookmarkEnd w:id="66"/>
    </w:p>
    <w:p w14:paraId="518B8DF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该一级指标包含责任履行一个二级指标，主要反映结转结余率，项目资金使用率，社区矫正人数，社区服刑人员再次犯罪率，法律援助案件办结率。</w:t>
      </w:r>
    </w:p>
    <w:p w14:paraId="72849088">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14:paraId="41CBD52B">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14:paraId="0B48804F">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14:paraId="500BD309">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14:paraId="5DD0C0F6">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14:paraId="5EFBAB95">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14:paraId="6E8567B8">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71193C4D">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14:paraId="01996E7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14:paraId="614A9E2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（25分）</w:t>
            </w:r>
          </w:p>
        </w:tc>
        <w:tc>
          <w:tcPr>
            <w:tcW w:w="1004" w:type="dxa"/>
            <w:vMerge w:val="restart"/>
            <w:tcBorders>
              <w:top w:val="single" w:color="000000" w:sz="4" w:space="0"/>
              <w:left w:val="single" w:color="000000" w:sz="4" w:space="0"/>
              <w:right w:val="single" w:color="000000" w:sz="4" w:space="0"/>
            </w:tcBorders>
            <w:vAlign w:val="center"/>
          </w:tcPr>
          <w:p w14:paraId="183475C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责任履行（25分）</w:t>
            </w:r>
          </w:p>
        </w:tc>
        <w:tc>
          <w:tcPr>
            <w:tcW w:w="2536" w:type="dxa"/>
            <w:tcBorders>
              <w:top w:val="single" w:color="000000" w:sz="4" w:space="0"/>
              <w:left w:val="single" w:color="000000" w:sz="4" w:space="0"/>
              <w:bottom w:val="single" w:color="000000" w:sz="4" w:space="0"/>
              <w:right w:val="single" w:color="000000" w:sz="4" w:space="0"/>
            </w:tcBorders>
            <w:vAlign w:val="center"/>
          </w:tcPr>
          <w:p w14:paraId="2DB7431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47D74FA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6E9C91C1">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5</w:t>
            </w:r>
          </w:p>
        </w:tc>
      </w:tr>
      <w:tr w14:paraId="6CE86A88">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6376E096">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09297274">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1FDD022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7E76298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0BAFE9AB">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5</w:t>
            </w:r>
          </w:p>
        </w:tc>
      </w:tr>
      <w:tr w14:paraId="2C03B5F7">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3D200F8D">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4286F312">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5B0F268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区知识分子联谊覆盖率分）</w:t>
            </w:r>
          </w:p>
        </w:tc>
        <w:tc>
          <w:tcPr>
            <w:tcW w:w="1125" w:type="dxa"/>
            <w:tcBorders>
              <w:top w:val="single" w:color="000000" w:sz="4" w:space="0"/>
              <w:left w:val="single" w:color="000000" w:sz="4" w:space="0"/>
              <w:bottom w:val="single" w:color="000000" w:sz="4" w:space="0"/>
              <w:right w:val="single" w:color="000000" w:sz="4" w:space="0"/>
            </w:tcBorders>
            <w:vAlign w:val="center"/>
          </w:tcPr>
          <w:p w14:paraId="24F25610">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2</w:t>
            </w:r>
          </w:p>
        </w:tc>
        <w:tc>
          <w:tcPr>
            <w:tcW w:w="853" w:type="dxa"/>
            <w:tcBorders>
              <w:top w:val="single" w:color="000000" w:sz="4" w:space="0"/>
              <w:left w:val="single" w:color="000000" w:sz="4" w:space="0"/>
              <w:bottom w:val="single" w:color="000000" w:sz="4" w:space="0"/>
              <w:right w:val="single" w:color="000000" w:sz="4" w:space="0"/>
            </w:tcBorders>
            <w:vAlign w:val="center"/>
          </w:tcPr>
          <w:p w14:paraId="2575FA7E">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2</w:t>
            </w:r>
          </w:p>
        </w:tc>
      </w:tr>
      <w:tr w14:paraId="5A0BDB99">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71FB873C">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2176E77F">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789ED3A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统战工作按年度任务完成率（5分）</w:t>
            </w:r>
          </w:p>
        </w:tc>
        <w:tc>
          <w:tcPr>
            <w:tcW w:w="1125" w:type="dxa"/>
            <w:tcBorders>
              <w:top w:val="single" w:color="000000" w:sz="4" w:space="0"/>
              <w:left w:val="single" w:color="000000" w:sz="4" w:space="0"/>
              <w:bottom w:val="single" w:color="000000" w:sz="4" w:space="0"/>
              <w:right w:val="single" w:color="000000" w:sz="4" w:space="0"/>
            </w:tcBorders>
            <w:vAlign w:val="center"/>
          </w:tcPr>
          <w:p w14:paraId="3760141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2B36373D">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5</w:t>
            </w:r>
          </w:p>
        </w:tc>
      </w:tr>
      <w:tr w14:paraId="303F1CD9">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3B19F2E6">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185C8597">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3945BF7D">
            <w:pPr>
              <w:spacing w:line="42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非公经济年度计划完成率（2分）</w:t>
            </w:r>
          </w:p>
        </w:tc>
        <w:tc>
          <w:tcPr>
            <w:tcW w:w="1125" w:type="dxa"/>
            <w:tcBorders>
              <w:top w:val="single" w:color="000000" w:sz="4" w:space="0"/>
              <w:left w:val="single" w:color="000000" w:sz="4" w:space="0"/>
              <w:bottom w:val="single" w:color="000000" w:sz="4" w:space="0"/>
              <w:right w:val="single" w:color="000000" w:sz="4" w:space="0"/>
            </w:tcBorders>
            <w:vAlign w:val="center"/>
          </w:tcPr>
          <w:p w14:paraId="3026D8F6">
            <w:pPr>
              <w:spacing w:line="42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853" w:type="dxa"/>
            <w:tcBorders>
              <w:top w:val="single" w:color="000000" w:sz="4" w:space="0"/>
              <w:left w:val="single" w:color="000000" w:sz="4" w:space="0"/>
              <w:bottom w:val="single" w:color="000000" w:sz="4" w:space="0"/>
              <w:right w:val="single" w:color="000000" w:sz="4" w:space="0"/>
            </w:tcBorders>
            <w:vAlign w:val="center"/>
          </w:tcPr>
          <w:p w14:paraId="47A83DD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457BBA58">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4E795022">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28BE9584">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3CF7404A">
            <w:pPr>
              <w:spacing w:line="42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归侨人员覆盖率）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6FDE4DB6">
            <w:pPr>
              <w:spacing w:line="42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853" w:type="dxa"/>
            <w:tcBorders>
              <w:top w:val="single" w:color="000000" w:sz="4" w:space="0"/>
              <w:left w:val="single" w:color="000000" w:sz="4" w:space="0"/>
              <w:bottom w:val="single" w:color="000000" w:sz="4" w:space="0"/>
              <w:right w:val="single" w:color="000000" w:sz="4" w:space="0"/>
            </w:tcBorders>
            <w:vAlign w:val="center"/>
          </w:tcPr>
          <w:p w14:paraId="0FB317D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4CBE041C">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0D3A2797">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33E7D125">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52280F7E">
            <w:pPr>
              <w:spacing w:line="42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民革支部工作完成率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0A741666">
            <w:pPr>
              <w:spacing w:line="42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853" w:type="dxa"/>
            <w:tcBorders>
              <w:top w:val="single" w:color="000000" w:sz="4" w:space="0"/>
              <w:left w:val="single" w:color="000000" w:sz="4" w:space="0"/>
              <w:bottom w:val="single" w:color="000000" w:sz="4" w:space="0"/>
              <w:right w:val="single" w:color="000000" w:sz="4" w:space="0"/>
            </w:tcBorders>
            <w:vAlign w:val="center"/>
          </w:tcPr>
          <w:p w14:paraId="7B07964F">
            <w:pPr>
              <w:spacing w:line="420" w:lineRule="exact"/>
              <w:jc w:val="center"/>
              <w:rPr>
                <w:rFonts w:cs="宋体" w:asciiTheme="minorEastAsia" w:hAnsiTheme="minorEastAsia" w:eastAsiaTheme="minorEastAsia"/>
                <w:sz w:val="21"/>
                <w:szCs w:val="21"/>
              </w:rPr>
            </w:pPr>
          </w:p>
        </w:tc>
      </w:tr>
      <w:tr w14:paraId="3A36B19E">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5E24FB61">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17E4D0CE">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4630F77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党外队伍建设工作完成率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6B972812">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2</w:t>
            </w:r>
          </w:p>
        </w:tc>
        <w:tc>
          <w:tcPr>
            <w:tcW w:w="853" w:type="dxa"/>
            <w:tcBorders>
              <w:top w:val="single" w:color="000000" w:sz="4" w:space="0"/>
              <w:left w:val="single" w:color="000000" w:sz="4" w:space="0"/>
              <w:bottom w:val="single" w:color="000000" w:sz="4" w:space="0"/>
              <w:right w:val="single" w:color="000000" w:sz="4" w:space="0"/>
            </w:tcBorders>
            <w:vAlign w:val="center"/>
          </w:tcPr>
          <w:p w14:paraId="6374DE62">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5</w:t>
            </w:r>
          </w:p>
        </w:tc>
      </w:tr>
      <w:tr w14:paraId="124C091C">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14:paraId="36F788F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14:paraId="7F32228E">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378B6E4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D7CA">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25</w:t>
            </w:r>
          </w:p>
        </w:tc>
      </w:tr>
    </w:tbl>
    <w:p w14:paraId="0E29A3BB">
      <w:pPr>
        <w:spacing w:after="0" w:line="360" w:lineRule="auto"/>
        <w:ind w:firstLine="640" w:firstLineChars="200"/>
        <w:jc w:val="both"/>
        <w:textAlignment w:val="baseline"/>
        <w:rPr>
          <w:rFonts w:ascii="仿宋_GB2312" w:eastAsia="仿宋_GB2312" w:cs="DengXian-Regular"/>
          <w:sz w:val="32"/>
          <w:szCs w:val="32"/>
        </w:rPr>
      </w:pPr>
      <w:bookmarkStart w:id="67" w:name="_Toc465149515"/>
      <w:bookmarkStart w:id="68" w:name="_Toc464638518"/>
      <w:r>
        <w:rPr>
          <w:rFonts w:hint="eastAsia" w:ascii="仿宋_GB2312" w:eastAsia="仿宋_GB2312" w:cs="DengXian-Regular"/>
          <w:sz w:val="32"/>
          <w:szCs w:val="32"/>
        </w:rPr>
        <w:t>1.结转结余率（5分）</w:t>
      </w:r>
    </w:p>
    <w:p w14:paraId="24A744F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14:paraId="32C3B5F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14:paraId="6B95518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根据区委统战部202</w:t>
      </w:r>
      <w:r>
        <w:rPr>
          <w:rFonts w:ascii="仿宋_GB2312" w:eastAsia="仿宋_GB2312" w:cs="DengXian-Regular"/>
          <w:sz w:val="32"/>
          <w:szCs w:val="32"/>
        </w:rPr>
        <w:t>1</w:t>
      </w:r>
      <w:r>
        <w:rPr>
          <w:rFonts w:hint="eastAsia" w:ascii="仿宋_GB2312" w:eastAsia="仿宋_GB2312" w:cs="DengXian-Regular"/>
          <w:sz w:val="32"/>
          <w:szCs w:val="32"/>
        </w:rPr>
        <w:t>年决算文本及相关资料，区委统战部202</w:t>
      </w:r>
      <w:r>
        <w:rPr>
          <w:rFonts w:ascii="仿宋_GB2312" w:eastAsia="仿宋_GB2312" w:cs="DengXian-Regular"/>
          <w:sz w:val="32"/>
          <w:szCs w:val="32"/>
        </w:rPr>
        <w:t>1</w:t>
      </w:r>
      <w:r>
        <w:rPr>
          <w:rFonts w:hint="eastAsia" w:ascii="仿宋_GB2312" w:eastAsia="仿宋_GB2312" w:cs="DengXian-Regular"/>
          <w:sz w:val="32"/>
          <w:szCs w:val="32"/>
        </w:rPr>
        <w:t>年结转结余资金</w:t>
      </w:r>
      <w:r>
        <w:rPr>
          <w:rFonts w:ascii="仿宋_GB2312" w:eastAsia="仿宋_GB2312" w:cs="DengXian-Regular"/>
          <w:sz w:val="32"/>
          <w:szCs w:val="32"/>
        </w:rPr>
        <w:t>0</w:t>
      </w:r>
      <w:r>
        <w:rPr>
          <w:rFonts w:hint="eastAsia" w:ascii="仿宋_GB2312" w:eastAsia="仿宋_GB2312" w:cs="DengXian-Regular"/>
          <w:sz w:val="32"/>
          <w:szCs w:val="32"/>
        </w:rPr>
        <w:t>万元，决算收入</w:t>
      </w:r>
      <w:r>
        <w:rPr>
          <w:rFonts w:ascii="仿宋_GB2312" w:eastAsia="仿宋_GB2312" w:cs="DengXian-Regular"/>
          <w:sz w:val="32"/>
          <w:szCs w:val="32"/>
        </w:rPr>
        <w:t>216.98</w:t>
      </w:r>
      <w:r>
        <w:rPr>
          <w:rFonts w:hint="eastAsia" w:ascii="仿宋_GB2312" w:eastAsia="仿宋_GB2312" w:cs="DengXian-Regular"/>
          <w:sz w:val="32"/>
          <w:szCs w:val="32"/>
        </w:rPr>
        <w:t>万元，结转结余率</w:t>
      </w:r>
      <w:r>
        <w:rPr>
          <w:rFonts w:ascii="仿宋_GB2312" w:eastAsia="仿宋_GB2312" w:cs="DengXian-Regular"/>
          <w:sz w:val="32"/>
          <w:szCs w:val="32"/>
        </w:rPr>
        <w:t>0</w:t>
      </w:r>
      <w:r>
        <w:rPr>
          <w:rFonts w:hint="eastAsia" w:ascii="仿宋_GB2312" w:eastAsia="仿宋_GB2312" w:cs="DengXian-Regular"/>
          <w:sz w:val="32"/>
          <w:szCs w:val="32"/>
        </w:rPr>
        <w:t>%，小于5%。</w:t>
      </w:r>
    </w:p>
    <w:p w14:paraId="2FCD678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5</w:t>
      </w:r>
      <w:r>
        <w:rPr>
          <w:rFonts w:hint="eastAsia" w:ascii="仿宋_GB2312" w:eastAsia="仿宋_GB2312" w:cs="DengXian-Regular"/>
          <w:sz w:val="32"/>
          <w:szCs w:val="32"/>
        </w:rPr>
        <w:t>分。</w:t>
      </w:r>
    </w:p>
    <w:p w14:paraId="50CEB72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2.项目资金使用率（5分）</w:t>
      </w:r>
    </w:p>
    <w:p w14:paraId="3F64185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14:paraId="7552625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项目资金使用率=（实际支出项目资金总额/计划完整项目资金总数）*100%。</w:t>
      </w:r>
    </w:p>
    <w:p w14:paraId="212DF68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区委统战部202</w:t>
      </w:r>
      <w:r>
        <w:rPr>
          <w:rFonts w:ascii="仿宋_GB2312" w:eastAsia="仿宋_GB2312" w:cs="DengXian-Regular"/>
          <w:sz w:val="32"/>
          <w:szCs w:val="32"/>
        </w:rPr>
        <w:t>1</w:t>
      </w:r>
      <w:r>
        <w:rPr>
          <w:rFonts w:hint="eastAsia" w:ascii="仿宋_GB2312" w:eastAsia="仿宋_GB2312" w:cs="DengXian-Regular"/>
          <w:sz w:val="32"/>
          <w:szCs w:val="32"/>
        </w:rPr>
        <w:t>年实际支出项目资金总额</w:t>
      </w:r>
      <w:r>
        <w:rPr>
          <w:rFonts w:ascii="仿宋_GB2312" w:eastAsia="仿宋_GB2312" w:cs="DengXian-Regular"/>
          <w:sz w:val="32"/>
          <w:szCs w:val="32"/>
        </w:rPr>
        <w:t>58.87</w:t>
      </w:r>
      <w:r>
        <w:rPr>
          <w:rFonts w:hint="eastAsia" w:ascii="仿宋_GB2312" w:eastAsia="仿宋_GB2312" w:cs="DengXian-Regular"/>
          <w:sz w:val="32"/>
          <w:szCs w:val="32"/>
        </w:rPr>
        <w:t>万元，年初预算共</w:t>
      </w:r>
      <w:r>
        <w:rPr>
          <w:rFonts w:ascii="仿宋_GB2312" w:eastAsia="仿宋_GB2312" w:cs="DengXian-Regular"/>
          <w:sz w:val="32"/>
          <w:szCs w:val="32"/>
        </w:rPr>
        <w:t>6</w:t>
      </w:r>
      <w:r>
        <w:rPr>
          <w:rFonts w:hint="eastAsia" w:ascii="仿宋_GB2312" w:eastAsia="仿宋_GB2312" w:cs="DengXian-Regular"/>
          <w:sz w:val="32"/>
          <w:szCs w:val="32"/>
        </w:rPr>
        <w:t>个项目，预算数</w:t>
      </w:r>
      <w:r>
        <w:rPr>
          <w:rFonts w:ascii="仿宋_GB2312" w:eastAsia="仿宋_GB2312" w:cs="DengXian-Regular"/>
          <w:sz w:val="32"/>
          <w:szCs w:val="32"/>
        </w:rPr>
        <w:t>20.35</w:t>
      </w:r>
      <w:r>
        <w:rPr>
          <w:rFonts w:hint="eastAsia" w:ascii="仿宋_GB2312" w:eastAsia="仿宋_GB2312" w:cs="DengXian-Regular"/>
          <w:sz w:val="32"/>
          <w:szCs w:val="32"/>
        </w:rPr>
        <w:t>万元，年中追加项目资金</w:t>
      </w:r>
      <w:r>
        <w:rPr>
          <w:rFonts w:ascii="仿宋_GB2312" w:eastAsia="仿宋_GB2312" w:cs="DengXian-Regular"/>
          <w:sz w:val="32"/>
          <w:szCs w:val="32"/>
        </w:rPr>
        <w:t>38.52</w:t>
      </w:r>
      <w:r>
        <w:rPr>
          <w:rFonts w:hint="eastAsia" w:ascii="仿宋_GB2312" w:eastAsia="仿宋_GB2312" w:cs="DengXian-Regular"/>
          <w:sz w:val="32"/>
          <w:szCs w:val="32"/>
        </w:rPr>
        <w:t>万元，项目资金使用率为</w:t>
      </w:r>
      <w:r>
        <w:rPr>
          <w:rFonts w:ascii="仿宋_GB2312" w:eastAsia="仿宋_GB2312" w:cs="DengXian-Regular"/>
          <w:sz w:val="32"/>
          <w:szCs w:val="32"/>
        </w:rPr>
        <w:t>100</w:t>
      </w:r>
      <w:r>
        <w:rPr>
          <w:rFonts w:hint="eastAsia" w:ascii="仿宋_GB2312" w:eastAsia="仿宋_GB2312" w:cs="DengXian-Regular"/>
          <w:sz w:val="32"/>
          <w:szCs w:val="32"/>
        </w:rPr>
        <w:t>%。</w:t>
      </w:r>
    </w:p>
    <w:p w14:paraId="3BC75DA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7BFB9BE0">
      <w:pPr>
        <w:pStyle w:val="4"/>
        <w:spacing w:before="0" w:after="0"/>
        <w:ind w:firstLine="643" w:firstLineChars="200"/>
        <w:jc w:val="both"/>
        <w:rPr>
          <w:rFonts w:ascii="楷体" w:hAnsi="楷体" w:eastAsia="楷体"/>
          <w:sz w:val="32"/>
        </w:rPr>
      </w:pPr>
      <w:bookmarkStart w:id="69" w:name="_Toc28363"/>
      <w:r>
        <w:rPr>
          <w:rFonts w:hint="eastAsia" w:ascii="楷体" w:hAnsi="楷体" w:eastAsia="楷体"/>
          <w:sz w:val="32"/>
        </w:rPr>
        <w:t>（四）效果</w:t>
      </w:r>
      <w:bookmarkEnd w:id="67"/>
      <w:bookmarkEnd w:id="68"/>
      <w:r>
        <w:rPr>
          <w:rFonts w:hint="eastAsia" w:ascii="楷体" w:hAnsi="楷体" w:eastAsia="楷体"/>
          <w:sz w:val="32"/>
        </w:rPr>
        <w:t>（15分）</w:t>
      </w:r>
      <w:bookmarkEnd w:id="69"/>
    </w:p>
    <w:p w14:paraId="1F68E9C8">
      <w:pPr>
        <w:spacing w:after="0" w:line="360" w:lineRule="auto"/>
        <w:ind w:firstLine="640" w:firstLineChars="200"/>
        <w:jc w:val="both"/>
        <w:textAlignment w:val="baseline"/>
        <w:rPr>
          <w:rFonts w:ascii="仿宋_GB2312" w:eastAsia="仿宋_GB2312" w:cs="DengXian-Regular"/>
          <w:sz w:val="32"/>
          <w:szCs w:val="32"/>
        </w:rPr>
      </w:pPr>
      <w:bookmarkStart w:id="70"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14:paraId="3A9FE49B">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14:paraId="0B3C2247">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14:paraId="678EA6C6">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14:paraId="4624287F">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14:paraId="3DDC8148">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14:paraId="367468F8">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14:paraId="53E9A589">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7525BEA7">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14:paraId="5C4DD837">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14:paraId="1AFDBBD0">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7034A8E8">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14:paraId="463FE84D">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2130" w:type="dxa"/>
            <w:tcBorders>
              <w:top w:val="single" w:color="000000" w:sz="4" w:space="0"/>
              <w:left w:val="single" w:color="000000" w:sz="4" w:space="0"/>
              <w:bottom w:val="single" w:color="000000" w:sz="4" w:space="0"/>
              <w:right w:val="single" w:color="000000" w:sz="4" w:space="0"/>
            </w:tcBorders>
            <w:vAlign w:val="center"/>
          </w:tcPr>
          <w:p w14:paraId="7DC65AC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14:paraId="27F1001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14:paraId="2CCB5B32">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9</w:t>
            </w:r>
          </w:p>
        </w:tc>
      </w:tr>
      <w:tr w14:paraId="1026CA7C">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14:paraId="65C75BE7">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08E9BEEB">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14:paraId="4ED8043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14:paraId="7C697BB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45" w:type="dxa"/>
            <w:tcBorders>
              <w:top w:val="single" w:color="000000" w:sz="4" w:space="0"/>
              <w:left w:val="single" w:color="000000" w:sz="4" w:space="0"/>
              <w:bottom w:val="single" w:color="000000" w:sz="4" w:space="0"/>
              <w:right w:val="single" w:color="000000" w:sz="4" w:space="0"/>
            </w:tcBorders>
            <w:vAlign w:val="center"/>
          </w:tcPr>
          <w:p w14:paraId="30B3A8BD">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5</w:t>
            </w:r>
          </w:p>
        </w:tc>
      </w:tr>
      <w:tr w14:paraId="30A42B39">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14:paraId="1155112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14:paraId="600CC393">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63A6852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5" w:type="dxa"/>
            <w:tcBorders>
              <w:top w:val="single" w:color="000000" w:sz="4" w:space="0"/>
              <w:left w:val="single" w:color="000000" w:sz="4" w:space="0"/>
              <w:bottom w:val="single" w:color="000000" w:sz="4" w:space="0"/>
              <w:right w:val="single" w:color="000000" w:sz="4" w:space="0"/>
            </w:tcBorders>
            <w:vAlign w:val="center"/>
          </w:tcPr>
          <w:p w14:paraId="1F2FCBD5">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15</w:t>
            </w:r>
          </w:p>
        </w:tc>
      </w:tr>
      <w:bookmarkEnd w:id="70"/>
    </w:tbl>
    <w:p w14:paraId="507E0E81">
      <w:pPr>
        <w:spacing w:after="0" w:line="360" w:lineRule="auto"/>
        <w:ind w:firstLine="640" w:firstLineChars="200"/>
        <w:jc w:val="both"/>
        <w:textAlignment w:val="baseline"/>
        <w:rPr>
          <w:rFonts w:ascii="仿宋_GB2312" w:eastAsia="仿宋_GB2312" w:cs="DengXian-Regular"/>
          <w:sz w:val="32"/>
          <w:szCs w:val="32"/>
        </w:rPr>
      </w:pPr>
      <w:bookmarkStart w:id="71" w:name="_Toc492652784"/>
      <w:bookmarkStart w:id="72" w:name="_Toc465149516"/>
      <w:bookmarkStart w:id="73" w:name="_Toc464638561"/>
      <w:r>
        <w:rPr>
          <w:rFonts w:hint="eastAsia" w:ascii="仿宋_GB2312" w:eastAsia="仿宋_GB2312" w:cs="DengXian-Regular"/>
          <w:sz w:val="32"/>
          <w:szCs w:val="32"/>
        </w:rPr>
        <w:t>1.部门整体效益（10分）</w:t>
      </w:r>
    </w:p>
    <w:p w14:paraId="7B78C2D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14:paraId="13683BD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经查看区委统战部提供的相关资料，区委统战部履行职责对社会发展所带来的社会效益较显著，有效的提高了统战人士</w:t>
      </w:r>
      <w:r>
        <w:rPr>
          <w:rFonts w:ascii="仿宋_GB2312" w:eastAsia="仿宋_GB2312" w:cs="DengXian-Regular"/>
          <w:sz w:val="32"/>
          <w:szCs w:val="32"/>
        </w:rPr>
        <w:t>的爱国热情，凝聚了人心，维护了党的集中统一领导</w:t>
      </w:r>
      <w:r>
        <w:rPr>
          <w:rFonts w:hint="eastAsia" w:ascii="仿宋_GB2312" w:eastAsia="仿宋_GB2312" w:cs="DengXian-Regular"/>
          <w:sz w:val="32"/>
          <w:szCs w:val="32"/>
        </w:rPr>
        <w:t>。</w:t>
      </w:r>
    </w:p>
    <w:p w14:paraId="3AB6C86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9</w:t>
      </w:r>
      <w:r>
        <w:rPr>
          <w:rFonts w:hint="eastAsia" w:ascii="仿宋_GB2312" w:eastAsia="仿宋_GB2312" w:cs="DengXian-Regular"/>
          <w:sz w:val="32"/>
          <w:szCs w:val="32"/>
        </w:rPr>
        <w:t>分。</w:t>
      </w:r>
    </w:p>
    <w:p w14:paraId="23C19C7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2.考评满意度（5分）</w:t>
      </w:r>
    </w:p>
    <w:p w14:paraId="07FADDE9">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14:paraId="1DBB82A8">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针对该指标，我们随机选取了50个调查对象进行了问卷调查，具体调查情况如下：</w:t>
      </w:r>
    </w:p>
    <w:p w14:paraId="115DCD7B">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14:paraId="7133EFD7">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14:paraId="685D97E7">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14:paraId="57E1336B">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14:paraId="27BF6589">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14:paraId="6885A14B">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14:paraId="78753D6C">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14:paraId="36B7B25E">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14:paraId="5E77709F">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14:paraId="6C4702DE">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551D4C1C">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爱国主义教育活动</w:t>
            </w:r>
          </w:p>
        </w:tc>
        <w:tc>
          <w:tcPr>
            <w:tcW w:w="1114" w:type="dxa"/>
            <w:tcBorders>
              <w:top w:val="single" w:color="000000" w:sz="4" w:space="0"/>
              <w:left w:val="single" w:color="000000" w:sz="4" w:space="0"/>
              <w:bottom w:val="single" w:color="000000" w:sz="4" w:space="0"/>
              <w:right w:val="single" w:color="000000" w:sz="4" w:space="0"/>
            </w:tcBorders>
            <w:vAlign w:val="center"/>
          </w:tcPr>
          <w:p w14:paraId="3F305DAF">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1134" w:type="dxa"/>
            <w:tcBorders>
              <w:top w:val="single" w:color="000000" w:sz="4" w:space="0"/>
              <w:left w:val="single" w:color="000000" w:sz="4" w:space="0"/>
              <w:bottom w:val="single" w:color="000000" w:sz="4" w:space="0"/>
              <w:right w:val="single" w:color="000000" w:sz="4" w:space="0"/>
            </w:tcBorders>
            <w:vAlign w:val="center"/>
          </w:tcPr>
          <w:p w14:paraId="03AC6675">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0</w:t>
            </w:r>
          </w:p>
        </w:tc>
        <w:tc>
          <w:tcPr>
            <w:tcW w:w="1218" w:type="dxa"/>
            <w:tcBorders>
              <w:top w:val="single" w:color="000000" w:sz="4" w:space="0"/>
              <w:left w:val="single" w:color="000000" w:sz="4" w:space="0"/>
              <w:bottom w:val="single" w:color="000000" w:sz="4" w:space="0"/>
              <w:right w:val="single" w:color="000000" w:sz="4" w:space="0"/>
            </w:tcBorders>
            <w:vAlign w:val="center"/>
          </w:tcPr>
          <w:p w14:paraId="512F1BD0">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2D2BA1C1">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2F16AB67">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100</w:t>
            </w:r>
          </w:p>
        </w:tc>
      </w:tr>
      <w:tr w14:paraId="05B52736">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3E66E39C">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宣传党的</w:t>
            </w:r>
            <w:r>
              <w:rPr>
                <w:rFonts w:cs="Times New Roman" w:asciiTheme="minorEastAsia" w:hAnsiTheme="minorEastAsia" w:eastAsiaTheme="minorEastAsia"/>
                <w:sz w:val="21"/>
                <w:szCs w:val="21"/>
                <w:u w:color="000000"/>
              </w:rPr>
              <w:t>政策红色教育</w:t>
            </w:r>
            <w:r>
              <w:rPr>
                <w:rFonts w:hint="eastAsia" w:cs="Times New Roman" w:asciiTheme="minorEastAsia" w:hAnsiTheme="minorEastAsia" w:eastAsiaTheme="minorEastAsia"/>
                <w:sz w:val="21"/>
                <w:szCs w:val="21"/>
                <w:u w:color="000000"/>
              </w:rPr>
              <w:t>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14:paraId="7A686913">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1134" w:type="dxa"/>
            <w:tcBorders>
              <w:top w:val="single" w:color="000000" w:sz="4" w:space="0"/>
              <w:left w:val="single" w:color="000000" w:sz="4" w:space="0"/>
              <w:bottom w:val="single" w:color="000000" w:sz="4" w:space="0"/>
              <w:right w:val="single" w:color="000000" w:sz="4" w:space="0"/>
            </w:tcBorders>
            <w:vAlign w:val="center"/>
          </w:tcPr>
          <w:p w14:paraId="75FE968F">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0</w:t>
            </w:r>
          </w:p>
        </w:tc>
        <w:tc>
          <w:tcPr>
            <w:tcW w:w="1218" w:type="dxa"/>
            <w:tcBorders>
              <w:top w:val="single" w:color="000000" w:sz="4" w:space="0"/>
              <w:left w:val="single" w:color="000000" w:sz="4" w:space="0"/>
              <w:bottom w:val="single" w:color="000000" w:sz="4" w:space="0"/>
              <w:right w:val="single" w:color="000000" w:sz="4" w:space="0"/>
            </w:tcBorders>
            <w:vAlign w:val="center"/>
          </w:tcPr>
          <w:p w14:paraId="1AF722F0">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32C4E942">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776E4674">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100</w:t>
            </w:r>
          </w:p>
        </w:tc>
      </w:tr>
      <w:tr w14:paraId="06E10F30">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69F67231">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您对统战部工作了解程度如何</w:t>
            </w:r>
          </w:p>
        </w:tc>
        <w:tc>
          <w:tcPr>
            <w:tcW w:w="1114" w:type="dxa"/>
            <w:tcBorders>
              <w:top w:val="single" w:color="000000" w:sz="4" w:space="0"/>
              <w:left w:val="single" w:color="000000" w:sz="4" w:space="0"/>
              <w:bottom w:val="single" w:color="000000" w:sz="4" w:space="0"/>
              <w:right w:val="single" w:color="000000" w:sz="4" w:space="0"/>
            </w:tcBorders>
            <w:vAlign w:val="center"/>
          </w:tcPr>
          <w:p w14:paraId="59142E62">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46</w:t>
            </w:r>
          </w:p>
        </w:tc>
        <w:tc>
          <w:tcPr>
            <w:tcW w:w="1134" w:type="dxa"/>
            <w:tcBorders>
              <w:top w:val="single" w:color="000000" w:sz="4" w:space="0"/>
              <w:left w:val="single" w:color="000000" w:sz="4" w:space="0"/>
              <w:bottom w:val="single" w:color="000000" w:sz="4" w:space="0"/>
              <w:right w:val="single" w:color="000000" w:sz="4" w:space="0"/>
            </w:tcBorders>
            <w:vAlign w:val="center"/>
          </w:tcPr>
          <w:p w14:paraId="6BA963A4">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4</w:t>
            </w:r>
          </w:p>
        </w:tc>
        <w:tc>
          <w:tcPr>
            <w:tcW w:w="1218" w:type="dxa"/>
            <w:tcBorders>
              <w:top w:val="single" w:color="000000" w:sz="4" w:space="0"/>
              <w:left w:val="single" w:color="000000" w:sz="4" w:space="0"/>
              <w:bottom w:val="single" w:color="000000" w:sz="4" w:space="0"/>
              <w:right w:val="single" w:color="000000" w:sz="4" w:space="0"/>
            </w:tcBorders>
            <w:vAlign w:val="center"/>
          </w:tcPr>
          <w:p w14:paraId="3161C4B5">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04BAF3C7">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60F57DBA">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96</w:t>
            </w:r>
          </w:p>
        </w:tc>
      </w:tr>
    </w:tbl>
    <w:p w14:paraId="05BEDB08">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调查问卷共分为3个单项，每个单项满分为100分。其中：每一单项满分为100分：满意为100分，一般为50分，不满意为0分。</w:t>
      </w:r>
    </w:p>
    <w:p w14:paraId="5893ABA2">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单项满意度得分=总分数/总人数</w:t>
      </w:r>
    </w:p>
    <w:p w14:paraId="26FD926D">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总体满意度得分=∑1/3各单项满意度得分</w:t>
      </w:r>
    </w:p>
    <w:p w14:paraId="2B54CB29">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w:t>
      </w:r>
      <w:r>
        <w:rPr>
          <w:rFonts w:ascii="仿宋_GB2312" w:eastAsia="仿宋_GB2312" w:cs="Times New Roman" w:hAnsiTheme="minorEastAsia"/>
          <w:sz w:val="32"/>
          <w:szCs w:val="32"/>
          <w:u w:color="000000"/>
        </w:rPr>
        <w:t>98.67</w:t>
      </w:r>
      <w:r>
        <w:rPr>
          <w:rFonts w:hint="eastAsia" w:ascii="仿宋_GB2312" w:eastAsia="仿宋_GB2312" w:cs="Times New Roman" w:hAnsiTheme="minorEastAsia"/>
          <w:sz w:val="32"/>
          <w:szCs w:val="32"/>
          <w:u w:color="000000"/>
        </w:rPr>
        <w:t>分，大于90分，评价等级为“优”。</w:t>
      </w:r>
    </w:p>
    <w:p w14:paraId="043A973A">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w:t>
      </w:r>
      <w:r>
        <w:rPr>
          <w:rFonts w:ascii="仿宋_GB2312" w:eastAsia="仿宋_GB2312" w:cs="Times New Roman" w:hAnsiTheme="minorEastAsia"/>
          <w:sz w:val="32"/>
          <w:szCs w:val="32"/>
          <w:u w:color="000000"/>
        </w:rPr>
        <w:t>5</w:t>
      </w:r>
      <w:r>
        <w:rPr>
          <w:rFonts w:hint="eastAsia" w:ascii="仿宋_GB2312" w:eastAsia="仿宋_GB2312" w:cs="Times New Roman" w:hAnsiTheme="minorEastAsia"/>
          <w:sz w:val="32"/>
          <w:szCs w:val="32"/>
          <w:u w:color="000000"/>
        </w:rPr>
        <w:t>分。</w:t>
      </w:r>
    </w:p>
    <w:p w14:paraId="4D9254C2">
      <w:pPr>
        <w:pStyle w:val="3"/>
        <w:keepNext w:val="0"/>
        <w:keepLines w:val="0"/>
        <w:suppressLineNumbers/>
        <w:spacing w:before="0" w:after="0" w:line="360" w:lineRule="auto"/>
        <w:ind w:firstLine="643" w:firstLineChars="200"/>
        <w:rPr>
          <w:rFonts w:ascii="黑体"/>
        </w:rPr>
      </w:pPr>
      <w:bookmarkStart w:id="74" w:name="_Toc13757"/>
      <w:r>
        <w:rPr>
          <w:rFonts w:hint="eastAsia" w:ascii="黑体"/>
        </w:rPr>
        <w:t>五、绩效评价发现的问题</w:t>
      </w:r>
      <w:bookmarkEnd w:id="71"/>
      <w:bookmarkEnd w:id="72"/>
      <w:bookmarkEnd w:id="73"/>
      <w:bookmarkEnd w:id="74"/>
      <w:bookmarkStart w:id="75" w:name="_Toc492652789"/>
    </w:p>
    <w:p w14:paraId="1B5E278D">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rPr>
        <w:t>区委统战部</w:t>
      </w:r>
      <w:r>
        <w:rPr>
          <w:rFonts w:hint="eastAsia" w:ascii="仿宋_GB2312" w:eastAsia="仿宋_GB2312" w:cs="Times New Roman" w:hAnsiTheme="minorEastAsia"/>
          <w:sz w:val="32"/>
          <w:szCs w:val="32"/>
          <w:u w:color="000000"/>
        </w:rPr>
        <w:t>202</w:t>
      </w:r>
      <w:r>
        <w:rPr>
          <w:rFonts w:ascii="仿宋_GB2312" w:eastAsia="仿宋_GB2312" w:cs="Times New Roman" w:hAnsiTheme="minorEastAsia"/>
          <w:sz w:val="32"/>
          <w:szCs w:val="32"/>
          <w:u w:color="000000"/>
        </w:rPr>
        <w:t>1</w:t>
      </w:r>
      <w:r>
        <w:rPr>
          <w:rFonts w:hint="eastAsia" w:ascii="仿宋_GB2312" w:eastAsia="仿宋_GB2312" w:cs="Times New Roman" w:hAnsiTheme="minorEastAsia"/>
          <w:sz w:val="32"/>
          <w:szCs w:val="32"/>
          <w:u w:color="000000"/>
        </w:rPr>
        <w:t>年部门整体支出基本按相关要求执行预算、决算，完成了绩效目标，资金使用效益良好。通过评价，也发现一些不足之处，具体情况如下：</w:t>
      </w:r>
      <w:bookmarkStart w:id="76" w:name="_Toc20723"/>
    </w:p>
    <w:bookmarkEnd w:id="75"/>
    <w:bookmarkEnd w:id="76"/>
    <w:p w14:paraId="19717222">
      <w:pPr>
        <w:spacing w:after="0" w:line="360" w:lineRule="auto"/>
        <w:ind w:firstLine="640" w:firstLineChars="200"/>
        <w:jc w:val="both"/>
        <w:textAlignment w:val="baseline"/>
        <w:rPr>
          <w:rFonts w:ascii="仿宋_GB2312" w:eastAsia="仿宋_GB2312" w:cs="Times New Roman" w:hAnsiTheme="minorEastAsia"/>
          <w:sz w:val="32"/>
          <w:szCs w:val="32"/>
          <w:u w:color="000000"/>
        </w:rPr>
      </w:pPr>
      <w:bookmarkStart w:id="77" w:name="_Toc465149521"/>
      <w:r>
        <w:rPr>
          <w:rFonts w:hint="eastAsia" w:ascii="仿宋_GB2312" w:eastAsia="仿宋_GB2312" w:cs="DengXian-Regular"/>
          <w:sz w:val="32"/>
          <w:szCs w:val="32"/>
        </w:rPr>
        <w:t>政府采购方面，采购预算编制不够科学合理，建议加强预算编制的准确性，缩小预算数与决算数的差距。</w:t>
      </w:r>
    </w:p>
    <w:p w14:paraId="2DCA1860">
      <w:pPr>
        <w:spacing w:after="0" w:line="360" w:lineRule="auto"/>
        <w:jc w:val="both"/>
        <w:textAlignment w:val="baseline"/>
        <w:rPr>
          <w:rFonts w:ascii="仿宋_GB2312" w:eastAsia="仿宋_GB2312" w:cs="Times New Roman" w:hAnsiTheme="minorEastAsia"/>
          <w:sz w:val="32"/>
          <w:szCs w:val="32"/>
          <w:u w:color="000000"/>
        </w:rPr>
      </w:pPr>
    </w:p>
    <w:p w14:paraId="3F0FDFF9">
      <w:pPr>
        <w:spacing w:after="0" w:line="360" w:lineRule="auto"/>
        <w:jc w:val="both"/>
        <w:textAlignment w:val="baseline"/>
        <w:rPr>
          <w:rFonts w:ascii="仿宋_GB2312" w:eastAsia="仿宋_GB2312" w:cs="Times New Roman" w:hAnsiTheme="minorEastAsia"/>
          <w:sz w:val="32"/>
          <w:szCs w:val="32"/>
          <w:u w:color="000000"/>
        </w:rPr>
      </w:pPr>
    </w:p>
    <w:p w14:paraId="0FD47C57">
      <w:pPr>
        <w:spacing w:after="0" w:line="360" w:lineRule="auto"/>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附件：1.中共保定市徐水区委统战部部门基本情况及主要职责</w:t>
      </w:r>
    </w:p>
    <w:p w14:paraId="1681C1DF">
      <w:pPr>
        <w:spacing w:after="0" w:line="540" w:lineRule="exact"/>
        <w:ind w:firstLine="960" w:firstLineChars="3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w:t>
      </w:r>
      <w:r>
        <w:rPr>
          <w:rFonts w:ascii="仿宋_GB2312" w:eastAsia="仿宋_GB2312" w:cs="Times New Roman" w:hAnsiTheme="minorEastAsia"/>
          <w:sz w:val="32"/>
          <w:szCs w:val="32"/>
          <w:u w:color="000000"/>
        </w:rPr>
        <w:t>2021</w:t>
      </w:r>
      <w:r>
        <w:rPr>
          <w:rFonts w:hint="eastAsia" w:ascii="仿宋_GB2312" w:eastAsia="仿宋_GB2312" w:cs="Times New Roman" w:hAnsiTheme="minorEastAsia"/>
          <w:sz w:val="32"/>
          <w:szCs w:val="32"/>
          <w:u w:color="000000"/>
        </w:rPr>
        <w:t>年度中共保定市徐水区委统战部收支预算及决算明细表</w:t>
      </w:r>
    </w:p>
    <w:p w14:paraId="5666A94A">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8" w:name="_Toc465149534"/>
      <w:r>
        <w:rPr>
          <w:rFonts w:hint="eastAsia" w:ascii="仿宋_GB2312" w:eastAsia="仿宋_GB2312" w:cs="Times New Roman" w:hAnsiTheme="minorEastAsia"/>
          <w:sz w:val="32"/>
          <w:szCs w:val="32"/>
          <w:u w:color="000000"/>
        </w:rPr>
        <w:t>3.</w:t>
      </w:r>
      <w:bookmarkEnd w:id="78"/>
      <w:r>
        <w:rPr>
          <w:rFonts w:hint="eastAsia" w:ascii="仿宋_GB2312" w:eastAsia="仿宋_GB2312" w:cs="Times New Roman" w:hAnsiTheme="minorEastAsia"/>
          <w:sz w:val="32"/>
          <w:szCs w:val="32"/>
          <w:u w:color="000000"/>
        </w:rPr>
        <w:t>部门整体支出绩效评价指标体系</w:t>
      </w:r>
    </w:p>
    <w:p w14:paraId="1D85F493">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9" w:name="_Toc465149544"/>
      <w:r>
        <w:rPr>
          <w:rFonts w:hint="eastAsia" w:ascii="仿宋_GB2312" w:eastAsia="仿宋_GB2312" w:cs="Times New Roman" w:hAnsiTheme="minorEastAsia"/>
          <w:sz w:val="32"/>
          <w:szCs w:val="32"/>
          <w:u w:color="000000"/>
        </w:rPr>
        <w:t>4.</w:t>
      </w:r>
      <w:bookmarkEnd w:id="79"/>
      <w:r>
        <w:rPr>
          <w:rFonts w:ascii="仿宋_GB2312" w:eastAsia="仿宋_GB2312" w:cs="Times New Roman" w:hAnsiTheme="minorEastAsia"/>
          <w:sz w:val="32"/>
          <w:szCs w:val="32"/>
          <w:u w:color="000000"/>
        </w:rPr>
        <w:t>2021</w:t>
      </w:r>
      <w:r>
        <w:rPr>
          <w:rFonts w:hint="eastAsia" w:ascii="仿宋_GB2312" w:eastAsia="仿宋_GB2312" w:cs="Times New Roman" w:hAnsiTheme="minorEastAsia"/>
          <w:sz w:val="32"/>
          <w:szCs w:val="32"/>
          <w:u w:color="000000"/>
        </w:rPr>
        <w:t>年中共保定市徐水区委统战部工作活动绩效目标、绩效指标一览表</w:t>
      </w:r>
      <w:bookmarkEnd w:id="77"/>
    </w:p>
    <w:p w14:paraId="65E53CB0">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265C45AA">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28A7E2B9">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04FFA707">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070BF169">
      <w:pPr>
        <w:spacing w:line="540" w:lineRule="exact"/>
        <w:ind w:firstLine="640" w:firstLineChars="200"/>
        <w:jc w:val="both"/>
        <w:textAlignment w:val="baseline"/>
        <w:rPr>
          <w:rFonts w:ascii="仿宋_GB2312" w:eastAsia="仿宋_GB2312" w:cs="Times New Roman" w:hAnsiTheme="minorEastAsia"/>
          <w:sz w:val="32"/>
          <w:szCs w:val="32"/>
          <w:u w:color="000000"/>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DengXian-Regular">
    <w:altName w:val="宋体"/>
    <w:panose1 w:val="00000000000000000000"/>
    <w:charset w:val="86"/>
    <w:family w:val="auto"/>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 w:name="方正仿宋_GBK">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83098">
    <w:pPr>
      <w:pStyle w:val="14"/>
      <w:jc w:val="center"/>
    </w:pPr>
  </w:p>
  <w:p w14:paraId="06031ABA">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B1EE7">
    <w:pPr>
      <w:pStyle w:val="14"/>
      <w:jc w:val="center"/>
    </w:pPr>
    <w:r>
      <w:fldChar w:fldCharType="begin"/>
    </w:r>
    <w:r>
      <w:instrText xml:space="preserve"> PAGE   \* MERGEFORMAT </w:instrText>
    </w:r>
    <w:r>
      <w:fldChar w:fldCharType="separate"/>
    </w:r>
    <w:r>
      <w:rPr>
        <w:lang w:val="zh-CN"/>
      </w:rPr>
      <w:t>22</w:t>
    </w:r>
    <w:r>
      <w:rPr>
        <w:lang w:val="zh-CN"/>
      </w:rPr>
      <w:fldChar w:fldCharType="end"/>
    </w:r>
  </w:p>
  <w:p w14:paraId="01F6A99B">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4179"/>
    <w:rsid w:val="0000439F"/>
    <w:rsid w:val="00007CA0"/>
    <w:rsid w:val="000122D2"/>
    <w:rsid w:val="00015C39"/>
    <w:rsid w:val="000174D3"/>
    <w:rsid w:val="0002415F"/>
    <w:rsid w:val="00025620"/>
    <w:rsid w:val="00026F83"/>
    <w:rsid w:val="0002705B"/>
    <w:rsid w:val="000317D7"/>
    <w:rsid w:val="00032B03"/>
    <w:rsid w:val="000334C2"/>
    <w:rsid w:val="0003450B"/>
    <w:rsid w:val="0003465E"/>
    <w:rsid w:val="00034910"/>
    <w:rsid w:val="0003506D"/>
    <w:rsid w:val="000409C0"/>
    <w:rsid w:val="0004123E"/>
    <w:rsid w:val="00044599"/>
    <w:rsid w:val="000446E5"/>
    <w:rsid w:val="00044A25"/>
    <w:rsid w:val="00047D7B"/>
    <w:rsid w:val="000509B6"/>
    <w:rsid w:val="00050A62"/>
    <w:rsid w:val="000516BA"/>
    <w:rsid w:val="00051DBC"/>
    <w:rsid w:val="00052010"/>
    <w:rsid w:val="00061096"/>
    <w:rsid w:val="000612A2"/>
    <w:rsid w:val="00063117"/>
    <w:rsid w:val="00072BF5"/>
    <w:rsid w:val="000752C6"/>
    <w:rsid w:val="00075B78"/>
    <w:rsid w:val="00077648"/>
    <w:rsid w:val="00080E48"/>
    <w:rsid w:val="00091D50"/>
    <w:rsid w:val="000935D5"/>
    <w:rsid w:val="0009618D"/>
    <w:rsid w:val="00096195"/>
    <w:rsid w:val="0009756F"/>
    <w:rsid w:val="000A1F67"/>
    <w:rsid w:val="000A2079"/>
    <w:rsid w:val="000A5467"/>
    <w:rsid w:val="000B09F3"/>
    <w:rsid w:val="000B0C4A"/>
    <w:rsid w:val="000B23E8"/>
    <w:rsid w:val="000B62FE"/>
    <w:rsid w:val="000B72BC"/>
    <w:rsid w:val="000B78D7"/>
    <w:rsid w:val="000C1EA5"/>
    <w:rsid w:val="000C52FB"/>
    <w:rsid w:val="000C55E6"/>
    <w:rsid w:val="000C6D5A"/>
    <w:rsid w:val="000D09B2"/>
    <w:rsid w:val="000D7C38"/>
    <w:rsid w:val="000E0902"/>
    <w:rsid w:val="000E3830"/>
    <w:rsid w:val="000F070B"/>
    <w:rsid w:val="000F3158"/>
    <w:rsid w:val="000F364D"/>
    <w:rsid w:val="000F4432"/>
    <w:rsid w:val="000F465E"/>
    <w:rsid w:val="000F5E8C"/>
    <w:rsid w:val="001000B2"/>
    <w:rsid w:val="00104C6C"/>
    <w:rsid w:val="0010560E"/>
    <w:rsid w:val="0010612A"/>
    <w:rsid w:val="00106FF7"/>
    <w:rsid w:val="00107111"/>
    <w:rsid w:val="001073D6"/>
    <w:rsid w:val="00107819"/>
    <w:rsid w:val="0011574B"/>
    <w:rsid w:val="00116132"/>
    <w:rsid w:val="00117B9C"/>
    <w:rsid w:val="00117E7D"/>
    <w:rsid w:val="00120EA6"/>
    <w:rsid w:val="00122196"/>
    <w:rsid w:val="0012439D"/>
    <w:rsid w:val="0012587C"/>
    <w:rsid w:val="0013591D"/>
    <w:rsid w:val="00141DE8"/>
    <w:rsid w:val="00144105"/>
    <w:rsid w:val="00145B4E"/>
    <w:rsid w:val="001544E1"/>
    <w:rsid w:val="001551CE"/>
    <w:rsid w:val="00164732"/>
    <w:rsid w:val="00164FE1"/>
    <w:rsid w:val="001703D7"/>
    <w:rsid w:val="001719D0"/>
    <w:rsid w:val="00172245"/>
    <w:rsid w:val="0017403C"/>
    <w:rsid w:val="00174241"/>
    <w:rsid w:val="00176E7D"/>
    <w:rsid w:val="001804B7"/>
    <w:rsid w:val="001827F5"/>
    <w:rsid w:val="00183C43"/>
    <w:rsid w:val="00185652"/>
    <w:rsid w:val="00187750"/>
    <w:rsid w:val="00190292"/>
    <w:rsid w:val="001926B8"/>
    <w:rsid w:val="0019341A"/>
    <w:rsid w:val="001952EC"/>
    <w:rsid w:val="001A0F7A"/>
    <w:rsid w:val="001A1677"/>
    <w:rsid w:val="001A5FD3"/>
    <w:rsid w:val="001B0380"/>
    <w:rsid w:val="001B04A4"/>
    <w:rsid w:val="001B30D5"/>
    <w:rsid w:val="001B382A"/>
    <w:rsid w:val="001B3A99"/>
    <w:rsid w:val="001B5C88"/>
    <w:rsid w:val="001B6CE6"/>
    <w:rsid w:val="001C046D"/>
    <w:rsid w:val="001C1412"/>
    <w:rsid w:val="001C391F"/>
    <w:rsid w:val="001C5135"/>
    <w:rsid w:val="001C796E"/>
    <w:rsid w:val="001D1367"/>
    <w:rsid w:val="001D5041"/>
    <w:rsid w:val="001D5A7C"/>
    <w:rsid w:val="001D76AA"/>
    <w:rsid w:val="001E21EA"/>
    <w:rsid w:val="001E288A"/>
    <w:rsid w:val="001E3ABB"/>
    <w:rsid w:val="001E4C24"/>
    <w:rsid w:val="001E5C43"/>
    <w:rsid w:val="001F07B6"/>
    <w:rsid w:val="001F0B92"/>
    <w:rsid w:val="001F1094"/>
    <w:rsid w:val="001F2F0E"/>
    <w:rsid w:val="001F33AA"/>
    <w:rsid w:val="001F6236"/>
    <w:rsid w:val="00200051"/>
    <w:rsid w:val="00202D5A"/>
    <w:rsid w:val="00205F02"/>
    <w:rsid w:val="0021307B"/>
    <w:rsid w:val="002142B8"/>
    <w:rsid w:val="002161F4"/>
    <w:rsid w:val="00216E75"/>
    <w:rsid w:val="00221907"/>
    <w:rsid w:val="00222FA8"/>
    <w:rsid w:val="0022532A"/>
    <w:rsid w:val="00227AFB"/>
    <w:rsid w:val="00235741"/>
    <w:rsid w:val="00236B18"/>
    <w:rsid w:val="002401EA"/>
    <w:rsid w:val="00241B9D"/>
    <w:rsid w:val="002439D4"/>
    <w:rsid w:val="00245CB2"/>
    <w:rsid w:val="00246A44"/>
    <w:rsid w:val="00250BAC"/>
    <w:rsid w:val="00260245"/>
    <w:rsid w:val="0026252A"/>
    <w:rsid w:val="00262BB1"/>
    <w:rsid w:val="00263D3A"/>
    <w:rsid w:val="002643BE"/>
    <w:rsid w:val="00265325"/>
    <w:rsid w:val="00266E84"/>
    <w:rsid w:val="002715FC"/>
    <w:rsid w:val="002736FD"/>
    <w:rsid w:val="00274CFA"/>
    <w:rsid w:val="00275677"/>
    <w:rsid w:val="00275A3F"/>
    <w:rsid w:val="0028068C"/>
    <w:rsid w:val="00280F6C"/>
    <w:rsid w:val="00282A89"/>
    <w:rsid w:val="00283F8F"/>
    <w:rsid w:val="002869F9"/>
    <w:rsid w:val="00292F98"/>
    <w:rsid w:val="002939A0"/>
    <w:rsid w:val="002959A3"/>
    <w:rsid w:val="0029626E"/>
    <w:rsid w:val="00296E59"/>
    <w:rsid w:val="00297CEF"/>
    <w:rsid w:val="002A0364"/>
    <w:rsid w:val="002A1661"/>
    <w:rsid w:val="002A1A25"/>
    <w:rsid w:val="002A563C"/>
    <w:rsid w:val="002B05EF"/>
    <w:rsid w:val="002B2E34"/>
    <w:rsid w:val="002B3C57"/>
    <w:rsid w:val="002B76FA"/>
    <w:rsid w:val="002C029E"/>
    <w:rsid w:val="002C2C71"/>
    <w:rsid w:val="002C5A65"/>
    <w:rsid w:val="002C71F3"/>
    <w:rsid w:val="002D2112"/>
    <w:rsid w:val="002D53D7"/>
    <w:rsid w:val="002D5508"/>
    <w:rsid w:val="002D5FC1"/>
    <w:rsid w:val="002D7AB3"/>
    <w:rsid w:val="002E1D3C"/>
    <w:rsid w:val="002E1F73"/>
    <w:rsid w:val="002E269D"/>
    <w:rsid w:val="002E3460"/>
    <w:rsid w:val="002E70AE"/>
    <w:rsid w:val="002F0C41"/>
    <w:rsid w:val="002F5B6A"/>
    <w:rsid w:val="002F5BF5"/>
    <w:rsid w:val="002F5ECA"/>
    <w:rsid w:val="00306572"/>
    <w:rsid w:val="003079C7"/>
    <w:rsid w:val="003169F3"/>
    <w:rsid w:val="0032078D"/>
    <w:rsid w:val="00321CE0"/>
    <w:rsid w:val="0032231F"/>
    <w:rsid w:val="00323B43"/>
    <w:rsid w:val="00325BCC"/>
    <w:rsid w:val="003309A3"/>
    <w:rsid w:val="003345BC"/>
    <w:rsid w:val="00343662"/>
    <w:rsid w:val="0035365E"/>
    <w:rsid w:val="00355403"/>
    <w:rsid w:val="003569A8"/>
    <w:rsid w:val="00361FFF"/>
    <w:rsid w:val="00362340"/>
    <w:rsid w:val="003653A5"/>
    <w:rsid w:val="00366971"/>
    <w:rsid w:val="00367DF7"/>
    <w:rsid w:val="00370AFA"/>
    <w:rsid w:val="0037120F"/>
    <w:rsid w:val="0037242E"/>
    <w:rsid w:val="003743E9"/>
    <w:rsid w:val="0038005F"/>
    <w:rsid w:val="003803CC"/>
    <w:rsid w:val="00382949"/>
    <w:rsid w:val="00391AE3"/>
    <w:rsid w:val="00393EC5"/>
    <w:rsid w:val="00396D4C"/>
    <w:rsid w:val="003A02BE"/>
    <w:rsid w:val="003A1765"/>
    <w:rsid w:val="003A3C32"/>
    <w:rsid w:val="003A4D02"/>
    <w:rsid w:val="003A4D52"/>
    <w:rsid w:val="003A536E"/>
    <w:rsid w:val="003B6DEC"/>
    <w:rsid w:val="003B79D3"/>
    <w:rsid w:val="003C2B92"/>
    <w:rsid w:val="003D126B"/>
    <w:rsid w:val="003D1D33"/>
    <w:rsid w:val="003D22C9"/>
    <w:rsid w:val="003D28AC"/>
    <w:rsid w:val="003D37D8"/>
    <w:rsid w:val="003D7B2A"/>
    <w:rsid w:val="003E266C"/>
    <w:rsid w:val="003E3C05"/>
    <w:rsid w:val="003F282F"/>
    <w:rsid w:val="00400E89"/>
    <w:rsid w:val="00401AB4"/>
    <w:rsid w:val="00402CA2"/>
    <w:rsid w:val="00402D95"/>
    <w:rsid w:val="00403ADD"/>
    <w:rsid w:val="00407629"/>
    <w:rsid w:val="004108EE"/>
    <w:rsid w:val="00410F1A"/>
    <w:rsid w:val="00412A31"/>
    <w:rsid w:val="004200B9"/>
    <w:rsid w:val="00426133"/>
    <w:rsid w:val="004300B1"/>
    <w:rsid w:val="00430AF8"/>
    <w:rsid w:val="0043148F"/>
    <w:rsid w:val="0043354D"/>
    <w:rsid w:val="00434EB0"/>
    <w:rsid w:val="004358AB"/>
    <w:rsid w:val="00435DA7"/>
    <w:rsid w:val="004370A2"/>
    <w:rsid w:val="00445C28"/>
    <w:rsid w:val="004468B5"/>
    <w:rsid w:val="00451E9F"/>
    <w:rsid w:val="004551F1"/>
    <w:rsid w:val="00456648"/>
    <w:rsid w:val="00457E00"/>
    <w:rsid w:val="00461E7C"/>
    <w:rsid w:val="004639E0"/>
    <w:rsid w:val="00463A6D"/>
    <w:rsid w:val="00465A21"/>
    <w:rsid w:val="0047047F"/>
    <w:rsid w:val="00472C49"/>
    <w:rsid w:val="00474DE3"/>
    <w:rsid w:val="00477959"/>
    <w:rsid w:val="00486217"/>
    <w:rsid w:val="00486A56"/>
    <w:rsid w:val="00494D73"/>
    <w:rsid w:val="004A19C4"/>
    <w:rsid w:val="004A6EA4"/>
    <w:rsid w:val="004B146A"/>
    <w:rsid w:val="004B1E69"/>
    <w:rsid w:val="004B2552"/>
    <w:rsid w:val="004B4146"/>
    <w:rsid w:val="004B5892"/>
    <w:rsid w:val="004B59DD"/>
    <w:rsid w:val="004B5E88"/>
    <w:rsid w:val="004B5EDE"/>
    <w:rsid w:val="004C0341"/>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3774"/>
    <w:rsid w:val="004E446B"/>
    <w:rsid w:val="004E5448"/>
    <w:rsid w:val="004E5DFC"/>
    <w:rsid w:val="004E642E"/>
    <w:rsid w:val="004E7ADC"/>
    <w:rsid w:val="004F4875"/>
    <w:rsid w:val="005031BA"/>
    <w:rsid w:val="00507211"/>
    <w:rsid w:val="00507934"/>
    <w:rsid w:val="0051171B"/>
    <w:rsid w:val="00512D1D"/>
    <w:rsid w:val="005131A5"/>
    <w:rsid w:val="00515160"/>
    <w:rsid w:val="00516D5A"/>
    <w:rsid w:val="005170FB"/>
    <w:rsid w:val="0052300D"/>
    <w:rsid w:val="00523B77"/>
    <w:rsid w:val="0052474C"/>
    <w:rsid w:val="00525074"/>
    <w:rsid w:val="00525520"/>
    <w:rsid w:val="005319EE"/>
    <w:rsid w:val="00531BE2"/>
    <w:rsid w:val="005421AC"/>
    <w:rsid w:val="00544C1A"/>
    <w:rsid w:val="00546D1B"/>
    <w:rsid w:val="0055027D"/>
    <w:rsid w:val="00554FA1"/>
    <w:rsid w:val="00556934"/>
    <w:rsid w:val="005601FB"/>
    <w:rsid w:val="005607DF"/>
    <w:rsid w:val="00564377"/>
    <w:rsid w:val="00564538"/>
    <w:rsid w:val="00566A89"/>
    <w:rsid w:val="00567E07"/>
    <w:rsid w:val="005771F7"/>
    <w:rsid w:val="00577B7B"/>
    <w:rsid w:val="00583F7F"/>
    <w:rsid w:val="0058600B"/>
    <w:rsid w:val="00587913"/>
    <w:rsid w:val="00593428"/>
    <w:rsid w:val="00593B65"/>
    <w:rsid w:val="005A15D6"/>
    <w:rsid w:val="005A1FD8"/>
    <w:rsid w:val="005A317D"/>
    <w:rsid w:val="005A79F9"/>
    <w:rsid w:val="005C3594"/>
    <w:rsid w:val="005C46B7"/>
    <w:rsid w:val="005C7C8B"/>
    <w:rsid w:val="005D5617"/>
    <w:rsid w:val="005D6591"/>
    <w:rsid w:val="005D6869"/>
    <w:rsid w:val="005D6F33"/>
    <w:rsid w:val="005D7446"/>
    <w:rsid w:val="005E5F88"/>
    <w:rsid w:val="005F06F5"/>
    <w:rsid w:val="005F46C0"/>
    <w:rsid w:val="005F471D"/>
    <w:rsid w:val="005F720A"/>
    <w:rsid w:val="005F7467"/>
    <w:rsid w:val="005F78E7"/>
    <w:rsid w:val="006007F3"/>
    <w:rsid w:val="0060402C"/>
    <w:rsid w:val="0061252A"/>
    <w:rsid w:val="006135B3"/>
    <w:rsid w:val="006138D4"/>
    <w:rsid w:val="00616C03"/>
    <w:rsid w:val="00616F30"/>
    <w:rsid w:val="006215A2"/>
    <w:rsid w:val="00621F7D"/>
    <w:rsid w:val="00622AD1"/>
    <w:rsid w:val="00623267"/>
    <w:rsid w:val="00625428"/>
    <w:rsid w:val="0062670B"/>
    <w:rsid w:val="00630B86"/>
    <w:rsid w:val="00630F5B"/>
    <w:rsid w:val="006322C4"/>
    <w:rsid w:val="00634C66"/>
    <w:rsid w:val="006352D1"/>
    <w:rsid w:val="00636E1A"/>
    <w:rsid w:val="00642BA5"/>
    <w:rsid w:val="006434E0"/>
    <w:rsid w:val="00650C90"/>
    <w:rsid w:val="0065172D"/>
    <w:rsid w:val="0065287D"/>
    <w:rsid w:val="0065671B"/>
    <w:rsid w:val="00656A5A"/>
    <w:rsid w:val="00663A42"/>
    <w:rsid w:val="0066418E"/>
    <w:rsid w:val="0066469F"/>
    <w:rsid w:val="0067780F"/>
    <w:rsid w:val="00686C30"/>
    <w:rsid w:val="00690FA3"/>
    <w:rsid w:val="0069331D"/>
    <w:rsid w:val="00696DF8"/>
    <w:rsid w:val="0069783E"/>
    <w:rsid w:val="00697E26"/>
    <w:rsid w:val="006A0330"/>
    <w:rsid w:val="006A3AE1"/>
    <w:rsid w:val="006A3B57"/>
    <w:rsid w:val="006A6AB2"/>
    <w:rsid w:val="006B117D"/>
    <w:rsid w:val="006B19B7"/>
    <w:rsid w:val="006B392C"/>
    <w:rsid w:val="006B4CC0"/>
    <w:rsid w:val="006B65B0"/>
    <w:rsid w:val="006C5198"/>
    <w:rsid w:val="006C6A07"/>
    <w:rsid w:val="006E0A3D"/>
    <w:rsid w:val="006E27F1"/>
    <w:rsid w:val="006E5BC8"/>
    <w:rsid w:val="006E7CBA"/>
    <w:rsid w:val="006F222F"/>
    <w:rsid w:val="006F7B69"/>
    <w:rsid w:val="0070241F"/>
    <w:rsid w:val="007024A9"/>
    <w:rsid w:val="00703C96"/>
    <w:rsid w:val="007130D7"/>
    <w:rsid w:val="00713E98"/>
    <w:rsid w:val="00715591"/>
    <w:rsid w:val="00715AE8"/>
    <w:rsid w:val="0072516F"/>
    <w:rsid w:val="00725D44"/>
    <w:rsid w:val="0073034D"/>
    <w:rsid w:val="00731ADC"/>
    <w:rsid w:val="007330F2"/>
    <w:rsid w:val="00733DB0"/>
    <w:rsid w:val="00735043"/>
    <w:rsid w:val="00740444"/>
    <w:rsid w:val="00744577"/>
    <w:rsid w:val="007452CF"/>
    <w:rsid w:val="00746055"/>
    <w:rsid w:val="00746DA9"/>
    <w:rsid w:val="00747086"/>
    <w:rsid w:val="007515E2"/>
    <w:rsid w:val="00756D66"/>
    <w:rsid w:val="00761D80"/>
    <w:rsid w:val="0076364A"/>
    <w:rsid w:val="00766FC5"/>
    <w:rsid w:val="00770E5B"/>
    <w:rsid w:val="00772930"/>
    <w:rsid w:val="00776E20"/>
    <w:rsid w:val="007814AF"/>
    <w:rsid w:val="007825F0"/>
    <w:rsid w:val="00787F88"/>
    <w:rsid w:val="0079721A"/>
    <w:rsid w:val="007A095C"/>
    <w:rsid w:val="007A0AF8"/>
    <w:rsid w:val="007A283A"/>
    <w:rsid w:val="007A65C8"/>
    <w:rsid w:val="007A6B16"/>
    <w:rsid w:val="007A7AC4"/>
    <w:rsid w:val="007B639C"/>
    <w:rsid w:val="007B7036"/>
    <w:rsid w:val="007C0870"/>
    <w:rsid w:val="007C2D10"/>
    <w:rsid w:val="007C457D"/>
    <w:rsid w:val="007D02A9"/>
    <w:rsid w:val="007D166D"/>
    <w:rsid w:val="007D17C7"/>
    <w:rsid w:val="007D2766"/>
    <w:rsid w:val="007D2FF7"/>
    <w:rsid w:val="007D74D8"/>
    <w:rsid w:val="007E13A4"/>
    <w:rsid w:val="007E20CA"/>
    <w:rsid w:val="007E3988"/>
    <w:rsid w:val="007E4698"/>
    <w:rsid w:val="007E6959"/>
    <w:rsid w:val="007E6991"/>
    <w:rsid w:val="007E7A36"/>
    <w:rsid w:val="007F222D"/>
    <w:rsid w:val="007F3FB7"/>
    <w:rsid w:val="007F518D"/>
    <w:rsid w:val="007F5480"/>
    <w:rsid w:val="007F68FE"/>
    <w:rsid w:val="007F7E7E"/>
    <w:rsid w:val="00803C29"/>
    <w:rsid w:val="00804E5E"/>
    <w:rsid w:val="00804FAA"/>
    <w:rsid w:val="00805678"/>
    <w:rsid w:val="00805D26"/>
    <w:rsid w:val="0081553D"/>
    <w:rsid w:val="00815BE9"/>
    <w:rsid w:val="00815C94"/>
    <w:rsid w:val="00815CF6"/>
    <w:rsid w:val="00816990"/>
    <w:rsid w:val="00817981"/>
    <w:rsid w:val="00822851"/>
    <w:rsid w:val="00824A75"/>
    <w:rsid w:val="0082509A"/>
    <w:rsid w:val="00825A51"/>
    <w:rsid w:val="00825D53"/>
    <w:rsid w:val="008272DF"/>
    <w:rsid w:val="00831065"/>
    <w:rsid w:val="008337A7"/>
    <w:rsid w:val="00835BCB"/>
    <w:rsid w:val="00836773"/>
    <w:rsid w:val="00836E6A"/>
    <w:rsid w:val="008410D0"/>
    <w:rsid w:val="00841559"/>
    <w:rsid w:val="0084558B"/>
    <w:rsid w:val="00845924"/>
    <w:rsid w:val="00846107"/>
    <w:rsid w:val="00847E07"/>
    <w:rsid w:val="00851297"/>
    <w:rsid w:val="00852C43"/>
    <w:rsid w:val="00853737"/>
    <w:rsid w:val="008541B8"/>
    <w:rsid w:val="00857249"/>
    <w:rsid w:val="00861067"/>
    <w:rsid w:val="00862AE2"/>
    <w:rsid w:val="00862C25"/>
    <w:rsid w:val="00863CA2"/>
    <w:rsid w:val="00864A80"/>
    <w:rsid w:val="008655ED"/>
    <w:rsid w:val="00866942"/>
    <w:rsid w:val="00871B0D"/>
    <w:rsid w:val="00871B14"/>
    <w:rsid w:val="008735A1"/>
    <w:rsid w:val="00875962"/>
    <w:rsid w:val="00880325"/>
    <w:rsid w:val="00882ABD"/>
    <w:rsid w:val="008844A4"/>
    <w:rsid w:val="008857CC"/>
    <w:rsid w:val="0089314F"/>
    <w:rsid w:val="0089328E"/>
    <w:rsid w:val="0089513A"/>
    <w:rsid w:val="00896069"/>
    <w:rsid w:val="00896786"/>
    <w:rsid w:val="008976AB"/>
    <w:rsid w:val="008A2C15"/>
    <w:rsid w:val="008A3DBA"/>
    <w:rsid w:val="008A483E"/>
    <w:rsid w:val="008A5601"/>
    <w:rsid w:val="008B7726"/>
    <w:rsid w:val="008C08EC"/>
    <w:rsid w:val="008C2997"/>
    <w:rsid w:val="008C443B"/>
    <w:rsid w:val="008C538A"/>
    <w:rsid w:val="008D0618"/>
    <w:rsid w:val="008D1AEB"/>
    <w:rsid w:val="008D1E23"/>
    <w:rsid w:val="008D2A7C"/>
    <w:rsid w:val="008D3031"/>
    <w:rsid w:val="008D457A"/>
    <w:rsid w:val="008D4F00"/>
    <w:rsid w:val="008D7DBC"/>
    <w:rsid w:val="008E08B2"/>
    <w:rsid w:val="008E0AFC"/>
    <w:rsid w:val="008E1E43"/>
    <w:rsid w:val="008E3116"/>
    <w:rsid w:val="008E637F"/>
    <w:rsid w:val="008E66FE"/>
    <w:rsid w:val="008F27DB"/>
    <w:rsid w:val="008F5B6F"/>
    <w:rsid w:val="009002A3"/>
    <w:rsid w:val="0090038C"/>
    <w:rsid w:val="009007EC"/>
    <w:rsid w:val="00900EF5"/>
    <w:rsid w:val="00901EE5"/>
    <w:rsid w:val="0090421D"/>
    <w:rsid w:val="00905BF0"/>
    <w:rsid w:val="00906447"/>
    <w:rsid w:val="0091349D"/>
    <w:rsid w:val="009141C7"/>
    <w:rsid w:val="009160EA"/>
    <w:rsid w:val="00920597"/>
    <w:rsid w:val="00921E42"/>
    <w:rsid w:val="00922872"/>
    <w:rsid w:val="0092425B"/>
    <w:rsid w:val="00924D39"/>
    <w:rsid w:val="00924FFE"/>
    <w:rsid w:val="009263C3"/>
    <w:rsid w:val="009268AB"/>
    <w:rsid w:val="009364FF"/>
    <w:rsid w:val="00942397"/>
    <w:rsid w:val="009425B4"/>
    <w:rsid w:val="00946F52"/>
    <w:rsid w:val="00950F44"/>
    <w:rsid w:val="00952A7D"/>
    <w:rsid w:val="00952BF8"/>
    <w:rsid w:val="00953747"/>
    <w:rsid w:val="0095565A"/>
    <w:rsid w:val="00955918"/>
    <w:rsid w:val="00960439"/>
    <w:rsid w:val="00961D67"/>
    <w:rsid w:val="00962D93"/>
    <w:rsid w:val="009636EF"/>
    <w:rsid w:val="0096408D"/>
    <w:rsid w:val="009651A8"/>
    <w:rsid w:val="009657E9"/>
    <w:rsid w:val="0096666B"/>
    <w:rsid w:val="0097114E"/>
    <w:rsid w:val="009719C3"/>
    <w:rsid w:val="0097578E"/>
    <w:rsid w:val="00976E55"/>
    <w:rsid w:val="009814B0"/>
    <w:rsid w:val="00984D41"/>
    <w:rsid w:val="009852BB"/>
    <w:rsid w:val="009853C4"/>
    <w:rsid w:val="0098547C"/>
    <w:rsid w:val="009860B4"/>
    <w:rsid w:val="00986724"/>
    <w:rsid w:val="0098718E"/>
    <w:rsid w:val="00994269"/>
    <w:rsid w:val="0099439A"/>
    <w:rsid w:val="00994737"/>
    <w:rsid w:val="009A0F00"/>
    <w:rsid w:val="009A37AE"/>
    <w:rsid w:val="009A4059"/>
    <w:rsid w:val="009A47EF"/>
    <w:rsid w:val="009B1979"/>
    <w:rsid w:val="009B1E1B"/>
    <w:rsid w:val="009B2CC0"/>
    <w:rsid w:val="009B4C38"/>
    <w:rsid w:val="009C0DAB"/>
    <w:rsid w:val="009C1E20"/>
    <w:rsid w:val="009D0378"/>
    <w:rsid w:val="009D0F18"/>
    <w:rsid w:val="009D1EFB"/>
    <w:rsid w:val="009D5964"/>
    <w:rsid w:val="009D6A0C"/>
    <w:rsid w:val="009E0725"/>
    <w:rsid w:val="009E1492"/>
    <w:rsid w:val="009E4B3F"/>
    <w:rsid w:val="009E5877"/>
    <w:rsid w:val="009F69B0"/>
    <w:rsid w:val="00A0310D"/>
    <w:rsid w:val="00A073F4"/>
    <w:rsid w:val="00A07BBE"/>
    <w:rsid w:val="00A16439"/>
    <w:rsid w:val="00A21057"/>
    <w:rsid w:val="00A217CE"/>
    <w:rsid w:val="00A21E86"/>
    <w:rsid w:val="00A22DFB"/>
    <w:rsid w:val="00A305E3"/>
    <w:rsid w:val="00A353F1"/>
    <w:rsid w:val="00A357B0"/>
    <w:rsid w:val="00A35B22"/>
    <w:rsid w:val="00A42B99"/>
    <w:rsid w:val="00A45C34"/>
    <w:rsid w:val="00A4704D"/>
    <w:rsid w:val="00A479B6"/>
    <w:rsid w:val="00A50D3C"/>
    <w:rsid w:val="00A532E3"/>
    <w:rsid w:val="00A54D9C"/>
    <w:rsid w:val="00A57200"/>
    <w:rsid w:val="00A57865"/>
    <w:rsid w:val="00A62B31"/>
    <w:rsid w:val="00A64850"/>
    <w:rsid w:val="00A65003"/>
    <w:rsid w:val="00A65202"/>
    <w:rsid w:val="00A73299"/>
    <w:rsid w:val="00A7536B"/>
    <w:rsid w:val="00A80356"/>
    <w:rsid w:val="00A816B6"/>
    <w:rsid w:val="00A82D81"/>
    <w:rsid w:val="00A85A8E"/>
    <w:rsid w:val="00A96E79"/>
    <w:rsid w:val="00AA2033"/>
    <w:rsid w:val="00AA4A07"/>
    <w:rsid w:val="00AA6230"/>
    <w:rsid w:val="00AB632D"/>
    <w:rsid w:val="00AC5444"/>
    <w:rsid w:val="00AC70E1"/>
    <w:rsid w:val="00AD1D29"/>
    <w:rsid w:val="00AD328E"/>
    <w:rsid w:val="00AD5147"/>
    <w:rsid w:val="00AE0837"/>
    <w:rsid w:val="00AE11C8"/>
    <w:rsid w:val="00AE355C"/>
    <w:rsid w:val="00AE4EFC"/>
    <w:rsid w:val="00AE5731"/>
    <w:rsid w:val="00AE7127"/>
    <w:rsid w:val="00AF6BA2"/>
    <w:rsid w:val="00AF7801"/>
    <w:rsid w:val="00B019E2"/>
    <w:rsid w:val="00B020ED"/>
    <w:rsid w:val="00B036CB"/>
    <w:rsid w:val="00B130D5"/>
    <w:rsid w:val="00B13566"/>
    <w:rsid w:val="00B13A54"/>
    <w:rsid w:val="00B14220"/>
    <w:rsid w:val="00B16868"/>
    <w:rsid w:val="00B17251"/>
    <w:rsid w:val="00B2159A"/>
    <w:rsid w:val="00B21D32"/>
    <w:rsid w:val="00B313B2"/>
    <w:rsid w:val="00B337AE"/>
    <w:rsid w:val="00B34A43"/>
    <w:rsid w:val="00B36912"/>
    <w:rsid w:val="00B404A0"/>
    <w:rsid w:val="00B4256A"/>
    <w:rsid w:val="00B432AB"/>
    <w:rsid w:val="00B54D75"/>
    <w:rsid w:val="00B60C2A"/>
    <w:rsid w:val="00B65FC0"/>
    <w:rsid w:val="00B707DD"/>
    <w:rsid w:val="00B719F4"/>
    <w:rsid w:val="00B73995"/>
    <w:rsid w:val="00B74DBC"/>
    <w:rsid w:val="00B75E08"/>
    <w:rsid w:val="00B76684"/>
    <w:rsid w:val="00B7698F"/>
    <w:rsid w:val="00B85F5F"/>
    <w:rsid w:val="00B86395"/>
    <w:rsid w:val="00B86E2B"/>
    <w:rsid w:val="00B91DEC"/>
    <w:rsid w:val="00B92A56"/>
    <w:rsid w:val="00B931F8"/>
    <w:rsid w:val="00B95DB0"/>
    <w:rsid w:val="00B9722F"/>
    <w:rsid w:val="00B97741"/>
    <w:rsid w:val="00BA0721"/>
    <w:rsid w:val="00BA1883"/>
    <w:rsid w:val="00BA227D"/>
    <w:rsid w:val="00BA3EFA"/>
    <w:rsid w:val="00BA4C84"/>
    <w:rsid w:val="00BC09FC"/>
    <w:rsid w:val="00BC0DD5"/>
    <w:rsid w:val="00BC60E6"/>
    <w:rsid w:val="00BE66AA"/>
    <w:rsid w:val="00BE73B9"/>
    <w:rsid w:val="00BF444F"/>
    <w:rsid w:val="00BF77F5"/>
    <w:rsid w:val="00C01D8A"/>
    <w:rsid w:val="00C023EF"/>
    <w:rsid w:val="00C15415"/>
    <w:rsid w:val="00C16FE4"/>
    <w:rsid w:val="00C172EB"/>
    <w:rsid w:val="00C22F98"/>
    <w:rsid w:val="00C2363B"/>
    <w:rsid w:val="00C26560"/>
    <w:rsid w:val="00C3062F"/>
    <w:rsid w:val="00C32E7A"/>
    <w:rsid w:val="00C408D9"/>
    <w:rsid w:val="00C42DB9"/>
    <w:rsid w:val="00C447FD"/>
    <w:rsid w:val="00C44B90"/>
    <w:rsid w:val="00C51434"/>
    <w:rsid w:val="00C51743"/>
    <w:rsid w:val="00C51A61"/>
    <w:rsid w:val="00C57393"/>
    <w:rsid w:val="00C64C71"/>
    <w:rsid w:val="00C6528B"/>
    <w:rsid w:val="00C661B3"/>
    <w:rsid w:val="00C70300"/>
    <w:rsid w:val="00C7037D"/>
    <w:rsid w:val="00C70637"/>
    <w:rsid w:val="00C71DC8"/>
    <w:rsid w:val="00C73E69"/>
    <w:rsid w:val="00C74592"/>
    <w:rsid w:val="00C767BA"/>
    <w:rsid w:val="00C8048C"/>
    <w:rsid w:val="00C80C68"/>
    <w:rsid w:val="00C86E9A"/>
    <w:rsid w:val="00C90CE5"/>
    <w:rsid w:val="00C93A3D"/>
    <w:rsid w:val="00C94F0A"/>
    <w:rsid w:val="00CA3203"/>
    <w:rsid w:val="00CA6058"/>
    <w:rsid w:val="00CA6BD1"/>
    <w:rsid w:val="00CB1B1B"/>
    <w:rsid w:val="00CB3E03"/>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E33C1"/>
    <w:rsid w:val="00CE3834"/>
    <w:rsid w:val="00CF148C"/>
    <w:rsid w:val="00CF3D94"/>
    <w:rsid w:val="00CF48A3"/>
    <w:rsid w:val="00CF5081"/>
    <w:rsid w:val="00D058E4"/>
    <w:rsid w:val="00D07178"/>
    <w:rsid w:val="00D11C0B"/>
    <w:rsid w:val="00D11EE9"/>
    <w:rsid w:val="00D13F47"/>
    <w:rsid w:val="00D14E66"/>
    <w:rsid w:val="00D17631"/>
    <w:rsid w:val="00D17CD3"/>
    <w:rsid w:val="00D202C9"/>
    <w:rsid w:val="00D21B22"/>
    <w:rsid w:val="00D24AEB"/>
    <w:rsid w:val="00D24AFD"/>
    <w:rsid w:val="00D27902"/>
    <w:rsid w:val="00D27984"/>
    <w:rsid w:val="00D31D50"/>
    <w:rsid w:val="00D323E9"/>
    <w:rsid w:val="00D34F5B"/>
    <w:rsid w:val="00D35023"/>
    <w:rsid w:val="00D403B8"/>
    <w:rsid w:val="00D45C1B"/>
    <w:rsid w:val="00D45E14"/>
    <w:rsid w:val="00D51C9A"/>
    <w:rsid w:val="00D5318C"/>
    <w:rsid w:val="00D53371"/>
    <w:rsid w:val="00D53BD5"/>
    <w:rsid w:val="00D55621"/>
    <w:rsid w:val="00D6000E"/>
    <w:rsid w:val="00D713D6"/>
    <w:rsid w:val="00D72DAF"/>
    <w:rsid w:val="00D75BB9"/>
    <w:rsid w:val="00D76276"/>
    <w:rsid w:val="00D77919"/>
    <w:rsid w:val="00D8083C"/>
    <w:rsid w:val="00D85F8D"/>
    <w:rsid w:val="00D87F81"/>
    <w:rsid w:val="00D90E39"/>
    <w:rsid w:val="00D97E89"/>
    <w:rsid w:val="00DA45EE"/>
    <w:rsid w:val="00DA58A3"/>
    <w:rsid w:val="00DB2F5B"/>
    <w:rsid w:val="00DB46CB"/>
    <w:rsid w:val="00DB695F"/>
    <w:rsid w:val="00DB7714"/>
    <w:rsid w:val="00DC03E7"/>
    <w:rsid w:val="00DC3710"/>
    <w:rsid w:val="00DC3B9E"/>
    <w:rsid w:val="00DC4FB9"/>
    <w:rsid w:val="00DC545F"/>
    <w:rsid w:val="00DC54A9"/>
    <w:rsid w:val="00DC6139"/>
    <w:rsid w:val="00DC6686"/>
    <w:rsid w:val="00DC6D84"/>
    <w:rsid w:val="00DC7F68"/>
    <w:rsid w:val="00DD1D7F"/>
    <w:rsid w:val="00DD360A"/>
    <w:rsid w:val="00DD7F91"/>
    <w:rsid w:val="00DE0985"/>
    <w:rsid w:val="00DE42BF"/>
    <w:rsid w:val="00DE4A1A"/>
    <w:rsid w:val="00DE4E11"/>
    <w:rsid w:val="00DE53FE"/>
    <w:rsid w:val="00DE6ED8"/>
    <w:rsid w:val="00E00A5F"/>
    <w:rsid w:val="00E05D64"/>
    <w:rsid w:val="00E07ABB"/>
    <w:rsid w:val="00E07D8F"/>
    <w:rsid w:val="00E13762"/>
    <w:rsid w:val="00E14E2F"/>
    <w:rsid w:val="00E1552D"/>
    <w:rsid w:val="00E1640B"/>
    <w:rsid w:val="00E317A6"/>
    <w:rsid w:val="00E3190E"/>
    <w:rsid w:val="00E31F05"/>
    <w:rsid w:val="00E32285"/>
    <w:rsid w:val="00E34295"/>
    <w:rsid w:val="00E3667E"/>
    <w:rsid w:val="00E4228D"/>
    <w:rsid w:val="00E4254E"/>
    <w:rsid w:val="00E4608C"/>
    <w:rsid w:val="00E502A2"/>
    <w:rsid w:val="00E521B6"/>
    <w:rsid w:val="00E52931"/>
    <w:rsid w:val="00E53ACE"/>
    <w:rsid w:val="00E5519B"/>
    <w:rsid w:val="00E55FEE"/>
    <w:rsid w:val="00E57BD3"/>
    <w:rsid w:val="00E57D38"/>
    <w:rsid w:val="00E65332"/>
    <w:rsid w:val="00E65F77"/>
    <w:rsid w:val="00E670CD"/>
    <w:rsid w:val="00E67EA9"/>
    <w:rsid w:val="00E74783"/>
    <w:rsid w:val="00E7727F"/>
    <w:rsid w:val="00E83519"/>
    <w:rsid w:val="00E91889"/>
    <w:rsid w:val="00E91F0F"/>
    <w:rsid w:val="00E944E2"/>
    <w:rsid w:val="00E95C54"/>
    <w:rsid w:val="00E96103"/>
    <w:rsid w:val="00EA027D"/>
    <w:rsid w:val="00EB22CF"/>
    <w:rsid w:val="00EB3414"/>
    <w:rsid w:val="00EB39DD"/>
    <w:rsid w:val="00EB40E4"/>
    <w:rsid w:val="00EB67BA"/>
    <w:rsid w:val="00EC16F8"/>
    <w:rsid w:val="00EC306F"/>
    <w:rsid w:val="00EC408E"/>
    <w:rsid w:val="00EC41F2"/>
    <w:rsid w:val="00EC4E40"/>
    <w:rsid w:val="00EC4EB3"/>
    <w:rsid w:val="00EC5617"/>
    <w:rsid w:val="00EC7C9E"/>
    <w:rsid w:val="00ED230D"/>
    <w:rsid w:val="00ED2440"/>
    <w:rsid w:val="00EE1C0B"/>
    <w:rsid w:val="00EE59D0"/>
    <w:rsid w:val="00EE7FF3"/>
    <w:rsid w:val="00EF26BF"/>
    <w:rsid w:val="00EF4861"/>
    <w:rsid w:val="00EF50C7"/>
    <w:rsid w:val="00EF5E19"/>
    <w:rsid w:val="00EF779D"/>
    <w:rsid w:val="00EF7E82"/>
    <w:rsid w:val="00F01970"/>
    <w:rsid w:val="00F01B91"/>
    <w:rsid w:val="00F06AF6"/>
    <w:rsid w:val="00F079A5"/>
    <w:rsid w:val="00F07F69"/>
    <w:rsid w:val="00F107F9"/>
    <w:rsid w:val="00F111E0"/>
    <w:rsid w:val="00F117D4"/>
    <w:rsid w:val="00F16475"/>
    <w:rsid w:val="00F22D55"/>
    <w:rsid w:val="00F24A9A"/>
    <w:rsid w:val="00F2592D"/>
    <w:rsid w:val="00F25C5F"/>
    <w:rsid w:val="00F3182D"/>
    <w:rsid w:val="00F34EF2"/>
    <w:rsid w:val="00F3580F"/>
    <w:rsid w:val="00F406BB"/>
    <w:rsid w:val="00F44AD0"/>
    <w:rsid w:val="00F50379"/>
    <w:rsid w:val="00F55102"/>
    <w:rsid w:val="00F57115"/>
    <w:rsid w:val="00F606C9"/>
    <w:rsid w:val="00F6298B"/>
    <w:rsid w:val="00F63B02"/>
    <w:rsid w:val="00F65350"/>
    <w:rsid w:val="00F65C21"/>
    <w:rsid w:val="00F700A6"/>
    <w:rsid w:val="00F760D1"/>
    <w:rsid w:val="00F80815"/>
    <w:rsid w:val="00F8151A"/>
    <w:rsid w:val="00F83788"/>
    <w:rsid w:val="00F84D69"/>
    <w:rsid w:val="00F85054"/>
    <w:rsid w:val="00F87AEF"/>
    <w:rsid w:val="00F87C14"/>
    <w:rsid w:val="00F94F61"/>
    <w:rsid w:val="00FA17B4"/>
    <w:rsid w:val="00FA3581"/>
    <w:rsid w:val="00FB10B8"/>
    <w:rsid w:val="00FB24BA"/>
    <w:rsid w:val="00FB28C8"/>
    <w:rsid w:val="00FB381D"/>
    <w:rsid w:val="00FB6172"/>
    <w:rsid w:val="00FB6492"/>
    <w:rsid w:val="00FC007D"/>
    <w:rsid w:val="00FC131A"/>
    <w:rsid w:val="00FC224A"/>
    <w:rsid w:val="00FC43D6"/>
    <w:rsid w:val="00FD2208"/>
    <w:rsid w:val="00FD2EC4"/>
    <w:rsid w:val="00FD63D3"/>
    <w:rsid w:val="00FD717D"/>
    <w:rsid w:val="00FE44CF"/>
    <w:rsid w:val="00FF1239"/>
    <w:rsid w:val="00FF1AC1"/>
    <w:rsid w:val="00FF5DE3"/>
    <w:rsid w:val="00FF62F7"/>
    <w:rsid w:val="00FF6EAF"/>
    <w:rsid w:val="00FF7408"/>
    <w:rsid w:val="01F65399"/>
    <w:rsid w:val="026A1A9F"/>
    <w:rsid w:val="03226A0E"/>
    <w:rsid w:val="04260169"/>
    <w:rsid w:val="04CC4830"/>
    <w:rsid w:val="050945F2"/>
    <w:rsid w:val="050E4034"/>
    <w:rsid w:val="056F4DC0"/>
    <w:rsid w:val="05F86FA8"/>
    <w:rsid w:val="06174B4A"/>
    <w:rsid w:val="06342461"/>
    <w:rsid w:val="065C2670"/>
    <w:rsid w:val="06677EA2"/>
    <w:rsid w:val="06F06056"/>
    <w:rsid w:val="07021FF9"/>
    <w:rsid w:val="071C7BC7"/>
    <w:rsid w:val="075A67A2"/>
    <w:rsid w:val="0840050B"/>
    <w:rsid w:val="086D38AF"/>
    <w:rsid w:val="08C44882"/>
    <w:rsid w:val="08C94E4D"/>
    <w:rsid w:val="0915227D"/>
    <w:rsid w:val="09164C3B"/>
    <w:rsid w:val="099842FD"/>
    <w:rsid w:val="0A3A2559"/>
    <w:rsid w:val="0A805158"/>
    <w:rsid w:val="0AF87126"/>
    <w:rsid w:val="0B4B1CD9"/>
    <w:rsid w:val="0B9B2EBC"/>
    <w:rsid w:val="0BA309DB"/>
    <w:rsid w:val="0BC90D6D"/>
    <w:rsid w:val="0BCB508B"/>
    <w:rsid w:val="0C070B14"/>
    <w:rsid w:val="0C1A22A8"/>
    <w:rsid w:val="0C26236E"/>
    <w:rsid w:val="0C9306BE"/>
    <w:rsid w:val="0CB05CD1"/>
    <w:rsid w:val="0D1B39E9"/>
    <w:rsid w:val="0DCB2021"/>
    <w:rsid w:val="0E3A01CC"/>
    <w:rsid w:val="0E9172D3"/>
    <w:rsid w:val="0EC81F3C"/>
    <w:rsid w:val="0EF1422C"/>
    <w:rsid w:val="0F3B23D4"/>
    <w:rsid w:val="0F3B3DD7"/>
    <w:rsid w:val="107B6AE8"/>
    <w:rsid w:val="11195DC6"/>
    <w:rsid w:val="115A70AD"/>
    <w:rsid w:val="116421D6"/>
    <w:rsid w:val="11EA1B00"/>
    <w:rsid w:val="121F5AC5"/>
    <w:rsid w:val="125037BB"/>
    <w:rsid w:val="12521250"/>
    <w:rsid w:val="12524B60"/>
    <w:rsid w:val="125B2E30"/>
    <w:rsid w:val="12A71BA2"/>
    <w:rsid w:val="12E866AF"/>
    <w:rsid w:val="130C55D8"/>
    <w:rsid w:val="13244A23"/>
    <w:rsid w:val="13EE6B6B"/>
    <w:rsid w:val="1472386E"/>
    <w:rsid w:val="148F0FC6"/>
    <w:rsid w:val="151600A7"/>
    <w:rsid w:val="159F345A"/>
    <w:rsid w:val="15E43EF8"/>
    <w:rsid w:val="1675334D"/>
    <w:rsid w:val="16A81136"/>
    <w:rsid w:val="16AC4207"/>
    <w:rsid w:val="178A56FB"/>
    <w:rsid w:val="17A8647B"/>
    <w:rsid w:val="18253B4C"/>
    <w:rsid w:val="190F1674"/>
    <w:rsid w:val="19132D2F"/>
    <w:rsid w:val="19210747"/>
    <w:rsid w:val="196E7CB2"/>
    <w:rsid w:val="198759D2"/>
    <w:rsid w:val="19D72BB5"/>
    <w:rsid w:val="1AD212BF"/>
    <w:rsid w:val="1AF900F3"/>
    <w:rsid w:val="1AFC6A2C"/>
    <w:rsid w:val="1BE0351A"/>
    <w:rsid w:val="1C120302"/>
    <w:rsid w:val="1C442FCB"/>
    <w:rsid w:val="1C532B00"/>
    <w:rsid w:val="1CA8638D"/>
    <w:rsid w:val="1CCC12C5"/>
    <w:rsid w:val="1D1B1BAD"/>
    <w:rsid w:val="1D401A6B"/>
    <w:rsid w:val="1DCC5DA5"/>
    <w:rsid w:val="1E8A015B"/>
    <w:rsid w:val="1EA00E4A"/>
    <w:rsid w:val="1F4F1109"/>
    <w:rsid w:val="1F6A0646"/>
    <w:rsid w:val="206A0332"/>
    <w:rsid w:val="2091595B"/>
    <w:rsid w:val="20D47794"/>
    <w:rsid w:val="20F51AC3"/>
    <w:rsid w:val="2109112A"/>
    <w:rsid w:val="215C07B4"/>
    <w:rsid w:val="21AE6D2F"/>
    <w:rsid w:val="21C21552"/>
    <w:rsid w:val="21C347B6"/>
    <w:rsid w:val="21C3713A"/>
    <w:rsid w:val="24DA6297"/>
    <w:rsid w:val="252F3CBE"/>
    <w:rsid w:val="25586EBA"/>
    <w:rsid w:val="26694CDB"/>
    <w:rsid w:val="27821B3C"/>
    <w:rsid w:val="282C171E"/>
    <w:rsid w:val="2849297F"/>
    <w:rsid w:val="2936596A"/>
    <w:rsid w:val="2997006D"/>
    <w:rsid w:val="29AC5EF0"/>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7B20C5"/>
    <w:rsid w:val="32A33E31"/>
    <w:rsid w:val="32D048D8"/>
    <w:rsid w:val="32D3622F"/>
    <w:rsid w:val="32D63CF2"/>
    <w:rsid w:val="32F26097"/>
    <w:rsid w:val="3341799D"/>
    <w:rsid w:val="337A399F"/>
    <w:rsid w:val="337F2EFA"/>
    <w:rsid w:val="339029A7"/>
    <w:rsid w:val="33CC5FD9"/>
    <w:rsid w:val="34697607"/>
    <w:rsid w:val="34DC6FBF"/>
    <w:rsid w:val="352019FA"/>
    <w:rsid w:val="35731520"/>
    <w:rsid w:val="35F436C6"/>
    <w:rsid w:val="36037C49"/>
    <w:rsid w:val="36493186"/>
    <w:rsid w:val="36B804EA"/>
    <w:rsid w:val="371766EB"/>
    <w:rsid w:val="3728049C"/>
    <w:rsid w:val="37CD3E9A"/>
    <w:rsid w:val="37D03480"/>
    <w:rsid w:val="37D87189"/>
    <w:rsid w:val="37E87EA7"/>
    <w:rsid w:val="37F761BE"/>
    <w:rsid w:val="380B1A51"/>
    <w:rsid w:val="382056BC"/>
    <w:rsid w:val="38AB6B19"/>
    <w:rsid w:val="39035D73"/>
    <w:rsid w:val="39144BF9"/>
    <w:rsid w:val="391E6440"/>
    <w:rsid w:val="39236305"/>
    <w:rsid w:val="397D1814"/>
    <w:rsid w:val="3991694F"/>
    <w:rsid w:val="3A096C45"/>
    <w:rsid w:val="3A157721"/>
    <w:rsid w:val="3B3315C9"/>
    <w:rsid w:val="3B3666AA"/>
    <w:rsid w:val="3B5D03F9"/>
    <w:rsid w:val="3B9C69ED"/>
    <w:rsid w:val="3C075E40"/>
    <w:rsid w:val="3C0F314C"/>
    <w:rsid w:val="3C8400FD"/>
    <w:rsid w:val="3C8D5215"/>
    <w:rsid w:val="3CB96E1E"/>
    <w:rsid w:val="3E2A5A13"/>
    <w:rsid w:val="3E6A5C1B"/>
    <w:rsid w:val="3E951BD3"/>
    <w:rsid w:val="3EB91E59"/>
    <w:rsid w:val="3FA23A80"/>
    <w:rsid w:val="3FB75DF9"/>
    <w:rsid w:val="41392E99"/>
    <w:rsid w:val="418368ED"/>
    <w:rsid w:val="41B42BBE"/>
    <w:rsid w:val="425C64FC"/>
    <w:rsid w:val="4278675D"/>
    <w:rsid w:val="431F105C"/>
    <w:rsid w:val="43F003B4"/>
    <w:rsid w:val="446458DA"/>
    <w:rsid w:val="446645C4"/>
    <w:rsid w:val="44E00C2F"/>
    <w:rsid w:val="44F12828"/>
    <w:rsid w:val="453F4EE8"/>
    <w:rsid w:val="457E0C0E"/>
    <w:rsid w:val="4597523B"/>
    <w:rsid w:val="45A27895"/>
    <w:rsid w:val="4654463C"/>
    <w:rsid w:val="469D1E1F"/>
    <w:rsid w:val="4703453A"/>
    <w:rsid w:val="47401AE3"/>
    <w:rsid w:val="47847F9B"/>
    <w:rsid w:val="47B6276E"/>
    <w:rsid w:val="47D7714D"/>
    <w:rsid w:val="48CA305E"/>
    <w:rsid w:val="491D1161"/>
    <w:rsid w:val="4945471C"/>
    <w:rsid w:val="49C23604"/>
    <w:rsid w:val="4A6500D9"/>
    <w:rsid w:val="4B4D56DB"/>
    <w:rsid w:val="4B6C44FE"/>
    <w:rsid w:val="4BBD568E"/>
    <w:rsid w:val="4BCB58DC"/>
    <w:rsid w:val="4BE87F26"/>
    <w:rsid w:val="4C081E20"/>
    <w:rsid w:val="4C3974A1"/>
    <w:rsid w:val="4C4D743A"/>
    <w:rsid w:val="4C561056"/>
    <w:rsid w:val="4CDC25C4"/>
    <w:rsid w:val="4D2A1AAB"/>
    <w:rsid w:val="4DBE15DE"/>
    <w:rsid w:val="4DFF45BC"/>
    <w:rsid w:val="4E61428A"/>
    <w:rsid w:val="4E7B705D"/>
    <w:rsid w:val="4ECB455C"/>
    <w:rsid w:val="4EF16D21"/>
    <w:rsid w:val="4F4E6BEF"/>
    <w:rsid w:val="4F6745C5"/>
    <w:rsid w:val="4F751E54"/>
    <w:rsid w:val="4FA9510C"/>
    <w:rsid w:val="50891C17"/>
    <w:rsid w:val="520E7D39"/>
    <w:rsid w:val="527310FD"/>
    <w:rsid w:val="52C145B3"/>
    <w:rsid w:val="532C19FA"/>
    <w:rsid w:val="536C046F"/>
    <w:rsid w:val="53777260"/>
    <w:rsid w:val="53BD324D"/>
    <w:rsid w:val="53DA3FDB"/>
    <w:rsid w:val="54B52F23"/>
    <w:rsid w:val="559025B5"/>
    <w:rsid w:val="55BE6F35"/>
    <w:rsid w:val="562F4A45"/>
    <w:rsid w:val="56AB5747"/>
    <w:rsid w:val="56FF1046"/>
    <w:rsid w:val="57466A30"/>
    <w:rsid w:val="57E7750E"/>
    <w:rsid w:val="582C3304"/>
    <w:rsid w:val="583E683E"/>
    <w:rsid w:val="584263FC"/>
    <w:rsid w:val="58AA248A"/>
    <w:rsid w:val="592757C1"/>
    <w:rsid w:val="593D7078"/>
    <w:rsid w:val="5A097D45"/>
    <w:rsid w:val="5A232744"/>
    <w:rsid w:val="5A8E433F"/>
    <w:rsid w:val="5AC65DCB"/>
    <w:rsid w:val="5ACC5639"/>
    <w:rsid w:val="5AFE0937"/>
    <w:rsid w:val="5B022AFF"/>
    <w:rsid w:val="5B1C238B"/>
    <w:rsid w:val="5BB72396"/>
    <w:rsid w:val="5BDA2541"/>
    <w:rsid w:val="5C8E70AE"/>
    <w:rsid w:val="5C9700DF"/>
    <w:rsid w:val="5CFF5AEE"/>
    <w:rsid w:val="5D5260D6"/>
    <w:rsid w:val="5D6F0D72"/>
    <w:rsid w:val="5E4106DA"/>
    <w:rsid w:val="5E4B362D"/>
    <w:rsid w:val="5E4B3828"/>
    <w:rsid w:val="5EC32979"/>
    <w:rsid w:val="5EFC5263"/>
    <w:rsid w:val="5F2B51D9"/>
    <w:rsid w:val="5F37440C"/>
    <w:rsid w:val="609E7926"/>
    <w:rsid w:val="60CC769A"/>
    <w:rsid w:val="60F3280A"/>
    <w:rsid w:val="612B3A61"/>
    <w:rsid w:val="615A0826"/>
    <w:rsid w:val="616E5025"/>
    <w:rsid w:val="62117B48"/>
    <w:rsid w:val="6233066F"/>
    <w:rsid w:val="625714F8"/>
    <w:rsid w:val="62AF2B34"/>
    <w:rsid w:val="62D7081D"/>
    <w:rsid w:val="63687194"/>
    <w:rsid w:val="638E50BC"/>
    <w:rsid w:val="64D27A6F"/>
    <w:rsid w:val="65765688"/>
    <w:rsid w:val="65A40D91"/>
    <w:rsid w:val="66F55A6B"/>
    <w:rsid w:val="67327F2E"/>
    <w:rsid w:val="674609A7"/>
    <w:rsid w:val="67465B30"/>
    <w:rsid w:val="6749705F"/>
    <w:rsid w:val="68082611"/>
    <w:rsid w:val="688C533B"/>
    <w:rsid w:val="692F0DD2"/>
    <w:rsid w:val="692F6DB1"/>
    <w:rsid w:val="696B16A5"/>
    <w:rsid w:val="69772905"/>
    <w:rsid w:val="6A360EF4"/>
    <w:rsid w:val="6A736A2C"/>
    <w:rsid w:val="6AC4173D"/>
    <w:rsid w:val="6B3F6E7C"/>
    <w:rsid w:val="6B4F76A1"/>
    <w:rsid w:val="6BB6746F"/>
    <w:rsid w:val="6BFD03AE"/>
    <w:rsid w:val="6BFF6077"/>
    <w:rsid w:val="6C2308EC"/>
    <w:rsid w:val="6C867767"/>
    <w:rsid w:val="6CA34648"/>
    <w:rsid w:val="6D031FFE"/>
    <w:rsid w:val="6D870368"/>
    <w:rsid w:val="6DEF74D5"/>
    <w:rsid w:val="6E9856D0"/>
    <w:rsid w:val="6EB840FC"/>
    <w:rsid w:val="6EE920DC"/>
    <w:rsid w:val="6F377C99"/>
    <w:rsid w:val="6F7E7DE2"/>
    <w:rsid w:val="6FAA433E"/>
    <w:rsid w:val="6FC52A12"/>
    <w:rsid w:val="704F1D50"/>
    <w:rsid w:val="7062369D"/>
    <w:rsid w:val="70D8666D"/>
    <w:rsid w:val="70F82977"/>
    <w:rsid w:val="711203ED"/>
    <w:rsid w:val="712A76BE"/>
    <w:rsid w:val="716D6D00"/>
    <w:rsid w:val="719901C6"/>
    <w:rsid w:val="71B131C3"/>
    <w:rsid w:val="71CC5821"/>
    <w:rsid w:val="71F26BCA"/>
    <w:rsid w:val="71F331D2"/>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4B42DA"/>
    <w:rsid w:val="77CC2AC5"/>
    <w:rsid w:val="78AC0F28"/>
    <w:rsid w:val="78AD7E4B"/>
    <w:rsid w:val="7922758B"/>
    <w:rsid w:val="79766799"/>
    <w:rsid w:val="79B255D2"/>
    <w:rsid w:val="79B45BBB"/>
    <w:rsid w:val="79D0307E"/>
    <w:rsid w:val="79DE121D"/>
    <w:rsid w:val="79E249A2"/>
    <w:rsid w:val="7A5C7B4D"/>
    <w:rsid w:val="7B1F1C18"/>
    <w:rsid w:val="7B387938"/>
    <w:rsid w:val="7C341C52"/>
    <w:rsid w:val="7D033238"/>
    <w:rsid w:val="7D2F6ABF"/>
    <w:rsid w:val="7D50024E"/>
    <w:rsid w:val="7D637EF4"/>
    <w:rsid w:val="7E341B98"/>
    <w:rsid w:val="7E51328E"/>
    <w:rsid w:val="7F14576E"/>
    <w:rsid w:val="7FB7357D"/>
    <w:rsid w:val="7FC74D21"/>
    <w:rsid w:val="7FFF5B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字符"/>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字符"/>
    <w:basedOn w:val="24"/>
    <w:link w:val="3"/>
    <w:qFormat/>
    <w:uiPriority w:val="99"/>
    <w:rPr>
      <w:rFonts w:ascii="Arial" w:hAnsi="Arial" w:eastAsia="黑体" w:cs="Times New Roman"/>
      <w:b/>
      <w:bCs/>
      <w:kern w:val="2"/>
      <w:sz w:val="32"/>
      <w:szCs w:val="32"/>
    </w:rPr>
  </w:style>
  <w:style w:type="character" w:customStyle="1" w:styleId="33">
    <w:name w:val="标题 3 字符"/>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字符"/>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字符"/>
    <w:basedOn w:val="24"/>
    <w:link w:val="6"/>
    <w:qFormat/>
    <w:uiPriority w:val="0"/>
    <w:rPr>
      <w:rFonts w:ascii="Times New Roman" w:hAnsi="Times New Roman" w:eastAsia="宋体" w:cs="Times New Roman"/>
      <w:b/>
      <w:bCs/>
      <w:kern w:val="2"/>
      <w:sz w:val="28"/>
      <w:szCs w:val="28"/>
    </w:rPr>
  </w:style>
  <w:style w:type="character" w:customStyle="1" w:styleId="36">
    <w:name w:val="标题 6 字符"/>
    <w:basedOn w:val="24"/>
    <w:link w:val="7"/>
    <w:qFormat/>
    <w:uiPriority w:val="0"/>
    <w:rPr>
      <w:rFonts w:asciiTheme="majorHAnsi" w:hAnsiTheme="majorHAnsi" w:eastAsiaTheme="majorEastAsia" w:cstheme="majorBidi"/>
      <w:b/>
      <w:bCs/>
      <w:kern w:val="2"/>
      <w:sz w:val="24"/>
      <w:szCs w:val="24"/>
    </w:rPr>
  </w:style>
  <w:style w:type="character" w:customStyle="1" w:styleId="37">
    <w:name w:val="页眉 字符"/>
    <w:basedOn w:val="24"/>
    <w:link w:val="15"/>
    <w:qFormat/>
    <w:uiPriority w:val="99"/>
    <w:rPr>
      <w:rFonts w:ascii="Tahoma" w:hAnsi="Tahoma"/>
      <w:sz w:val="18"/>
      <w:szCs w:val="18"/>
    </w:rPr>
  </w:style>
  <w:style w:type="character" w:customStyle="1" w:styleId="38">
    <w:name w:val="页脚 字符"/>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字符"/>
    <w:basedOn w:val="24"/>
    <w:link w:val="9"/>
    <w:qFormat/>
    <w:uiPriority w:val="99"/>
    <w:rPr>
      <w:rFonts w:ascii="Tahoma" w:hAnsi="Tahoma"/>
    </w:rPr>
  </w:style>
  <w:style w:type="character" w:customStyle="1" w:styleId="42">
    <w:name w:val="批注主题 字符"/>
    <w:basedOn w:val="41"/>
    <w:link w:val="22"/>
    <w:qFormat/>
    <w:uiPriority w:val="99"/>
    <w:rPr>
      <w:rFonts w:ascii="Times New Roman" w:hAnsi="Times New Roman" w:eastAsia="宋体" w:cs="Times New Roman"/>
      <w:b/>
      <w:bCs/>
      <w:kern w:val="2"/>
      <w:sz w:val="21"/>
      <w:szCs w:val="24"/>
    </w:rPr>
  </w:style>
  <w:style w:type="character" w:customStyle="1" w:styleId="43">
    <w:name w:val="文档结构图 字符"/>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字符"/>
    <w:basedOn w:val="24"/>
    <w:link w:val="10"/>
    <w:qFormat/>
    <w:uiPriority w:val="99"/>
    <w:rPr>
      <w:rFonts w:ascii="Times New Roman" w:hAnsi="Times New Roman" w:eastAsia="宋体" w:cs="Times New Roman"/>
      <w:kern w:val="2"/>
      <w:sz w:val="21"/>
      <w:szCs w:val="24"/>
    </w:rPr>
  </w:style>
  <w:style w:type="character" w:customStyle="1" w:styleId="45">
    <w:name w:val="纯文本 字符"/>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字符"/>
    <w:basedOn w:val="24"/>
    <w:link w:val="13"/>
    <w:qFormat/>
    <w:uiPriority w:val="99"/>
    <w:rPr>
      <w:rFonts w:ascii="Times New Roman" w:hAnsi="Times New Roman" w:eastAsia="宋体" w:cs="Times New Roman"/>
      <w:kern w:val="2"/>
      <w:sz w:val="18"/>
      <w:szCs w:val="18"/>
    </w:rPr>
  </w:style>
  <w:style w:type="character" w:customStyle="1" w:styleId="47">
    <w:name w:val="脚注文本 字符"/>
    <w:basedOn w:val="24"/>
    <w:link w:val="17"/>
    <w:qFormat/>
    <w:uiPriority w:val="99"/>
    <w:rPr>
      <w:rFonts w:ascii="Times New Roman" w:hAnsi="Times New Roman" w:eastAsia="宋体" w:cs="Times New Roman"/>
      <w:kern w:val="2"/>
      <w:sz w:val="18"/>
      <w:szCs w:val="18"/>
    </w:rPr>
  </w:style>
  <w:style w:type="character" w:customStyle="1" w:styleId="48">
    <w:name w:val="HTML 预设格式 字符"/>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字符"/>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66091"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CE3CE-4F29-48DB-8972-CBDE372C0CF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13803</Words>
  <Characters>14833</Characters>
  <Lines>120</Lines>
  <Paragraphs>33</Paragraphs>
  <TotalTime>149</TotalTime>
  <ScaleCrop>false</ScaleCrop>
  <LinksUpToDate>false</LinksUpToDate>
  <CharactersWithSpaces>15005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2019-11-18T06:52:00Z</dcterms:created>
  <dc:creator>Administrator</dc:creator>
  <cp:lastModifiedBy>兔兔</cp:lastModifiedBy>
  <cp:lastPrinted>2022-11-21T09:26:00Z</cp:lastPrinted>
  <dcterms:modified xsi:type="dcterms:W3CDTF">2025-05-12T03:39:58Z</dcterms:modified>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2CD950222EE044C6AF0AD916070C8087_13</vt:lpwstr>
  </property>
  <property fmtid="{D5CDD505-2E9C-101B-9397-08002B2CF9AE}" pid="4" name="KSOTemplateDocerSaveRecord">
    <vt:lpwstr>eyJoZGlkIjoiNjI2MTExMmIxOWQ0MTZiNDNjNjJmZDI1OTJkZTIyZjUiLCJ1c2VySWQiOiIzNjU3MjI4ODIifQ==</vt:lpwstr>
  </property>
</Properties>
</file>