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0943">
      <w:pPr>
        <w:widowControl w:val="0"/>
        <w:adjustRightInd/>
        <w:snapToGrid/>
        <w:spacing w:after="0" w:line="540" w:lineRule="exact"/>
        <w:rPr>
          <w:rFonts w:ascii="Times New Roman" w:hAnsi="Times New Roman" w:eastAsia="宋体" w:cs="Times New Roman"/>
          <w:bCs/>
          <w:kern w:val="2"/>
          <w:sz w:val="32"/>
          <w:szCs w:val="32"/>
        </w:rPr>
      </w:pPr>
      <w:bookmarkStart w:id="78" w:name="_GoBack"/>
      <w:bookmarkEnd w:id="78"/>
      <w:r>
        <w:rPr>
          <w:rFonts w:hint="eastAsia" w:ascii="Times New Roman" w:hAnsi="Times New Roman" w:eastAsia="宋体" w:cs="Times New Roman"/>
          <w:bCs/>
          <w:kern w:val="2"/>
          <w:sz w:val="32"/>
          <w:szCs w:val="32"/>
        </w:rPr>
        <w:t>附件3：</w:t>
      </w:r>
    </w:p>
    <w:p w14:paraId="5962127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C18381">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保定市徐水区遂城镇人民政府</w:t>
      </w:r>
    </w:p>
    <w:p w14:paraId="66B66092">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lang w:val="en-US" w:eastAsia="zh-CN"/>
        </w:rPr>
        <w:t>2021</w:t>
      </w:r>
      <w:r>
        <w:rPr>
          <w:rFonts w:hint="eastAsia" w:ascii="黑体" w:hAnsi="黑体" w:eastAsia="黑体" w:cs="Times New Roman"/>
          <w:bCs/>
          <w:kern w:val="2"/>
          <w:sz w:val="48"/>
          <w:szCs w:val="48"/>
        </w:rPr>
        <w:t>年</w:t>
      </w:r>
      <w:r>
        <w:rPr>
          <w:rFonts w:hint="eastAsia" w:ascii="黑体" w:hAnsi="黑体" w:eastAsia="黑体" w:cs="Times New Roman"/>
          <w:bCs/>
          <w:kern w:val="2"/>
          <w:sz w:val="48"/>
          <w:szCs w:val="48"/>
          <w:lang w:eastAsia="zh-CN"/>
        </w:rPr>
        <w:t>度</w:t>
      </w:r>
      <w:r>
        <w:rPr>
          <w:rFonts w:hint="eastAsia" w:ascii="黑体" w:hAnsi="黑体" w:eastAsia="黑体" w:cs="Times New Roman"/>
          <w:bCs/>
          <w:kern w:val="2"/>
          <w:sz w:val="48"/>
          <w:szCs w:val="48"/>
        </w:rPr>
        <w:t>部门整体支出绩效自评报告</w:t>
      </w:r>
    </w:p>
    <w:p w14:paraId="314B6A8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92C12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469344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C48EE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C0FC6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17B39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79F5D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4AE1F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9E849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E48462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F70618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1D94F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516902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CCB09F">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w:t>
      </w:r>
      <w:r>
        <w:rPr>
          <w:rFonts w:hint="eastAsia" w:cs="Times New Roman" w:asciiTheme="minorEastAsia" w:hAnsiTheme="minorEastAsia" w:eastAsiaTheme="minorEastAsia"/>
          <w:bCs/>
          <w:kern w:val="2"/>
          <w:sz w:val="36"/>
          <w:szCs w:val="36"/>
          <w:lang w:val="en-US" w:eastAsia="zh-CN"/>
        </w:rPr>
        <w:t>2</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11</w:t>
      </w:r>
      <w:r>
        <w:rPr>
          <w:rFonts w:hint="eastAsia" w:cs="Times New Roman" w:asciiTheme="minorEastAsia" w:hAnsiTheme="minorEastAsia" w:eastAsiaTheme="minorEastAsia"/>
          <w:bCs/>
          <w:kern w:val="2"/>
          <w:sz w:val="36"/>
          <w:szCs w:val="36"/>
        </w:rPr>
        <w:t>月</w:t>
      </w:r>
    </w:p>
    <w:p w14:paraId="7233446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3AE08A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29FDFE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76E7BD08">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733B4A4D">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997C8B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E227F2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一、保定市徐水区遂城镇基本情况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F0BDF1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BC04D7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8981DC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4E9163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D3BE3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3C52D6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2904F5C">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0CF702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CAD3CF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AE894B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701C6B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2EE53E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39106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7ADBF9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05548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1C653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E9A644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E3163A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139C0A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189F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81CF3B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1C2B2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9E3D0C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8ABB86B">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4A68BAA">
          <w:pPr>
            <w:spacing w:line="312" w:lineRule="auto"/>
            <w:ind w:firstLine="440" w:firstLineChars="200"/>
            <w:jc w:val="both"/>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EC7D69D">
      <w:pPr>
        <w:pStyle w:val="3"/>
        <w:spacing w:line="540" w:lineRule="exact"/>
        <w:jc w:val="center"/>
        <w:rPr>
          <w:rFonts w:ascii="黑体" w:hAnsi="黑体"/>
          <w:b w:val="0"/>
        </w:rPr>
      </w:pPr>
      <w:bookmarkStart w:id="0" w:name="_Toc25184"/>
      <w:bookmarkStart w:id="1" w:name="_Toc465149500"/>
      <w:bookmarkStart w:id="2" w:name="_Toc492652766"/>
      <w:r>
        <w:rPr>
          <w:rFonts w:hint="eastAsia" w:ascii="黑体" w:hAnsi="黑体"/>
          <w:b w:val="0"/>
        </w:rPr>
        <w:t>第一部分   摘  要</w:t>
      </w:r>
      <w:bookmarkEnd w:id="0"/>
    </w:p>
    <w:p w14:paraId="6F11C3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年部门整体支出情况开展了绩效自评价工作。</w:t>
      </w:r>
    </w:p>
    <w:p w14:paraId="7E649CA9">
      <w:pPr>
        <w:widowControl w:val="0"/>
        <w:tabs>
          <w:tab w:val="center" w:pos="4381"/>
        </w:tabs>
        <w:spacing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保定市徐水区遂城镇人民政府为正科级行政单位，经费保障形式为财政拨款，下设8个股室，分别为：党政办公室、经济发展办公室（财政所）、社会事务办公室、计划生育办公室、社会治安综合治理委员会办公室、城镇建设办公室、计划生育服务中心、综合文化服务中心。主要职责有：1、执行本级代表大会的决议和上级国家行政机关的决定和命令，发布决定和命令。2、制定并落实本行政区域内的经济发展计划，加强公共设施的建设和管理，发展各项服务事业。3、加强水利建设、土地使用管理和环境综合整治，合理利用自然资源，保护、改善生态和生活环境。4、依法管理镇财政，执行本级预算。5、管理和发展文化、教育、科学、广播、体育、卫生等事业。6、保护社会主义的全民所有财产和劳动群众的集体所有财产，保护公民个人所有的合法财产，保护公民的人身权利、</w:t>
      </w:r>
      <w:r>
        <w:rPr>
          <w:rFonts w:hint="eastAsia" w:ascii="仿宋_GB2312" w:eastAsia="仿宋_GB2312" w:cs="DengXian-Regular"/>
          <w:sz w:val="32"/>
          <w:szCs w:val="32"/>
          <w:lang w:eastAsia="zh-CN"/>
        </w:rPr>
        <w:t>民主权利</w:t>
      </w:r>
      <w:r>
        <w:rPr>
          <w:rFonts w:hint="eastAsia" w:ascii="仿宋_GB2312" w:eastAsia="仿宋_GB2312" w:cs="DengXian-Regular"/>
          <w:sz w:val="32"/>
          <w:szCs w:val="32"/>
        </w:rPr>
        <w:t>和其他权利，保护各种经济的合法权益。7、组织实施社会主义与民主法制教育，协调公安、司法行政工作，调解民事纠纷，维护社会秩序。8、推行计划生育政策，控制人口增长，保护妇女、儿童和老人的合法权益。9、管理民政事务工作，发展社会福利事业，做好社会保障工作，办理兵役事项。10、办理上级人民政府交办的其他事项。</w:t>
      </w:r>
    </w:p>
    <w:p w14:paraId="5343DD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08496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415E68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遂城镇人民政府</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年部门整体支出绩效评价工作。</w:t>
      </w:r>
    </w:p>
    <w:p w14:paraId="6A8F86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整体支出绩效评价指标体系共设置4个一级指标、7个二级指标、25个三级指标，从投入、过程、产出、效果四个方面对遂城镇部门整体支出情况评分定级。指标体系设定满分为100分，绩效评价分值≥90为“优”；80≤分值＜90为“良”；60≤分值＜80为“合格”；60分以下为“差”。</w:t>
      </w:r>
    </w:p>
    <w:p w14:paraId="76A1F6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年部门整体支出综合评价得分为90分，评价等级为“优”。</w:t>
      </w:r>
    </w:p>
    <w:p w14:paraId="1361B5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698A91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27B5D2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1848DC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3F01AD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00758F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4.项目资金使用率</w:t>
      </w:r>
    </w:p>
    <w:p w14:paraId="522171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30D01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6C1AF0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002BF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08A333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5E535110">
      <w:pPr>
        <w:spacing w:after="0" w:line="360" w:lineRule="auto"/>
        <w:ind w:firstLine="640" w:firstLineChars="200"/>
        <w:jc w:val="both"/>
        <w:textAlignment w:val="baseline"/>
        <w:rPr>
          <w:rFonts w:ascii="仿宋_GB2312" w:eastAsia="仿宋_GB2312" w:cs="DengXian-Regular"/>
          <w:sz w:val="32"/>
          <w:szCs w:val="32"/>
        </w:rPr>
      </w:pPr>
      <w:bookmarkStart w:id="3" w:name="_Toc4346"/>
      <w:r>
        <w:rPr>
          <w:rFonts w:hint="eastAsia" w:ascii="仿宋_GB2312" w:eastAsia="仿宋_GB2312" w:cs="DengXian-Regular"/>
          <w:sz w:val="32"/>
          <w:szCs w:val="32"/>
        </w:rPr>
        <w:t>3.提高项目资金使用率</w:t>
      </w:r>
    </w:p>
    <w:p w14:paraId="163E2FA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加强日常对项目资金的管理，督促项目进度和资金拨付进度，应拨付的资金及时拨付，提高项目资金使用效率。</w:t>
      </w:r>
    </w:p>
    <w:p w14:paraId="3966C819">
      <w:pPr>
        <w:pStyle w:val="3"/>
        <w:spacing w:line="540" w:lineRule="exact"/>
        <w:jc w:val="center"/>
        <w:rPr>
          <w:rFonts w:ascii="黑体" w:hAnsi="黑体"/>
          <w:b w:val="0"/>
        </w:rPr>
      </w:pPr>
      <w:r>
        <w:rPr>
          <w:rFonts w:hint="eastAsia" w:ascii="黑体" w:hAnsi="黑体"/>
          <w:b w:val="0"/>
        </w:rPr>
        <w:t>第二部分   绩效评价报告</w:t>
      </w:r>
      <w:bookmarkEnd w:id="3"/>
    </w:p>
    <w:p w14:paraId="3450EEFA">
      <w:pPr>
        <w:pStyle w:val="3"/>
        <w:spacing w:before="0" w:after="0" w:line="360" w:lineRule="auto"/>
        <w:ind w:firstLine="643" w:firstLineChars="200"/>
        <w:rPr>
          <w:rFonts w:ascii="楷体" w:hAnsi="楷体" w:eastAsia="楷体" w:cs="楷体"/>
        </w:rPr>
      </w:pPr>
      <w:bookmarkStart w:id="4" w:name="_Toc492652763"/>
      <w:bookmarkStart w:id="5" w:name="_Toc427"/>
      <w:r>
        <w:rPr>
          <w:rFonts w:hint="eastAsia" w:ascii="楷体" w:hAnsi="楷体" w:eastAsia="楷体" w:cs="楷体"/>
        </w:rPr>
        <w:t>一、保定市徐水区遂城镇人民政府基本情况</w:t>
      </w:r>
      <w:bookmarkEnd w:id="4"/>
      <w:bookmarkEnd w:id="5"/>
      <w:bookmarkStart w:id="6" w:name="_Toc492652764"/>
    </w:p>
    <w:p w14:paraId="1EC7903F">
      <w:pPr>
        <w:pStyle w:val="4"/>
        <w:spacing w:before="0" w:after="0"/>
        <w:ind w:firstLine="643" w:firstLineChars="200"/>
        <w:jc w:val="both"/>
        <w:rPr>
          <w:rFonts w:ascii="仿宋_GB2312" w:hAnsi="Tahoma" w:cs="DengXian-Regular"/>
          <w:sz w:val="32"/>
        </w:rPr>
      </w:pPr>
      <w:bookmarkStart w:id="7" w:name="_Toc11473"/>
      <w:r>
        <w:rPr>
          <w:rFonts w:hint="eastAsia" w:ascii="仿宋_GB2312" w:hAnsi="Tahoma" w:cs="DengXian-Regular"/>
          <w:sz w:val="32"/>
        </w:rPr>
        <w:t>（一）部门职责和工作活动</w:t>
      </w:r>
      <w:bookmarkEnd w:id="6"/>
      <w:bookmarkEnd w:id="7"/>
    </w:p>
    <w:p w14:paraId="5857E3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遂城镇单位职能配置内设机构和人员编制规定》的通知，保定市徐水区遂城镇人民政府为正科级行政单位，下设8个股室，根据绩效预算管理改革的相关要求，按照“部门职责—工作活动绩效目标”的层级设立了绩效预算架构，职责活动包括协调维护社会稳定和国家安全、综合事务管理、促进土地流转、农村面貌改造提升等共42部分。</w:t>
      </w:r>
      <w:bookmarkStart w:id="8" w:name="_Toc465149499"/>
      <w:bookmarkStart w:id="9" w:name="_Toc492652765"/>
    </w:p>
    <w:p w14:paraId="30D9CA18">
      <w:pPr>
        <w:pStyle w:val="4"/>
        <w:spacing w:before="0" w:after="0"/>
        <w:ind w:firstLine="643" w:firstLineChars="200"/>
        <w:jc w:val="both"/>
        <w:rPr>
          <w:rFonts w:ascii="仿宋_GB2312" w:hAnsi="Tahoma" w:cs="DengXian-Regular"/>
          <w:sz w:val="32"/>
        </w:rPr>
      </w:pPr>
      <w:bookmarkStart w:id="10" w:name="_Toc7075"/>
      <w:r>
        <w:rPr>
          <w:rFonts w:hint="eastAsia" w:ascii="仿宋_GB2312" w:hAnsi="Tahoma" w:cs="DengXian-Regular"/>
          <w:sz w:val="32"/>
        </w:rPr>
        <w:t>（二）</w:t>
      </w:r>
      <w:bookmarkEnd w:id="8"/>
      <w:r>
        <w:rPr>
          <w:rFonts w:hint="eastAsia" w:ascii="仿宋_GB2312" w:hAnsi="Tahoma" w:cs="DengXian-Regular"/>
          <w:sz w:val="32"/>
        </w:rPr>
        <w:t>部门年度发展规划总体目标和职责分类绩效目标</w:t>
      </w:r>
      <w:bookmarkEnd w:id="9"/>
      <w:bookmarkEnd w:id="10"/>
    </w:p>
    <w:p w14:paraId="350EF1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年绩效预算编制要求，我单位设置的年度发展规划总体目标为：</w:t>
      </w:r>
      <w:r>
        <w:rPr>
          <w:rFonts w:ascii="仿宋_GB2312" w:eastAsia="仿宋_GB2312" w:cs="DengXian-Regular"/>
          <w:sz w:val="32"/>
          <w:szCs w:val="32"/>
        </w:rPr>
        <w:t>坚持以习近平新时代中国特色社会主义思想为指导，深入贯彻党的十九大和十九届二中、三中、四中全会精神，紧紧围绕全区中心工作和区委重要部署，紧紧围绕全区中心工作和区委重要部署，民主表决，科学决策，坚持以人为本，把维护群众利益、落实精准扶贫政策，改善民生作为乡镇工作的着力点。制定、落实镇经济发展规划；组织实施社会主义法制与民主教育；维护社会秩序稳定；加强公共设施建设和管理，保护、改善生态和群众生活环境，保护群众人身权利和财产安全，保障群众合法权益；管理民政事务工作，发展好社会福利工作，做好社会保障工作，为建设社会主义新农村，努力开创我镇工作新局面。</w:t>
      </w:r>
    </w:p>
    <w:p w14:paraId="527FDC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职责分类绩效目标为：1.</w:t>
      </w:r>
      <w:r>
        <w:rPr>
          <w:rFonts w:ascii="仿宋_GB2312" w:eastAsia="仿宋_GB2312" w:cs="DengXian-Regular"/>
          <w:sz w:val="32"/>
          <w:szCs w:val="32"/>
        </w:rPr>
        <w:t>有效化解不稳定隐患，维护社会稳定。</w:t>
      </w:r>
      <w:r>
        <w:rPr>
          <w:rFonts w:hint="eastAsia" w:ascii="仿宋_GB2312" w:eastAsia="仿宋_GB2312" w:cs="DengXian-Regular"/>
          <w:sz w:val="32"/>
          <w:szCs w:val="32"/>
        </w:rPr>
        <w:t>2.</w:t>
      </w:r>
      <w:r>
        <w:rPr>
          <w:rFonts w:ascii="仿宋_GB2312" w:eastAsia="仿宋_GB2312" w:cs="DengXian-Regular"/>
          <w:sz w:val="32"/>
          <w:szCs w:val="32"/>
        </w:rPr>
        <w:t>促进农村文化建设发展。</w:t>
      </w:r>
      <w:r>
        <w:rPr>
          <w:rFonts w:hint="eastAsia" w:ascii="仿宋_GB2312" w:eastAsia="仿宋_GB2312" w:cs="DengXian-Regular"/>
          <w:sz w:val="32"/>
          <w:szCs w:val="32"/>
        </w:rPr>
        <w:t>3.</w:t>
      </w:r>
      <w:r>
        <w:rPr>
          <w:rFonts w:ascii="仿宋_GB2312" w:eastAsia="仿宋_GB2312" w:cs="DengXian-Regular"/>
          <w:sz w:val="32"/>
          <w:szCs w:val="32"/>
        </w:rPr>
        <w:t>搞好服务保障，保障各项工作顺利开展。</w:t>
      </w:r>
      <w:r>
        <w:rPr>
          <w:rFonts w:hint="eastAsia" w:ascii="仿宋_GB2312" w:eastAsia="仿宋_GB2312" w:cs="DengXian-Regular"/>
          <w:sz w:val="32"/>
          <w:szCs w:val="32"/>
        </w:rPr>
        <w:t>4.</w:t>
      </w:r>
      <w:r>
        <w:rPr>
          <w:rFonts w:ascii="仿宋_GB2312" w:eastAsia="仿宋_GB2312" w:cs="DengXian-Regular"/>
          <w:sz w:val="32"/>
          <w:szCs w:val="32"/>
        </w:rPr>
        <w:t>加强安全生产综合监督管理。</w:t>
      </w:r>
      <w:r>
        <w:rPr>
          <w:rFonts w:hint="eastAsia" w:ascii="仿宋_GB2312" w:eastAsia="仿宋_GB2312" w:cs="DengXian-Regular"/>
          <w:sz w:val="32"/>
          <w:szCs w:val="32"/>
        </w:rPr>
        <w:t>5.</w:t>
      </w:r>
      <w:r>
        <w:rPr>
          <w:rFonts w:ascii="仿宋_GB2312" w:eastAsia="仿宋_GB2312" w:cs="DengXian-Regular"/>
          <w:sz w:val="32"/>
          <w:szCs w:val="32"/>
        </w:rPr>
        <w:t>地震群测群防补贴及时足额落实到位，保证工作顺利开展。</w:t>
      </w:r>
      <w:r>
        <w:rPr>
          <w:rFonts w:hint="eastAsia" w:ascii="仿宋_GB2312" w:eastAsia="仿宋_GB2312" w:cs="DengXian-Regular"/>
          <w:sz w:val="32"/>
          <w:szCs w:val="32"/>
        </w:rPr>
        <w:t>6.</w:t>
      </w:r>
      <w:r>
        <w:rPr>
          <w:rFonts w:ascii="仿宋_GB2312" w:eastAsia="仿宋_GB2312" w:cs="DengXian-Regular"/>
          <w:sz w:val="32"/>
          <w:szCs w:val="32"/>
        </w:rPr>
        <w:t>改善农村空气质量及人居环境。</w:t>
      </w:r>
      <w:bookmarkStart w:id="11" w:name="_Toc1678"/>
      <w:r>
        <w:rPr>
          <w:rFonts w:hint="eastAsia" w:ascii="仿宋_GB2312" w:eastAsia="仿宋_GB2312" w:cs="DengXian-Regular"/>
          <w:sz w:val="32"/>
          <w:szCs w:val="32"/>
        </w:rPr>
        <w:t>7.</w:t>
      </w:r>
      <w:r>
        <w:rPr>
          <w:rFonts w:ascii="仿宋_GB2312" w:eastAsia="仿宋_GB2312" w:cs="DengXian-Regular"/>
          <w:sz w:val="32"/>
          <w:szCs w:val="32"/>
        </w:rPr>
        <w:t>保证土地流转资金及时足额发放到位，维护社会稳定。</w:t>
      </w:r>
    </w:p>
    <w:p w14:paraId="393BA530">
      <w:pPr>
        <w:spacing w:after="0" w:line="360" w:lineRule="auto"/>
        <w:ind w:firstLine="643" w:firstLineChars="200"/>
        <w:jc w:val="both"/>
        <w:textAlignment w:val="baseline"/>
        <w:rPr>
          <w:rFonts w:ascii="仿宋_GB2312" w:eastAsia="仿宋_GB2312" w:cs="DengXian-Regular"/>
          <w:b/>
          <w:bCs/>
          <w:sz w:val="32"/>
          <w:szCs w:val="32"/>
          <w:u w:color="000000"/>
        </w:rPr>
      </w:pPr>
      <w:r>
        <w:rPr>
          <w:rFonts w:hint="eastAsia" w:ascii="仿宋_GB2312" w:eastAsia="仿宋_GB2312" w:cs="DengXian-Regular"/>
          <w:b/>
          <w:bCs/>
          <w:sz w:val="32"/>
          <w:szCs w:val="32"/>
          <w:u w:color="000000"/>
        </w:rPr>
        <w:t>（三）部门预算收入及决算收入</w:t>
      </w:r>
      <w:bookmarkEnd w:id="11"/>
    </w:p>
    <w:p w14:paraId="25DC09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2021年我单位预算收入3074.59万元，一般公共预算拨款2940.22万元，其中：财政拨款 2940.22万元；政府性基金预算拨款134.37万元。预算收入按功能分类包含：一般公共服务支出1369.01万元，公共安全支出8.55万元，文化旅游体育与传媒支出1.50万元，社会保障和就业支出219.31万元，卫生健康支出54.71万元，节能环保支出14万元，城乡社区支出134.37万元，农林水支出1171.26万元，交通运输支出12.96万元，住房保障支出86.22万元，灾害防治及应急管理支出2.70万元。</w:t>
      </w:r>
    </w:p>
    <w:p w14:paraId="3A455B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2021年我单位决算收入3942.55万元，其中：财政拨款收入3941.46万元，其他收入1.09万元。决算收入按功能分类包含：一般公共服务（类）支出1345.64万元，占32.8％，公共安全类（类）支出16.55万元，占0.40％，科学技术支出5万元，占0.12％，文化旅游体育与传（类）支出17.54万元，占0.43％；社会保障和就业（类）支出249.9万元，占6.1％；卫生健康（类）支出54.81万元，占1.34％，节能环保（类）支出142.35万元，占3.47％；城乡社区（类）支出913.22万元，占22.26％；农林（类）支出1251.58万元，占30.51％；交通运输支出12.87万元，占比0.31％；住房保障（类）支出90.02万元，</w:t>
      </w:r>
      <w:r>
        <w:rPr>
          <w:rFonts w:hint="eastAsia" w:ascii="仿宋_GB2312" w:eastAsia="仿宋_GB2312" w:cs="DengXian-Regular"/>
          <w:sz w:val="32"/>
          <w:szCs w:val="32"/>
          <w:lang w:eastAsia="zh-CN"/>
        </w:rPr>
        <w:t>占</w:t>
      </w:r>
      <w:r>
        <w:rPr>
          <w:rFonts w:hint="eastAsia" w:ascii="仿宋_GB2312" w:eastAsia="仿宋_GB2312" w:cs="DengXian-Regular"/>
          <w:sz w:val="32"/>
          <w:szCs w:val="32"/>
        </w:rPr>
        <w:t>2.19％；灾害防治及应急管理（类）支出2.7万元，占0.07%。具体决算收入详见附件2。</w:t>
      </w:r>
      <w:r>
        <w:rPr>
          <w:rFonts w:hint="eastAsia" w:ascii="仿宋_GB2312" w:eastAsia="仿宋_GB2312" w:cs="DengXian-Regular"/>
          <w:sz w:val="32"/>
          <w:szCs w:val="32"/>
          <w:lang w:val="en-US" w:eastAsia="zh-CN"/>
        </w:rPr>
        <w:t xml:space="preserve">     </w:t>
      </w:r>
      <w:r>
        <w:rPr>
          <w:rFonts w:hint="eastAsia" w:ascii="仿宋_GB2312" w:eastAsia="仿宋_GB2312" w:cs="DengXian-Regular"/>
          <w:sz w:val="32"/>
          <w:szCs w:val="32"/>
        </w:rPr>
        <w:t>决算收入结构如图1。</w:t>
      </w:r>
    </w:p>
    <w:p w14:paraId="7F90BB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图一  </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年度遂城镇决算收入结构图</w:t>
      </w:r>
    </w:p>
    <w:p w14:paraId="3C14AE60">
      <w:pPr>
        <w:spacing w:after="0" w:line="360" w:lineRule="auto"/>
        <w:ind w:firstLine="640" w:firstLineChars="200"/>
        <w:jc w:val="center"/>
        <w:textAlignment w:val="baseline"/>
        <w:rPr>
          <w:rFonts w:ascii="仿宋_GB2312" w:eastAsia="仿宋_GB2312" w:cs="DengXian-Regular"/>
          <w:sz w:val="32"/>
          <w:szCs w:val="32"/>
        </w:rPr>
      </w:pPr>
      <w:r>
        <w:rPr>
          <w:rFonts w:hint="eastAsia" w:ascii="仿宋_GB2312" w:eastAsia="仿宋_GB2312" w:cs="DengXian-Regular"/>
          <w:sz w:val="32"/>
          <w:szCs w:val="32"/>
        </w:rPr>
        <w:drawing>
          <wp:inline distT="0" distB="0" distL="0" distR="0">
            <wp:extent cx="5838825" cy="3314700"/>
            <wp:effectExtent l="4445" t="4445" r="508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0804D0">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rPr>
        <w:t>遂城镇一般公共预算财政拨款决算收入比年初预算增加88.02万元，完成年初预算的103％。决算收入大于预算收入的主要原因为2021年度公用经费和项目支出增加；预算收入与决算收入对比情况见图2。</w:t>
      </w:r>
    </w:p>
    <w:p w14:paraId="23A55D35">
      <w:pPr>
        <w:spacing w:after="0" w:line="360" w:lineRule="auto"/>
        <w:jc w:val="both"/>
        <w:rPr>
          <w:rFonts w:ascii="仿宋_GB2312" w:eastAsia="仿宋_GB2312" w:cs="DengXian-Regular"/>
          <w:sz w:val="32"/>
          <w:szCs w:val="32"/>
        </w:rPr>
      </w:pPr>
      <w:r>
        <w:rPr>
          <w:rFonts w:hint="eastAsia" w:asciiTheme="minorEastAsia" w:hAnsiTheme="minorEastAsia" w:eastAsiaTheme="minorEastAsia" w:cstheme="minorEastAsia"/>
          <w:b/>
          <w:sz w:val="32"/>
          <w:szCs w:val="32"/>
          <w:u w:color="000000"/>
        </w:rPr>
        <w:t xml:space="preserve">图2  </w:t>
      </w:r>
      <w:r>
        <w:rPr>
          <w:rFonts w:hint="eastAsia" w:asciiTheme="minorEastAsia" w:hAnsiTheme="minorEastAsia" w:eastAsiaTheme="minorEastAsia" w:cstheme="minorEastAsia"/>
          <w:b/>
          <w:sz w:val="32"/>
          <w:szCs w:val="32"/>
          <w:u w:color="000000"/>
          <w:lang w:eastAsia="zh-CN"/>
        </w:rPr>
        <w:t>2021</w:t>
      </w:r>
      <w:r>
        <w:rPr>
          <w:rFonts w:hint="eastAsia" w:asciiTheme="minorEastAsia" w:hAnsiTheme="minorEastAsia" w:eastAsiaTheme="minorEastAsia" w:cstheme="minorEastAsia"/>
          <w:b/>
          <w:sz w:val="32"/>
          <w:szCs w:val="32"/>
          <w:u w:color="000000"/>
        </w:rPr>
        <w:t>年度区遂城镇预算收入与决算收入对比图</w:t>
      </w:r>
    </w:p>
    <w:p w14:paraId="75DD972E">
      <w:pPr>
        <w:spacing w:after="0" w:line="360" w:lineRule="auto"/>
        <w:rPr>
          <w:rFonts w:asciiTheme="minorEastAsia" w:hAnsiTheme="minorEastAsia" w:eastAsiaTheme="minorEastAsia" w:cstheme="minorEastAsia"/>
          <w:b/>
          <w:sz w:val="32"/>
          <w:szCs w:val="32"/>
          <w:u w:color="000000"/>
        </w:rPr>
      </w:pPr>
    </w:p>
    <w:p w14:paraId="584DC749">
      <w:pPr>
        <w:spacing w:after="0" w:line="360" w:lineRule="auto"/>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drawing>
          <wp:inline distT="0" distB="0" distL="0" distR="0">
            <wp:extent cx="5972175" cy="3400425"/>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34C2B3">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
      <w:bookmarkEnd w:id="2"/>
      <w:r>
        <w:rPr>
          <w:rFonts w:hint="eastAsia" w:ascii="仿宋_GB2312" w:hAnsiTheme="minorEastAsia"/>
          <w:sz w:val="32"/>
        </w:rPr>
        <w:t>支出</w:t>
      </w:r>
      <w:bookmarkEnd w:id="12"/>
    </w:p>
    <w:p w14:paraId="0643A4F9">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2021年我单位预算支出3074.59万元，一般公共预算拨款2940.22万元，其中：财政拨款2940.22万元；政府性基金预算拨款134.37万元。预算支出按功能分类包含：一般公共服务支出1369.01万元，文化旅游体育与传媒支出1.50万元，社会保障和就业支出219.31万元，卫生健康支出54.71万元，节能环保支出14万元，城乡社区支出134.37万元，农林水支出1171.26万元，交通运输支出12.96万元，住房保障支出86.22万元，灾害防治及应急管理支出2.70万元。</w:t>
      </w:r>
    </w:p>
    <w:p w14:paraId="4A22122D">
      <w:pPr>
        <w:spacing w:after="0" w:line="360" w:lineRule="auto"/>
        <w:ind w:firstLine="640" w:firstLineChars="200"/>
        <w:jc w:val="both"/>
        <w:rPr>
          <w:rFonts w:hint="eastAsia" w:ascii="仿宋_GB2312" w:eastAsia="仿宋_GB2312" w:cs="DengXian-Regular"/>
          <w:sz w:val="32"/>
          <w:szCs w:val="32"/>
          <w:lang w:eastAsia="zh-CN"/>
        </w:rPr>
        <w:sectPr>
          <w:headerReference r:id="rId10" w:type="default"/>
          <w:footerReference r:id="rId11" w:type="default"/>
          <w:pgSz w:w="12000" w:h="16820"/>
          <w:pgMar w:top="1440" w:right="720" w:bottom="800" w:left="1660" w:header="0" w:footer="0" w:gutter="0"/>
          <w:cols w:space="720" w:num="1"/>
          <w:titlePg/>
        </w:sectPr>
      </w:pPr>
      <w:r>
        <w:rPr>
          <w:rFonts w:hint="eastAsia" w:ascii="仿宋_GB2312" w:eastAsia="仿宋_GB2312" w:cs="DengXian-Regular"/>
          <w:sz w:val="32"/>
          <w:szCs w:val="32"/>
          <w:lang w:eastAsia="zh-CN"/>
        </w:rPr>
        <w:t>2021年我单位决算支出3942.55万元，其中：财政拨款支出3941.46万元，其他支出1.09万元。决算支出按功能分类包含：一般公共服务（类）支出1345.64万元，占32.8％，公共安全类（类）支出16.55万元，占0.40％，科</w:t>
      </w:r>
    </w:p>
    <w:p w14:paraId="31449F9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学技术支出5万元，占0.12％，文化旅游体育与传（类）支出17.54万元，占0.43％；社会保障和就业（类）支出249.9万元，占6.1％；卫生健康（类）支出54.81万元，占1.34％，节能环保（类）支出142.35万元，占3.47％；城乡社区（类）支出913.22万元，占22.26％；农林（类）支出 1251.58万元，占30.51％；交通运输支出12.87万元，占比0.31％；住房保障（类）支出90.02万元，占2.19％；灾害防治及应急管理（类）支出2.7万元，占0.07％。具体决算支出详见附件2。</w:t>
      </w:r>
      <w:r>
        <w:rPr>
          <w:rFonts w:hint="eastAsia" w:ascii="仿宋_GB2312" w:eastAsia="仿宋_GB2312" w:cs="Times New Roman" w:hAnsiTheme="minorEastAsia"/>
          <w:sz w:val="32"/>
          <w:szCs w:val="32"/>
          <w:u w:color="000000"/>
        </w:rPr>
        <w:t>决算支出结构如图3。</w:t>
      </w:r>
    </w:p>
    <w:p w14:paraId="7128B4B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图3  </w:t>
      </w:r>
      <w:r>
        <w:rPr>
          <w:rFonts w:hint="eastAsia" w:asciiTheme="minorEastAsia" w:hAnsiTheme="minorEastAsia" w:eastAsiaTheme="minorEastAsia" w:cstheme="minorEastAsia"/>
          <w:b/>
          <w:bCs/>
          <w:sz w:val="32"/>
          <w:szCs w:val="32"/>
          <w:lang w:eastAsia="zh-CN"/>
        </w:rPr>
        <w:t>2021</w:t>
      </w:r>
      <w:r>
        <w:rPr>
          <w:rFonts w:hint="eastAsia" w:asciiTheme="minorEastAsia" w:hAnsiTheme="minorEastAsia" w:eastAsiaTheme="minorEastAsia" w:cstheme="minorEastAsia"/>
          <w:b/>
          <w:bCs/>
          <w:sz w:val="32"/>
          <w:szCs w:val="32"/>
        </w:rPr>
        <w:t>年度区遂城镇决算支出结构图</w:t>
      </w:r>
    </w:p>
    <w:p w14:paraId="2DD5D245">
      <w:pPr>
        <w:spacing w:after="0" w:line="360" w:lineRule="auto"/>
        <w:ind w:firstLine="643" w:firstLineChars="200"/>
        <w:jc w:val="both"/>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rPr>
        <w:drawing>
          <wp:inline distT="0" distB="0" distL="0" distR="0">
            <wp:extent cx="5276850" cy="3924300"/>
            <wp:effectExtent l="4445" t="4445" r="1460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149CB2">
      <w:pPr>
        <w:spacing w:after="0" w:line="58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财政拨款决算支出比年初预算增加1029.51万元。决算支出完成年初预算的133％。决算支出大于预算支出的主要原因为主要是2021年公用经费和项目支出增加</w:t>
      </w:r>
      <w:r>
        <w:rPr>
          <w:rFonts w:hint="eastAsia" w:ascii="宋体" w:hAnsi="宋体" w:eastAsia="宋体"/>
          <w:color w:val="000000"/>
          <w:sz w:val="30"/>
        </w:rPr>
        <w:t>。</w:t>
      </w:r>
      <w:r>
        <w:rPr>
          <w:rFonts w:hint="eastAsia" w:ascii="仿宋" w:hAnsi="仿宋" w:eastAsia="仿宋"/>
          <w:snapToGrid w:val="0"/>
          <w:sz w:val="32"/>
          <w:szCs w:val="32"/>
        </w:rPr>
        <w:t>预算支出与决算支出对比情况如图4。</w:t>
      </w:r>
    </w:p>
    <w:p w14:paraId="307276AA">
      <w:pPr>
        <w:spacing w:after="0" w:line="580" w:lineRule="exact"/>
        <w:ind w:firstLine="640" w:firstLineChars="200"/>
        <w:rPr>
          <w:rFonts w:ascii="仿宋_GB2312" w:eastAsia="仿宋_GB2312" w:cs="DengXian-Regular"/>
          <w:sz w:val="32"/>
          <w:szCs w:val="32"/>
        </w:rPr>
      </w:pPr>
    </w:p>
    <w:p w14:paraId="53E1E827">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Theme="minorEastAsia" w:hAnsiTheme="minorEastAsia" w:eastAsiaTheme="minorEastAsia" w:cstheme="minorEastAsia"/>
          <w:b/>
          <w:bCs/>
          <w:sz w:val="32"/>
          <w:szCs w:val="32"/>
          <w:lang w:eastAsia="zh-CN"/>
        </w:rPr>
        <w:t>2021</w:t>
      </w:r>
      <w:r>
        <w:rPr>
          <w:rFonts w:hint="eastAsia" w:asciiTheme="minorEastAsia" w:hAnsiTheme="minorEastAsia" w:eastAsiaTheme="minorEastAsia" w:cstheme="minorEastAsia"/>
          <w:b/>
          <w:bCs/>
          <w:sz w:val="32"/>
          <w:szCs w:val="32"/>
        </w:rPr>
        <w:t>年度遂城镇预算支出与决算支出对比图</w:t>
      </w:r>
    </w:p>
    <w:p w14:paraId="4BB322A2">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drawing>
          <wp:inline distT="0" distB="0" distL="0" distR="0">
            <wp:extent cx="5278120" cy="3362960"/>
            <wp:effectExtent l="19050" t="0" r="17780" b="866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F2C37D">
      <w:pPr>
        <w:spacing w:line="520" w:lineRule="exact"/>
        <w:ind w:firstLine="660"/>
        <w:jc w:val="both"/>
      </w:pPr>
      <w:bookmarkStart w:id="13" w:name="_Toc492652769"/>
      <w:bookmarkStart w:id="14" w:name="_Toc19291"/>
      <w:bookmarkStart w:id="15" w:name="_Toc465149503"/>
      <w:r>
        <w:rPr>
          <w:rFonts w:hint="eastAsia" w:ascii="仿宋_GB2312" w:eastAsia="仿宋_GB2312" w:cs="DengXian-Regular"/>
          <w:sz w:val="32"/>
          <w:szCs w:val="32"/>
        </w:rPr>
        <w:t>我单位2021年实际项目支出25296.42万元，决算报表中项目支出25296.42万元，实际支出与决算报表差0万元</w:t>
      </w:r>
      <w:r>
        <w:rPr>
          <w:rFonts w:hint="eastAsia" w:ascii="宋体" w:hAnsi="宋体" w:eastAsia="宋体"/>
          <w:color w:val="000000"/>
          <w:sz w:val="30"/>
        </w:rPr>
        <w:t>。</w:t>
      </w:r>
    </w:p>
    <w:p w14:paraId="15F1F8E3">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（五）“三公”经费预算安排及支出情况</w:t>
      </w:r>
      <w:bookmarkEnd w:id="13"/>
      <w:bookmarkEnd w:id="14"/>
      <w:bookmarkEnd w:id="15"/>
    </w:p>
    <w:p w14:paraId="4167BE7F">
      <w:pPr>
        <w:spacing w:after="0" w:line="360" w:lineRule="auto"/>
        <w:ind w:firstLine="640" w:firstLineChars="200"/>
        <w:jc w:val="both"/>
        <w:rPr>
          <w:rFonts w:hint="eastAsia" w:ascii="仿宋_GB2312" w:eastAsia="仿宋_GB2312" w:cs="DengXian-Regular"/>
          <w:sz w:val="32"/>
          <w:szCs w:val="32"/>
        </w:rPr>
        <w:sectPr>
          <w:headerReference r:id="rId12" w:type="default"/>
          <w:footerReference r:id="rId13" w:type="default"/>
          <w:pgSz w:w="11900" w:h="16820"/>
          <w:pgMar w:top="1440" w:right="1740" w:bottom="1260" w:left="1360" w:header="0" w:footer="0" w:gutter="0"/>
          <w:cols w:space="720" w:num="1"/>
          <w:titlePg/>
        </w:sectPr>
      </w:pPr>
      <w:r>
        <w:rPr>
          <w:rFonts w:hint="eastAsia" w:ascii="仿宋_GB2312" w:eastAsia="仿宋_GB2312" w:cs="DengXian-Regular"/>
          <w:sz w:val="32"/>
          <w:szCs w:val="32"/>
        </w:rPr>
        <w:t>2021 年遂城镇“三公”经费预算24.87万元（公务用车运行维护费21.6万元，公务接待费3.27万元），实际支出19.06万元（公务用车运行维护费19.06万元），比预算减少5.81万元，节约率23％。2021年“三公”经费预算数比2020年预算数增减少0.2万元，决算数与2020年实际支出相比，增加11.9万元</w:t>
      </w:r>
    </w:p>
    <w:p w14:paraId="70D48830">
      <w:pPr>
        <w:spacing w:after="0" w:line="360" w:lineRule="auto"/>
        <w:jc w:val="both"/>
        <w:rPr>
          <w:rFonts w:ascii="仿宋_GB2312" w:eastAsia="仿宋_GB2312" w:cs="DengXian-Regular"/>
          <w:sz w:val="32"/>
          <w:szCs w:val="32"/>
        </w:rPr>
      </w:pPr>
      <w:r>
        <w:rPr>
          <w:rFonts w:hint="eastAsia" w:ascii="仿宋_GB2312" w:eastAsia="仿宋_GB2312" w:cs="DengXian-Regular"/>
          <w:sz w:val="32"/>
          <w:szCs w:val="32"/>
        </w:rPr>
        <w:t>具体详见表1。</w:t>
      </w:r>
    </w:p>
    <w:p w14:paraId="2F3DB963">
      <w:pPr>
        <w:spacing w:after="0" w:line="360" w:lineRule="auto"/>
        <w:ind w:firstLine="640" w:firstLineChars="200"/>
        <w:jc w:val="both"/>
        <w:rPr>
          <w:rFonts w:ascii="仿宋_GB2312" w:eastAsia="仿宋_GB2312" w:cs="DengXian-Regular"/>
          <w:sz w:val="32"/>
          <w:szCs w:val="32"/>
        </w:rPr>
      </w:pPr>
    </w:p>
    <w:p w14:paraId="215748AE">
      <w:pPr>
        <w:spacing w:after="0" w:line="360" w:lineRule="auto"/>
        <w:ind w:firstLine="1124" w:firstLineChars="35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遂城镇“三公”经费预算及决算明细表</w:t>
      </w:r>
    </w:p>
    <w:tbl>
      <w:tblPr>
        <w:tblStyle w:val="23"/>
        <w:tblpPr w:leftFromText="180" w:rightFromText="180" w:vertAnchor="text" w:horzAnchor="page" w:tblpX="1542" w:tblpY="272"/>
        <w:tblOverlap w:val="never"/>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3451EFE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9C9B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1CAA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0AA0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w:t>
            </w:r>
            <w:r>
              <w:rPr>
                <w:rFonts w:hint="eastAsia" w:ascii="宋体" w:hAnsi="宋体" w:eastAsia="宋体" w:cs="宋体"/>
                <w:b/>
                <w:bCs/>
                <w:color w:val="000000"/>
                <w:sz w:val="21"/>
                <w:szCs w:val="21"/>
                <w:lang w:val="en-US" w:eastAsia="zh-CN"/>
              </w:rPr>
              <w:t>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466553C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eastAsia="zh-CN"/>
              </w:rPr>
              <w:t>2021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9A4E">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056F85C">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897B2">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0C3A2">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C176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B3BBD3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18A0D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FDFF3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08B54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6FDBC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08B08B28">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D4E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6C2384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2FE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B9A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8C1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D339B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B8B45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964E0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41DC621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667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CB4F8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0A0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21.60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5EB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8562">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21.60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BCBA">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19.06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A26DB1">
            <w:pPr>
              <w:spacing w:after="0"/>
              <w:ind w:firstLine="420" w:firstLineChars="20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0B91E1">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11.9</w:t>
            </w:r>
          </w:p>
        </w:tc>
      </w:tr>
      <w:tr w14:paraId="04D140A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7B2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E4D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028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6DAD">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046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77B3">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18B7D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174C4">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0</w:t>
            </w:r>
          </w:p>
        </w:tc>
      </w:tr>
      <w:tr w14:paraId="57FC96E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F54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C1C8C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96CB">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24.87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7F1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28A6">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24.87</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32B269">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19.06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32B28D">
            <w:pPr>
              <w:spacing w:after="0"/>
              <w:ind w:firstLine="420" w:firstLineChars="20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697D36">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11.9</w:t>
            </w:r>
          </w:p>
        </w:tc>
      </w:tr>
    </w:tbl>
    <w:p w14:paraId="3B3A61C4">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p w14:paraId="4D0086BF">
      <w:pPr>
        <w:spacing w:line="520" w:lineRule="exact"/>
        <w:ind w:firstLine="640"/>
        <w:jc w:val="both"/>
        <w:rPr>
          <w:rFonts w:hint="eastAsia" w:ascii="宋体" w:hAnsi="宋体" w:eastAsia="宋体"/>
          <w:color w:val="000000"/>
          <w:sz w:val="30"/>
        </w:rPr>
      </w:pPr>
    </w:p>
    <w:p w14:paraId="433BA931">
      <w:pPr>
        <w:spacing w:line="520" w:lineRule="exact"/>
        <w:ind w:firstLine="640"/>
        <w:jc w:val="both"/>
        <w:rPr>
          <w:rFonts w:hint="eastAsia" w:ascii="宋体" w:hAnsi="宋体" w:eastAsia="宋体"/>
          <w:color w:val="000000"/>
          <w:sz w:val="30"/>
        </w:rPr>
      </w:pPr>
    </w:p>
    <w:p w14:paraId="0C1E2F1D">
      <w:pPr>
        <w:spacing w:line="520" w:lineRule="exact"/>
        <w:ind w:firstLine="640"/>
        <w:jc w:val="both"/>
        <w:rPr>
          <w:rFonts w:hint="eastAsia" w:ascii="宋体" w:hAnsi="宋体" w:eastAsia="宋体"/>
          <w:color w:val="000000"/>
          <w:sz w:val="30"/>
        </w:rPr>
      </w:pPr>
    </w:p>
    <w:p w14:paraId="0BC94313">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rPr>
        <w:t>1、公务用车：2021年底我单位车辆合计10辆，其中公务用车10辆，其他用车0辆。2021年公务用车购置及运维费年初预算21.60万元，全部为公务用车运行维护费，实际支出19.06万元，比预算减少2.54万元，节约率12％。2021年预算数比2020年预算增加0万元，决算数与2020年实际支出相比，增加11.9万元。</w:t>
      </w:r>
    </w:p>
    <w:p w14:paraId="3BDF2448">
      <w:pPr>
        <w:spacing w:after="0" w:line="360" w:lineRule="auto"/>
        <w:ind w:firstLine="640" w:firstLineChars="200"/>
        <w:jc w:val="both"/>
        <w:rPr>
          <w:rFonts w:hint="eastAsia" w:ascii="仿宋_GB2312" w:eastAsia="仿宋_GB2312" w:cs="DengXian-Regular"/>
          <w:sz w:val="32"/>
          <w:szCs w:val="32"/>
        </w:rPr>
        <w:sectPr>
          <w:headerReference r:id="rId14" w:type="default"/>
          <w:footerReference r:id="rId15" w:type="default"/>
          <w:pgSz w:w="11900" w:h="16820"/>
          <w:pgMar w:top="1440" w:right="860" w:bottom="1440" w:left="1720" w:header="0" w:footer="0" w:gutter="0"/>
          <w:cols w:space="720" w:num="1"/>
          <w:titlePg/>
        </w:sectPr>
      </w:pPr>
      <w:r>
        <w:rPr>
          <w:rFonts w:hint="eastAsia" w:ascii="仿宋_GB2312" w:eastAsia="仿宋_GB2312" w:cs="DengXian-Regular"/>
          <w:sz w:val="32"/>
          <w:szCs w:val="32"/>
        </w:rPr>
        <w:t>2、公务接待：2021年我单位公务接待费年初预算3.27万元，实际支出0万元，比预算减少了3.27万元，节约率 100％。2021 年预算数与2020年预算相比无变化，决算数与2020年实际支出相比，增加0万元。</w:t>
      </w:r>
    </w:p>
    <w:p w14:paraId="229BE64A">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40BD26D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36D6958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25个（详见附件3）。指标体系设定满分100分，绩效评价分值≥90为“优”；80≤分值＜90为“良”；60≤分值＜80为“中”；60分以下为“差”。评价指标体系具体构成如下：</w:t>
      </w:r>
      <w:bookmarkStart w:id="19" w:name="_Toc492652771"/>
      <w:bookmarkStart w:id="20" w:name="_Toc9569"/>
    </w:p>
    <w:p w14:paraId="51F7DC2B">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2EF01A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投入指标指标分值为12分，下设2个二级指标：绩效目标设定和预算配置，6个三级指标：绩效目标合理性、绩效目标科学性、绩效指标明确性、预算编制完整性、项目预算细化率、在职人员控制率。</w:t>
      </w:r>
      <w:bookmarkStart w:id="21" w:name="_Toc492652772"/>
      <w:bookmarkStart w:id="22" w:name="_Toc30221"/>
    </w:p>
    <w:p w14:paraId="2FC43A4E">
      <w:pPr>
        <w:spacing w:after="0" w:line="360" w:lineRule="auto"/>
        <w:ind w:firstLine="640" w:firstLineChars="200"/>
        <w:jc w:val="both"/>
        <w:rPr>
          <w:rFonts w:ascii="仿宋_GB2312" w:eastAsia="仿宋_GB2312" w:cs="DengXian-Regular"/>
          <w:sz w:val="32"/>
          <w:szCs w:val="32"/>
        </w:rPr>
      </w:pPr>
      <w:r>
        <w:rPr>
          <w:rFonts w:hint="eastAsia" w:ascii="楷体" w:hAnsi="楷体" w:eastAsia="楷体"/>
          <w:kern w:val="2"/>
          <w:sz w:val="32"/>
        </w:rPr>
        <w:t>（二）过程（48分）</w:t>
      </w:r>
      <w:bookmarkEnd w:id="21"/>
      <w:bookmarkEnd w:id="22"/>
    </w:p>
    <w:p w14:paraId="31DD954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BBAB0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0E8256C">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4CCBD1C8">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724FA8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产出指标指标分值为20分，下设1个二级指标：责任履行，3个三级指标：结转结余率、项目资金使用率、实际完成工作及时率。</w:t>
      </w:r>
    </w:p>
    <w:p w14:paraId="579CF1EB">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16798F2C">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510623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效果指标指标分值20分，下设1个二级指标：履职效率，2个三级指标：部门整体效益和考核满意度。</w:t>
      </w:r>
    </w:p>
    <w:p w14:paraId="02BFF4AA">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5EE68084">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4AF58F14">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1A8DE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10D07F38">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58FE9ABE">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004B61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533C0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5473B4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1F1881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2ADC2D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〕33号）；</w:t>
      </w:r>
    </w:p>
    <w:p w14:paraId="23F6FB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5FAFE7CB">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633B9077">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A51FB0D">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3B348E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3758EF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3178C1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9E3E2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438C669">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0F0E7B91">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14A76A06">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42BEAB90">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081A09EF">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1DDF7CF1">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073F2D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A46AA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383D6C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1048F2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344970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通过对相关资料的收集，制定绩效评价实施方案和体系,确定最终方案。</w:t>
      </w:r>
    </w:p>
    <w:p w14:paraId="59AE98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39BDB9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遂城镇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6F8C6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31B23F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63A6FA6C">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122CF93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遂城镇部门整体支出绩效评价总得分为90分，综合绩效评价等级为“优”。各项得分情况如下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2F10E758">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47C6C5A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CE741D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02CE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B6587C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550CCD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72C780C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297372C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0AAE88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0445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FD414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3AACEA3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90AAEF5">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3AFAC6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656093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4B340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2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14B89C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8CCC77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427A06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04B9CB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2290C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9816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6A2C06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C02991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0F63A6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6E189A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B32BD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162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C761D8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60230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05FE02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7DA14E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5488A3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4AB45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E03B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4C894D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955A47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631BC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B26C0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1F39A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5FE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31172E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CA0B8C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217DE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11336B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CF7C5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2BA4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494F122">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7A680414">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A4C1A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1FE3B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14:paraId="4D6DDEB3">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5AE398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430061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8E18D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通过对比保定市徐水区委办公室及保定市徐水区人民政府办公室印发的《保定市徐水区遂城镇单位职能配置内设机构和人员编制规定》和徐水区遂城镇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部门职责工作活动绩效目标，评价工作组认为遂城镇部门职责符合“三定”方案中所赋予的职责，绩效目标设立依据充分，符合客观实际，与部门职责、工作规划和重点工作相关，工作活动和项目预算安排合理。</w:t>
      </w:r>
    </w:p>
    <w:p w14:paraId="29007A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E46A8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4D00CE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166F4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5F4C84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45E387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5C4E7FA6">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1802B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年预算文本—部门职责工作活动绩效目标,该指标实际得分2分。</w:t>
      </w:r>
    </w:p>
    <w:p w14:paraId="00AC4F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A1D3A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2FC246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45331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年预算文本及相关会计资料，单位所有收入均已纳入部门预算，部门支出按基本支出、项目支出分别编制。</w:t>
      </w:r>
    </w:p>
    <w:p w14:paraId="06FA5C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6B9B3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4400E8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09AB97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56E534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年预算文本—部门项目支出预算表，遂城镇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年预算项目共</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个，涉及资金</w:t>
      </w:r>
      <w:r>
        <w:rPr>
          <w:rFonts w:hint="eastAsia" w:ascii="仿宋_GB2312" w:eastAsia="仿宋_GB2312" w:cs="DengXian-Regular"/>
          <w:sz w:val="32"/>
          <w:szCs w:val="32"/>
          <w:lang w:val="en-US" w:eastAsia="zh-CN"/>
        </w:rPr>
        <w:t>1458.75</w:t>
      </w:r>
      <w:r>
        <w:rPr>
          <w:rFonts w:hint="eastAsia" w:ascii="仿宋_GB2312" w:eastAsia="仿宋_GB2312" w:cs="DengXian-Regular"/>
          <w:sz w:val="32"/>
          <w:szCs w:val="32"/>
        </w:rPr>
        <w:t>万元，所有项目均细化到具体用款单位及项目资金额度。项目预算细化率=（</w:t>
      </w:r>
      <w:r>
        <w:rPr>
          <w:rFonts w:hint="eastAsia" w:ascii="仿宋_GB2312" w:eastAsia="仿宋_GB2312" w:cs="DengXian-Regular"/>
          <w:sz w:val="32"/>
          <w:szCs w:val="32"/>
          <w:lang w:val="en-US" w:eastAsia="zh-CN"/>
        </w:rPr>
        <w:t>1458.75</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1458.75</w:t>
      </w:r>
      <w:r>
        <w:rPr>
          <w:rFonts w:hint="eastAsia" w:ascii="仿宋_GB2312" w:eastAsia="仿宋_GB2312" w:cs="DengXian-Regular"/>
          <w:sz w:val="32"/>
          <w:szCs w:val="32"/>
        </w:rPr>
        <w:t>）*100%=100%</w:t>
      </w:r>
    </w:p>
    <w:p w14:paraId="669679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6C705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16C0B1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年底在职人员控制情况，通过在职人员控制率衡量。</w:t>
      </w:r>
    </w:p>
    <w:p w14:paraId="4471A4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471D90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根据保定市徐水区委办公室及保定市徐水区人民政府办公室关于印发《保定市徐水区遂城镇单位职能配置内设机构和人员编制规定》的通知，遂城镇人员编制为59人，根据区</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年决算文本-部门基本情况表，截至</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113</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113</w:t>
      </w:r>
      <w:r>
        <w:rPr>
          <w:rFonts w:hint="eastAsia" w:ascii="仿宋_GB2312" w:eastAsia="仿宋_GB2312" w:cs="DengXian-Regular"/>
          <w:sz w:val="32"/>
          <w:szCs w:val="32"/>
        </w:rPr>
        <w:t>/59）*100%=</w:t>
      </w:r>
      <w:r>
        <w:rPr>
          <w:rFonts w:hint="eastAsia" w:ascii="仿宋_GB2312" w:eastAsia="仿宋_GB2312" w:cs="DengXian-Regular"/>
          <w:sz w:val="32"/>
          <w:szCs w:val="32"/>
          <w:lang w:val="en-US" w:eastAsia="zh-CN"/>
        </w:rPr>
        <w:t>192</w:t>
      </w:r>
      <w:r>
        <w:rPr>
          <w:rFonts w:hint="eastAsia" w:ascii="仿宋_GB2312" w:eastAsia="仿宋_GB2312" w:cs="DengXian-Regular"/>
          <w:sz w:val="32"/>
          <w:szCs w:val="32"/>
        </w:rPr>
        <w:t>%。</w:t>
      </w:r>
    </w:p>
    <w:p w14:paraId="12578D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14:paraId="1FBD6500">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8A756BA">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729A2C0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283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2FBDF9F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61ACA9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2221FB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261E92F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6D9CD9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619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5F52D8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B1193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16AFF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55CC73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1FE157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30AA1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4896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AF328A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E9945F3">
            <w:pPr>
              <w:spacing w:line="420" w:lineRule="exact"/>
              <w:jc w:val="center"/>
              <w:rPr>
                <w:rFonts w:cs="宋体" w:asciiTheme="minorEastAsia" w:hAnsiTheme="minorEastAsia" w:eastAsiaTheme="minorEastAsia"/>
                <w:sz w:val="21"/>
                <w:szCs w:val="21"/>
              </w:rPr>
            </w:pPr>
          </w:p>
        </w:tc>
        <w:tc>
          <w:tcPr>
            <w:tcW w:w="2277" w:type="dxa"/>
            <w:vAlign w:val="center"/>
          </w:tcPr>
          <w:p w14:paraId="5FA8CC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4598C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EF427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AE8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CCC894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C72B9A3">
            <w:pPr>
              <w:spacing w:line="420" w:lineRule="exact"/>
              <w:jc w:val="center"/>
              <w:rPr>
                <w:rFonts w:cs="宋体" w:asciiTheme="minorEastAsia" w:hAnsiTheme="minorEastAsia" w:eastAsiaTheme="minorEastAsia"/>
                <w:sz w:val="21"/>
                <w:szCs w:val="21"/>
              </w:rPr>
            </w:pPr>
          </w:p>
        </w:tc>
        <w:tc>
          <w:tcPr>
            <w:tcW w:w="2277" w:type="dxa"/>
            <w:vAlign w:val="center"/>
          </w:tcPr>
          <w:p w14:paraId="6A428A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09F8BA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217CC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2340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E88DDB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4AB2D99">
            <w:pPr>
              <w:spacing w:line="420" w:lineRule="exact"/>
              <w:jc w:val="center"/>
              <w:rPr>
                <w:rFonts w:cs="宋体" w:asciiTheme="minorEastAsia" w:hAnsiTheme="minorEastAsia" w:eastAsiaTheme="minorEastAsia"/>
                <w:sz w:val="21"/>
                <w:szCs w:val="21"/>
              </w:rPr>
            </w:pPr>
          </w:p>
        </w:tc>
        <w:tc>
          <w:tcPr>
            <w:tcW w:w="2277" w:type="dxa"/>
            <w:vAlign w:val="center"/>
          </w:tcPr>
          <w:p w14:paraId="2A30C5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1F9C7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8D204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36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EAF671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97B0348">
            <w:pPr>
              <w:spacing w:line="420" w:lineRule="exact"/>
              <w:jc w:val="center"/>
              <w:rPr>
                <w:rFonts w:cs="宋体" w:asciiTheme="minorEastAsia" w:hAnsiTheme="minorEastAsia" w:eastAsiaTheme="minorEastAsia"/>
                <w:sz w:val="21"/>
                <w:szCs w:val="21"/>
              </w:rPr>
            </w:pPr>
          </w:p>
        </w:tc>
        <w:tc>
          <w:tcPr>
            <w:tcW w:w="2277" w:type="dxa"/>
            <w:vAlign w:val="center"/>
          </w:tcPr>
          <w:p w14:paraId="689114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77C517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CF2A9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B43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A6020A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A29E4D">
            <w:pPr>
              <w:spacing w:line="420" w:lineRule="exact"/>
              <w:jc w:val="center"/>
              <w:rPr>
                <w:rFonts w:cs="宋体" w:asciiTheme="minorEastAsia" w:hAnsiTheme="minorEastAsia" w:eastAsiaTheme="minorEastAsia"/>
                <w:sz w:val="21"/>
                <w:szCs w:val="21"/>
              </w:rPr>
            </w:pPr>
          </w:p>
        </w:tc>
        <w:tc>
          <w:tcPr>
            <w:tcW w:w="2277" w:type="dxa"/>
            <w:vAlign w:val="center"/>
          </w:tcPr>
          <w:p w14:paraId="10157B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066D08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FE8C5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428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6319DB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BC54A26">
            <w:pPr>
              <w:spacing w:line="420" w:lineRule="exact"/>
              <w:jc w:val="center"/>
              <w:rPr>
                <w:rFonts w:cs="宋体" w:asciiTheme="minorEastAsia" w:hAnsiTheme="minorEastAsia" w:eastAsiaTheme="minorEastAsia"/>
                <w:sz w:val="21"/>
                <w:szCs w:val="21"/>
              </w:rPr>
            </w:pPr>
          </w:p>
        </w:tc>
        <w:tc>
          <w:tcPr>
            <w:tcW w:w="2277" w:type="dxa"/>
            <w:vAlign w:val="center"/>
          </w:tcPr>
          <w:p w14:paraId="4EAA71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1AD4FD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78270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D1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08A9F3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DBF09D7">
            <w:pPr>
              <w:spacing w:line="420" w:lineRule="exact"/>
              <w:jc w:val="center"/>
              <w:rPr>
                <w:rFonts w:cs="宋体" w:asciiTheme="minorEastAsia" w:hAnsiTheme="minorEastAsia" w:eastAsiaTheme="minorEastAsia"/>
                <w:sz w:val="21"/>
                <w:szCs w:val="21"/>
              </w:rPr>
            </w:pPr>
          </w:p>
        </w:tc>
        <w:tc>
          <w:tcPr>
            <w:tcW w:w="2277" w:type="dxa"/>
            <w:vAlign w:val="center"/>
          </w:tcPr>
          <w:p w14:paraId="673F32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67A96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C028F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820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AE3DA4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C3292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6F500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6AF873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F14F9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26268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4F3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C6EDCF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04CC4A1">
            <w:pPr>
              <w:spacing w:line="420" w:lineRule="exact"/>
              <w:jc w:val="center"/>
              <w:rPr>
                <w:rFonts w:cs="宋体" w:asciiTheme="minorEastAsia" w:hAnsiTheme="minorEastAsia" w:eastAsiaTheme="minorEastAsia"/>
                <w:sz w:val="21"/>
                <w:szCs w:val="21"/>
              </w:rPr>
            </w:pPr>
          </w:p>
        </w:tc>
        <w:tc>
          <w:tcPr>
            <w:tcW w:w="2277" w:type="dxa"/>
            <w:vAlign w:val="center"/>
          </w:tcPr>
          <w:p w14:paraId="064775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2D6A8C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56FF8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7CC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2FD1D5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D9F941D">
            <w:pPr>
              <w:spacing w:line="420" w:lineRule="exact"/>
              <w:jc w:val="center"/>
              <w:rPr>
                <w:rFonts w:cs="宋体" w:asciiTheme="minorEastAsia" w:hAnsiTheme="minorEastAsia" w:eastAsiaTheme="minorEastAsia"/>
                <w:sz w:val="21"/>
                <w:szCs w:val="21"/>
              </w:rPr>
            </w:pPr>
          </w:p>
        </w:tc>
        <w:tc>
          <w:tcPr>
            <w:tcW w:w="2277" w:type="dxa"/>
            <w:vAlign w:val="center"/>
          </w:tcPr>
          <w:p w14:paraId="486E1F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038B91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FA57A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0D1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FFE74D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4DCBF4E">
            <w:pPr>
              <w:spacing w:line="420" w:lineRule="exact"/>
              <w:jc w:val="center"/>
              <w:rPr>
                <w:rFonts w:cs="宋体" w:asciiTheme="minorEastAsia" w:hAnsiTheme="minorEastAsia" w:eastAsiaTheme="minorEastAsia"/>
                <w:sz w:val="21"/>
                <w:szCs w:val="21"/>
              </w:rPr>
            </w:pPr>
          </w:p>
        </w:tc>
        <w:tc>
          <w:tcPr>
            <w:tcW w:w="2277" w:type="dxa"/>
            <w:vAlign w:val="center"/>
          </w:tcPr>
          <w:p w14:paraId="4B12B8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39EF6E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A9A46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AA8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E88315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C18B5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11B21D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74C21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61302A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C0C9E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A1B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D5F65D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50E63B">
            <w:pPr>
              <w:spacing w:line="420" w:lineRule="exact"/>
              <w:jc w:val="center"/>
              <w:rPr>
                <w:rFonts w:cs="宋体" w:asciiTheme="minorEastAsia" w:hAnsiTheme="minorEastAsia" w:eastAsiaTheme="minorEastAsia"/>
                <w:sz w:val="21"/>
                <w:szCs w:val="21"/>
              </w:rPr>
            </w:pPr>
          </w:p>
        </w:tc>
        <w:tc>
          <w:tcPr>
            <w:tcW w:w="2277" w:type="dxa"/>
            <w:vAlign w:val="center"/>
          </w:tcPr>
          <w:p w14:paraId="2D9865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02602A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F15EA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A6A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9E2A4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2B47425">
            <w:pPr>
              <w:spacing w:line="420" w:lineRule="exact"/>
              <w:jc w:val="center"/>
              <w:rPr>
                <w:rFonts w:cs="宋体" w:asciiTheme="minorEastAsia" w:hAnsiTheme="minorEastAsia" w:eastAsiaTheme="minorEastAsia"/>
                <w:sz w:val="21"/>
                <w:szCs w:val="21"/>
              </w:rPr>
            </w:pPr>
          </w:p>
        </w:tc>
        <w:tc>
          <w:tcPr>
            <w:tcW w:w="1155" w:type="dxa"/>
            <w:vAlign w:val="center"/>
          </w:tcPr>
          <w:p w14:paraId="3E9EC2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750194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3"/>
    </w:tbl>
    <w:p w14:paraId="3E4FAB21">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06CBD8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5D8EF8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1F9362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bookmarkEnd w:id="64"/>
    <w:bookmarkEnd w:id="65"/>
    <w:p w14:paraId="7363C24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根据遂城镇的预算指标文件，其中主要包括：</w:t>
      </w:r>
    </w:p>
    <w:p w14:paraId="097092CE">
      <w:pPr>
        <w:spacing w:line="520" w:lineRule="exact"/>
        <w:ind w:firstLine="0"/>
        <w:jc w:val="both"/>
      </w:pPr>
      <w:r>
        <w:rPr>
          <w:rFonts w:hint="eastAsia" w:ascii="仿宋_GB2312" w:eastAsia="仿宋_GB2312" w:cs="DengXian-Regular"/>
          <w:sz w:val="32"/>
          <w:szCs w:val="32"/>
        </w:rPr>
        <w:t>根据遂城镇的预算指标文件，其中主要包括：徐财预指［2021］1-1442 号追加追加政法稳定工作经费8万元；徐财预指［2021］1-1516 号追加333 省道遂城段雨污管网改造项目占地补偿22.59万元、徐财预指［2021］1-1417 号追加遂城镇巩固庄纳污坑塘治理资金 42.274205万元；徐财预指［2021］1-1384号追加锅炉低氮改造资金16.9万元；徐财预指［2021］1-1258 号追加魏东东猪场关停取缔补偿费用36.72万元；徐财预指［2021］1-1256 号追加机关打井及管道维修38.1352.78万元，徐财预指［2021］1-1203号追加秸秆垃圾禁烧工作费用和三级禁烧网格员补贴资金 12.8万元，预算收入调整率大于10％</w:t>
      </w:r>
      <w:r>
        <w:rPr>
          <w:rFonts w:hint="eastAsia" w:ascii="宋体" w:hAnsi="宋体" w:eastAsia="宋体"/>
          <w:color w:val="000000"/>
          <w:sz w:val="30"/>
        </w:rPr>
        <w:t>。</w:t>
      </w:r>
    </w:p>
    <w:p w14:paraId="12820A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76D4AB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5924BE7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2EC05CE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收入完成率＝（决算收入／预算收入）x100％。</w:t>
      </w:r>
    </w:p>
    <w:p w14:paraId="681D64A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根据2021年预算文本、决算文本，2021年收入预算数3074.59万元，收入决算数 4102.25万元，收入完成率＝（决算数／预算数）＊100％＝133％。</w:t>
      </w:r>
    </w:p>
    <w:p w14:paraId="6320B0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EECC2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223A34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1A8551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785E5B87">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根据遂城镇的预算指标文件，其中主要包括：徐财预指［2021］1-1442 号追加追加政法稳定工作经费8万元；徐财预指［2021］1-1516 号追加333 省道遂城段雨污管网改造项目占地补偿 22.59万元、徐财预指［2021］1-1417 号追加遂城镇巩固庄纳污坑塘治理资金 42.274205 万元；徐财预指［2021］1-1384号追加锅炉低氮改造资金16.9万元；徐财预指［2021］1-1258 号追加魏东东猪场关停取缔补偿费用36.72万元；徐财预指［2021］1-1256 号追加机关打井及管道维修 38.1352.78万元，徐财预指［2021］1-1203号追加秸秆垃圾禁烧工作费用和三级禁烧网格员补贴资金12.8万元，预算</w:t>
      </w:r>
      <w:r>
        <w:rPr>
          <w:rFonts w:hint="eastAsia" w:ascii="仿宋_GB2312" w:eastAsia="仿宋_GB2312" w:cs="DengXian-Regular"/>
          <w:sz w:val="32"/>
          <w:szCs w:val="32"/>
          <w:lang w:eastAsia="zh-CN"/>
        </w:rPr>
        <w:t>调整</w:t>
      </w:r>
      <w:r>
        <w:rPr>
          <w:rFonts w:hint="eastAsia" w:ascii="仿宋_GB2312" w:eastAsia="仿宋_GB2312" w:cs="DengXian-Regular"/>
          <w:sz w:val="32"/>
          <w:szCs w:val="32"/>
        </w:rPr>
        <w:t>率大于10％。</w:t>
      </w:r>
    </w:p>
    <w:p w14:paraId="0FA411FE">
      <w:pPr>
        <w:spacing w:line="520" w:lineRule="exact"/>
        <w:ind w:firstLine="700"/>
        <w:jc w:val="both"/>
        <w:sectPr>
          <w:headerReference r:id="rId16" w:type="default"/>
          <w:footerReference r:id="rId17" w:type="default"/>
          <w:pgSz w:w="11900" w:h="16820"/>
          <w:pgMar w:top="1440" w:right="1520" w:bottom="940" w:left="1780" w:header="0" w:footer="0" w:gutter="0"/>
          <w:cols w:space="720" w:num="1"/>
          <w:titlePg/>
        </w:sectPr>
      </w:pPr>
    </w:p>
    <w:p w14:paraId="604E18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1EC5C0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6EED66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245A5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2EFBF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年决算文本，部门决算财政拨款支出数</w:t>
      </w:r>
      <w:r>
        <w:rPr>
          <w:rFonts w:hint="eastAsia" w:ascii="仿宋_GB2312" w:eastAsia="仿宋_GB2312" w:cs="DengXian-Regular"/>
          <w:sz w:val="32"/>
          <w:szCs w:val="32"/>
          <w:lang w:val="en-US" w:eastAsia="zh-CN"/>
        </w:rPr>
        <w:t>4102.18</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3941.46</w:t>
      </w:r>
      <w:r>
        <w:rPr>
          <w:rFonts w:hint="eastAsia" w:ascii="仿宋_GB2312" w:eastAsia="仿宋_GB2312" w:cs="DengXian-Regular"/>
          <w:sz w:val="32"/>
          <w:szCs w:val="32"/>
        </w:rPr>
        <w:t>万元，财政拨款支出率=（财政拨款支出数/财政拨款收入数）*100%=</w:t>
      </w:r>
      <w:r>
        <w:rPr>
          <w:rFonts w:hint="eastAsia" w:ascii="仿宋_GB2312" w:eastAsia="仿宋_GB2312" w:cs="DengXian-Regular"/>
          <w:sz w:val="32"/>
          <w:szCs w:val="32"/>
          <w:lang w:val="en-US" w:eastAsia="zh-CN"/>
        </w:rPr>
        <w:t>104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p>
    <w:p w14:paraId="57F4FF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96194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799516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79867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BF3FE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24.87</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19.06</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77</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02606D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EB555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2F2AA6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DFC0B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1D5D7E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年预算文本及决算文本，政府采购年初预算数0万元，年末决算数</w:t>
      </w:r>
      <w:r>
        <w:rPr>
          <w:rFonts w:hint="eastAsia" w:ascii="仿宋_GB2312" w:eastAsia="仿宋_GB2312" w:cs="DengXian-Regular"/>
          <w:sz w:val="32"/>
          <w:szCs w:val="32"/>
          <w:lang w:val="en-US" w:eastAsia="zh-CN"/>
        </w:rPr>
        <w:t>16.57</w:t>
      </w:r>
      <w:r>
        <w:rPr>
          <w:rFonts w:hint="eastAsia" w:ascii="仿宋_GB2312" w:eastAsia="仿宋_GB2312" w:cs="DengXian-Regular"/>
          <w:sz w:val="32"/>
          <w:szCs w:val="32"/>
        </w:rPr>
        <w:t>万元，政府采购执行率为100%。</w:t>
      </w:r>
    </w:p>
    <w:p w14:paraId="739193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48F786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1D29C6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22188A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年明细账、会计凭证等相关资料，遂城镇资金使用符合相关会计准则和财务制度，资金拨付有完备的审批程序和手续，资金使用符合部门预算批复的用途，未发现截留、挤占、挪用财政资金的情况。</w:t>
      </w:r>
    </w:p>
    <w:p w14:paraId="113015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C946C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A72CF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7020E4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年决算文本、明细账及总账，遂城镇决算文本数据均与明细账、总账一致。</w:t>
      </w:r>
    </w:p>
    <w:p w14:paraId="49E21A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72FE33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CD38D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738F33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3FACE8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遂城镇工作制度涵盖了财务制度、网络安全制度、公务用车制度等相关制度，经检查遂城镇付款流程审批单、资产盘点表等资料，遂城镇已按照相关管理制度的规定执行。</w:t>
      </w:r>
    </w:p>
    <w:p w14:paraId="62D775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687ED4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8E334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6E8F2F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年按政府信息公开的有关要求在保定市徐水区人民政府网公开了</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年的预决算情况、部门责任清单、行政监督清单等相关信息。</w:t>
      </w:r>
    </w:p>
    <w:p w14:paraId="1490BD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7D0133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874C4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636FC1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根据提供的会计账簿、凭证及其他相关资料，遂城镇会计信息资料真实完整，</w:t>
      </w:r>
    </w:p>
    <w:p w14:paraId="43B328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6104F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6A635E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37B55C0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遂城镇建立了固定资产台账、无形资产台账，资产保存完整，2021年新增资产82.42万元，包含：调拨车辆55.88万元通用设备（电脑、高拍仪等）3.18万元、图书21.24万元、家具（办公桌椅、密码柜等）2.12万元，资产购置手续完备，配置符合要求，资产管理整体较规范。</w:t>
      </w:r>
    </w:p>
    <w:p w14:paraId="29402F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0C7DC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6D4697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9AE61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4C9D50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2DB21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年度财政专项资金部门绩效自评价工作的通知》及遂城镇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年一般项目部门绩效自评表，遂城镇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年开展绩效自评的项目数为</w:t>
      </w:r>
      <w:r>
        <w:rPr>
          <w:rFonts w:hint="eastAsia" w:ascii="仿宋_GB2312" w:eastAsia="仿宋_GB2312" w:cs="DengXian-Regular"/>
          <w:sz w:val="32"/>
          <w:szCs w:val="32"/>
          <w:lang w:val="en-US" w:eastAsia="zh-CN"/>
        </w:rPr>
        <w:t>29</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个，自评覆盖率为 100%。</w:t>
      </w:r>
    </w:p>
    <w:p w14:paraId="03DC77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D27E3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08DF0D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187C72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95492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年参评数量</w:t>
      </w:r>
      <w:r>
        <w:rPr>
          <w:rFonts w:hint="eastAsia" w:ascii="仿宋_GB2312" w:eastAsia="仿宋_GB2312" w:cs="DengXian-Regular"/>
          <w:sz w:val="32"/>
          <w:szCs w:val="32"/>
          <w:lang w:val="en-US" w:eastAsia="zh-CN"/>
        </w:rPr>
        <w:t>29</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29</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2C8030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EB15B18">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2BA0F9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该一级指标包含责任履行一个二级指标，主要反映结转结余率，项目资金使用率，实际完成供暖工作及时率。</w:t>
      </w:r>
    </w:p>
    <w:p w14:paraId="53EC218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CEDAF9A">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5E50C70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E59CA0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33B15B9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41BE42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932E0F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8B303DB">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1C0BEC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152C89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004" w:type="dxa"/>
            <w:vMerge w:val="restart"/>
            <w:tcBorders>
              <w:top w:val="single" w:color="000000" w:sz="4" w:space="0"/>
              <w:left w:val="single" w:color="000000" w:sz="4" w:space="0"/>
              <w:right w:val="single" w:color="000000" w:sz="4" w:space="0"/>
            </w:tcBorders>
            <w:vAlign w:val="center"/>
          </w:tcPr>
          <w:p w14:paraId="712D7B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责任履行（20分）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A5ABB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E505B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DFFE6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D052C95">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18915A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5ABAD5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93F7E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E13D0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853" w:type="dxa"/>
            <w:tcBorders>
              <w:top w:val="single" w:color="000000" w:sz="4" w:space="0"/>
              <w:left w:val="single" w:color="000000" w:sz="4" w:space="0"/>
              <w:bottom w:val="single" w:color="000000" w:sz="4" w:space="0"/>
              <w:right w:val="single" w:color="000000" w:sz="4" w:space="0"/>
            </w:tcBorders>
            <w:vAlign w:val="center"/>
          </w:tcPr>
          <w:p w14:paraId="76EF3C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36F9523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45B81B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F1C322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AD84A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实际完成工作及时率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B122C6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77FD5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052F771">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7D2C0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5A2B145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93179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55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14:paraId="1F311475">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43CCED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949B4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37C410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年决算文本及相关资料，遂城镇</w:t>
      </w: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年结转结余资金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万元，决算收入</w:t>
      </w:r>
      <w:r>
        <w:rPr>
          <w:rFonts w:hint="eastAsia" w:ascii="仿宋_GB2312" w:eastAsia="仿宋_GB2312" w:cs="DengXian-Regular"/>
          <w:sz w:val="32"/>
          <w:szCs w:val="32"/>
          <w:lang w:val="en-US" w:eastAsia="zh-CN"/>
        </w:rPr>
        <w:t>4102.25</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，小于5%。</w:t>
      </w:r>
    </w:p>
    <w:p w14:paraId="4F8C08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70709E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2.项目资金使用率（10分）</w:t>
      </w:r>
    </w:p>
    <w:p w14:paraId="3882DD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1AA397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项目资金使用率=（实际支出项目资金总额/计划完成项目资金总数）*100%。</w:t>
      </w:r>
    </w:p>
    <w:p w14:paraId="1F352A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年实际支出项目资金总额</w:t>
      </w:r>
      <w:r>
        <w:rPr>
          <w:rFonts w:hint="eastAsia" w:ascii="仿宋_GB2312" w:eastAsia="仿宋_GB2312" w:cs="DengXian-Regular"/>
          <w:sz w:val="32"/>
          <w:szCs w:val="32"/>
          <w:lang w:val="en-US" w:eastAsia="zh-CN"/>
        </w:rPr>
        <w:t>2596.42</w:t>
      </w:r>
      <w:r>
        <w:rPr>
          <w:rFonts w:hint="eastAsia" w:ascii="仿宋_GB2312" w:eastAsia="仿宋_GB2312" w:cs="DengXian-Regular"/>
          <w:sz w:val="32"/>
          <w:szCs w:val="32"/>
        </w:rPr>
        <w:t>万元，年初预算共2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个项目，预算数</w:t>
      </w:r>
      <w:r>
        <w:rPr>
          <w:rFonts w:hint="eastAsia" w:ascii="仿宋_GB2312" w:eastAsia="仿宋_GB2312" w:cs="DengXian-Regular"/>
          <w:sz w:val="32"/>
          <w:szCs w:val="32"/>
          <w:lang w:val="en-US" w:eastAsia="zh-CN"/>
        </w:rPr>
        <w:t>1458.79</w:t>
      </w:r>
      <w:r>
        <w:rPr>
          <w:rFonts w:hint="eastAsia" w:ascii="仿宋_GB2312" w:eastAsia="仿宋_GB2312" w:cs="DengXian-Regular"/>
          <w:sz w:val="32"/>
          <w:szCs w:val="32"/>
        </w:rPr>
        <w:t>万元，年中追加项目资金</w:t>
      </w:r>
      <w:r>
        <w:rPr>
          <w:rFonts w:hint="eastAsia" w:ascii="仿宋_GB2312" w:eastAsia="仿宋_GB2312" w:cs="DengXian-Regular"/>
          <w:sz w:val="32"/>
          <w:szCs w:val="32"/>
          <w:lang w:val="en-US" w:eastAsia="zh-CN"/>
        </w:rPr>
        <w:t>1137.63</w:t>
      </w:r>
      <w:r>
        <w:rPr>
          <w:rFonts w:hint="eastAsia" w:ascii="仿宋_GB2312" w:eastAsia="仿宋_GB2312" w:cs="DengXian-Regular"/>
          <w:sz w:val="32"/>
          <w:szCs w:val="32"/>
        </w:rPr>
        <w:t>万元，项目资金使用率为100%。</w:t>
      </w:r>
    </w:p>
    <w:p w14:paraId="4B37C6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该指标实际得分10分。</w:t>
      </w:r>
    </w:p>
    <w:p w14:paraId="504861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rPr>
        <w:t xml:space="preserve"> </w:t>
      </w:r>
      <w:r>
        <w:rPr>
          <w:rFonts w:hint="eastAsia" w:ascii="仿宋_GB2312" w:eastAsia="仿宋_GB2312" w:cs="DengXian-Regular"/>
          <w:sz w:val="32"/>
          <w:szCs w:val="32"/>
        </w:rPr>
        <w:t>实际完成工作及时率（5分）</w:t>
      </w:r>
    </w:p>
    <w:p w14:paraId="18DCA6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该指标主要评价实际完成工作及时率，通过项目资金完成及时率来衡量。</w:t>
      </w:r>
    </w:p>
    <w:p w14:paraId="3ABFD6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实际完成工作及时率=（实际完成工作数/计划完成工作数）*100%。</w:t>
      </w:r>
    </w:p>
    <w:p w14:paraId="1D34D4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2021</w:t>
      </w:r>
      <w:r>
        <w:rPr>
          <w:rFonts w:hint="eastAsia" w:ascii="仿宋_GB2312" w:eastAsia="仿宋_GB2312" w:cs="DengXian-Regular"/>
          <w:sz w:val="32"/>
          <w:szCs w:val="32"/>
        </w:rPr>
        <w:t>年实际完成工作数5</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个项目，年初预算共</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个项目，年中追加项目2</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个，实际完成工作及时率为100%。</w:t>
      </w:r>
    </w:p>
    <w:p w14:paraId="44F809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3955279">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17C38F74">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31C7E46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139F12C">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C17C62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E0850B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D676CF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44636B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6C026BA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7F4A73F">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B68F31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151896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0591A90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6F94D7A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F1234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0E3D67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80C5D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5D7B56B0">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F79ADD3">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14F0993">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73B964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BB69E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C07D6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5C031C2A">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7BBDD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06C8970">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2FA86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1045" w:type="dxa"/>
            <w:tcBorders>
              <w:top w:val="single" w:color="000000" w:sz="4" w:space="0"/>
              <w:left w:val="single" w:color="000000" w:sz="4" w:space="0"/>
              <w:bottom w:val="single" w:color="000000" w:sz="4" w:space="0"/>
              <w:right w:val="single" w:color="000000" w:sz="4" w:space="0"/>
            </w:tcBorders>
            <w:vAlign w:val="center"/>
          </w:tcPr>
          <w:p w14:paraId="46321E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bookmarkEnd w:id="70"/>
    </w:tbl>
    <w:p w14:paraId="3AD6EF76">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14:paraId="7BD3FF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6B77A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经查看相关资料，岁城镇履行职责对社会发展所带来的社会效益一般，有效的提高了社会公众的维权意识，减少了社会不稳定因素。</w:t>
      </w:r>
    </w:p>
    <w:p w14:paraId="7084A3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该项指标实际得分6分。</w:t>
      </w:r>
    </w:p>
    <w:p w14:paraId="4196F0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2.考评满意度（10分）</w:t>
      </w:r>
    </w:p>
    <w:p w14:paraId="37BB054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39AA8E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0028C595">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06E31446">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2A24476D">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906B4C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80815D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6D86C31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0F07BCD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40E8EA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FFEC0D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7AE9F12D">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3C09CD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7EEA006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9AF97E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D8E0A9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B89C5F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606C99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673DF4C6">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DB13AC3">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A3EC5F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4B5C09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0505B2C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31B202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C75888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69519E2A">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38D48C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1283848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352AFE5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193C07C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A305EA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0DD649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1CA23DF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A84C10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B15EA8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6226666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经计算，总体得分为100分，大于90分，评价等级为“满意”。</w:t>
      </w:r>
    </w:p>
    <w:p w14:paraId="4D71696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该指标实际得分10分。</w:t>
      </w:r>
    </w:p>
    <w:p w14:paraId="13CBC37F">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3715840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遂城镇</w:t>
      </w:r>
      <w:r>
        <w:rPr>
          <w:rFonts w:hint="eastAsia" w:ascii="仿宋_GB2312" w:eastAsia="仿宋_GB2312" w:cs="Times New Roman" w:hAnsiTheme="minorEastAsia"/>
          <w:sz w:val="32"/>
          <w:szCs w:val="32"/>
          <w:u w:color="000000"/>
          <w:lang w:eastAsia="zh-CN"/>
        </w:rPr>
        <w:t>2021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20041D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在设置职责活动绩效指标时，绩效目标没有细化分解为具体的工作任务数，绩效目标量化较困难，不便于对目标实现情况进行考核。</w:t>
      </w:r>
    </w:p>
    <w:p w14:paraId="37C4DE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2.预算决算比较。预算与决算差额较大，</w:t>
      </w:r>
      <w:r>
        <w:rPr>
          <w:rFonts w:hint="eastAsia" w:ascii="仿宋_GB2312" w:eastAsia="仿宋_GB2312" w:cs="DengXian-Regular"/>
          <w:sz w:val="32"/>
          <w:szCs w:val="32"/>
        </w:rPr>
        <w:t>没有根据具体情况及时调整预算的编制。</w:t>
      </w:r>
    </w:p>
    <w:p w14:paraId="60EFB4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中期预算追加金额较大，提高预算编制质量，发挥预算约束作用。</w:t>
      </w:r>
    </w:p>
    <w:p w14:paraId="0094C49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4.项目资金使用率方面。个别项目进展较慢，应拨付的资金未及时拨付，项目资金使用效率不高。</w:t>
      </w:r>
    </w:p>
    <w:bookmarkEnd w:id="75"/>
    <w:bookmarkEnd w:id="76"/>
    <w:p w14:paraId="0D4FCC1B">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bookmarkEnd w:id="77"/>
    <w:p w14:paraId="0884EE2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579E2AF">
      <w:pPr>
        <w:spacing w:after="0" w:line="360" w:lineRule="auto"/>
        <w:ind w:firstLine="640" w:firstLineChars="200"/>
        <w:jc w:val="both"/>
        <w:textAlignment w:val="baseline"/>
        <w:rPr>
          <w:rFonts w:ascii="仿宋_GB2312" w:eastAsia="仿宋_GB2312" w:cs="Times New Roman" w:hAnsiTheme="minorEastAsia"/>
          <w:sz w:val="32"/>
          <w:szCs w:val="32"/>
          <w:u w:color="000000"/>
        </w:rPr>
      </w:pPr>
    </w:p>
    <w:sectPr>
      <w:headerReference r:id="rId18" w:type="default"/>
      <w:footerReference r:id="rId19"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5E30">
    <w:pPr>
      <w:pStyle w:val="14"/>
      <w:jc w:val="center"/>
    </w:pPr>
  </w:p>
  <w:p w14:paraId="08A90A6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8D5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B2B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B9B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E9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43C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F7A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BDA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09A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582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E0D4">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0E2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56F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A87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748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EC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GRkNGUyM2Q3ODAyMjk3YzczMGFkNzcyMzU1MzMifQ=="/>
  </w:docVars>
  <w:rsids>
    <w:rsidRoot w:val="00D31D50"/>
    <w:rsid w:val="00004179"/>
    <w:rsid w:val="0000439F"/>
    <w:rsid w:val="00007CA0"/>
    <w:rsid w:val="00015C39"/>
    <w:rsid w:val="000174D3"/>
    <w:rsid w:val="000209AA"/>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5EDC"/>
    <w:rsid w:val="00077648"/>
    <w:rsid w:val="00080E48"/>
    <w:rsid w:val="00081E0A"/>
    <w:rsid w:val="00091D50"/>
    <w:rsid w:val="000935D5"/>
    <w:rsid w:val="0009618D"/>
    <w:rsid w:val="00096195"/>
    <w:rsid w:val="0009756F"/>
    <w:rsid w:val="000A067E"/>
    <w:rsid w:val="000A1D05"/>
    <w:rsid w:val="000A1F67"/>
    <w:rsid w:val="000A2079"/>
    <w:rsid w:val="000A5467"/>
    <w:rsid w:val="000A792B"/>
    <w:rsid w:val="000B071A"/>
    <w:rsid w:val="000B09F3"/>
    <w:rsid w:val="000B0C4A"/>
    <w:rsid w:val="000B23E8"/>
    <w:rsid w:val="000B3D8F"/>
    <w:rsid w:val="000B62FE"/>
    <w:rsid w:val="000B72BC"/>
    <w:rsid w:val="000B78D7"/>
    <w:rsid w:val="000C1503"/>
    <w:rsid w:val="000C1EA5"/>
    <w:rsid w:val="000C52FB"/>
    <w:rsid w:val="000C55E6"/>
    <w:rsid w:val="000C5D23"/>
    <w:rsid w:val="000C6D5A"/>
    <w:rsid w:val="000D09B2"/>
    <w:rsid w:val="000D7C38"/>
    <w:rsid w:val="000E0902"/>
    <w:rsid w:val="000E3830"/>
    <w:rsid w:val="000E41A6"/>
    <w:rsid w:val="000F070B"/>
    <w:rsid w:val="000F1687"/>
    <w:rsid w:val="000F3158"/>
    <w:rsid w:val="000F364D"/>
    <w:rsid w:val="000F4432"/>
    <w:rsid w:val="000F465E"/>
    <w:rsid w:val="000F5E8C"/>
    <w:rsid w:val="001000B2"/>
    <w:rsid w:val="00104C6C"/>
    <w:rsid w:val="0010560E"/>
    <w:rsid w:val="0010612A"/>
    <w:rsid w:val="00106FF7"/>
    <w:rsid w:val="00107111"/>
    <w:rsid w:val="001073D6"/>
    <w:rsid w:val="00107819"/>
    <w:rsid w:val="001117B5"/>
    <w:rsid w:val="00114EA8"/>
    <w:rsid w:val="0011574B"/>
    <w:rsid w:val="00116132"/>
    <w:rsid w:val="00117B9C"/>
    <w:rsid w:val="00117E7D"/>
    <w:rsid w:val="00120EA6"/>
    <w:rsid w:val="00122196"/>
    <w:rsid w:val="0012439D"/>
    <w:rsid w:val="0012587C"/>
    <w:rsid w:val="00127A01"/>
    <w:rsid w:val="0013591D"/>
    <w:rsid w:val="00141DE8"/>
    <w:rsid w:val="00144105"/>
    <w:rsid w:val="00145B4E"/>
    <w:rsid w:val="001544E1"/>
    <w:rsid w:val="00154AF2"/>
    <w:rsid w:val="001551CE"/>
    <w:rsid w:val="00155903"/>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965F7"/>
    <w:rsid w:val="001A0F7A"/>
    <w:rsid w:val="001A1677"/>
    <w:rsid w:val="001A1BB1"/>
    <w:rsid w:val="001A5FD3"/>
    <w:rsid w:val="001B0380"/>
    <w:rsid w:val="001B04A4"/>
    <w:rsid w:val="001B30D5"/>
    <w:rsid w:val="001B382A"/>
    <w:rsid w:val="001B5C88"/>
    <w:rsid w:val="001B6CE6"/>
    <w:rsid w:val="001C046D"/>
    <w:rsid w:val="001C1412"/>
    <w:rsid w:val="001C391F"/>
    <w:rsid w:val="001C4554"/>
    <w:rsid w:val="001C5135"/>
    <w:rsid w:val="001C6339"/>
    <w:rsid w:val="001C796E"/>
    <w:rsid w:val="001D1367"/>
    <w:rsid w:val="001D4DAD"/>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18D0"/>
    <w:rsid w:val="0021307B"/>
    <w:rsid w:val="002142B8"/>
    <w:rsid w:val="002161F4"/>
    <w:rsid w:val="00216E75"/>
    <w:rsid w:val="00221907"/>
    <w:rsid w:val="00222FA8"/>
    <w:rsid w:val="00223D9B"/>
    <w:rsid w:val="0022532A"/>
    <w:rsid w:val="00227AFB"/>
    <w:rsid w:val="0023477E"/>
    <w:rsid w:val="00235741"/>
    <w:rsid w:val="00236B18"/>
    <w:rsid w:val="00237551"/>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18A4"/>
    <w:rsid w:val="00272569"/>
    <w:rsid w:val="0027345D"/>
    <w:rsid w:val="002736FD"/>
    <w:rsid w:val="00274CFA"/>
    <w:rsid w:val="00275677"/>
    <w:rsid w:val="00275A3F"/>
    <w:rsid w:val="0028068C"/>
    <w:rsid w:val="00282A89"/>
    <w:rsid w:val="00283F8F"/>
    <w:rsid w:val="002869F9"/>
    <w:rsid w:val="002923C9"/>
    <w:rsid w:val="00292F98"/>
    <w:rsid w:val="002939A0"/>
    <w:rsid w:val="002959A3"/>
    <w:rsid w:val="0029626E"/>
    <w:rsid w:val="00296E59"/>
    <w:rsid w:val="00297CEF"/>
    <w:rsid w:val="002A0117"/>
    <w:rsid w:val="002A0364"/>
    <w:rsid w:val="002A1661"/>
    <w:rsid w:val="002A1A25"/>
    <w:rsid w:val="002A563C"/>
    <w:rsid w:val="002A563F"/>
    <w:rsid w:val="002A61F9"/>
    <w:rsid w:val="002B05EF"/>
    <w:rsid w:val="002B2E34"/>
    <w:rsid w:val="002B76FA"/>
    <w:rsid w:val="002C029E"/>
    <w:rsid w:val="002C0D76"/>
    <w:rsid w:val="002C2C71"/>
    <w:rsid w:val="002C5A65"/>
    <w:rsid w:val="002C71F3"/>
    <w:rsid w:val="002D2112"/>
    <w:rsid w:val="002D53D7"/>
    <w:rsid w:val="002D5508"/>
    <w:rsid w:val="002D5FC1"/>
    <w:rsid w:val="002D7AB3"/>
    <w:rsid w:val="002E1482"/>
    <w:rsid w:val="002E1D3C"/>
    <w:rsid w:val="002E1F73"/>
    <w:rsid w:val="002E269D"/>
    <w:rsid w:val="002E3460"/>
    <w:rsid w:val="002E70AE"/>
    <w:rsid w:val="002F0A2B"/>
    <w:rsid w:val="002F0C41"/>
    <w:rsid w:val="002F46F6"/>
    <w:rsid w:val="002F5B6A"/>
    <w:rsid w:val="002F5BF5"/>
    <w:rsid w:val="002F5ECA"/>
    <w:rsid w:val="00306572"/>
    <w:rsid w:val="003079A4"/>
    <w:rsid w:val="003079C7"/>
    <w:rsid w:val="003169F3"/>
    <w:rsid w:val="0032078D"/>
    <w:rsid w:val="00321CE0"/>
    <w:rsid w:val="0032231F"/>
    <w:rsid w:val="00323B43"/>
    <w:rsid w:val="00325BCC"/>
    <w:rsid w:val="003309A3"/>
    <w:rsid w:val="003345BC"/>
    <w:rsid w:val="00343662"/>
    <w:rsid w:val="00350EEA"/>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85512"/>
    <w:rsid w:val="00391AE3"/>
    <w:rsid w:val="00396D4C"/>
    <w:rsid w:val="003A02BE"/>
    <w:rsid w:val="003A1765"/>
    <w:rsid w:val="003A3C32"/>
    <w:rsid w:val="003A4D02"/>
    <w:rsid w:val="003A4D52"/>
    <w:rsid w:val="003A536E"/>
    <w:rsid w:val="003B5592"/>
    <w:rsid w:val="003B6DEC"/>
    <w:rsid w:val="003B79D3"/>
    <w:rsid w:val="003C1B64"/>
    <w:rsid w:val="003C2B92"/>
    <w:rsid w:val="003D126B"/>
    <w:rsid w:val="003D1D33"/>
    <w:rsid w:val="003D22C9"/>
    <w:rsid w:val="003D28AC"/>
    <w:rsid w:val="003D37D8"/>
    <w:rsid w:val="003D7B2A"/>
    <w:rsid w:val="003E266C"/>
    <w:rsid w:val="003E3C05"/>
    <w:rsid w:val="003F282F"/>
    <w:rsid w:val="003F5B1B"/>
    <w:rsid w:val="00400E89"/>
    <w:rsid w:val="00401AB4"/>
    <w:rsid w:val="00402CA2"/>
    <w:rsid w:val="00402D95"/>
    <w:rsid w:val="00403ADD"/>
    <w:rsid w:val="00407629"/>
    <w:rsid w:val="004108EE"/>
    <w:rsid w:val="00410F1A"/>
    <w:rsid w:val="00412A31"/>
    <w:rsid w:val="0041627D"/>
    <w:rsid w:val="004200B9"/>
    <w:rsid w:val="00426133"/>
    <w:rsid w:val="004300B1"/>
    <w:rsid w:val="00430AF8"/>
    <w:rsid w:val="0043148F"/>
    <w:rsid w:val="0043354D"/>
    <w:rsid w:val="00434EB0"/>
    <w:rsid w:val="004358AB"/>
    <w:rsid w:val="00435DA7"/>
    <w:rsid w:val="00436636"/>
    <w:rsid w:val="004370A2"/>
    <w:rsid w:val="00445C28"/>
    <w:rsid w:val="004468B5"/>
    <w:rsid w:val="00450AA0"/>
    <w:rsid w:val="00451E9F"/>
    <w:rsid w:val="004551F1"/>
    <w:rsid w:val="00456648"/>
    <w:rsid w:val="00457E00"/>
    <w:rsid w:val="00461E7C"/>
    <w:rsid w:val="004639E0"/>
    <w:rsid w:val="00463A6D"/>
    <w:rsid w:val="00465A21"/>
    <w:rsid w:val="0047047F"/>
    <w:rsid w:val="00472C49"/>
    <w:rsid w:val="00474DE3"/>
    <w:rsid w:val="00476A93"/>
    <w:rsid w:val="00477959"/>
    <w:rsid w:val="00486217"/>
    <w:rsid w:val="00486A56"/>
    <w:rsid w:val="00494D73"/>
    <w:rsid w:val="004A19C4"/>
    <w:rsid w:val="004A6EA4"/>
    <w:rsid w:val="004B0D0C"/>
    <w:rsid w:val="004B146A"/>
    <w:rsid w:val="004B1E69"/>
    <w:rsid w:val="004B4146"/>
    <w:rsid w:val="004B5892"/>
    <w:rsid w:val="004B59DD"/>
    <w:rsid w:val="004B5E88"/>
    <w:rsid w:val="004B5EDE"/>
    <w:rsid w:val="004C0341"/>
    <w:rsid w:val="004C0B24"/>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1B56"/>
    <w:rsid w:val="004E1F9E"/>
    <w:rsid w:val="004E3774"/>
    <w:rsid w:val="004E446B"/>
    <w:rsid w:val="004E4ED4"/>
    <w:rsid w:val="004E5448"/>
    <w:rsid w:val="004E5DFC"/>
    <w:rsid w:val="004E642E"/>
    <w:rsid w:val="004E7ADC"/>
    <w:rsid w:val="004F4875"/>
    <w:rsid w:val="005031BA"/>
    <w:rsid w:val="00503AB5"/>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2387"/>
    <w:rsid w:val="00544C1A"/>
    <w:rsid w:val="00546D1B"/>
    <w:rsid w:val="0055027D"/>
    <w:rsid w:val="00554FA1"/>
    <w:rsid w:val="00556934"/>
    <w:rsid w:val="005607DF"/>
    <w:rsid w:val="00564377"/>
    <w:rsid w:val="00564538"/>
    <w:rsid w:val="00566A89"/>
    <w:rsid w:val="00567E07"/>
    <w:rsid w:val="005703B8"/>
    <w:rsid w:val="00575E9C"/>
    <w:rsid w:val="005771F7"/>
    <w:rsid w:val="00577B7B"/>
    <w:rsid w:val="00583F7F"/>
    <w:rsid w:val="0058600B"/>
    <w:rsid w:val="00587913"/>
    <w:rsid w:val="00593428"/>
    <w:rsid w:val="00593B65"/>
    <w:rsid w:val="005A039D"/>
    <w:rsid w:val="005A15D6"/>
    <w:rsid w:val="005A1FD8"/>
    <w:rsid w:val="005A317D"/>
    <w:rsid w:val="005A79F9"/>
    <w:rsid w:val="005B2741"/>
    <w:rsid w:val="005C3594"/>
    <w:rsid w:val="005C46B7"/>
    <w:rsid w:val="005C7C8B"/>
    <w:rsid w:val="005D5617"/>
    <w:rsid w:val="005D6591"/>
    <w:rsid w:val="005D6869"/>
    <w:rsid w:val="005D7446"/>
    <w:rsid w:val="005E5F88"/>
    <w:rsid w:val="005F06F5"/>
    <w:rsid w:val="005F46C0"/>
    <w:rsid w:val="005F471D"/>
    <w:rsid w:val="005F5F54"/>
    <w:rsid w:val="005F720A"/>
    <w:rsid w:val="005F7467"/>
    <w:rsid w:val="005F78E7"/>
    <w:rsid w:val="006007F3"/>
    <w:rsid w:val="0060402C"/>
    <w:rsid w:val="00606AD4"/>
    <w:rsid w:val="0061252A"/>
    <w:rsid w:val="006135B3"/>
    <w:rsid w:val="006138D4"/>
    <w:rsid w:val="00616C03"/>
    <w:rsid w:val="00616F30"/>
    <w:rsid w:val="006215A2"/>
    <w:rsid w:val="00621F7D"/>
    <w:rsid w:val="00622AD1"/>
    <w:rsid w:val="00623267"/>
    <w:rsid w:val="0062494C"/>
    <w:rsid w:val="00625428"/>
    <w:rsid w:val="0062670B"/>
    <w:rsid w:val="00630B86"/>
    <w:rsid w:val="00630F5B"/>
    <w:rsid w:val="00634C66"/>
    <w:rsid w:val="006352D1"/>
    <w:rsid w:val="00636E1A"/>
    <w:rsid w:val="00641546"/>
    <w:rsid w:val="00642BA5"/>
    <w:rsid w:val="006434E0"/>
    <w:rsid w:val="00645E3D"/>
    <w:rsid w:val="00650C90"/>
    <w:rsid w:val="0065172D"/>
    <w:rsid w:val="0065287D"/>
    <w:rsid w:val="0065671B"/>
    <w:rsid w:val="00656A5A"/>
    <w:rsid w:val="00663A42"/>
    <w:rsid w:val="0066418E"/>
    <w:rsid w:val="0066469F"/>
    <w:rsid w:val="00666827"/>
    <w:rsid w:val="00667817"/>
    <w:rsid w:val="0067644C"/>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51AD"/>
    <w:rsid w:val="006B65B0"/>
    <w:rsid w:val="006C0E80"/>
    <w:rsid w:val="006C5198"/>
    <w:rsid w:val="006C6280"/>
    <w:rsid w:val="006C6A07"/>
    <w:rsid w:val="006D04BD"/>
    <w:rsid w:val="006D2C34"/>
    <w:rsid w:val="006E0A3D"/>
    <w:rsid w:val="006E27F1"/>
    <w:rsid w:val="006E5BC8"/>
    <w:rsid w:val="006E74C7"/>
    <w:rsid w:val="006E7CBA"/>
    <w:rsid w:val="006F1355"/>
    <w:rsid w:val="006F222F"/>
    <w:rsid w:val="006F7B69"/>
    <w:rsid w:val="0070241F"/>
    <w:rsid w:val="007024A9"/>
    <w:rsid w:val="00703C96"/>
    <w:rsid w:val="00704C40"/>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56DE9"/>
    <w:rsid w:val="00761D80"/>
    <w:rsid w:val="0076364A"/>
    <w:rsid w:val="00766FC5"/>
    <w:rsid w:val="00770E5B"/>
    <w:rsid w:val="00772930"/>
    <w:rsid w:val="00776E20"/>
    <w:rsid w:val="007814AF"/>
    <w:rsid w:val="007825F0"/>
    <w:rsid w:val="00787F88"/>
    <w:rsid w:val="00791F20"/>
    <w:rsid w:val="0079721A"/>
    <w:rsid w:val="007A095C"/>
    <w:rsid w:val="007A0AF8"/>
    <w:rsid w:val="007A283A"/>
    <w:rsid w:val="007A65C8"/>
    <w:rsid w:val="007A6B16"/>
    <w:rsid w:val="007A7AC4"/>
    <w:rsid w:val="007B50A7"/>
    <w:rsid w:val="007B639C"/>
    <w:rsid w:val="007B7036"/>
    <w:rsid w:val="007C0870"/>
    <w:rsid w:val="007C2D10"/>
    <w:rsid w:val="007C457D"/>
    <w:rsid w:val="007D02A9"/>
    <w:rsid w:val="007D166D"/>
    <w:rsid w:val="007D17C7"/>
    <w:rsid w:val="007D2766"/>
    <w:rsid w:val="007D2FF7"/>
    <w:rsid w:val="007D5AEF"/>
    <w:rsid w:val="007D74D8"/>
    <w:rsid w:val="007E13A4"/>
    <w:rsid w:val="007E20CA"/>
    <w:rsid w:val="007E3988"/>
    <w:rsid w:val="007E4698"/>
    <w:rsid w:val="007E6959"/>
    <w:rsid w:val="007E6991"/>
    <w:rsid w:val="007E7A36"/>
    <w:rsid w:val="007F222D"/>
    <w:rsid w:val="007F3FB7"/>
    <w:rsid w:val="007F518D"/>
    <w:rsid w:val="007F68FE"/>
    <w:rsid w:val="007F7E7E"/>
    <w:rsid w:val="00802A21"/>
    <w:rsid w:val="00803C29"/>
    <w:rsid w:val="00804E5E"/>
    <w:rsid w:val="00804FAA"/>
    <w:rsid w:val="00805678"/>
    <w:rsid w:val="00805D26"/>
    <w:rsid w:val="0081553D"/>
    <w:rsid w:val="00815BE9"/>
    <w:rsid w:val="00815C94"/>
    <w:rsid w:val="00815CF6"/>
    <w:rsid w:val="00816990"/>
    <w:rsid w:val="0081745D"/>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6E62"/>
    <w:rsid w:val="00847E07"/>
    <w:rsid w:val="00851297"/>
    <w:rsid w:val="008527FB"/>
    <w:rsid w:val="00852C43"/>
    <w:rsid w:val="0085331C"/>
    <w:rsid w:val="00853737"/>
    <w:rsid w:val="008541B8"/>
    <w:rsid w:val="00857249"/>
    <w:rsid w:val="00861067"/>
    <w:rsid w:val="00862AE2"/>
    <w:rsid w:val="00862C25"/>
    <w:rsid w:val="00863CA2"/>
    <w:rsid w:val="00864A80"/>
    <w:rsid w:val="008655ED"/>
    <w:rsid w:val="00866942"/>
    <w:rsid w:val="00871B0D"/>
    <w:rsid w:val="00871B14"/>
    <w:rsid w:val="00871E1D"/>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6728"/>
    <w:rsid w:val="008B7726"/>
    <w:rsid w:val="008C08EC"/>
    <w:rsid w:val="008C15DD"/>
    <w:rsid w:val="008C2997"/>
    <w:rsid w:val="008C443B"/>
    <w:rsid w:val="008C538A"/>
    <w:rsid w:val="008C6DB8"/>
    <w:rsid w:val="008D0618"/>
    <w:rsid w:val="008D196B"/>
    <w:rsid w:val="008D1AEB"/>
    <w:rsid w:val="008D1E23"/>
    <w:rsid w:val="008D2A7C"/>
    <w:rsid w:val="008D3031"/>
    <w:rsid w:val="008D4F00"/>
    <w:rsid w:val="008D7DBC"/>
    <w:rsid w:val="008E08B2"/>
    <w:rsid w:val="008E0AFC"/>
    <w:rsid w:val="008E1E43"/>
    <w:rsid w:val="008E3116"/>
    <w:rsid w:val="008E637F"/>
    <w:rsid w:val="008E66FE"/>
    <w:rsid w:val="008E6C1C"/>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3647"/>
    <w:rsid w:val="0092425B"/>
    <w:rsid w:val="00924D39"/>
    <w:rsid w:val="00924FFE"/>
    <w:rsid w:val="009263C3"/>
    <w:rsid w:val="009268AB"/>
    <w:rsid w:val="00930B26"/>
    <w:rsid w:val="0093494F"/>
    <w:rsid w:val="00934BD9"/>
    <w:rsid w:val="00935053"/>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337C"/>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2D6F"/>
    <w:rsid w:val="009A37AE"/>
    <w:rsid w:val="009A4059"/>
    <w:rsid w:val="009A47EF"/>
    <w:rsid w:val="009B1979"/>
    <w:rsid w:val="009B1E1B"/>
    <w:rsid w:val="009B2CC0"/>
    <w:rsid w:val="009B4C38"/>
    <w:rsid w:val="009C0DAB"/>
    <w:rsid w:val="009C1E20"/>
    <w:rsid w:val="009C380B"/>
    <w:rsid w:val="009D0378"/>
    <w:rsid w:val="009D0F18"/>
    <w:rsid w:val="009D1EFB"/>
    <w:rsid w:val="009D5964"/>
    <w:rsid w:val="009D6A0C"/>
    <w:rsid w:val="009E0725"/>
    <w:rsid w:val="009E1492"/>
    <w:rsid w:val="009E1AEE"/>
    <w:rsid w:val="009E4B3F"/>
    <w:rsid w:val="009E5877"/>
    <w:rsid w:val="009F4CA7"/>
    <w:rsid w:val="009F69B0"/>
    <w:rsid w:val="00A0310D"/>
    <w:rsid w:val="00A073F4"/>
    <w:rsid w:val="00A07BBE"/>
    <w:rsid w:val="00A155C4"/>
    <w:rsid w:val="00A16439"/>
    <w:rsid w:val="00A21057"/>
    <w:rsid w:val="00A217CE"/>
    <w:rsid w:val="00A21E86"/>
    <w:rsid w:val="00A22844"/>
    <w:rsid w:val="00A22DFB"/>
    <w:rsid w:val="00A30283"/>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67C15"/>
    <w:rsid w:val="00A73299"/>
    <w:rsid w:val="00A7536B"/>
    <w:rsid w:val="00A80356"/>
    <w:rsid w:val="00A805B5"/>
    <w:rsid w:val="00A816B6"/>
    <w:rsid w:val="00A82D81"/>
    <w:rsid w:val="00A96E79"/>
    <w:rsid w:val="00AA03FF"/>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045C"/>
    <w:rsid w:val="00B019E2"/>
    <w:rsid w:val="00B020ED"/>
    <w:rsid w:val="00B0351C"/>
    <w:rsid w:val="00B036CB"/>
    <w:rsid w:val="00B130D5"/>
    <w:rsid w:val="00B13566"/>
    <w:rsid w:val="00B13A54"/>
    <w:rsid w:val="00B14220"/>
    <w:rsid w:val="00B16868"/>
    <w:rsid w:val="00B16EF3"/>
    <w:rsid w:val="00B17251"/>
    <w:rsid w:val="00B2159A"/>
    <w:rsid w:val="00B21D32"/>
    <w:rsid w:val="00B313B2"/>
    <w:rsid w:val="00B320C3"/>
    <w:rsid w:val="00B331C4"/>
    <w:rsid w:val="00B34A43"/>
    <w:rsid w:val="00B36912"/>
    <w:rsid w:val="00B404A0"/>
    <w:rsid w:val="00B4256A"/>
    <w:rsid w:val="00B432AB"/>
    <w:rsid w:val="00B54D75"/>
    <w:rsid w:val="00B60C2A"/>
    <w:rsid w:val="00B61C81"/>
    <w:rsid w:val="00B65FC0"/>
    <w:rsid w:val="00B665EF"/>
    <w:rsid w:val="00B707DD"/>
    <w:rsid w:val="00B719F4"/>
    <w:rsid w:val="00B73995"/>
    <w:rsid w:val="00B74DBC"/>
    <w:rsid w:val="00B75E08"/>
    <w:rsid w:val="00B76684"/>
    <w:rsid w:val="00B7698F"/>
    <w:rsid w:val="00B80653"/>
    <w:rsid w:val="00B85F5F"/>
    <w:rsid w:val="00B86395"/>
    <w:rsid w:val="00B86E2B"/>
    <w:rsid w:val="00B87ADA"/>
    <w:rsid w:val="00B901FA"/>
    <w:rsid w:val="00B91DEC"/>
    <w:rsid w:val="00B92A56"/>
    <w:rsid w:val="00B931F8"/>
    <w:rsid w:val="00B95DB0"/>
    <w:rsid w:val="00B9722F"/>
    <w:rsid w:val="00B97741"/>
    <w:rsid w:val="00BA0721"/>
    <w:rsid w:val="00BA1883"/>
    <w:rsid w:val="00BA227D"/>
    <w:rsid w:val="00BA4C84"/>
    <w:rsid w:val="00BB55F7"/>
    <w:rsid w:val="00BC09FC"/>
    <w:rsid w:val="00BC0DD5"/>
    <w:rsid w:val="00BC1393"/>
    <w:rsid w:val="00BC60E6"/>
    <w:rsid w:val="00BD59B5"/>
    <w:rsid w:val="00BE2395"/>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2FF6"/>
    <w:rsid w:val="00C447FD"/>
    <w:rsid w:val="00C44B90"/>
    <w:rsid w:val="00C51434"/>
    <w:rsid w:val="00C51743"/>
    <w:rsid w:val="00C51A61"/>
    <w:rsid w:val="00C57393"/>
    <w:rsid w:val="00C60C78"/>
    <w:rsid w:val="00C64C71"/>
    <w:rsid w:val="00C6528B"/>
    <w:rsid w:val="00C661B3"/>
    <w:rsid w:val="00C70300"/>
    <w:rsid w:val="00C7037D"/>
    <w:rsid w:val="00C70637"/>
    <w:rsid w:val="00C71DC8"/>
    <w:rsid w:val="00C73A20"/>
    <w:rsid w:val="00C73E69"/>
    <w:rsid w:val="00C74592"/>
    <w:rsid w:val="00C767BA"/>
    <w:rsid w:val="00C8048C"/>
    <w:rsid w:val="00C80C68"/>
    <w:rsid w:val="00C86E9A"/>
    <w:rsid w:val="00C93A3D"/>
    <w:rsid w:val="00C94F0A"/>
    <w:rsid w:val="00CA1117"/>
    <w:rsid w:val="00CA3203"/>
    <w:rsid w:val="00CA6058"/>
    <w:rsid w:val="00CA6BD1"/>
    <w:rsid w:val="00CB07E9"/>
    <w:rsid w:val="00CB1B1B"/>
    <w:rsid w:val="00CB3E03"/>
    <w:rsid w:val="00CB405C"/>
    <w:rsid w:val="00CB5762"/>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5DE5"/>
    <w:rsid w:val="00CE33C1"/>
    <w:rsid w:val="00CE3834"/>
    <w:rsid w:val="00CE7BFE"/>
    <w:rsid w:val="00CF148C"/>
    <w:rsid w:val="00CF3D94"/>
    <w:rsid w:val="00CF48A3"/>
    <w:rsid w:val="00CF5081"/>
    <w:rsid w:val="00CF55BD"/>
    <w:rsid w:val="00CF6B0E"/>
    <w:rsid w:val="00D0330E"/>
    <w:rsid w:val="00D058E4"/>
    <w:rsid w:val="00D07178"/>
    <w:rsid w:val="00D11C0B"/>
    <w:rsid w:val="00D11EE9"/>
    <w:rsid w:val="00D12957"/>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2A22"/>
    <w:rsid w:val="00D45C1B"/>
    <w:rsid w:val="00D45E14"/>
    <w:rsid w:val="00D51C9A"/>
    <w:rsid w:val="00D5318C"/>
    <w:rsid w:val="00D53371"/>
    <w:rsid w:val="00D53BD5"/>
    <w:rsid w:val="00D55621"/>
    <w:rsid w:val="00D6000E"/>
    <w:rsid w:val="00D6028F"/>
    <w:rsid w:val="00D61A64"/>
    <w:rsid w:val="00D713D6"/>
    <w:rsid w:val="00D71510"/>
    <w:rsid w:val="00D72DAF"/>
    <w:rsid w:val="00D75BB9"/>
    <w:rsid w:val="00D76276"/>
    <w:rsid w:val="00D77919"/>
    <w:rsid w:val="00D8083C"/>
    <w:rsid w:val="00D85B08"/>
    <w:rsid w:val="00D85F8D"/>
    <w:rsid w:val="00D87F81"/>
    <w:rsid w:val="00D90E39"/>
    <w:rsid w:val="00D97E89"/>
    <w:rsid w:val="00DA3692"/>
    <w:rsid w:val="00DA45EE"/>
    <w:rsid w:val="00DA58A3"/>
    <w:rsid w:val="00DA6631"/>
    <w:rsid w:val="00DB2F5B"/>
    <w:rsid w:val="00DB46CB"/>
    <w:rsid w:val="00DB695F"/>
    <w:rsid w:val="00DC03E7"/>
    <w:rsid w:val="00DC304D"/>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F01EB"/>
    <w:rsid w:val="00DF1ADD"/>
    <w:rsid w:val="00DF2AE9"/>
    <w:rsid w:val="00E00A5F"/>
    <w:rsid w:val="00E016E3"/>
    <w:rsid w:val="00E05D64"/>
    <w:rsid w:val="00E07ABB"/>
    <w:rsid w:val="00E07D8F"/>
    <w:rsid w:val="00E13762"/>
    <w:rsid w:val="00E14E2F"/>
    <w:rsid w:val="00E1552D"/>
    <w:rsid w:val="00E1640B"/>
    <w:rsid w:val="00E20832"/>
    <w:rsid w:val="00E317A6"/>
    <w:rsid w:val="00E3190E"/>
    <w:rsid w:val="00E31F05"/>
    <w:rsid w:val="00E32285"/>
    <w:rsid w:val="00E34295"/>
    <w:rsid w:val="00E3667E"/>
    <w:rsid w:val="00E40112"/>
    <w:rsid w:val="00E40999"/>
    <w:rsid w:val="00E4160A"/>
    <w:rsid w:val="00E4228D"/>
    <w:rsid w:val="00E4254E"/>
    <w:rsid w:val="00E4608C"/>
    <w:rsid w:val="00E502A2"/>
    <w:rsid w:val="00E521B6"/>
    <w:rsid w:val="00E52931"/>
    <w:rsid w:val="00E53ACE"/>
    <w:rsid w:val="00E5519B"/>
    <w:rsid w:val="00E55FEE"/>
    <w:rsid w:val="00E57BD3"/>
    <w:rsid w:val="00E57D00"/>
    <w:rsid w:val="00E57D38"/>
    <w:rsid w:val="00E60CBF"/>
    <w:rsid w:val="00E65332"/>
    <w:rsid w:val="00E65F77"/>
    <w:rsid w:val="00E670CD"/>
    <w:rsid w:val="00E67EA9"/>
    <w:rsid w:val="00E7195B"/>
    <w:rsid w:val="00E734FB"/>
    <w:rsid w:val="00E7727F"/>
    <w:rsid w:val="00E83519"/>
    <w:rsid w:val="00E91889"/>
    <w:rsid w:val="00E91F0F"/>
    <w:rsid w:val="00E92AAF"/>
    <w:rsid w:val="00E944E2"/>
    <w:rsid w:val="00E95C54"/>
    <w:rsid w:val="00E96103"/>
    <w:rsid w:val="00EA027D"/>
    <w:rsid w:val="00EA112B"/>
    <w:rsid w:val="00EA21D1"/>
    <w:rsid w:val="00EA496F"/>
    <w:rsid w:val="00EA5A2D"/>
    <w:rsid w:val="00EB22CF"/>
    <w:rsid w:val="00EB3414"/>
    <w:rsid w:val="00EB39DD"/>
    <w:rsid w:val="00EB40E4"/>
    <w:rsid w:val="00EB67BA"/>
    <w:rsid w:val="00EC16F8"/>
    <w:rsid w:val="00EC306F"/>
    <w:rsid w:val="00EC408E"/>
    <w:rsid w:val="00EC41F2"/>
    <w:rsid w:val="00EC4488"/>
    <w:rsid w:val="00EC4EB3"/>
    <w:rsid w:val="00EC5617"/>
    <w:rsid w:val="00EC7C9E"/>
    <w:rsid w:val="00ED090B"/>
    <w:rsid w:val="00ED230D"/>
    <w:rsid w:val="00ED2440"/>
    <w:rsid w:val="00ED2E0E"/>
    <w:rsid w:val="00EE1C0B"/>
    <w:rsid w:val="00EE3127"/>
    <w:rsid w:val="00EE59D0"/>
    <w:rsid w:val="00EE5F73"/>
    <w:rsid w:val="00EE7DB3"/>
    <w:rsid w:val="00EE7FF3"/>
    <w:rsid w:val="00EF26BF"/>
    <w:rsid w:val="00EF26C1"/>
    <w:rsid w:val="00EF4861"/>
    <w:rsid w:val="00EF4EC1"/>
    <w:rsid w:val="00EF50C7"/>
    <w:rsid w:val="00EF56C6"/>
    <w:rsid w:val="00EF5E19"/>
    <w:rsid w:val="00EF779D"/>
    <w:rsid w:val="00EF7E82"/>
    <w:rsid w:val="00F007DE"/>
    <w:rsid w:val="00F01970"/>
    <w:rsid w:val="00F01B91"/>
    <w:rsid w:val="00F06A68"/>
    <w:rsid w:val="00F06AF6"/>
    <w:rsid w:val="00F079A5"/>
    <w:rsid w:val="00F07F69"/>
    <w:rsid w:val="00F107F9"/>
    <w:rsid w:val="00F111E0"/>
    <w:rsid w:val="00F117D4"/>
    <w:rsid w:val="00F16475"/>
    <w:rsid w:val="00F22D55"/>
    <w:rsid w:val="00F24A9A"/>
    <w:rsid w:val="00F2592D"/>
    <w:rsid w:val="00F25C5F"/>
    <w:rsid w:val="00F26F6E"/>
    <w:rsid w:val="00F3182D"/>
    <w:rsid w:val="00F34EF2"/>
    <w:rsid w:val="00F3580F"/>
    <w:rsid w:val="00F406BB"/>
    <w:rsid w:val="00F41AFA"/>
    <w:rsid w:val="00F43CCC"/>
    <w:rsid w:val="00F44AD0"/>
    <w:rsid w:val="00F50379"/>
    <w:rsid w:val="00F55102"/>
    <w:rsid w:val="00F57115"/>
    <w:rsid w:val="00F6298B"/>
    <w:rsid w:val="00F63B02"/>
    <w:rsid w:val="00F65350"/>
    <w:rsid w:val="00F65C21"/>
    <w:rsid w:val="00F700A6"/>
    <w:rsid w:val="00F760D1"/>
    <w:rsid w:val="00F81272"/>
    <w:rsid w:val="00F8151A"/>
    <w:rsid w:val="00F83788"/>
    <w:rsid w:val="00F84D69"/>
    <w:rsid w:val="00F85054"/>
    <w:rsid w:val="00F852D9"/>
    <w:rsid w:val="00F87328"/>
    <w:rsid w:val="00F87AEF"/>
    <w:rsid w:val="00F87C14"/>
    <w:rsid w:val="00F94F61"/>
    <w:rsid w:val="00F9672A"/>
    <w:rsid w:val="00FA17B4"/>
    <w:rsid w:val="00FA3581"/>
    <w:rsid w:val="00FB10B8"/>
    <w:rsid w:val="00FB24BA"/>
    <w:rsid w:val="00FB28C8"/>
    <w:rsid w:val="00FB381D"/>
    <w:rsid w:val="00FB6172"/>
    <w:rsid w:val="00FB6492"/>
    <w:rsid w:val="00FC007D"/>
    <w:rsid w:val="00FC131A"/>
    <w:rsid w:val="00FC224A"/>
    <w:rsid w:val="00FC4136"/>
    <w:rsid w:val="00FC43D6"/>
    <w:rsid w:val="00FC76CA"/>
    <w:rsid w:val="00FD2208"/>
    <w:rsid w:val="00FD2EC4"/>
    <w:rsid w:val="00FD5E8E"/>
    <w:rsid w:val="00FD63D3"/>
    <w:rsid w:val="00FD717D"/>
    <w:rsid w:val="00FE0D6A"/>
    <w:rsid w:val="00FE44CF"/>
    <w:rsid w:val="00FF0FE1"/>
    <w:rsid w:val="00FF11EB"/>
    <w:rsid w:val="00FF1239"/>
    <w:rsid w:val="00FF1AC1"/>
    <w:rsid w:val="00FF5353"/>
    <w:rsid w:val="00FF5DE3"/>
    <w:rsid w:val="00FF62F7"/>
    <w:rsid w:val="00FF6BB0"/>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CC335FF"/>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8DA2BFD"/>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8C7EE4"/>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4C3D8D"/>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A981B4A"/>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autoRedefine/>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autoRedefine/>
    <w:unhideWhenUsed/>
    <w:qFormat/>
    <w:uiPriority w:val="99"/>
  </w:style>
  <w:style w:type="paragraph" w:styleId="10">
    <w:name w:val="Body Text"/>
    <w:basedOn w:val="1"/>
    <w:link w:val="44"/>
    <w:autoRedefine/>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autoRedefine/>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autoRedefine/>
    <w:unhideWhenUsed/>
    <w:qFormat/>
    <w:uiPriority w:val="99"/>
    <w:pPr>
      <w:tabs>
        <w:tab w:val="center" w:pos="4153"/>
        <w:tab w:val="right" w:pos="8306"/>
      </w:tabs>
    </w:pPr>
    <w:rPr>
      <w:sz w:val="18"/>
      <w:szCs w:val="18"/>
    </w:rPr>
  </w:style>
  <w:style w:type="paragraph" w:styleId="15">
    <w:name w:val="header"/>
    <w:basedOn w:val="1"/>
    <w:link w:val="37"/>
    <w:autoRedefine/>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autoRedefine/>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autoRedefine/>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autoRedefine/>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autoRedefine/>
    <w:unhideWhenUsed/>
    <w:qFormat/>
    <w:uiPriority w:val="99"/>
    <w:rPr>
      <w:color w:val="800080"/>
      <w:u w:val="single"/>
    </w:rPr>
  </w:style>
  <w:style w:type="character" w:styleId="27">
    <w:name w:val="Emphasis"/>
    <w:qFormat/>
    <w:uiPriority w:val="99"/>
    <w:rPr>
      <w:color w:val="CC0000"/>
    </w:rPr>
  </w:style>
  <w:style w:type="character" w:styleId="28">
    <w:name w:val="Hyperlink"/>
    <w:autoRedefine/>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autoRedefine/>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autoRedefine/>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autoRedefine/>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autoRedefine/>
    <w:qFormat/>
    <w:uiPriority w:val="99"/>
    <w:rPr>
      <w:rFonts w:ascii="Tahoma" w:hAnsi="Tahoma"/>
      <w:sz w:val="18"/>
      <w:szCs w:val="18"/>
    </w:rPr>
  </w:style>
  <w:style w:type="character" w:customStyle="1" w:styleId="38">
    <w:name w:val="页脚 Char"/>
    <w:basedOn w:val="24"/>
    <w:link w:val="14"/>
    <w:autoRedefine/>
    <w:qFormat/>
    <w:uiPriority w:val="99"/>
    <w:rPr>
      <w:rFonts w:ascii="Tahoma" w:hAnsi="Tahoma"/>
      <w:sz w:val="18"/>
      <w:szCs w:val="18"/>
    </w:rPr>
  </w:style>
  <w:style w:type="paragraph" w:customStyle="1" w:styleId="39">
    <w:name w:val="标题1"/>
    <w:basedOn w:val="1"/>
    <w:autoRedefine/>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autoRedefine/>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autoRedefine/>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autoRedefine/>
    <w:qFormat/>
    <w:uiPriority w:val="99"/>
    <w:rPr>
      <w:rFonts w:ascii="Times New Roman" w:hAnsi="Times New Roman" w:eastAsia="宋体" w:cs="Times New Roman"/>
      <w:kern w:val="2"/>
      <w:sz w:val="18"/>
      <w:szCs w:val="18"/>
    </w:rPr>
  </w:style>
  <w:style w:type="character" w:customStyle="1" w:styleId="47">
    <w:name w:val="脚注文本 Char"/>
    <w:basedOn w:val="24"/>
    <w:link w:val="17"/>
    <w:autoRedefine/>
    <w:qFormat/>
    <w:uiPriority w:val="99"/>
    <w:rPr>
      <w:rFonts w:ascii="Times New Roman" w:hAnsi="Times New Roman" w:eastAsia="宋体" w:cs="Times New Roman"/>
      <w:kern w:val="2"/>
      <w:sz w:val="18"/>
      <w:szCs w:val="18"/>
    </w:rPr>
  </w:style>
  <w:style w:type="character" w:customStyle="1" w:styleId="48">
    <w:name w:val="HTML 预设格式 Char"/>
    <w:basedOn w:val="24"/>
    <w:link w:val="19"/>
    <w:autoRedefine/>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autoRedefine/>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autoRedefine/>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autoRedefine/>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autoRedefine/>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autoRedefine/>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autoRedefine/>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chart" Target="charts/chart4.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年度决算收入结构图</a:t>
            </a:r>
            <a:endParaRPr lang="zh-CN" altLang="en-US"/>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1287.54, 35%</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extLst>
            </c:dLbl>
            <c:dLbl>
              <c:idx val="2"/>
              <c:layout>
                <c:manualLayout>
                  <c:x val="0.00574453047141394"/>
                  <c:y val="0.083763855170163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24819427404735"/>
                  <c:y val="0.034655640540659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432547322416438"/>
                  <c:y val="0.05810218425377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0529599611718612"/>
                  <c:y val="0.07120930122258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0303598020362007"/>
                  <c:y val="0.031722486205322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8"/>
              <c:layout>
                <c:manualLayout>
                  <c:x val="0.127126263632739"/>
                  <c:y val="0.092840503840195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9"/>
              <c:layout>
                <c:manualLayout>
                  <c:x val="-0.105212790009506"/>
                  <c:y val="-0.015677184504065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0"/>
              <c:layout>
                <c:manualLayout>
                  <c:x val="-0.00132825237000558"/>
                  <c:y val="-0.019518826270658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1"/>
              <c:layout>
                <c:manualLayout>
                  <c:x val="0.148093570406815"/>
                  <c:y val="-0.004173137052490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Sheet1!$A$2:$A$13</c:f>
              <c:strCache>
                <c:ptCount val="12"/>
                <c:pt idx="0">
                  <c:v>一般公共服务</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交通运输</c:v>
                </c:pt>
                <c:pt idx="11">
                  <c:v>灾害防治及应急管理</c:v>
                </c:pt>
              </c:strCache>
            </c:strRef>
          </c:cat>
          <c:val>
            <c:numRef>
              <c:f>Sheet1!$B$2:$B$13</c:f>
              <c:numCache>
                <c:formatCode>General</c:formatCode>
                <c:ptCount val="12"/>
                <c:pt idx="0">
                  <c:v>1345.64</c:v>
                </c:pt>
                <c:pt idx="1">
                  <c:v>16.55</c:v>
                </c:pt>
                <c:pt idx="2">
                  <c:v>5</c:v>
                </c:pt>
                <c:pt idx="3">
                  <c:v>17.54</c:v>
                </c:pt>
                <c:pt idx="4">
                  <c:v>249.9</c:v>
                </c:pt>
                <c:pt idx="5">
                  <c:v>54.81</c:v>
                </c:pt>
                <c:pt idx="6">
                  <c:v>142.35</c:v>
                </c:pt>
                <c:pt idx="7">
                  <c:v>913.22</c:v>
                </c:pt>
                <c:pt idx="8">
                  <c:v>1251.58</c:v>
                </c:pt>
                <c:pt idx="9">
                  <c:v>90.02</c:v>
                </c:pt>
                <c:pt idx="10">
                  <c:v>12.87</c:v>
                </c:pt>
                <c:pt idx="11">
                  <c:v>2.7</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18511422534277"/>
          <c:y val="0.148336453818711"/>
          <c:w val="0.257421771388297"/>
          <c:h val="0.74584093156637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30ddea6-9976-41e5-b731-34ba1db8acfb}"/>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en-US" altLang="zh-CN"/>
              <a:t>2021</a:t>
            </a:r>
            <a:r>
              <a:rPr lang="zh-CN" altLang="en-US"/>
              <a:t>年度预算收入与决算收入对比图</a:t>
            </a:r>
            <a:endParaRPr lang="en-US" altLang="zh-CN"/>
          </a:p>
          <a:p>
            <a:pPr algn="r">
              <a:defRPr lang="zh-CN" sz="1800" b="1" i="0" u="none" strike="noStrike" kern="1200" baseline="0">
                <a:solidFill>
                  <a:schemeClr val="tx1"/>
                </a:solidFill>
                <a:latin typeface="+mn-lt"/>
                <a:ea typeface="+mn-ea"/>
                <a:cs typeface="+mn-cs"/>
              </a:defRPr>
            </a:pPr>
            <a:r>
              <a:rPr lang="zh-CN" altLang="en-US" sz="1100"/>
              <a:t>单位：万元</a:t>
            </a:r>
            <a:endParaRPr lang="zh-CN" altLang="en-US" sz="1100"/>
          </a:p>
        </c:rich>
      </c:tx>
      <c:layout>
        <c:manualLayout>
          <c:xMode val="edge"/>
          <c:yMode val="edge"/>
          <c:x val="0.166986501116584"/>
          <c:y val="0.000461253818682501"/>
        </c:manualLayout>
      </c:layout>
      <c:overlay val="0"/>
    </c:title>
    <c:autoTitleDeleted val="0"/>
    <c:plotArea>
      <c:layout/>
      <c:barChart>
        <c:barDir val="col"/>
        <c:grouping val="clustered"/>
        <c:varyColors val="0"/>
        <c:ser>
          <c:idx val="0"/>
          <c:order val="0"/>
          <c:tx>
            <c:strRef>
              <c:f>Sheet1!$B$1</c:f>
              <c:strCache>
                <c:ptCount val="1"/>
                <c:pt idx="0">
                  <c:v>预算</c:v>
                </c:pt>
              </c:strCache>
            </c:strRef>
          </c:tx>
          <c:invertIfNegative val="0"/>
          <c:dLbls>
            <c:delete val="1"/>
          </c:dLbls>
          <c:cat>
            <c:strRef>
              <c:f>Sheet1!$A$2:$A$13</c:f>
              <c:strCache>
                <c:ptCount val="12"/>
                <c:pt idx="0">
                  <c:v>一般公共服务支出</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灾害防治及应急管理</c:v>
                </c:pt>
                <c:pt idx="11">
                  <c:v>交通运输</c:v>
                </c:pt>
              </c:strCache>
            </c:strRef>
          </c:cat>
          <c:val>
            <c:numRef>
              <c:f>Sheet1!$B$2:$B$13</c:f>
              <c:numCache>
                <c:formatCode>General</c:formatCode>
                <c:ptCount val="12"/>
                <c:pt idx="0">
                  <c:v>1369</c:v>
                </c:pt>
                <c:pt idx="1">
                  <c:v>8.85</c:v>
                </c:pt>
                <c:pt idx="2">
                  <c:v>0</c:v>
                </c:pt>
                <c:pt idx="3">
                  <c:v>1.5</c:v>
                </c:pt>
                <c:pt idx="4">
                  <c:v>219.31</c:v>
                </c:pt>
                <c:pt idx="5">
                  <c:v>54.71</c:v>
                </c:pt>
                <c:pt idx="6">
                  <c:v>14</c:v>
                </c:pt>
                <c:pt idx="7">
                  <c:v>134.37</c:v>
                </c:pt>
                <c:pt idx="8">
                  <c:v>1171.3</c:v>
                </c:pt>
                <c:pt idx="9">
                  <c:v>86.22</c:v>
                </c:pt>
                <c:pt idx="10">
                  <c:v>2.7</c:v>
                </c:pt>
                <c:pt idx="11">
                  <c:v>12.96</c:v>
                </c:pt>
              </c:numCache>
            </c:numRef>
          </c:val>
        </c:ser>
        <c:ser>
          <c:idx val="1"/>
          <c:order val="1"/>
          <c:tx>
            <c:strRef>
              <c:f>Sheet1!$C$1</c:f>
              <c:strCache>
                <c:ptCount val="1"/>
                <c:pt idx="0">
                  <c:v>决算</c:v>
                </c:pt>
              </c:strCache>
            </c:strRef>
          </c:tx>
          <c:invertIfNegative val="0"/>
          <c:dLbls>
            <c:delete val="1"/>
          </c:dLbls>
          <c:cat>
            <c:strRef>
              <c:f>Sheet1!$A$2:$A$13</c:f>
              <c:strCache>
                <c:ptCount val="12"/>
                <c:pt idx="0">
                  <c:v>一般公共服务支出</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灾害防治及应急管理</c:v>
                </c:pt>
                <c:pt idx="11">
                  <c:v>交通运输</c:v>
                </c:pt>
              </c:strCache>
            </c:strRef>
          </c:cat>
          <c:val>
            <c:numRef>
              <c:f>Sheet1!$C$2:$C$13</c:f>
              <c:numCache>
                <c:formatCode>General</c:formatCode>
                <c:ptCount val="12"/>
                <c:pt idx="0">
                  <c:v>1345.6</c:v>
                </c:pt>
                <c:pt idx="1">
                  <c:v>16.55</c:v>
                </c:pt>
                <c:pt idx="2">
                  <c:v>5</c:v>
                </c:pt>
                <c:pt idx="3">
                  <c:v>17.54</c:v>
                </c:pt>
                <c:pt idx="4">
                  <c:v>249.9</c:v>
                </c:pt>
                <c:pt idx="5">
                  <c:v>54.81</c:v>
                </c:pt>
                <c:pt idx="6">
                  <c:v>142.35</c:v>
                </c:pt>
                <c:pt idx="7">
                  <c:v>913.22</c:v>
                </c:pt>
                <c:pt idx="8">
                  <c:v>1251.6</c:v>
                </c:pt>
                <c:pt idx="9">
                  <c:v>90.02</c:v>
                </c:pt>
                <c:pt idx="10">
                  <c:v>2.7</c:v>
                </c:pt>
                <c:pt idx="11">
                  <c:v>12.87</c:v>
                </c:pt>
              </c:numCache>
            </c:numRef>
          </c:val>
        </c:ser>
        <c:dLbls>
          <c:showLegendKey val="0"/>
          <c:showVal val="0"/>
          <c:showCatName val="0"/>
          <c:showSerName val="0"/>
          <c:showPercent val="0"/>
          <c:showBubbleSize val="0"/>
        </c:dLbls>
        <c:gapWidth val="150"/>
        <c:axId val="316958208"/>
        <c:axId val="316959744"/>
      </c:barChart>
      <c:catAx>
        <c:axId val="3169582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6959744"/>
        <c:crosses val="autoZero"/>
        <c:auto val="1"/>
        <c:lblAlgn val="ctr"/>
        <c:lblOffset val="100"/>
        <c:noMultiLvlLbl val="0"/>
      </c:catAx>
      <c:valAx>
        <c:axId val="3169597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69582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46194ed9-1d09-4f1f-8667-4f8212a0e64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年度遂城镇决算支出结构图</a:t>
            </a:r>
            <a:endParaRPr lang="zh-CN" altLang="en-US"/>
          </a:p>
        </c:rich>
      </c:tx>
      <c:layout/>
      <c:overlay val="0"/>
    </c:title>
    <c:autoTitleDeleted val="0"/>
    <c:plotArea>
      <c:layout/>
      <c:pieChart>
        <c:varyColors val="1"/>
        <c:ser>
          <c:idx val="0"/>
          <c:order val="0"/>
          <c:tx>
            <c:strRef>
              <c:f>Sheet1!$B$1</c:f>
              <c:strCache>
                <c:ptCount val="1"/>
                <c:pt idx="0">
                  <c:v>2019年度遂城镇决算收入结构图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Lbls>
            <c:dLbl>
              <c:idx val="1"/>
              <c:layout>
                <c:manualLayout>
                  <c:x val="0.0147701585548174"/>
                  <c:y val="-0.028221161494315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41198889118993"/>
                  <c:y val="0.038639907920757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292831477679944"/>
                  <c:y val="-0.093811527039279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9"/>
              <c:layout>
                <c:manualLayout>
                  <c:x val="-0.0568509752271247"/>
                  <c:y val="0.011029950952876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0"/>
              <c:layout>
                <c:manualLayout>
                  <c:x val="0.000549349446998024"/>
                  <c:y val="-0.016626679175659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1"/>
              <c:layout>
                <c:manualLayout>
                  <c:x val="0.135931625930032"/>
                  <c:y val="0.018319688097365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Sheet1!$A$2:$A$13</c:f>
              <c:strCache>
                <c:ptCount val="12"/>
                <c:pt idx="0">
                  <c:v>一般公共服务支出</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灾害防治及应急管理</c:v>
                </c:pt>
                <c:pt idx="11">
                  <c:v>交通运输</c:v>
                </c:pt>
              </c:strCache>
            </c:strRef>
          </c:cat>
          <c:val>
            <c:numRef>
              <c:f>Sheet1!$B$2:$B$13</c:f>
              <c:numCache>
                <c:formatCode>General</c:formatCode>
                <c:ptCount val="12"/>
                <c:pt idx="0">
                  <c:v>1345.64</c:v>
                </c:pt>
                <c:pt idx="1">
                  <c:v>16.55</c:v>
                </c:pt>
                <c:pt idx="2">
                  <c:v>5</c:v>
                </c:pt>
                <c:pt idx="3">
                  <c:v>17.54</c:v>
                </c:pt>
                <c:pt idx="4">
                  <c:v>249.9</c:v>
                </c:pt>
                <c:pt idx="5">
                  <c:v>54.81</c:v>
                </c:pt>
                <c:pt idx="6">
                  <c:v>142.35</c:v>
                </c:pt>
                <c:pt idx="7">
                  <c:v>913.22</c:v>
                </c:pt>
                <c:pt idx="8">
                  <c:v>1251.58</c:v>
                </c:pt>
                <c:pt idx="9">
                  <c:v>90.02</c:v>
                </c:pt>
                <c:pt idx="10">
                  <c:v>2.7</c:v>
                </c:pt>
                <c:pt idx="11">
                  <c:v>12.87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db6caa4-2457-483b-96bc-ee1278330713}"/>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en-US" altLang="zh-CN" sz="1400" b="0" i="0" baseline="0"/>
              <a:t>2021</a:t>
            </a:r>
            <a:r>
              <a:rPr lang="zh-CN" altLang="zh-CN" sz="1400" b="0" i="0" baseline="0"/>
              <a:t>年度预算</a:t>
            </a:r>
            <a:r>
              <a:rPr lang="zh-CN" altLang="en-US" sz="1400" b="0" i="0" baseline="0"/>
              <a:t>支出</a:t>
            </a:r>
            <a:r>
              <a:rPr lang="zh-CN" altLang="zh-CN" sz="1400" b="0" i="0" baseline="0"/>
              <a:t>与决算</a:t>
            </a:r>
            <a:r>
              <a:rPr lang="zh-CN" altLang="en-US" sz="1400" b="0" i="0" baseline="0"/>
              <a:t>支出</a:t>
            </a:r>
            <a:r>
              <a:rPr lang="zh-CN" altLang="zh-CN" sz="1400" b="0" i="0" baseline="0"/>
              <a:t>对比图</a:t>
            </a:r>
            <a:r>
              <a:rPr lang="en-US" altLang="zh-CN" sz="1400" b="0" i="0" baseline="0"/>
              <a:t>                                         </a:t>
            </a:r>
            <a:r>
              <a:rPr lang="zh-CN" altLang="en-US" sz="1100" b="0" i="0" baseline="0"/>
              <a:t>单位：万元</a:t>
            </a:r>
            <a:endParaRPr lang="zh-CN" altLang="zh-CN" sz="1100"/>
          </a:p>
        </c:rich>
      </c:tx>
      <c:layout>
        <c:manualLayout>
          <c:xMode val="edge"/>
          <c:yMode val="edge"/>
          <c:x val="0.24738106679481"/>
          <c:y val="0.0301659125188537"/>
        </c:manualLayout>
      </c:layout>
      <c:overlay val="0"/>
    </c:title>
    <c:autoTitleDeleted val="0"/>
    <c:plotArea>
      <c:layout/>
      <c:barChart>
        <c:barDir val="col"/>
        <c:grouping val="clustered"/>
        <c:varyColors val="0"/>
        <c:ser>
          <c:idx val="0"/>
          <c:order val="0"/>
          <c:tx>
            <c:strRef>
              <c:f>Sheet1!$B$1</c:f>
              <c:strCache>
                <c:ptCount val="1"/>
                <c:pt idx="0">
                  <c:v>预算</c:v>
                </c:pt>
              </c:strCache>
            </c:strRef>
          </c:tx>
          <c:invertIfNegative val="0"/>
          <c:dLbls>
            <c:delete val="1"/>
          </c:dLbls>
          <c:cat>
            <c:strRef>
              <c:f>Sheet1!$A$2:$A$13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交通运输</c:v>
                </c:pt>
              </c:strCache>
            </c:strRef>
          </c:cat>
          <c:val>
            <c:numRef>
              <c:f>Sheet1!$B$2:$B$13</c:f>
              <c:numCache>
                <c:formatCode>General</c:formatCode>
                <c:ptCount val="12"/>
                <c:pt idx="0">
                  <c:v>1369</c:v>
                </c:pt>
                <c:pt idx="1">
                  <c:v>8.85</c:v>
                </c:pt>
                <c:pt idx="2">
                  <c:v>0</c:v>
                </c:pt>
                <c:pt idx="3">
                  <c:v>1.5</c:v>
                </c:pt>
                <c:pt idx="4">
                  <c:v>219.31</c:v>
                </c:pt>
                <c:pt idx="5">
                  <c:v>54.71</c:v>
                </c:pt>
                <c:pt idx="6">
                  <c:v>14</c:v>
                </c:pt>
                <c:pt idx="7">
                  <c:v>134.37</c:v>
                </c:pt>
                <c:pt idx="8">
                  <c:v>1171.3</c:v>
                </c:pt>
                <c:pt idx="9">
                  <c:v>86.22</c:v>
                </c:pt>
                <c:pt idx="10">
                  <c:v>2.7</c:v>
                </c:pt>
                <c:pt idx="11">
                  <c:v>12.96</c:v>
                </c:pt>
              </c:numCache>
            </c:numRef>
          </c:val>
        </c:ser>
        <c:ser>
          <c:idx val="1"/>
          <c:order val="1"/>
          <c:tx>
            <c:strRef>
              <c:f>Sheet1!$C$1</c:f>
              <c:strCache>
                <c:ptCount val="1"/>
                <c:pt idx="0">
                  <c:v>决算</c:v>
                </c:pt>
              </c:strCache>
            </c:strRef>
          </c:tx>
          <c:invertIfNegative val="0"/>
          <c:dLbls>
            <c:delete val="1"/>
          </c:dLbls>
          <c:cat>
            <c:strRef>
              <c:f>Sheet1!$A$2:$A$13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交通运输</c:v>
                </c:pt>
              </c:strCache>
            </c:strRef>
          </c:cat>
          <c:val>
            <c:numRef>
              <c:f>Sheet1!$C$2:$C$13</c:f>
              <c:numCache>
                <c:formatCode>General</c:formatCode>
                <c:ptCount val="12"/>
                <c:pt idx="0">
                  <c:v>1345.6</c:v>
                </c:pt>
                <c:pt idx="1">
                  <c:v>16.55</c:v>
                </c:pt>
                <c:pt idx="2">
                  <c:v>5</c:v>
                </c:pt>
                <c:pt idx="3">
                  <c:v>17.54</c:v>
                </c:pt>
                <c:pt idx="4">
                  <c:v>249.9</c:v>
                </c:pt>
                <c:pt idx="5">
                  <c:v>54.81</c:v>
                </c:pt>
                <c:pt idx="6">
                  <c:v>142.35</c:v>
                </c:pt>
                <c:pt idx="7">
                  <c:v>913.22</c:v>
                </c:pt>
                <c:pt idx="8">
                  <c:v>1251.6</c:v>
                </c:pt>
                <c:pt idx="9">
                  <c:v>90.02</c:v>
                </c:pt>
                <c:pt idx="10">
                  <c:v>2.7</c:v>
                </c:pt>
                <c:pt idx="11">
                  <c:v>12.87</c:v>
                </c:pt>
              </c:numCache>
            </c:numRef>
          </c:val>
        </c:ser>
        <c:dLbls>
          <c:showLegendKey val="0"/>
          <c:showVal val="0"/>
          <c:showCatName val="0"/>
          <c:showSerName val="0"/>
          <c:showPercent val="0"/>
          <c:showBubbleSize val="0"/>
        </c:dLbls>
        <c:gapWidth val="150"/>
        <c:axId val="319340544"/>
        <c:axId val="319342080"/>
      </c:barChart>
      <c:catAx>
        <c:axId val="3193405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9342080"/>
        <c:crosses val="autoZero"/>
        <c:auto val="1"/>
        <c:lblAlgn val="ctr"/>
        <c:lblOffset val="100"/>
        <c:noMultiLvlLbl val="0"/>
      </c:catAx>
      <c:valAx>
        <c:axId val="3193420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934054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3260f93c-98a6-470f-a7fd-ceb8a44b3b20}"/>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E3E6-B8E5-44AB-B8C1-53D29389B1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6955</Words>
  <Characters>7631</Characters>
  <Lines>109</Lines>
  <Paragraphs>30</Paragraphs>
  <TotalTime>10</TotalTime>
  <ScaleCrop>false</ScaleCrop>
  <LinksUpToDate>false</LinksUpToDate>
  <CharactersWithSpaces>7801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雪儿~影</cp:lastModifiedBy>
  <cp:lastPrinted>2020-11-26T01:36:00Z</cp:lastPrinted>
  <dcterms:modified xsi:type="dcterms:W3CDTF">2025-05-12T03:37:37Z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185B58A8D4C64902ABAAEF6AA73B7C2A_13</vt:lpwstr>
  </property>
  <property fmtid="{D5CDD505-2E9C-101B-9397-08002B2CF9AE}" pid="4" name="KSOTemplateDocerSaveRecord">
    <vt:lpwstr>eyJoZGlkIjoiYWM1MjFiMjkzYjJiNzIyZWRkNWFjMzdlYTMyY2ZmOTkiLCJ1c2VySWQiOiIxMTM1NDEyNTI0In0=</vt:lpwstr>
  </property>
</Properties>
</file>