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40" w:lineRule="exact"/>
        <w:rPr>
          <w:rFonts w:ascii="Times New Roman" w:hAnsi="Times New Roman" w:eastAsia="宋体" w:cs="Times New Roman"/>
          <w:bCs/>
          <w:kern w:val="2"/>
          <w:sz w:val="32"/>
          <w:szCs w:val="32"/>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80" w:lineRule="exact"/>
        <w:jc w:val="center"/>
        <w:rPr>
          <w:rFonts w:asciiTheme="majorEastAsia" w:hAnsiTheme="majorEastAsia" w:eastAsiaTheme="majorEastAsia" w:cstheme="majorEastAsia"/>
          <w:b/>
          <w:kern w:val="2"/>
          <w:sz w:val="44"/>
          <w:szCs w:val="44"/>
        </w:rPr>
      </w:pPr>
      <w:r>
        <w:rPr>
          <w:rFonts w:hint="eastAsia" w:asciiTheme="majorEastAsia" w:hAnsiTheme="majorEastAsia" w:eastAsiaTheme="majorEastAsia" w:cstheme="majorEastAsia"/>
          <w:b/>
          <w:kern w:val="2"/>
          <w:sz w:val="44"/>
          <w:szCs w:val="44"/>
        </w:rPr>
        <w:t>中共保定市徐水区委老干部局</w:t>
      </w:r>
    </w:p>
    <w:p>
      <w:pPr>
        <w:widowControl w:val="0"/>
        <w:adjustRightInd/>
        <w:snapToGrid/>
        <w:spacing w:after="0" w:line="580" w:lineRule="exact"/>
        <w:jc w:val="center"/>
        <w:rPr>
          <w:rFonts w:asciiTheme="majorEastAsia" w:hAnsiTheme="majorEastAsia" w:eastAsiaTheme="majorEastAsia" w:cstheme="majorEastAsia"/>
          <w:b/>
          <w:kern w:val="2"/>
          <w:sz w:val="44"/>
          <w:szCs w:val="44"/>
        </w:rPr>
      </w:pPr>
      <w:r>
        <w:rPr>
          <w:rFonts w:hint="eastAsia" w:asciiTheme="majorEastAsia" w:hAnsiTheme="majorEastAsia" w:eastAsiaTheme="majorEastAsia" w:cstheme="majorEastAsia"/>
          <w:b/>
          <w:kern w:val="2"/>
          <w:sz w:val="44"/>
          <w:szCs w:val="44"/>
        </w:rPr>
        <w:t>202</w:t>
      </w:r>
      <w:r>
        <w:rPr>
          <w:rFonts w:asciiTheme="majorEastAsia" w:hAnsiTheme="majorEastAsia" w:eastAsiaTheme="majorEastAsia" w:cstheme="majorEastAsia"/>
          <w:b/>
          <w:kern w:val="2"/>
          <w:sz w:val="44"/>
          <w:szCs w:val="44"/>
        </w:rPr>
        <w:t>2</w:t>
      </w:r>
      <w:r>
        <w:rPr>
          <w:rFonts w:hint="eastAsia" w:asciiTheme="majorEastAsia" w:hAnsiTheme="majorEastAsia" w:eastAsiaTheme="majorEastAsia" w:cstheme="majorEastAsia"/>
          <w:b/>
          <w:kern w:val="2"/>
          <w:sz w:val="44"/>
          <w:szCs w:val="44"/>
        </w:rPr>
        <w:t>年部门整体支出绩效评价自评报告</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23</w:t>
      </w:r>
      <w:r>
        <w:rPr>
          <w:rFonts w:hint="eastAsia" w:cs="Times New Roman" w:asciiTheme="minorEastAsia" w:hAnsiTheme="minorEastAsia" w:eastAsiaTheme="minorEastAsia"/>
          <w:bCs/>
          <w:kern w:val="2"/>
          <w:sz w:val="36"/>
          <w:szCs w:val="36"/>
        </w:rPr>
        <w:t>年8月</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一、保定市徐水区委老干部局基本情况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8</w:t>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18</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为深入贯彻落实中共中央国务院《关于全面实施预算绩效管理的意见》、中共河北省委河北省人民政府《关于全面实施预算绩效管理的实施意见》、我单位对</w:t>
      </w:r>
      <w:r>
        <w:rPr>
          <w:rFonts w:ascii="仿宋_GB2312" w:eastAsia="仿宋_GB2312" w:cs="DengXian-Regular"/>
          <w:sz w:val="32"/>
          <w:szCs w:val="32"/>
        </w:rPr>
        <w:t>2022</w:t>
      </w:r>
      <w:r>
        <w:rPr>
          <w:rFonts w:hint="eastAsia" w:ascii="仿宋_GB2312" w:eastAsia="仿宋_GB2312" w:cs="DengXian-Regular"/>
          <w:sz w:val="32"/>
          <w:szCs w:val="32"/>
        </w:rPr>
        <w:t>年部门整体支出情况开展了绩效自评价工作。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中共保定市徐水区委老干部局为正科级行政单位，经费保障形式为财政拨款，下设2个股室，分别为办公室、服务管理股，主要职责有：</w:t>
      </w:r>
    </w:p>
    <w:p>
      <w:pPr>
        <w:numPr>
          <w:ilvl w:val="0"/>
          <w:numId w:val="1"/>
        </w:num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负责贯彻落实党中央、国务院、省委、省政府、市委、市政府和区委、区政府关于离退休干部工作的方针政策，拟订或参与拟订全区离退休干部工作有关的具体规定和办法。</w:t>
      </w:r>
    </w:p>
    <w:p>
      <w:pPr>
        <w:numPr>
          <w:ilvl w:val="0"/>
          <w:numId w:val="1"/>
        </w:num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指导、督促、检查各乡镇及各部门的离退休干部工作，组织和协调有关部门共同做好离退休干部工作。</w:t>
      </w:r>
    </w:p>
    <w:p>
      <w:pPr>
        <w:numPr>
          <w:ilvl w:val="0"/>
          <w:numId w:val="1"/>
        </w:num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负责易地安置离休干部服务管理工作。</w:t>
      </w:r>
    </w:p>
    <w:p>
      <w:pPr>
        <w:numPr>
          <w:ilvl w:val="0"/>
          <w:numId w:val="1"/>
        </w:num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指导督促各乡镇及各部门落实离退休干部的政治和生活待遇并进行检查。抓好离休干部“两费”（离休费、医药费）的落实；调查研究离退休干部政治和生活待遇落实中存在的问题，协调有关部门提出解决办法。</w:t>
      </w:r>
    </w:p>
    <w:p>
      <w:pPr>
        <w:numPr>
          <w:ilvl w:val="0"/>
          <w:numId w:val="1"/>
        </w:num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协助组织部门抓好离退休干部党支部建设，加强和改进新形势下老干部的思想政治工作。</w:t>
      </w:r>
    </w:p>
    <w:p>
      <w:pPr>
        <w:numPr>
          <w:ilvl w:val="0"/>
          <w:numId w:val="1"/>
        </w:num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指导全区老干部活动中心（室、站）学习活动阵地建设与管理；组织和指导离退休干部开展文化艺术、体育娱乐、保健讲座、健康疗养、参观学习等活动；指导全区老年教育工作，负责老年大学的建设和管理。</w:t>
      </w:r>
    </w:p>
    <w:p>
      <w:pPr>
        <w:numPr>
          <w:ilvl w:val="0"/>
          <w:numId w:val="1"/>
        </w:num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指导全区各乡镇及各部门组织引导离退休干部利用自身优势，在政治、经济、文化和青少年教育等各领域发挥作用。</w:t>
      </w:r>
    </w:p>
    <w:p>
      <w:pPr>
        <w:numPr>
          <w:ilvl w:val="0"/>
          <w:numId w:val="1"/>
        </w:num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负责指导逝世离休干部的善后工作。</w:t>
      </w:r>
    </w:p>
    <w:p>
      <w:pPr>
        <w:numPr>
          <w:ilvl w:val="0"/>
          <w:numId w:val="1"/>
        </w:num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负责回区老干部探亲访友和其它老干部工作部门到区的联络接待工作。</w:t>
      </w:r>
    </w:p>
    <w:p>
      <w:pPr>
        <w:numPr>
          <w:ilvl w:val="0"/>
          <w:numId w:val="1"/>
        </w:num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承担区委老干部工作领导小组办公室的日常工 作。</w:t>
      </w:r>
    </w:p>
    <w:p>
      <w:pPr>
        <w:tabs>
          <w:tab w:val="left" w:pos="312"/>
        </w:tabs>
        <w:spacing w:after="0" w:line="360" w:lineRule="auto"/>
        <w:ind w:left="640"/>
        <w:jc w:val="both"/>
        <w:textAlignment w:val="baseline"/>
        <w:rPr>
          <w:rFonts w:ascii="仿宋_GB2312" w:eastAsia="仿宋_GB2312" w:cs="DengXian-Regular"/>
          <w:sz w:val="32"/>
          <w:szCs w:val="32"/>
        </w:rPr>
      </w:pPr>
      <w:r>
        <w:rPr>
          <w:rFonts w:hint="eastAsia" w:ascii="仿宋_GB2312" w:eastAsia="仿宋_GB2312" w:cs="DengXian-Regular"/>
          <w:sz w:val="32"/>
          <w:szCs w:val="32"/>
        </w:rPr>
        <w:t>（十一）承担区关心下一代工作委员会办公室的日常工作。</w:t>
      </w:r>
    </w:p>
    <w:p>
      <w:pPr>
        <w:tabs>
          <w:tab w:val="left" w:pos="312"/>
        </w:tabs>
        <w:spacing w:after="0" w:line="360" w:lineRule="auto"/>
        <w:ind w:left="640"/>
        <w:jc w:val="both"/>
        <w:textAlignment w:val="baseline"/>
        <w:rPr>
          <w:rFonts w:ascii="仿宋_GB2312" w:eastAsia="仿宋_GB2312" w:cs="DengXian-Regular"/>
          <w:sz w:val="32"/>
          <w:szCs w:val="32"/>
        </w:rPr>
      </w:pPr>
      <w:r>
        <w:rPr>
          <w:rFonts w:hint="eastAsia" w:ascii="仿宋_GB2312" w:eastAsia="仿宋_GB2312" w:cs="DengXian-Regular"/>
          <w:sz w:val="32"/>
          <w:szCs w:val="32"/>
        </w:rPr>
        <w:t>（十二）承办区委、区政府交办的其它事项。</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中的相关工作要求作为评价标准，采取定量和定性评价相结合的方法，对资料进行审核、分析，实事求是、客观公正地完成了老干部局202</w:t>
      </w:r>
      <w:r>
        <w:rPr>
          <w:rFonts w:ascii="仿宋_GB2312" w:eastAsia="仿宋_GB2312" w:cs="DengXian-Regular"/>
          <w:sz w:val="32"/>
          <w:szCs w:val="32"/>
        </w:rPr>
        <w:t>2</w:t>
      </w:r>
      <w:r>
        <w:rPr>
          <w:rFonts w:hint="eastAsia" w:ascii="仿宋_GB2312" w:eastAsia="仿宋_GB2312" w:cs="DengXian-Regular"/>
          <w:sz w:val="32"/>
          <w:szCs w:val="32"/>
        </w:rPr>
        <w:t>年部门整体支出绩效评价工作。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区老干部局202</w:t>
      </w:r>
      <w:r>
        <w:rPr>
          <w:rFonts w:ascii="仿宋_GB2312" w:eastAsia="仿宋_GB2312" w:cs="DengXian-Regular"/>
          <w:sz w:val="32"/>
          <w:szCs w:val="32"/>
        </w:rPr>
        <w:t>2</w:t>
      </w:r>
      <w:r>
        <w:rPr>
          <w:rFonts w:hint="eastAsia" w:ascii="仿宋_GB2312" w:eastAsia="仿宋_GB2312" w:cs="DengXian-Regular"/>
          <w:sz w:val="32"/>
          <w:szCs w:val="32"/>
        </w:rPr>
        <w:t>年部门整体支出绩效评价指标体系共设置4个一级指标、7个二级指标、27个三级指标，从投入、过程、产出、效果四个方面对区老干部局部门整体支出情况评分定级。指标体系设定满分为100分，绩效评价分值≥90为“优”；80≤分值＜90为“良”；60≤分值＜80为“合格”；60分以下为“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区老干部局202</w:t>
      </w:r>
      <w:r>
        <w:rPr>
          <w:rFonts w:ascii="仿宋_GB2312" w:eastAsia="仿宋_GB2312" w:cs="DengXian-Regular"/>
          <w:sz w:val="32"/>
          <w:szCs w:val="32"/>
        </w:rPr>
        <w:t>2</w:t>
      </w:r>
      <w:r>
        <w:rPr>
          <w:rFonts w:hint="eastAsia" w:ascii="仿宋_GB2312" w:eastAsia="仿宋_GB2312" w:cs="DengXian-Regular"/>
          <w:sz w:val="32"/>
          <w:szCs w:val="32"/>
        </w:rPr>
        <w:t>年部门整体支出综合评价得分为97分，评价等级为“优”。</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老干部局2022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3.项目资金使用率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4.部分基础数据信息方面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建议严格按照《中华人民共和国政府采购法》及河北省《政府采购集中采购目录和限额标准》的相关规定，执行政府采购，加快预算执行进度，提高政府采购效率。</w:t>
      </w:r>
      <w:bookmarkStart w:id="1" w:name="_Toc434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区老干部局对项目资金进行梳理，督促项目进度和资金拨付进度，应拨付的资金及时拨付，不具备条件的资金及时收回，同时，对于按规定可以结转至下年的中央及省级项目资金，在下年的项目安排时优先考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人员经费方面：</w:t>
      </w:r>
      <w:r>
        <w:rPr>
          <w:rFonts w:ascii="仿宋_GB2312" w:eastAsia="仿宋_GB2312" w:cs="DengXian-Regular"/>
          <w:sz w:val="32"/>
          <w:szCs w:val="32"/>
        </w:rPr>
        <w:t>202</w:t>
      </w:r>
      <w:r>
        <w:rPr>
          <w:rFonts w:hint="eastAsia" w:ascii="仿宋_GB2312" w:eastAsia="仿宋_GB2312" w:cs="DengXian-Regular"/>
          <w:sz w:val="32"/>
          <w:szCs w:val="32"/>
        </w:rPr>
        <w:t>2</w:t>
      </w:r>
      <w:r>
        <w:rPr>
          <w:rFonts w:ascii="仿宋_GB2312" w:eastAsia="仿宋_GB2312" w:cs="DengXian-Regular"/>
          <w:sz w:val="32"/>
          <w:szCs w:val="32"/>
        </w:rPr>
        <w:t>年基本支出决算数较预算数</w:t>
      </w:r>
      <w:r>
        <w:rPr>
          <w:rFonts w:hint="eastAsia" w:ascii="仿宋_GB2312" w:eastAsia="仿宋_GB2312" w:cs="DengXian-Regular"/>
          <w:sz w:val="32"/>
          <w:szCs w:val="32"/>
        </w:rPr>
        <w:t>减少</w:t>
      </w:r>
      <w:r>
        <w:rPr>
          <w:rFonts w:ascii="仿宋_GB2312" w:eastAsia="仿宋_GB2312" w:cs="DengXian-Regular"/>
          <w:sz w:val="32"/>
          <w:szCs w:val="32"/>
        </w:rPr>
        <w:t>主要原因</w:t>
      </w:r>
      <w:r>
        <w:rPr>
          <w:rFonts w:hint="eastAsia" w:ascii="仿宋_GB2312" w:eastAsia="仿宋_GB2312" w:cs="DengXian-Regular"/>
          <w:sz w:val="32"/>
          <w:szCs w:val="32"/>
        </w:rPr>
        <w:t>公用经费</w:t>
      </w:r>
      <w:r>
        <w:rPr>
          <w:rFonts w:ascii="仿宋_GB2312" w:eastAsia="仿宋_GB2312" w:cs="DengXian-Regular"/>
          <w:sz w:val="32"/>
          <w:szCs w:val="32"/>
        </w:rPr>
        <w:t>的减少。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202</w:t>
      </w:r>
      <w:r>
        <w:rPr>
          <w:rFonts w:hint="eastAsia" w:ascii="仿宋_GB2312" w:eastAsia="仿宋_GB2312" w:cs="DengXian-Regular"/>
          <w:sz w:val="32"/>
          <w:szCs w:val="32"/>
        </w:rPr>
        <w:t>2</w:t>
      </w:r>
      <w:r>
        <w:rPr>
          <w:rFonts w:ascii="仿宋_GB2312" w:eastAsia="仿宋_GB2312" w:cs="DengXian-Regular"/>
          <w:sz w:val="32"/>
          <w:szCs w:val="32"/>
        </w:rPr>
        <w:t>年项目支出资金，由于年底财政资金紧张，严重影响了项目的支出进度。</w:t>
      </w:r>
    </w:p>
    <w:p>
      <w:pPr>
        <w:pStyle w:val="3"/>
        <w:spacing w:line="540" w:lineRule="exact"/>
        <w:jc w:val="center"/>
        <w:rPr>
          <w:rFonts w:ascii="黑体" w:hAnsi="黑体"/>
          <w:b w:val="0"/>
        </w:rPr>
      </w:pPr>
      <w:r>
        <w:rPr>
          <w:rFonts w:hint="eastAsia" w:ascii="黑体" w:hAnsi="黑体"/>
          <w:b w:val="0"/>
        </w:rPr>
        <w:t>第二部分   绩效评价报告</w:t>
      </w:r>
      <w:bookmarkEnd w:id="1"/>
    </w:p>
    <w:p>
      <w:pPr>
        <w:pStyle w:val="3"/>
        <w:spacing w:before="0" w:after="0" w:line="360" w:lineRule="auto"/>
        <w:ind w:firstLine="643" w:firstLineChars="200"/>
        <w:rPr>
          <w:rFonts w:ascii="楷体" w:hAnsi="楷体" w:eastAsia="楷体" w:cs="楷体"/>
        </w:rPr>
      </w:pPr>
      <w:bookmarkStart w:id="2" w:name="_Toc427"/>
      <w:bookmarkStart w:id="3" w:name="_Toc492652763"/>
      <w:r>
        <w:rPr>
          <w:rFonts w:hint="eastAsia" w:ascii="楷体" w:hAnsi="楷体" w:eastAsia="楷体" w:cs="楷体"/>
        </w:rPr>
        <w:t>一、保定市徐水区委老干部局基本情况</w:t>
      </w:r>
      <w:bookmarkEnd w:id="2"/>
      <w:bookmarkEnd w:id="3"/>
      <w:bookmarkStart w:id="4" w:name="_Toc492652764"/>
    </w:p>
    <w:p>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pPr>
        <w:spacing w:after="0" w:line="360" w:lineRule="auto"/>
        <w:ind w:firstLine="640" w:firstLineChars="200"/>
        <w:jc w:val="both"/>
        <w:textAlignment w:val="baseline"/>
        <w:rPr>
          <w:rFonts w:ascii="仿宋_GB2312" w:eastAsia="仿宋_GB2312" w:cs="DengXian-Regular"/>
          <w:color w:val="FF0000"/>
          <w:sz w:val="32"/>
          <w:szCs w:val="32"/>
        </w:rPr>
      </w:pPr>
      <w:r>
        <w:rPr>
          <w:rFonts w:hint="eastAsia" w:ascii="仿宋_GB2312" w:eastAsia="仿宋_GB2312" w:cs="DengXian-Regular"/>
          <w:sz w:val="32"/>
          <w:szCs w:val="32"/>
        </w:rPr>
        <w:t>根据中共保定市徐水区委办公室、保定市徐水区人民政府办公室关于印发《保定市徐水区委老干部职能配置内设机构和人员编制规定》的通知，区委老干部局为区政府工作部门，正科级单位，下设2个股室。区委老干部局根据绩效预算管理改革的相关要求，按照“部门职责—工作活动绩效目标”的层级设立了绩效预算架构</w:t>
      </w:r>
      <w:bookmarkStart w:id="6" w:name="_Toc465149499"/>
      <w:bookmarkStart w:id="7" w:name="_Toc492652765"/>
      <w:r>
        <w:rPr>
          <w:rFonts w:hint="eastAsia" w:ascii="仿宋_GB2312" w:eastAsia="仿宋_GB2312" w:cs="DengXian-Regular"/>
          <w:sz w:val="32"/>
          <w:szCs w:val="32"/>
        </w:rPr>
        <w:t>。</w:t>
      </w:r>
    </w:p>
    <w:p>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按照2022年绩效预算编制要求，区委老干部局设置的年度发展规划总体目标为：</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紧紧围绕全区中心工作和区委重要部署，科学决策、坚持以人为本，认真落实好离退休干部政治待遇，落实三项保障机制为重点,抓好离退休干部的生活待遇，进一步完善老干部活动中心建设，组织引导老干部积极发挥余热。增强责任感和工作积极性，不断提高对离退休干部的服务水平。适应新形势、新任务、新要求，抓好老干部局自身建设，提高服务质量，不断规范履职行为，努力开创老干部局工作新局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pPr>
        <w:spacing w:after="0" w:line="360" w:lineRule="auto"/>
        <w:ind w:firstLine="640" w:firstLineChars="200"/>
        <w:jc w:val="both"/>
        <w:textAlignment w:val="baseline"/>
        <w:rPr>
          <w:rFonts w:ascii="仿宋_GB2312" w:eastAsia="仿宋_GB2312" w:cs="DengXian-Regular"/>
          <w:sz w:val="32"/>
          <w:szCs w:val="32"/>
        </w:rPr>
      </w:pPr>
      <w:bookmarkStart w:id="9" w:name="_Toc1678"/>
      <w:bookmarkStart w:id="10" w:name="_Toc465149500"/>
      <w:bookmarkStart w:id="11" w:name="_Toc492652766"/>
      <w:r>
        <w:rPr>
          <w:rFonts w:hint="eastAsia" w:ascii="仿宋_GB2312" w:eastAsia="仿宋_GB2312" w:cs="DengXian-Regular"/>
          <w:sz w:val="32"/>
          <w:szCs w:val="32"/>
        </w:rPr>
        <w:t>一、离退休干部政策及服务</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落实老干部政策、生活待遇贯彻落实国家关于离退休干部的方针政策，组织落实离退休干部的政治、生活待遇, 老干部生活待遇保障率达到100%，离退休干部慰问经费让每位老干部感受到政治上的关心，生活上的爱护，加强离退休干部管理制度。离休干部和区级实职退休干部体检费， 让每位老干部感受到政治上的关心，生活上的爱护。老年节区内参观视察经费组织引导老干部积极发挥余热，保障离退休干部各项政策的落实。</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二、老年活动阵地建设</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老年教育及关心下一代，贯彻执行老年教育和老干部工作方针，构建终身教育体系；开展全区关心下一代工作，组织老同志参加青少年教育工作。老年教育普及率达到100%，计划开展两个项目，一是老年大学经费：目前已开办文艺、戏曲、书法、绘画、老干部知识讲堂等专业班。以老年大学为依托成立的老干部合唱团、京剧社、老年书画研究会等老干部社团也非常活跃，经常参加省、市、区组织的各项活动，既丰富了老干部的文化生活，也为我县精神文明建设贡献了力量。二是关心下一代工作委员会经费：关工委是在各级党委、政府领导下，以离退休老同志为主体，党政有关部门和群团组织负责人参加的，以关心、教育、培养青少年健康成长为目的的工作组织,是党和政府教育青少年的参谋和助手，联系青少年的桥梁和纽带，在对青少年的教育中发挥着传承、引导、关爱、保护中不可替代的作用。各级关工委要在党委、政府领导，按照“急党政之所急、想青少年所需、尽关工委所能”的工作方针，围绕中心、服务大局，勇于创新、主动作为，充分发挥“五老”的优势和作用，开展丰富多彩、生动活泼及教育和关爱活动。关工委办公室要承上启下、联系协调、当好参谋，竭诚为老同志开展关心下一代工作做好服务。</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三、综合事务管理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综合事务管理，负责离退休干部管理服务机构设施维修改造、后勤保障、日常运转。综合事务管理工作完成率达到100%。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2022年区委老干部局预算收入305.54万元，均为一般公共预算拨款，其中：财政拨款305.54万元，中央财政提前通知转移支付0万元。预算收入按功能分类包含：社会保障和就业支出285.87万元，卫生健康支出10.84万元，住房保障支出8.83万元。具体预算收入详见附件2。</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2022年区委老干部局决算收入292.67万元，其中：财政拨款收入292.64万元，其他收入0.03万元（全部为利息收入）。决算收入按功能分类包含：社会保障和就业支出280.92万元，占比95.99%；卫生健康支出4.18万元，占比1.43%；住房保障支出7.55万元，占比2.58%。具体决算收入详见附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2。决算收入结构如图1。</w:t>
      </w:r>
    </w:p>
    <w:p>
      <w:pPr>
        <w:spacing w:after="0" w:line="360" w:lineRule="auto"/>
        <w:jc w:val="center"/>
        <w:textAlignment w:val="baseline"/>
        <w:rPr>
          <w:rFonts w:asciiTheme="minorEastAsia" w:hAnsiTheme="minorEastAsia" w:eastAsiaTheme="minorEastAsia" w:cstheme="minorEastAsia"/>
          <w:b/>
          <w:bCs/>
          <w:sz w:val="32"/>
          <w:szCs w:val="32"/>
        </w:rPr>
      </w:pPr>
    </w:p>
    <w:p>
      <w:pPr>
        <w:spacing w:after="0" w:line="360" w:lineRule="auto"/>
        <w:jc w:val="center"/>
        <w:textAlignment w:val="baseline"/>
        <w:rPr>
          <w:rFonts w:asciiTheme="minorEastAsia" w:hAnsiTheme="minorEastAsia" w:eastAsiaTheme="minorEastAsia" w:cstheme="minorEastAsia"/>
          <w:b/>
          <w:bCs/>
          <w:sz w:val="32"/>
          <w:szCs w:val="32"/>
        </w:rPr>
      </w:pPr>
    </w:p>
    <w:p>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202</w:t>
      </w:r>
      <w:r>
        <w:rPr>
          <w:rFonts w:asciiTheme="minorEastAsia" w:hAnsiTheme="minorEastAsia" w:eastAsiaTheme="minorEastAsia" w:cstheme="minorEastAsia"/>
          <w:b/>
          <w:bCs/>
          <w:sz w:val="32"/>
          <w:szCs w:val="32"/>
        </w:rPr>
        <w:t>2</w:t>
      </w:r>
      <w:r>
        <w:rPr>
          <w:rFonts w:hint="eastAsia" w:asciiTheme="minorEastAsia" w:hAnsiTheme="minorEastAsia" w:eastAsiaTheme="minorEastAsia" w:cstheme="minorEastAsia"/>
          <w:b/>
          <w:bCs/>
          <w:sz w:val="32"/>
          <w:szCs w:val="32"/>
        </w:rPr>
        <w:t>年度区委老干部局决算收入结构图</w:t>
      </w:r>
    </w:p>
    <w:p>
      <w:pPr>
        <w:spacing w:after="0" w:line="360" w:lineRule="auto"/>
        <w:ind w:firstLine="440" w:firstLineChars="200"/>
        <w:jc w:val="both"/>
        <w:rPr>
          <w:rFonts w:ascii="仿宋_GB2312" w:eastAsia="仿宋_GB2312" w:cs="DengXian-Regular"/>
          <w:sz w:val="32"/>
          <w:szCs w:val="32"/>
        </w:rPr>
      </w:pPr>
      <w:r>
        <w:drawing>
          <wp:inline distT="0" distB="0" distL="0" distR="0">
            <wp:extent cx="4572000" cy="2336800"/>
            <wp:effectExtent l="0" t="0" r="19050" b="2540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徐水区委老干部局一般公共预算财政拨款决算收入比年初预算减少12.90万元，完成年初预算的95.78%。决算收入小于预算收入的主要原因为202</w:t>
      </w:r>
      <w:r>
        <w:rPr>
          <w:rFonts w:ascii="仿宋_GB2312" w:eastAsia="仿宋_GB2312" w:cs="DengXian-Regular"/>
          <w:sz w:val="32"/>
          <w:szCs w:val="32"/>
        </w:rPr>
        <w:t>2</w:t>
      </w:r>
      <w:r>
        <w:rPr>
          <w:rFonts w:hint="eastAsia" w:ascii="仿宋_GB2312" w:eastAsia="仿宋_GB2312" w:cs="DengXian-Regular"/>
          <w:sz w:val="32"/>
          <w:szCs w:val="32"/>
        </w:rPr>
        <w:t>年度区委老干部局申请的项目经费没有及时下达。预算收入与决算收入对比情况见图2。</w:t>
      </w:r>
    </w:p>
    <w:p>
      <w:pPr>
        <w:spacing w:after="0" w:line="360" w:lineRule="auto"/>
        <w:jc w:val="center"/>
        <w:rPr>
          <w:rFonts w:asciiTheme="minorEastAsia" w:hAnsiTheme="minorEastAsia" w:eastAsiaTheme="minorEastAsia" w:cstheme="minorEastAsia"/>
          <w:b/>
          <w:sz w:val="32"/>
          <w:szCs w:val="32"/>
          <w:u w:color="000000"/>
        </w:rPr>
      </w:pPr>
      <w:r>
        <w:rPr>
          <w:rFonts w:hint="eastAsia" w:asciiTheme="minorEastAsia" w:hAnsiTheme="minorEastAsia" w:eastAsiaTheme="minorEastAsia" w:cstheme="minorEastAsia"/>
          <w:b/>
          <w:sz w:val="32"/>
          <w:szCs w:val="32"/>
          <w:u w:color="000000"/>
        </w:rPr>
        <w:t>图2  202</w:t>
      </w:r>
      <w:r>
        <w:rPr>
          <w:rFonts w:hint="eastAsia" w:ascii="仿宋_GB2312" w:eastAsia="仿宋_GB2312" w:cs="DengXian-Regular"/>
          <w:sz w:val="32"/>
          <w:szCs w:val="32"/>
        </w:rPr>
        <w:t>2</w:t>
      </w:r>
      <w:r>
        <w:rPr>
          <w:rFonts w:hint="eastAsia" w:asciiTheme="minorEastAsia" w:hAnsiTheme="minorEastAsia" w:eastAsiaTheme="minorEastAsia" w:cstheme="minorEastAsia"/>
          <w:b/>
          <w:sz w:val="32"/>
          <w:szCs w:val="32"/>
          <w:u w:color="000000"/>
        </w:rPr>
        <w:t>年度区委老干部局预算收入与决算收入对比图</w:t>
      </w:r>
      <w:bookmarkStart w:id="12" w:name="_Toc18197"/>
    </w:p>
    <w:p>
      <w:pPr>
        <w:spacing w:after="0" w:line="360" w:lineRule="auto"/>
        <w:jc w:val="center"/>
        <w:rPr>
          <w:rFonts w:asciiTheme="minorEastAsia" w:hAnsiTheme="minorEastAsia" w:eastAsiaTheme="minorEastAsia" w:cstheme="minorEastAsia"/>
          <w:b/>
          <w:sz w:val="32"/>
          <w:szCs w:val="32"/>
          <w:u w:color="000000"/>
        </w:rPr>
      </w:pPr>
      <w:r>
        <w:drawing>
          <wp:inline distT="0" distB="0" distL="0" distR="0">
            <wp:extent cx="4953000" cy="1924050"/>
            <wp:effectExtent l="0" t="0" r="19050" b="1905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4"/>
        <w:spacing w:before="0" w:after="0"/>
        <w:ind w:firstLine="643" w:firstLineChars="200"/>
        <w:jc w:val="both"/>
        <w:rPr>
          <w:rFonts w:ascii="仿宋_GB2312" w:hAnsiTheme="minorEastAsia"/>
          <w:sz w:val="32"/>
        </w:rPr>
      </w:pPr>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2022年度区委老干部局</w:t>
      </w:r>
      <w:r>
        <w:rPr>
          <w:rFonts w:hint="eastAsia" w:ascii="仿宋_GB2312" w:eastAsia="仿宋_GB2312" w:cs="Times New Roman" w:hAnsiTheme="minorEastAsia"/>
          <w:sz w:val="32"/>
          <w:szCs w:val="32"/>
          <w:u w:color="000000"/>
        </w:rPr>
        <w:t>预算支出安排305.54万元，其中：基本支出287.76万元，项目支出17.78万元。预算支出按功能分类包含：社会保障和就业支出285.87万元，卫生健康支出10.84万元，住房保障支出8.83万元。具体预算支出详见附件2。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2022年度区委老干部局</w:t>
      </w:r>
      <w:r>
        <w:rPr>
          <w:rFonts w:hint="eastAsia" w:ascii="仿宋_GB2312" w:eastAsia="仿宋_GB2312" w:cs="Times New Roman" w:hAnsiTheme="minorEastAsia"/>
          <w:sz w:val="32"/>
          <w:szCs w:val="32"/>
          <w:u w:color="000000"/>
        </w:rPr>
        <w:t>决算支出为292.64万元，其中：基本支出281.40万元，项目支出11.24万元。决算支出按功能分类包含：社会保障和就业支出280.92万元，占比95.99%；卫生健康4.18万元，占比1.43%；住房保障支出7.55万元，占比2.58%。具体决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pPr>
        <w:spacing w:after="0" w:line="360" w:lineRule="auto"/>
        <w:jc w:val="center"/>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u w:color="000000"/>
        </w:rPr>
        <w:t xml:space="preserve">图3  </w:t>
      </w:r>
      <w:r>
        <w:rPr>
          <w:rFonts w:hint="eastAsia" w:ascii="仿宋_GB2312" w:eastAsia="仿宋_GB2312" w:cs="DengXian-Regular"/>
          <w:sz w:val="32"/>
          <w:szCs w:val="32"/>
        </w:rPr>
        <w:t>2022年度区委老干部局</w:t>
      </w:r>
      <w:r>
        <w:rPr>
          <w:rFonts w:hint="eastAsia" w:asciiTheme="minorEastAsia" w:hAnsiTheme="minorEastAsia" w:eastAsiaTheme="minorEastAsia" w:cstheme="minorEastAsia"/>
          <w:b/>
          <w:bCs/>
          <w:sz w:val="32"/>
          <w:szCs w:val="32"/>
          <w:u w:color="000000"/>
        </w:rPr>
        <w:t>决算支出结构图</w:t>
      </w:r>
    </w:p>
    <w:p>
      <w:pPr>
        <w:spacing w:after="0" w:line="360" w:lineRule="auto"/>
        <w:ind w:firstLine="440" w:firstLineChars="200"/>
        <w:jc w:val="both"/>
      </w:pPr>
      <w:r>
        <w:drawing>
          <wp:inline distT="0" distB="0" distL="0" distR="0">
            <wp:extent cx="5278120" cy="2102485"/>
            <wp:effectExtent l="0" t="0" r="17780" b="1206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after="0" w:line="360" w:lineRule="auto"/>
        <w:ind w:firstLine="440" w:firstLineChars="200"/>
        <w:jc w:val="both"/>
      </w:pPr>
    </w:p>
    <w:p>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财政拨款决算支出比年初预算减少12.90万元。决算支出完成年初预算的95.78%。</w:t>
      </w:r>
      <w:r>
        <w:rPr>
          <w:rFonts w:hint="eastAsia" w:ascii="仿宋_GB2312" w:eastAsia="仿宋_GB2312" w:cs="Times New Roman" w:hAnsiTheme="minorEastAsia"/>
          <w:sz w:val="32"/>
          <w:szCs w:val="32"/>
          <w:u w:color="000000"/>
        </w:rPr>
        <w:t>决算小于预算支出的</w:t>
      </w:r>
      <w:r>
        <w:rPr>
          <w:rFonts w:hint="eastAsia" w:ascii="仿宋_GB2312" w:eastAsia="仿宋_GB2312" w:cs="DengXian-Regular"/>
          <w:sz w:val="32"/>
          <w:szCs w:val="32"/>
        </w:rPr>
        <w:t>主要原因为本年度项目经费由于财政资金紧缺，没有能够及时下达</w:t>
      </w:r>
      <w:r>
        <w:rPr>
          <w:rFonts w:hint="eastAsia" w:ascii="仿宋" w:hAnsi="仿宋" w:eastAsia="仿宋"/>
          <w:snapToGrid w:val="0"/>
          <w:sz w:val="32"/>
          <w:szCs w:val="32"/>
        </w:rPr>
        <w:t>。预算支出与决算支出对比情况如图4。</w:t>
      </w:r>
    </w:p>
    <w:p>
      <w:pPr>
        <w:spacing w:after="0" w:line="360" w:lineRule="auto"/>
        <w:ind w:firstLine="640" w:firstLineChars="200"/>
        <w:jc w:val="both"/>
        <w:rPr>
          <w:rFonts w:ascii="仿宋" w:hAnsi="仿宋" w:eastAsia="仿宋"/>
          <w:snapToGrid w:val="0"/>
          <w:sz w:val="32"/>
          <w:szCs w:val="32"/>
        </w:rPr>
      </w:pPr>
    </w:p>
    <w:p>
      <w:pPr>
        <w:spacing w:after="0" w:line="360" w:lineRule="auto"/>
        <w:ind w:firstLine="640" w:firstLineChars="200"/>
        <w:jc w:val="both"/>
        <w:rPr>
          <w:rFonts w:ascii="仿宋" w:hAnsi="仿宋" w:eastAsia="仿宋"/>
          <w:snapToGrid w:val="0"/>
          <w:sz w:val="32"/>
          <w:szCs w:val="32"/>
        </w:rPr>
      </w:pPr>
    </w:p>
    <w:p>
      <w:pPr>
        <w:spacing w:after="0" w:line="360" w:lineRule="auto"/>
        <w:ind w:firstLine="640" w:firstLineChars="200"/>
        <w:jc w:val="both"/>
        <w:rPr>
          <w:rFonts w:ascii="仿宋" w:hAnsi="仿宋" w:eastAsia="仿宋"/>
          <w:snapToGrid w:val="0"/>
          <w:sz w:val="32"/>
          <w:szCs w:val="32"/>
        </w:rPr>
      </w:pPr>
    </w:p>
    <w:p>
      <w:pPr>
        <w:spacing w:after="0"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图4  </w:t>
      </w:r>
      <w:r>
        <w:rPr>
          <w:rFonts w:hint="eastAsia" w:ascii="仿宋_GB2312" w:eastAsia="仿宋_GB2312" w:cs="DengXian-Regular"/>
          <w:sz w:val="32"/>
          <w:szCs w:val="32"/>
        </w:rPr>
        <w:t>2022年度老干部局</w:t>
      </w:r>
      <w:r>
        <w:rPr>
          <w:rFonts w:hint="eastAsia" w:asciiTheme="minorEastAsia" w:hAnsiTheme="minorEastAsia" w:eastAsiaTheme="minorEastAsia" w:cstheme="minorEastAsia"/>
          <w:b/>
          <w:bCs/>
          <w:sz w:val="32"/>
          <w:szCs w:val="32"/>
        </w:rPr>
        <w:t>预算支出与决算支出对比图</w:t>
      </w:r>
    </w:p>
    <w:p>
      <w:pPr>
        <w:spacing w:after="0" w:line="360" w:lineRule="auto"/>
        <w:jc w:val="center"/>
        <w:rPr>
          <w:rFonts w:ascii="仿宋_GB2312" w:eastAsia="仿宋_GB2312" w:cs="DengXian-Regular"/>
          <w:sz w:val="32"/>
          <w:szCs w:val="32"/>
        </w:rPr>
      </w:pPr>
      <w:r>
        <w:drawing>
          <wp:inline distT="0" distB="0" distL="0" distR="0">
            <wp:extent cx="4953000" cy="1924050"/>
            <wp:effectExtent l="0" t="0" r="19050" b="190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区委老干部局202</w:t>
      </w:r>
      <w:r>
        <w:rPr>
          <w:rFonts w:ascii="仿宋_GB2312" w:eastAsia="仿宋_GB2312" w:cs="DengXian-Regular"/>
          <w:sz w:val="32"/>
          <w:szCs w:val="32"/>
        </w:rPr>
        <w:t>2</w:t>
      </w:r>
      <w:r>
        <w:rPr>
          <w:rFonts w:hint="eastAsia" w:ascii="仿宋_GB2312" w:eastAsia="仿宋_GB2312" w:cs="DengXian-Regular"/>
          <w:sz w:val="32"/>
          <w:szCs w:val="32"/>
        </w:rPr>
        <w:t>年实际项目支出11.24万元，决算报表中项目支出11.24万元。</w:t>
      </w:r>
    </w:p>
    <w:p>
      <w:pPr>
        <w:pStyle w:val="4"/>
        <w:spacing w:before="0" w:after="0"/>
        <w:ind w:firstLine="643" w:firstLineChars="200"/>
        <w:jc w:val="both"/>
        <w:rPr>
          <w:rFonts w:ascii="仿宋_GB2312" w:hAnsi="Tahoma" w:cs="DengXian-Regular"/>
          <w:sz w:val="32"/>
        </w:rPr>
      </w:pPr>
      <w:bookmarkStart w:id="13" w:name="_Toc465149503"/>
      <w:bookmarkStart w:id="14" w:name="_Toc492652769"/>
      <w:bookmarkStart w:id="15" w:name="_Toc19291"/>
      <w:r>
        <w:rPr>
          <w:rFonts w:hint="eastAsia" w:ascii="仿宋_GB2312" w:hAnsi="Tahoma" w:cs="DengXian-Regular"/>
          <w:sz w:val="32"/>
        </w:rPr>
        <w:t>（五）“三公”经费预算安排及支出情况</w:t>
      </w:r>
      <w:bookmarkEnd w:id="13"/>
      <w:bookmarkEnd w:id="14"/>
      <w:bookmarkEnd w:id="15"/>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2022年区委老干部局“三公”经费预算2.92万元（公务用车运行维护费2.43万元，公务接待费0.49万元），实际支出1.24万元（公务用车运行维护费0.85万元，公务接待费0.39万元），比预算减少1.68万元，节约率57.53%。2022年“三公”经费预算数与</w:t>
      </w:r>
      <w:r>
        <w:rPr>
          <w:rFonts w:ascii="仿宋_GB2312" w:eastAsia="仿宋_GB2312" w:cs="DengXian-Regular"/>
          <w:sz w:val="32"/>
          <w:szCs w:val="32"/>
        </w:rPr>
        <w:t>202</w:t>
      </w:r>
      <w:r>
        <w:rPr>
          <w:rFonts w:hint="eastAsia" w:ascii="仿宋_GB2312" w:eastAsia="仿宋_GB2312" w:cs="DengXian-Regular"/>
          <w:sz w:val="32"/>
          <w:szCs w:val="32"/>
        </w:rPr>
        <w:t>1年预算数相比减少0.58万元，决算数与</w:t>
      </w:r>
      <w:r>
        <w:rPr>
          <w:rFonts w:ascii="仿宋_GB2312" w:eastAsia="仿宋_GB2312" w:cs="DengXian-Regular"/>
          <w:sz w:val="32"/>
          <w:szCs w:val="32"/>
        </w:rPr>
        <w:t>202</w:t>
      </w:r>
      <w:r>
        <w:rPr>
          <w:rFonts w:hint="eastAsia" w:ascii="仿宋_GB2312" w:eastAsia="仿宋_GB2312" w:cs="DengXian-Regular"/>
          <w:sz w:val="32"/>
          <w:szCs w:val="32"/>
        </w:rPr>
        <w:t>1年实际支出相比减少2.12万元。具体详见表1。</w:t>
      </w:r>
    </w:p>
    <w:p>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sz w:val="32"/>
          <w:szCs w:val="32"/>
        </w:rPr>
        <w:t>区委老干部局</w:t>
      </w:r>
      <w:r>
        <w:rPr>
          <w:rFonts w:hint="eastAsia" w:asciiTheme="minorEastAsia" w:hAnsiTheme="minorEastAsia" w:eastAsiaTheme="minorEastAsia" w:cstheme="minorEastAsia"/>
          <w:b/>
          <w:bCs/>
          <w:sz w:val="32"/>
          <w:szCs w:val="32"/>
        </w:rPr>
        <w:t>“三公”经费预算及决算明细表</w:t>
      </w:r>
    </w:p>
    <w:p>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ascii="宋体" w:hAnsi="宋体" w:eastAsia="宋体" w:cs="宋体"/>
                <w:b/>
                <w:bCs/>
                <w:color w:val="000000"/>
                <w:sz w:val="21"/>
                <w:szCs w:val="21"/>
              </w:rPr>
              <w:t>2021</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ascii="宋体" w:hAnsi="宋体" w:eastAsia="宋体" w:cs="宋体"/>
                <w:b/>
                <w:bCs/>
                <w:color w:val="000000"/>
                <w:sz w:val="21"/>
                <w:szCs w:val="21"/>
              </w:rPr>
              <w:t>2</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2.86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2.43</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0.85</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0.57</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2.01</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0.49</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0.39</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0.01</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0.11</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3.36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2.92</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1.24</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0.58</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2.12</w:t>
            </w:r>
          </w:p>
        </w:tc>
      </w:tr>
    </w:tbl>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1、公务用车：2022年底区委老干部局车辆合计1辆，其中应急保障用车1辆。202</w:t>
      </w:r>
      <w:r>
        <w:rPr>
          <w:rFonts w:ascii="仿宋_GB2312" w:eastAsia="仿宋_GB2312" w:cs="DengXian-Regular"/>
          <w:sz w:val="32"/>
          <w:szCs w:val="32"/>
        </w:rPr>
        <w:t>2</w:t>
      </w:r>
      <w:r>
        <w:rPr>
          <w:rFonts w:hint="eastAsia" w:ascii="仿宋_GB2312" w:eastAsia="仿宋_GB2312" w:cs="DengXian-Regular"/>
          <w:sz w:val="32"/>
          <w:szCs w:val="32"/>
        </w:rPr>
        <w:t>年公务用车购置及运维费年初预算2.43万元，全部为公务用车运行维护费，实际支出0.85万元，比预算减少1.58万元，节约率65.02%。202</w:t>
      </w:r>
      <w:r>
        <w:rPr>
          <w:rFonts w:ascii="仿宋_GB2312" w:eastAsia="仿宋_GB2312" w:cs="DengXian-Regular"/>
          <w:sz w:val="32"/>
          <w:szCs w:val="32"/>
        </w:rPr>
        <w:t>2</w:t>
      </w:r>
      <w:r>
        <w:rPr>
          <w:rFonts w:hint="eastAsia" w:ascii="仿宋_GB2312" w:eastAsia="仿宋_GB2312" w:cs="DengXian-Regular"/>
          <w:sz w:val="32"/>
          <w:szCs w:val="32"/>
        </w:rPr>
        <w:t>年预算数与</w:t>
      </w:r>
      <w:r>
        <w:rPr>
          <w:rFonts w:ascii="仿宋_GB2312" w:eastAsia="仿宋_GB2312" w:cs="DengXian-Regular"/>
          <w:sz w:val="32"/>
          <w:szCs w:val="32"/>
        </w:rPr>
        <w:t>2021</w:t>
      </w:r>
      <w:r>
        <w:rPr>
          <w:rFonts w:hint="eastAsia" w:ascii="仿宋_GB2312" w:eastAsia="仿宋_GB2312" w:cs="DengXian-Regular"/>
          <w:sz w:val="32"/>
          <w:szCs w:val="32"/>
        </w:rPr>
        <w:t>年预算相比减少0.58万元，决算数与</w:t>
      </w:r>
      <w:r>
        <w:rPr>
          <w:rFonts w:ascii="仿宋_GB2312" w:eastAsia="仿宋_GB2312" w:cs="DengXian-Regular"/>
          <w:sz w:val="32"/>
          <w:szCs w:val="32"/>
        </w:rPr>
        <w:t>2021</w:t>
      </w:r>
      <w:r>
        <w:rPr>
          <w:rFonts w:hint="eastAsia" w:ascii="仿宋_GB2312" w:eastAsia="仿宋_GB2312" w:cs="DengXian-Regular"/>
          <w:sz w:val="32"/>
          <w:szCs w:val="32"/>
        </w:rPr>
        <w:t>年实际支出相比，减少2.21万元。</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2、公务接待：2022年区委老干部局公务接待费年初预算0.49万元，实际支出0.39万元，比预算减少了0.01万元，节约率2.04%。2022年预算数与</w:t>
      </w:r>
      <w:r>
        <w:rPr>
          <w:rFonts w:ascii="仿宋_GB2312" w:eastAsia="仿宋_GB2312" w:cs="DengXian-Regular"/>
          <w:sz w:val="32"/>
          <w:szCs w:val="32"/>
        </w:rPr>
        <w:t>202</w:t>
      </w:r>
      <w:r>
        <w:rPr>
          <w:rFonts w:hint="eastAsia" w:ascii="仿宋_GB2312" w:eastAsia="仿宋_GB2312" w:cs="DengXian-Regular"/>
          <w:sz w:val="32"/>
          <w:szCs w:val="32"/>
        </w:rPr>
        <w:t>1年预算相比减少0.01，决算数与</w:t>
      </w:r>
      <w:r>
        <w:rPr>
          <w:rFonts w:ascii="仿宋_GB2312" w:eastAsia="仿宋_GB2312" w:cs="DengXian-Regular"/>
          <w:sz w:val="32"/>
          <w:szCs w:val="32"/>
        </w:rPr>
        <w:t>202</w:t>
      </w:r>
      <w:r>
        <w:rPr>
          <w:rFonts w:hint="eastAsia" w:ascii="仿宋_GB2312" w:eastAsia="仿宋_GB2312" w:cs="DengXian-Regular"/>
          <w:sz w:val="32"/>
          <w:szCs w:val="32"/>
        </w:rPr>
        <w:t>1年实际支出相比，减少0.11万元。</w:t>
      </w:r>
    </w:p>
    <w:p>
      <w:pPr>
        <w:pStyle w:val="3"/>
        <w:spacing w:before="0" w:after="0" w:line="360" w:lineRule="auto"/>
        <w:ind w:firstLine="643" w:firstLineChars="200"/>
        <w:rPr>
          <w:rFonts w:ascii="黑体" w:hAnsiTheme="minorEastAsia"/>
          <w:u w:color="000000"/>
        </w:rPr>
      </w:pPr>
      <w:bookmarkStart w:id="16" w:name="_Toc492652770"/>
      <w:bookmarkStart w:id="17" w:name="_Toc20454"/>
      <w:bookmarkStart w:id="18" w:name="_Toc465149504"/>
      <w:r>
        <w:rPr>
          <w:rFonts w:hint="eastAsia" w:ascii="黑体"/>
        </w:rPr>
        <w:t>二、部门整体支出绩效评价指标体系设定情况</w:t>
      </w:r>
      <w:bookmarkEnd w:id="16"/>
      <w:bookmarkEnd w:id="17"/>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根据绩效预算管理改革的有关政策和文件规定，并与区委老干部局沟通，绩效评价工作组以绩效预算架构为指导，以部门预算文本及相关资料为基础，制定了部门整体支出绩效评价指标体系。</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492652771"/>
      <w:bookmarkStart w:id="20" w:name="_Toc9569"/>
    </w:p>
    <w:p>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pPr>
        <w:pStyle w:val="4"/>
        <w:spacing w:before="0" w:after="0"/>
        <w:ind w:firstLine="643" w:firstLineChars="200"/>
        <w:jc w:val="both"/>
        <w:rPr>
          <w:rFonts w:ascii="楷体" w:hAnsi="楷体" w:eastAsia="楷体"/>
          <w:sz w:val="32"/>
        </w:rPr>
      </w:pPr>
      <w:bookmarkStart w:id="21" w:name="_Toc30221"/>
      <w:bookmarkStart w:id="22" w:name="_Toc492652772"/>
      <w:r>
        <w:rPr>
          <w:rFonts w:hint="eastAsia" w:ascii="楷体" w:hAnsi="楷体" w:eastAsia="楷体"/>
          <w:kern w:val="2"/>
          <w:sz w:val="32"/>
        </w:rPr>
        <w:t>（二）过程（48分）</w:t>
      </w:r>
      <w:bookmarkEnd w:id="21"/>
      <w:bookmarkEnd w:id="22"/>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pPr>
        <w:pStyle w:val="4"/>
        <w:spacing w:before="0" w:after="0"/>
        <w:ind w:firstLine="643" w:firstLineChars="200"/>
        <w:jc w:val="both"/>
        <w:rPr>
          <w:rFonts w:ascii="楷体" w:hAnsi="楷体" w:eastAsia="楷体"/>
          <w:kern w:val="2"/>
          <w:sz w:val="32"/>
        </w:rPr>
      </w:pPr>
      <w:bookmarkStart w:id="23" w:name="_Toc492652773"/>
      <w:bookmarkStart w:id="24" w:name="_Toc24932"/>
      <w:r>
        <w:rPr>
          <w:rFonts w:hint="eastAsia" w:ascii="楷体" w:hAnsi="楷体" w:eastAsia="楷体"/>
          <w:kern w:val="2"/>
          <w:sz w:val="32"/>
        </w:rPr>
        <w:t>（三）产出（25分）</w:t>
      </w:r>
      <w:bookmarkEnd w:id="23"/>
      <w:bookmarkEnd w:id="24"/>
    </w:p>
    <w:p>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92652776"/>
      <w:bookmarkStart w:id="30" w:name="_Toc465149505"/>
    </w:p>
    <w:p>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区委老干部局2022年部门整体支出绩效评价，了解部门整体资金预算情况、实际收支情况及结转结余情况；绩效目标和指标的设置及完成情况；部门履职对社会发展所带来的直接或间接影响及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区委老干部局2022年部门整体支出绩效目标和指标的设置及完成情况；资金预算情况、实际收支情况及结转结余情况；部门履职对社会发展所带来的直接或间接影响及服务对象对部门履职效果的满意程度。</w:t>
      </w:r>
    </w:p>
    <w:p>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pPr>
        <w:spacing w:after="0" w:line="360" w:lineRule="auto"/>
        <w:ind w:firstLine="640" w:firstLineChars="200"/>
        <w:jc w:val="both"/>
        <w:textAlignment w:val="baseline"/>
        <w:rPr>
          <w:rFonts w:ascii="仿宋_GB2312" w:eastAsia="仿宋_GB2312" w:cs="DengXian-Regular"/>
          <w:sz w:val="32"/>
          <w:szCs w:val="32"/>
        </w:rPr>
      </w:pPr>
      <w:bookmarkStart w:id="43" w:name="_Toc421623217"/>
      <w:bookmarkStart w:id="44" w:name="_Toc422314152"/>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pPr>
        <w:spacing w:after="0" w:line="360" w:lineRule="auto"/>
        <w:ind w:firstLine="640" w:firstLineChars="200"/>
        <w:jc w:val="both"/>
        <w:textAlignment w:val="baseline"/>
        <w:rPr>
          <w:rFonts w:ascii="仿宋_GB2312" w:eastAsia="仿宋_GB2312" w:cs="DengXian-Regular"/>
          <w:sz w:val="32"/>
          <w:szCs w:val="32"/>
        </w:rPr>
      </w:pPr>
      <w:bookmarkStart w:id="47" w:name="_Toc422314153"/>
      <w:bookmarkStart w:id="48"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pPr>
        <w:spacing w:after="0" w:line="360" w:lineRule="auto"/>
        <w:ind w:firstLine="640" w:firstLineChars="200"/>
        <w:jc w:val="both"/>
        <w:textAlignment w:val="baseline"/>
        <w:rPr>
          <w:rFonts w:ascii="仿宋_GB2312" w:eastAsia="仿宋_GB2312" w:cs="DengXian-Regular"/>
          <w:sz w:val="32"/>
          <w:szCs w:val="32"/>
        </w:rPr>
      </w:pPr>
      <w:bookmarkStart w:id="49" w:name="_Toc422314155"/>
      <w:bookmarkStart w:id="50"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pPr>
        <w:spacing w:after="0" w:line="360" w:lineRule="auto"/>
        <w:ind w:firstLine="640" w:firstLineChars="200"/>
        <w:jc w:val="both"/>
        <w:textAlignment w:val="baseline"/>
        <w:rPr>
          <w:rFonts w:ascii="仿宋_GB2312" w:eastAsia="仿宋_GB2312" w:cs="DengXian-Regular"/>
          <w:sz w:val="32"/>
          <w:szCs w:val="32"/>
        </w:rPr>
      </w:pPr>
      <w:bookmarkStart w:id="51" w:name="_Toc422314156"/>
      <w:bookmarkStart w:id="52" w:name="_Toc421623221"/>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经与区委老干部局充分沟通，并充分收集相关资料，主要包括部门职责、工作活动、预决算文本、相关管理制度、资金使用等相关资料，为制定绩效评价实施方案和指标体系奠定了基础。</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基于对区委老干部局相关资料的收集，制定绩效评价实施方案和体系,确定最终方案。</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区委老干部局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92652781"/>
      <w:bookmarkStart w:id="55" w:name="_Toc465149511"/>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区委老干部局部门整体支出绩效评价总得分为97分，综合绩效评价等级为“优”。各项得分情况如下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11</w:t>
            </w:r>
          </w:p>
        </w:tc>
      </w:tr>
    </w:tbl>
    <w:p>
      <w:pPr>
        <w:spacing w:after="0" w:line="360" w:lineRule="auto"/>
        <w:ind w:firstLine="640" w:firstLineChars="200"/>
        <w:jc w:val="both"/>
        <w:textAlignment w:val="baseline"/>
        <w:rPr>
          <w:rFonts w:ascii="仿宋_GB2312" w:eastAsia="仿宋_GB2312" w:cs="DengXian-Regular"/>
          <w:sz w:val="32"/>
          <w:szCs w:val="32"/>
        </w:rPr>
      </w:pPr>
      <w:bookmarkStart w:id="60" w:name="_Toc465149513"/>
      <w:bookmarkStart w:id="61" w:name="_Toc464638478"/>
      <w:r>
        <w:rPr>
          <w:rFonts w:hint="eastAsia" w:ascii="仿宋_GB2312" w:eastAsia="仿宋_GB2312" w:cs="DengXian-Regular"/>
          <w:sz w:val="32"/>
          <w:szCs w:val="32"/>
        </w:rPr>
        <w:t>1.绩效目标设定（6分）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通过对比保定市徐水区委办公室及保定市徐水区人民政府办公室印发的《中共保定市徐水区委老干部局职能配置内设机构和人员编制规定》和徐水区委老干部局202</w:t>
      </w:r>
      <w:r>
        <w:rPr>
          <w:rFonts w:ascii="仿宋_GB2312" w:eastAsia="仿宋_GB2312" w:cs="DengXian-Regular"/>
          <w:sz w:val="32"/>
          <w:szCs w:val="32"/>
        </w:rPr>
        <w:t>1</w:t>
      </w:r>
      <w:r>
        <w:rPr>
          <w:rFonts w:hint="eastAsia" w:ascii="仿宋_GB2312" w:eastAsia="仿宋_GB2312" w:cs="DengXian-Regular"/>
          <w:sz w:val="32"/>
          <w:szCs w:val="32"/>
        </w:rPr>
        <w:t>年预算文本—部门职责工作活动绩效目标，评价工作组认为区委老干部局部门职责符合“三定”方案中所赋予的职责，绩效目标设立依据充分，符合客观实际，与部门职责、工作规划和重点工作相关，工作活动和项目预算安排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根据区委老干部局2022年预算文本—部门职责工作活动绩效目标（详见附件4），绩效目标与部门履职、年度工作任务相符；工作活动有明确的绩效目标，绩效目标与部门职责目标、部门年度工作目标一致。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根据区委老干部局2022年预算文本—部门职责工作活动绩效目标,该指标实际得分2分。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根据区委老干部局2022年预算文本及相关会计资料，区委老干部局所有收入均已纳入部门预算，部门支出按基本支出、项目支出分别编制。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老干部局2022年预算文本—部门项目支出预算表，老干部局2022年预算项目共5个（详见附件2-2-2），涉及资金17.78万元，所有项目均细化到具体用款单位及项目资金额度。项目预算细化率=（11.24/17.78）*100%=63.21%</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该指标实际得分1分。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该指标主要考核截至2022年底区委老干部局在职人员控制情况，通过在职人员控制率衡量。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中共保定市徐水区委老干部局职能配置内设机构和人员编制规定》的通知，老干部局人员编制为8人，根据区委老干部局2022年决算文本-部门基本情况表，截至2022年底，在职人员8人，在职人员控制率=（8/8）*100%=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bookmarkEnd w:id="60"/>
    <w:bookmarkEnd w:id="61"/>
    <w:p>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pPr>
              <w:spacing w:line="420" w:lineRule="exact"/>
              <w:jc w:val="center"/>
              <w:rPr>
                <w:rFonts w:cs="宋体" w:asciiTheme="minorEastAsia" w:hAnsiTheme="minorEastAsia" w:eastAsiaTheme="minorEastAsia"/>
                <w:sz w:val="21"/>
                <w:szCs w:val="21"/>
              </w:rPr>
            </w:pP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r>
      <w:bookmarkEnd w:id="63"/>
    </w:tbl>
    <w:p>
      <w:pPr>
        <w:spacing w:after="0" w:line="360" w:lineRule="auto"/>
        <w:ind w:firstLine="640" w:firstLineChars="200"/>
        <w:jc w:val="both"/>
        <w:textAlignment w:val="baseline"/>
        <w:rPr>
          <w:rFonts w:ascii="仿宋_GB2312" w:eastAsia="仿宋_GB2312" w:cs="DengXian-Regular"/>
          <w:sz w:val="32"/>
          <w:szCs w:val="32"/>
        </w:rPr>
      </w:pPr>
      <w:bookmarkStart w:id="64" w:name="_Toc465149514"/>
      <w:bookmarkStart w:id="65" w:name="_Toc464638487"/>
      <w:r>
        <w:rPr>
          <w:rFonts w:hint="eastAsia" w:ascii="仿宋_GB2312" w:eastAsia="仿宋_GB2312" w:cs="DengXian-Regular"/>
          <w:sz w:val="32"/>
          <w:szCs w:val="32"/>
        </w:rPr>
        <w:t>1.预算执行（24分）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根据区委老干部局的预算指标文件，其中：年初预算数为305.54万元，预算收入调整率为0%，预算调整增加了0个百分点。</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根据区委老干部局2022年预算文本、决算文本，2022年收入预算数305.54万元，收入决算数292.67万元，收入完成率=（292.67/305.54）*100%=95.79%。</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根据区委老干部局提供的保定市财政局下发的预算指标文件，区委老干部局2022年度预算支出的追加数合计0万元，年初预算数为305.54万元，预算支出调整率为0%，预算调整增加0个百分点。</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区委老干部局提供的2022年决算文本，部门决算财政拨款支出数292.64万元，财政拨款收入数292.64万元，财政拨款支出率=（292.64/292.64）*100%=100%</w:t>
      </w:r>
      <w:r>
        <w:rPr>
          <w:rFonts w:ascii="Arial" w:hAnsi="Arial" w:eastAsia="仿宋_GB2312" w:cs="Arial"/>
          <w:sz w:val="32"/>
          <w:szCs w:val="32"/>
        </w:rPr>
        <w:t>≥</w:t>
      </w:r>
      <w:r>
        <w:rPr>
          <w:rFonts w:hint="eastAsia" w:ascii="仿宋_GB2312" w:eastAsia="仿宋_GB2312" w:cs="DengXian-Regular"/>
          <w:sz w:val="32"/>
          <w:szCs w:val="32"/>
        </w:rPr>
        <w:t>90%。区委老干部局2022年年初结转和结余2.07万元。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根据区委老干部局2022年预算文本及决算文本，“三公”经费年初预算数2.92万元，年末决算数1.24万元，“三公”经费控制率=（1.24/2.92）*100%=42.47%</w:t>
      </w:r>
      <w:r>
        <w:rPr>
          <w:rFonts w:ascii="Arial" w:hAnsi="Arial" w:eastAsia="仿宋_GB2312" w:cs="Arial"/>
          <w:sz w:val="32"/>
          <w:szCs w:val="32"/>
        </w:rPr>
        <w:t>≤</w:t>
      </w:r>
      <w:r>
        <w:rPr>
          <w:rFonts w:hint="eastAsia" w:ascii="仿宋_GB2312" w:eastAsia="仿宋_GB2312" w:cs="DengXian-Regular"/>
          <w:sz w:val="32"/>
          <w:szCs w:val="32"/>
        </w:rPr>
        <w:t>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根据区委老干部局2022年预算文本及决算文本，政府采购年初预算数0.45万元，年末决算数0.45万元，政府采购执行率为100%。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老干部局2022年明细账、会计凭证等相关资料，区委老干部局资金使用符合相关会计准则和财务制度，资金拨付有完备的审批程序和手续，资金使用符合部门预算批复的用途，未发现截留、挤占、挪用财政资金的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经核查区委老干部局2021年决算文本、明细账及总账，区委老干部局决算文本数据均与明细账、总账一致。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区委老干部局工作制度涵盖了财务制度、网络安全制度、公务用车制度等相关制度，经检查区委老干部局付款流程审批单、资产盘点表等资料，区委老干部局已按照相关管理制度的规定执行。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区委老干部局2022年按政府信息公开的有关要求在保定市徐水区人民政府网公开了2022年的预决算情况、部门责任清单、行政监督清单等相关信息。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根据区委老干部局提供的会计账簿、凭证及其他相关资料，区委老干部局会计信息资料真实完整，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区委老干部局建立了固定资产台账、无形资产台账，资产保存完整，2022年新增资产0.45万元，包含：电脑（0.45万元），资产购置手续完备，配置符合要求，资产管理整体较规范。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2022年度财政专项资金部门绩效自评价工作的通知》及徐水区委老干部局2022年一般项目部门绩效自评表，区委老干部局2022年开展绩效自评的项目数为5个，年初预算文本项目数5个，要求自评项目个数5个，自评覆盖率为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区委老干部局2022年参评数量3个，绩效评价结果达到优等的数量3个，绩效评价优等率为100%。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bookmarkEnd w:id="64"/>
      <w:bookmarkEnd w:id="65"/>
    </w:p>
    <w:p>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该一级指标包含责任履行一个二级指标，主要反映结转结余率，项目资金使用率，老干部满意率，被帮扶困难学生满意率，项目完成及时率。</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老干部满意率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被帮扶困难学生满意率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项目完成及时率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w:t>
            </w:r>
          </w:p>
        </w:tc>
      </w:tr>
    </w:tbl>
    <w:p>
      <w:pPr>
        <w:spacing w:after="0" w:line="360" w:lineRule="auto"/>
        <w:ind w:firstLine="640" w:firstLineChars="200"/>
        <w:jc w:val="both"/>
        <w:textAlignment w:val="baseline"/>
        <w:rPr>
          <w:rFonts w:ascii="仿宋_GB2312" w:eastAsia="仿宋_GB2312" w:cs="DengXian-Regular"/>
          <w:sz w:val="32"/>
          <w:szCs w:val="32"/>
        </w:rPr>
      </w:pPr>
      <w:bookmarkStart w:id="67" w:name="_Toc464638518"/>
      <w:bookmarkStart w:id="68" w:name="_Toc465149515"/>
      <w:r>
        <w:rPr>
          <w:rFonts w:hint="eastAsia" w:ascii="仿宋_GB2312" w:eastAsia="仿宋_GB2312" w:cs="DengXian-Regular"/>
          <w:sz w:val="32"/>
          <w:szCs w:val="32"/>
        </w:rPr>
        <w:t>1.结转结余率（5分）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根据区委老干部局2022年决算文本及相关资料，区委老干部局2022年结转结余资金2.07万元，决算收入294.73万元，结转结余率0.7%，小于5%。</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项目资金使用率=（11.24/17.78）*100%。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区委老干部局2022年实际支出项目资金总额11.24万元，年初预算共5个项目，预算数17.78万元，年中追加项目资金0万元，项目资金使用率为63.22%。</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14</w:t>
            </w:r>
          </w:p>
        </w:tc>
      </w:tr>
      <w:bookmarkEnd w:id="70"/>
    </w:tbl>
    <w:p>
      <w:pPr>
        <w:spacing w:after="0" w:line="360" w:lineRule="auto"/>
        <w:ind w:firstLine="640" w:firstLineChars="200"/>
        <w:jc w:val="both"/>
        <w:textAlignment w:val="baseline"/>
        <w:rPr>
          <w:rFonts w:ascii="仿宋_GB2312" w:eastAsia="仿宋_GB2312" w:cs="DengXian-Regular"/>
          <w:sz w:val="32"/>
          <w:szCs w:val="32"/>
        </w:rPr>
      </w:pPr>
      <w:bookmarkStart w:id="71" w:name="_Toc492652784"/>
      <w:bookmarkStart w:id="72" w:name="_Toc464638561"/>
      <w:bookmarkStart w:id="73" w:name="_Toc465149516"/>
      <w:r>
        <w:rPr>
          <w:rFonts w:hint="eastAsia" w:ascii="仿宋_GB2312" w:eastAsia="仿宋_GB2312" w:cs="DengXian-Regular"/>
          <w:sz w:val="32"/>
          <w:szCs w:val="32"/>
        </w:rPr>
        <w:t>1.部门整体效益（10分）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经查看区委老干部局提供的相关资料，区委老干部局履行职责对社会发展所带来的社会效益较显著，有效的提高了社会公众的服务意识。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该项指标实际得分10分。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针对该指标，我们随机选取了10个调查对象进行了问卷调查，具体调查情况如下：</w:t>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095"/>
        <w:gridCol w:w="1153"/>
        <w:gridCol w:w="1218"/>
        <w:gridCol w:w="767"/>
        <w:gridCol w:w="881"/>
      </w:tblGrid>
      <w:tr>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53"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离退休干部政策落实情况</w:t>
            </w:r>
          </w:p>
        </w:tc>
        <w:tc>
          <w:tcPr>
            <w:tcW w:w="1095"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w:t>
            </w:r>
          </w:p>
        </w:tc>
        <w:tc>
          <w:tcPr>
            <w:tcW w:w="1153"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2</w:t>
            </w:r>
          </w:p>
        </w:tc>
      </w:tr>
      <w:tr>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老年活动阵地建设</w:t>
            </w:r>
          </w:p>
        </w:tc>
        <w:tc>
          <w:tcPr>
            <w:tcW w:w="1095"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8</w:t>
            </w:r>
          </w:p>
        </w:tc>
        <w:tc>
          <w:tcPr>
            <w:tcW w:w="1153"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2</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w:t>
            </w:r>
          </w:p>
        </w:tc>
      </w:tr>
      <w:tr>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综合事务管理</w:t>
            </w:r>
          </w:p>
        </w:tc>
        <w:tc>
          <w:tcPr>
            <w:tcW w:w="1095"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9</w:t>
            </w:r>
          </w:p>
        </w:tc>
        <w:tc>
          <w:tcPr>
            <w:tcW w:w="1153"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w:t>
            </w:r>
          </w:p>
        </w:tc>
      </w:tr>
    </w:tbl>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经计算，总体得分为97分大于90分，评价等级为“优”。</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该指标实际得分4分。</w:t>
      </w:r>
    </w:p>
    <w:p>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区委老干部局</w:t>
      </w:r>
      <w:r>
        <w:rPr>
          <w:rFonts w:hint="eastAsia" w:ascii="仿宋_GB2312" w:eastAsia="仿宋_GB2312" w:cs="Times New Roman" w:hAnsiTheme="minorEastAsia"/>
          <w:sz w:val="32"/>
          <w:szCs w:val="32"/>
          <w:u w:color="000000"/>
        </w:rPr>
        <w:t>202</w:t>
      </w:r>
      <w:r>
        <w:rPr>
          <w:rFonts w:hint="eastAsia" w:ascii="仿宋_GB2312" w:eastAsia="仿宋_GB2312" w:cs="DengXian-Regular"/>
          <w:sz w:val="32"/>
          <w:szCs w:val="32"/>
        </w:rPr>
        <w:t>2</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bookmarkStart w:id="76" w:name="_Toc20723"/>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1.部分绩效指标方面。</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3.项目资金使用率方面</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p>
    <w:p>
      <w:pPr>
        <w:spacing w:after="0" w:line="360" w:lineRule="auto"/>
        <w:jc w:val="both"/>
        <w:textAlignment w:val="baseline"/>
        <w:rPr>
          <w:rFonts w:ascii="仿宋_GB2312" w:eastAsia="仿宋_GB2312" w:cs="Times New Roman" w:hAnsiTheme="minorEastAsia"/>
          <w:sz w:val="32"/>
          <w:szCs w:val="32"/>
          <w:u w:color="000000"/>
        </w:rPr>
      </w:pPr>
    </w:p>
    <w:bookmarkEnd w:id="75"/>
    <w:bookmarkEnd w:id="76"/>
    <w:p>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附件：1.中共保定市徐水区委老干部局部门基本情况及主要职责</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2022</w:t>
      </w:r>
      <w:r>
        <w:rPr>
          <w:rFonts w:hint="eastAsia" w:ascii="仿宋_GB2312" w:eastAsia="仿宋_GB2312" w:cs="Times New Roman" w:hAnsiTheme="minorEastAsia"/>
          <w:sz w:val="32"/>
          <w:szCs w:val="32"/>
          <w:u w:color="000000"/>
        </w:rPr>
        <w:t>年度保定市徐水区</w:t>
      </w:r>
      <w:r>
        <w:rPr>
          <w:rFonts w:hint="eastAsia" w:ascii="仿宋_GB2312" w:eastAsia="仿宋_GB2312" w:cs="DengXian-Regular"/>
          <w:sz w:val="32"/>
          <w:szCs w:val="32"/>
        </w:rPr>
        <w:t>委老干部局</w:t>
      </w:r>
      <w:r>
        <w:rPr>
          <w:rFonts w:hint="eastAsia" w:ascii="仿宋_GB2312" w:eastAsia="仿宋_GB2312" w:cs="Times New Roman" w:hAnsiTheme="minorEastAsia"/>
          <w:sz w:val="32"/>
          <w:szCs w:val="32"/>
          <w:u w:color="000000"/>
        </w:rPr>
        <w:t>收支预算及决算明细表</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7" w:name="_Toc465149534"/>
      <w:r>
        <w:rPr>
          <w:rFonts w:hint="eastAsia" w:ascii="仿宋_GB2312" w:eastAsia="仿宋_GB2312" w:cs="Times New Roman" w:hAnsiTheme="minorEastAsia"/>
          <w:sz w:val="32"/>
          <w:szCs w:val="32"/>
          <w:u w:color="000000"/>
        </w:rPr>
        <w:t>3.</w:t>
      </w:r>
      <w:bookmarkEnd w:id="77"/>
      <w:r>
        <w:rPr>
          <w:rFonts w:hint="eastAsia" w:ascii="仿宋_GB2312" w:eastAsia="仿宋_GB2312" w:cs="Times New Roman" w:hAnsiTheme="minorEastAsia"/>
          <w:sz w:val="32"/>
          <w:szCs w:val="32"/>
          <w:u w:color="000000"/>
        </w:rPr>
        <w:t>部门整体支出绩效评价指标体系</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44"/>
      <w:r>
        <w:rPr>
          <w:rFonts w:hint="eastAsia" w:ascii="仿宋_GB2312" w:eastAsia="仿宋_GB2312" w:cs="Times New Roman" w:hAnsiTheme="minorEastAsia"/>
          <w:sz w:val="32"/>
          <w:szCs w:val="32"/>
          <w:u w:color="000000"/>
        </w:rPr>
        <w:t>4.</w:t>
      </w:r>
      <w:bookmarkEnd w:id="78"/>
      <w:r>
        <w:rPr>
          <w:rFonts w:ascii="仿宋_GB2312" w:eastAsia="仿宋_GB2312" w:cs="Times New Roman" w:hAnsiTheme="minorEastAsia"/>
          <w:sz w:val="32"/>
          <w:szCs w:val="32"/>
          <w:u w:color="000000"/>
        </w:rPr>
        <w:t>2022</w:t>
      </w:r>
      <w:r>
        <w:rPr>
          <w:rFonts w:hint="eastAsia" w:ascii="仿宋_GB2312" w:eastAsia="仿宋_GB2312" w:cs="Times New Roman" w:hAnsiTheme="minorEastAsia"/>
          <w:sz w:val="32"/>
          <w:szCs w:val="32"/>
          <w:u w:color="000000"/>
        </w:rPr>
        <w:t>年徐水</w:t>
      </w:r>
      <w:bookmarkStart w:id="79" w:name="_GoBack"/>
      <w:bookmarkEnd w:id="79"/>
      <w:r>
        <w:rPr>
          <w:rFonts w:hint="eastAsia" w:ascii="仿宋_GB2312" w:eastAsia="仿宋_GB2312" w:cs="DengXian-Regular"/>
          <w:sz w:val="32"/>
          <w:szCs w:val="32"/>
        </w:rPr>
        <w:t>区委老干部局</w:t>
      </w:r>
      <w:r>
        <w:rPr>
          <w:rFonts w:hint="eastAsia" w:ascii="仿宋_GB2312" w:eastAsia="仿宋_GB2312" w:cs="Times New Roman" w:hAnsiTheme="minorEastAsia"/>
          <w:sz w:val="32"/>
          <w:szCs w:val="32"/>
          <w:u w:color="000000"/>
        </w:rPr>
        <w:t>工作活动绩效目标、绩效指标一览表</w:t>
      </w:r>
    </w:p>
    <w:p>
      <w:pPr>
        <w:spacing w:line="540" w:lineRule="exact"/>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31</w:t>
    </w:r>
    <w:r>
      <w:rPr>
        <w:lang w:val="zh-CN"/>
      </w:rPr>
      <w:fldChar w:fldCharType="end"/>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8ADE56"/>
    <w:multiLevelType w:val="singleLevel"/>
    <w:tmpl w:val="FC8ADE56"/>
    <w:lvl w:ilvl="0" w:tentative="0">
      <w:start w:val="1"/>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4179"/>
    <w:rsid w:val="0000439F"/>
    <w:rsid w:val="00007CA0"/>
    <w:rsid w:val="00015C39"/>
    <w:rsid w:val="000174D3"/>
    <w:rsid w:val="00021502"/>
    <w:rsid w:val="0002415F"/>
    <w:rsid w:val="00025620"/>
    <w:rsid w:val="00026F83"/>
    <w:rsid w:val="0002705B"/>
    <w:rsid w:val="00030179"/>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41E8"/>
    <w:rsid w:val="000752C6"/>
    <w:rsid w:val="00075B78"/>
    <w:rsid w:val="00077648"/>
    <w:rsid w:val="00080E48"/>
    <w:rsid w:val="00087B27"/>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C6FED"/>
    <w:rsid w:val="000C745C"/>
    <w:rsid w:val="000D09B2"/>
    <w:rsid w:val="000D7C38"/>
    <w:rsid w:val="000E0902"/>
    <w:rsid w:val="000E3830"/>
    <w:rsid w:val="000F070B"/>
    <w:rsid w:val="000F2A9F"/>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4E3F"/>
    <w:rsid w:val="001952EC"/>
    <w:rsid w:val="001A0F7A"/>
    <w:rsid w:val="001A1677"/>
    <w:rsid w:val="001A5FD3"/>
    <w:rsid w:val="001B0380"/>
    <w:rsid w:val="001B04A4"/>
    <w:rsid w:val="001B30D5"/>
    <w:rsid w:val="001B382A"/>
    <w:rsid w:val="001B5C88"/>
    <w:rsid w:val="001B6CE6"/>
    <w:rsid w:val="001C046D"/>
    <w:rsid w:val="001C1412"/>
    <w:rsid w:val="001C22E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51327"/>
    <w:rsid w:val="00260245"/>
    <w:rsid w:val="0026252A"/>
    <w:rsid w:val="00262BB1"/>
    <w:rsid w:val="00263D3A"/>
    <w:rsid w:val="002643BE"/>
    <w:rsid w:val="00265325"/>
    <w:rsid w:val="00266E84"/>
    <w:rsid w:val="002715FC"/>
    <w:rsid w:val="00271D9D"/>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62D2"/>
    <w:rsid w:val="002D7AB3"/>
    <w:rsid w:val="002E1D3C"/>
    <w:rsid w:val="002E1F73"/>
    <w:rsid w:val="002E269D"/>
    <w:rsid w:val="002E3460"/>
    <w:rsid w:val="002E70AE"/>
    <w:rsid w:val="002F0C41"/>
    <w:rsid w:val="002F20DC"/>
    <w:rsid w:val="002F5B6A"/>
    <w:rsid w:val="002F5BF5"/>
    <w:rsid w:val="002F5ECA"/>
    <w:rsid w:val="00306572"/>
    <w:rsid w:val="003079C7"/>
    <w:rsid w:val="00307A60"/>
    <w:rsid w:val="00312985"/>
    <w:rsid w:val="003169F3"/>
    <w:rsid w:val="0032078D"/>
    <w:rsid w:val="00321CE0"/>
    <w:rsid w:val="0032231F"/>
    <w:rsid w:val="00323B43"/>
    <w:rsid w:val="00325BCC"/>
    <w:rsid w:val="003309A3"/>
    <w:rsid w:val="003345BC"/>
    <w:rsid w:val="00343662"/>
    <w:rsid w:val="0034540E"/>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05E"/>
    <w:rsid w:val="00512D1D"/>
    <w:rsid w:val="005131A5"/>
    <w:rsid w:val="00515160"/>
    <w:rsid w:val="00516D5A"/>
    <w:rsid w:val="005170FB"/>
    <w:rsid w:val="0052300D"/>
    <w:rsid w:val="00523B77"/>
    <w:rsid w:val="0052474C"/>
    <w:rsid w:val="00525074"/>
    <w:rsid w:val="005252CA"/>
    <w:rsid w:val="00525520"/>
    <w:rsid w:val="005319EE"/>
    <w:rsid w:val="00531BE2"/>
    <w:rsid w:val="005421AC"/>
    <w:rsid w:val="00544C1A"/>
    <w:rsid w:val="00546D1B"/>
    <w:rsid w:val="0055027D"/>
    <w:rsid w:val="00554FA1"/>
    <w:rsid w:val="00556934"/>
    <w:rsid w:val="005601FB"/>
    <w:rsid w:val="005607DF"/>
    <w:rsid w:val="00564377"/>
    <w:rsid w:val="00564538"/>
    <w:rsid w:val="00566A89"/>
    <w:rsid w:val="00567E07"/>
    <w:rsid w:val="0057440A"/>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04EC3"/>
    <w:rsid w:val="0061252A"/>
    <w:rsid w:val="006135B3"/>
    <w:rsid w:val="006138D4"/>
    <w:rsid w:val="00616C03"/>
    <w:rsid w:val="00616F30"/>
    <w:rsid w:val="006215A2"/>
    <w:rsid w:val="00621F7D"/>
    <w:rsid w:val="00622AD1"/>
    <w:rsid w:val="00623267"/>
    <w:rsid w:val="00625428"/>
    <w:rsid w:val="0062670B"/>
    <w:rsid w:val="00630B86"/>
    <w:rsid w:val="00630F5B"/>
    <w:rsid w:val="0063180E"/>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E0E"/>
    <w:rsid w:val="00690FA3"/>
    <w:rsid w:val="0069331D"/>
    <w:rsid w:val="00696DF8"/>
    <w:rsid w:val="0069783E"/>
    <w:rsid w:val="00697E26"/>
    <w:rsid w:val="006A0330"/>
    <w:rsid w:val="006A22E2"/>
    <w:rsid w:val="006A3AE1"/>
    <w:rsid w:val="006A3B57"/>
    <w:rsid w:val="006A6AB2"/>
    <w:rsid w:val="006B117D"/>
    <w:rsid w:val="006B19B7"/>
    <w:rsid w:val="006B392C"/>
    <w:rsid w:val="006B4CC0"/>
    <w:rsid w:val="006B65B0"/>
    <w:rsid w:val="006B71B5"/>
    <w:rsid w:val="006C5198"/>
    <w:rsid w:val="006C6A07"/>
    <w:rsid w:val="006D13E8"/>
    <w:rsid w:val="006E0A3D"/>
    <w:rsid w:val="006E27F1"/>
    <w:rsid w:val="006E5BC8"/>
    <w:rsid w:val="006E7CBA"/>
    <w:rsid w:val="006F222F"/>
    <w:rsid w:val="006F6206"/>
    <w:rsid w:val="006F7B69"/>
    <w:rsid w:val="0070241F"/>
    <w:rsid w:val="007024A9"/>
    <w:rsid w:val="00703C96"/>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23"/>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6CEB"/>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C772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42D8"/>
    <w:rsid w:val="00906447"/>
    <w:rsid w:val="00911559"/>
    <w:rsid w:val="0091349D"/>
    <w:rsid w:val="009141C7"/>
    <w:rsid w:val="00916030"/>
    <w:rsid w:val="009160EA"/>
    <w:rsid w:val="00920597"/>
    <w:rsid w:val="00921E42"/>
    <w:rsid w:val="00922376"/>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A5556"/>
    <w:rsid w:val="009B1979"/>
    <w:rsid w:val="009B1E1B"/>
    <w:rsid w:val="009B2CC0"/>
    <w:rsid w:val="009B4C38"/>
    <w:rsid w:val="009C0DAB"/>
    <w:rsid w:val="009C1E20"/>
    <w:rsid w:val="009D0378"/>
    <w:rsid w:val="009D0F18"/>
    <w:rsid w:val="009D1EFB"/>
    <w:rsid w:val="009D3592"/>
    <w:rsid w:val="009D5964"/>
    <w:rsid w:val="009D6A0C"/>
    <w:rsid w:val="009E0725"/>
    <w:rsid w:val="009E1492"/>
    <w:rsid w:val="009E4B3F"/>
    <w:rsid w:val="009E4E8D"/>
    <w:rsid w:val="009E5877"/>
    <w:rsid w:val="009F69B0"/>
    <w:rsid w:val="00A0310D"/>
    <w:rsid w:val="00A073F4"/>
    <w:rsid w:val="00A07BBE"/>
    <w:rsid w:val="00A16439"/>
    <w:rsid w:val="00A21057"/>
    <w:rsid w:val="00A217CE"/>
    <w:rsid w:val="00A21E86"/>
    <w:rsid w:val="00A22DFB"/>
    <w:rsid w:val="00A22E5E"/>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8BE"/>
    <w:rsid w:val="00AD1D29"/>
    <w:rsid w:val="00AD328E"/>
    <w:rsid w:val="00AD5147"/>
    <w:rsid w:val="00AE0837"/>
    <w:rsid w:val="00AE11C8"/>
    <w:rsid w:val="00AE2EE3"/>
    <w:rsid w:val="00AE355C"/>
    <w:rsid w:val="00AE4EFC"/>
    <w:rsid w:val="00AE5731"/>
    <w:rsid w:val="00AE7127"/>
    <w:rsid w:val="00AF6BA2"/>
    <w:rsid w:val="00AF7801"/>
    <w:rsid w:val="00B019E2"/>
    <w:rsid w:val="00B020ED"/>
    <w:rsid w:val="00B036CB"/>
    <w:rsid w:val="00B07105"/>
    <w:rsid w:val="00B130D5"/>
    <w:rsid w:val="00B13566"/>
    <w:rsid w:val="00B13A54"/>
    <w:rsid w:val="00B14220"/>
    <w:rsid w:val="00B16868"/>
    <w:rsid w:val="00B17251"/>
    <w:rsid w:val="00B20D09"/>
    <w:rsid w:val="00B2159A"/>
    <w:rsid w:val="00B21D32"/>
    <w:rsid w:val="00B313B2"/>
    <w:rsid w:val="00B337AE"/>
    <w:rsid w:val="00B34A43"/>
    <w:rsid w:val="00B36912"/>
    <w:rsid w:val="00B404A0"/>
    <w:rsid w:val="00B4256A"/>
    <w:rsid w:val="00B432AB"/>
    <w:rsid w:val="00B53173"/>
    <w:rsid w:val="00B54D75"/>
    <w:rsid w:val="00B60C2A"/>
    <w:rsid w:val="00B65FC0"/>
    <w:rsid w:val="00B707DD"/>
    <w:rsid w:val="00B709BF"/>
    <w:rsid w:val="00B719F4"/>
    <w:rsid w:val="00B73995"/>
    <w:rsid w:val="00B74DBC"/>
    <w:rsid w:val="00B75E08"/>
    <w:rsid w:val="00B761B3"/>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5558"/>
    <w:rsid w:val="00C26560"/>
    <w:rsid w:val="00C3062F"/>
    <w:rsid w:val="00C32E7A"/>
    <w:rsid w:val="00C408D9"/>
    <w:rsid w:val="00C42DB9"/>
    <w:rsid w:val="00C447FD"/>
    <w:rsid w:val="00C44B90"/>
    <w:rsid w:val="00C44FE2"/>
    <w:rsid w:val="00C4757A"/>
    <w:rsid w:val="00C51434"/>
    <w:rsid w:val="00C51743"/>
    <w:rsid w:val="00C51A61"/>
    <w:rsid w:val="00C57393"/>
    <w:rsid w:val="00C609F1"/>
    <w:rsid w:val="00C64C71"/>
    <w:rsid w:val="00C6528B"/>
    <w:rsid w:val="00C661B3"/>
    <w:rsid w:val="00C70300"/>
    <w:rsid w:val="00C7037D"/>
    <w:rsid w:val="00C70637"/>
    <w:rsid w:val="00C70CF1"/>
    <w:rsid w:val="00C71DC8"/>
    <w:rsid w:val="00C73E69"/>
    <w:rsid w:val="00C74592"/>
    <w:rsid w:val="00C767BA"/>
    <w:rsid w:val="00C8048C"/>
    <w:rsid w:val="00C80C68"/>
    <w:rsid w:val="00C86E9A"/>
    <w:rsid w:val="00C90CE5"/>
    <w:rsid w:val="00C93A3D"/>
    <w:rsid w:val="00C94F0A"/>
    <w:rsid w:val="00C962F5"/>
    <w:rsid w:val="00CA17C2"/>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1B4E"/>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24BC"/>
    <w:rsid w:val="00D24AEB"/>
    <w:rsid w:val="00D24AFD"/>
    <w:rsid w:val="00D27902"/>
    <w:rsid w:val="00D27984"/>
    <w:rsid w:val="00D31D50"/>
    <w:rsid w:val="00D323E9"/>
    <w:rsid w:val="00D34F5B"/>
    <w:rsid w:val="00D35023"/>
    <w:rsid w:val="00D403B8"/>
    <w:rsid w:val="00D45C1B"/>
    <w:rsid w:val="00D45E14"/>
    <w:rsid w:val="00D51C9A"/>
    <w:rsid w:val="00D52AC0"/>
    <w:rsid w:val="00D5318C"/>
    <w:rsid w:val="00D53371"/>
    <w:rsid w:val="00D53BD5"/>
    <w:rsid w:val="00D55621"/>
    <w:rsid w:val="00D6000E"/>
    <w:rsid w:val="00D713D6"/>
    <w:rsid w:val="00D72DAF"/>
    <w:rsid w:val="00D75BB9"/>
    <w:rsid w:val="00D76276"/>
    <w:rsid w:val="00D77919"/>
    <w:rsid w:val="00D8083C"/>
    <w:rsid w:val="00D833DA"/>
    <w:rsid w:val="00D85F8D"/>
    <w:rsid w:val="00D87F81"/>
    <w:rsid w:val="00D90E39"/>
    <w:rsid w:val="00D97E89"/>
    <w:rsid w:val="00DA45EE"/>
    <w:rsid w:val="00DA58A3"/>
    <w:rsid w:val="00DA7ED7"/>
    <w:rsid w:val="00DB2F5B"/>
    <w:rsid w:val="00DB46CB"/>
    <w:rsid w:val="00DB5653"/>
    <w:rsid w:val="00DB695F"/>
    <w:rsid w:val="00DC03E7"/>
    <w:rsid w:val="00DC36FF"/>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662"/>
    <w:rsid w:val="00E14E2F"/>
    <w:rsid w:val="00E1552D"/>
    <w:rsid w:val="00E1640B"/>
    <w:rsid w:val="00E213D5"/>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364C"/>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0B08"/>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008C"/>
    <w:rsid w:val="00FD2208"/>
    <w:rsid w:val="00FD2EC4"/>
    <w:rsid w:val="00FD63D3"/>
    <w:rsid w:val="00FD717D"/>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E768CC"/>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5B2E30"/>
    <w:rsid w:val="12E866AF"/>
    <w:rsid w:val="130C55D8"/>
    <w:rsid w:val="13244A23"/>
    <w:rsid w:val="13EE6B6B"/>
    <w:rsid w:val="1472386E"/>
    <w:rsid w:val="148F0FC6"/>
    <w:rsid w:val="151600A7"/>
    <w:rsid w:val="159F345A"/>
    <w:rsid w:val="15E43EF8"/>
    <w:rsid w:val="16A81136"/>
    <w:rsid w:val="16AC4207"/>
    <w:rsid w:val="178A56FB"/>
    <w:rsid w:val="17A8647B"/>
    <w:rsid w:val="17A975C2"/>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8864D74"/>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3FF5470"/>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3FFB5643"/>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7F1418"/>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BF2070"/>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2F4A4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6D225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65CB4"/>
    <w:rsid w:val="6D870368"/>
    <w:rsid w:val="6DEF74D5"/>
    <w:rsid w:val="6E9856D0"/>
    <w:rsid w:val="6EB840FC"/>
    <w:rsid w:val="6EE920DC"/>
    <w:rsid w:val="6EF66C39"/>
    <w:rsid w:val="6F377C99"/>
    <w:rsid w:val="6F7E7DE2"/>
    <w:rsid w:val="6FAA433E"/>
    <w:rsid w:val="704F1D50"/>
    <w:rsid w:val="7062369D"/>
    <w:rsid w:val="70D8666D"/>
    <w:rsid w:val="70F82977"/>
    <w:rsid w:val="711203ED"/>
    <w:rsid w:val="712A76BE"/>
    <w:rsid w:val="716D6D00"/>
    <w:rsid w:val="719901C6"/>
    <w:rsid w:val="71B131C3"/>
    <w:rsid w:val="71CC5821"/>
    <w:rsid w:val="71F26BCA"/>
    <w:rsid w:val="71F331D2"/>
    <w:rsid w:val="7204009B"/>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BEF5630"/>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Char"/>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Char"/>
    <w:basedOn w:val="24"/>
    <w:link w:val="3"/>
    <w:qFormat/>
    <w:uiPriority w:val="99"/>
    <w:rPr>
      <w:rFonts w:ascii="Arial" w:hAnsi="Arial" w:eastAsia="黑体" w:cs="Times New Roman"/>
      <w:b/>
      <w:bCs/>
      <w:kern w:val="2"/>
      <w:sz w:val="32"/>
      <w:szCs w:val="32"/>
    </w:rPr>
  </w:style>
  <w:style w:type="character" w:customStyle="1" w:styleId="33">
    <w:name w:val="标题 3 Char"/>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Char"/>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Char"/>
    <w:basedOn w:val="24"/>
    <w:link w:val="6"/>
    <w:qFormat/>
    <w:uiPriority w:val="0"/>
    <w:rPr>
      <w:rFonts w:ascii="Times New Roman" w:hAnsi="Times New Roman" w:eastAsia="宋体" w:cs="Times New Roman"/>
      <w:b/>
      <w:bCs/>
      <w:kern w:val="2"/>
      <w:sz w:val="28"/>
      <w:szCs w:val="28"/>
    </w:rPr>
  </w:style>
  <w:style w:type="character" w:customStyle="1" w:styleId="36">
    <w:name w:val="标题 6 Char"/>
    <w:basedOn w:val="24"/>
    <w:link w:val="7"/>
    <w:qFormat/>
    <w:uiPriority w:val="0"/>
    <w:rPr>
      <w:rFonts w:asciiTheme="majorHAnsi" w:hAnsiTheme="majorHAnsi" w:eastAsiaTheme="majorEastAsia" w:cstheme="majorBidi"/>
      <w:b/>
      <w:bCs/>
      <w:kern w:val="2"/>
      <w:sz w:val="24"/>
      <w:szCs w:val="24"/>
    </w:rPr>
  </w:style>
  <w:style w:type="character" w:customStyle="1" w:styleId="37">
    <w:name w:val="页眉 Char"/>
    <w:basedOn w:val="24"/>
    <w:link w:val="15"/>
    <w:qFormat/>
    <w:uiPriority w:val="99"/>
    <w:rPr>
      <w:rFonts w:ascii="Tahoma" w:hAnsi="Tahoma"/>
      <w:sz w:val="18"/>
      <w:szCs w:val="18"/>
    </w:rPr>
  </w:style>
  <w:style w:type="character" w:customStyle="1" w:styleId="38">
    <w:name w:val="页脚 Char"/>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Char"/>
    <w:basedOn w:val="24"/>
    <w:link w:val="9"/>
    <w:qFormat/>
    <w:uiPriority w:val="99"/>
    <w:rPr>
      <w:rFonts w:ascii="Tahoma" w:hAnsi="Tahoma"/>
    </w:rPr>
  </w:style>
  <w:style w:type="character" w:customStyle="1" w:styleId="42">
    <w:name w:val="批注主题 Char"/>
    <w:basedOn w:val="41"/>
    <w:link w:val="22"/>
    <w:qFormat/>
    <w:uiPriority w:val="99"/>
    <w:rPr>
      <w:rFonts w:ascii="Times New Roman" w:hAnsi="Times New Roman" w:eastAsia="宋体" w:cs="Times New Roman"/>
      <w:b/>
      <w:bCs/>
      <w:kern w:val="2"/>
      <w:sz w:val="21"/>
      <w:szCs w:val="24"/>
    </w:rPr>
  </w:style>
  <w:style w:type="character" w:customStyle="1" w:styleId="43">
    <w:name w:val="文档结构图 Char"/>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Char"/>
    <w:basedOn w:val="24"/>
    <w:link w:val="10"/>
    <w:qFormat/>
    <w:uiPriority w:val="99"/>
    <w:rPr>
      <w:rFonts w:ascii="Times New Roman" w:hAnsi="Times New Roman" w:eastAsia="宋体" w:cs="Times New Roman"/>
      <w:kern w:val="2"/>
      <w:sz w:val="21"/>
      <w:szCs w:val="24"/>
    </w:rPr>
  </w:style>
  <w:style w:type="character" w:customStyle="1" w:styleId="45">
    <w:name w:val="纯文本 Char"/>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Char"/>
    <w:basedOn w:val="24"/>
    <w:link w:val="13"/>
    <w:qFormat/>
    <w:uiPriority w:val="99"/>
    <w:rPr>
      <w:rFonts w:ascii="Times New Roman" w:hAnsi="Times New Roman" w:eastAsia="宋体" w:cs="Times New Roman"/>
      <w:kern w:val="2"/>
      <w:sz w:val="18"/>
      <w:szCs w:val="18"/>
    </w:rPr>
  </w:style>
  <w:style w:type="character" w:customStyle="1" w:styleId="47">
    <w:name w:val="脚注文本 Char"/>
    <w:basedOn w:val="24"/>
    <w:link w:val="17"/>
    <w:qFormat/>
    <w:uiPriority w:val="99"/>
    <w:rPr>
      <w:rFonts w:ascii="Times New Roman" w:hAnsi="Times New Roman" w:eastAsia="宋体" w:cs="Times New Roman"/>
      <w:kern w:val="2"/>
      <w:sz w:val="18"/>
      <w:szCs w:val="18"/>
    </w:rPr>
  </w:style>
  <w:style w:type="character" w:customStyle="1" w:styleId="48">
    <w:name w:val="HTML 预设格式 Char"/>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Char"/>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E\2022&#24180;&#32769;&#24178;&#37096;&#23616;&#36130;&#25919;&#32929;&#23460;&#36164;&#26009;\&#32489;&#25928;&#20013;&#24515;\111111(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E\2022&#24180;&#32769;&#24178;&#37096;&#23616;&#36130;&#25919;&#32929;&#23460;&#36164;&#26009;\&#32489;&#25928;&#20013;&#24515;\111111(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E\2022&#24180;&#32769;&#24178;&#37096;&#23616;&#36130;&#25919;&#32929;&#23460;&#36164;&#26009;\&#32489;&#25928;&#20013;&#24515;\111111(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E\2022&#24180;&#32769;&#24178;&#37096;&#23616;&#36130;&#25919;&#32929;&#23460;&#36164;&#26009;\&#32489;&#25928;&#20013;&#24515;\11111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mn-lt"/>
                <a:ea typeface="+mn-ea"/>
                <a:cs typeface="+mn-cs"/>
              </a:defRPr>
            </a:pPr>
            <a:r>
              <a:rPr lang="en-US" altLang="zh-CN" b="1">
                <a:latin typeface="仿宋_GB2312" pitchFamily="3" charset="-122"/>
                <a:ea typeface="仿宋_GB2312" pitchFamily="3" charset="-122"/>
                <a:cs typeface="仿宋_GB2312" pitchFamily="3" charset="-122"/>
              </a:rPr>
              <a:t>2022</a:t>
            </a:r>
            <a:r>
              <a:rPr lang="zh-CN" altLang="en-US" b="1">
                <a:latin typeface="仿宋_GB2312" pitchFamily="3" charset="-122"/>
                <a:ea typeface="仿宋_GB2312" pitchFamily="3" charset="-122"/>
                <a:cs typeface="仿宋_GB2312" pitchFamily="3" charset="-122"/>
              </a:rPr>
              <a:t>年决算收入结构图</a:t>
            </a:r>
            <a:r>
              <a:rPr lang="zh-CN" altLang="en-US"/>
              <a:t>                   </a:t>
            </a:r>
            <a:r>
              <a:rPr lang="zh-CN" altLang="en-US" sz="800"/>
              <a:t>单位：万元</a:t>
            </a:r>
            <a:endParaRPr lang="zh-CN" altLang="en-US" sz="800"/>
          </a:p>
        </c:rich>
      </c:tx>
      <c:layout/>
      <c:overlay val="0"/>
      <c:spPr>
        <a:noFill/>
        <a:ln>
          <a:noFill/>
        </a:ln>
        <a:effectLst/>
      </c:spPr>
    </c:title>
    <c:autoTitleDeleted val="0"/>
    <c:plotArea>
      <c:layout/>
      <c:pieChart>
        <c:varyColors val="1"/>
        <c:ser>
          <c:idx val="0"/>
          <c:order val="0"/>
          <c:tx>
            <c:strRef>
              <c:f>Sheet1!$B$1</c:f>
              <c:strCache>
                <c:ptCount val="1"/>
                <c:pt idx="0">
                  <c:v>2022年决算收入结构图</c:v>
                </c:pt>
              </c:strCache>
            </c:strRef>
          </c:tx>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dPt>
          <c:dLbls>
            <c:dLbl>
              <c:idx val="0"/>
              <c:layout>
                <c:manualLayout>
                  <c:x val="0.145955281407977"/>
                  <c:y val="0.0352040601055609"/>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179167299926334"/>
                  <c:y val="-0.019913670241127"/>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26583424155823"/>
                  <c:y val="-0.0357329622777355"/>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社会保障和就业支出</c:v>
                </c:pt>
                <c:pt idx="1">
                  <c:v>卫生健康支出</c:v>
                </c:pt>
                <c:pt idx="2">
                  <c:v>住房保障支出</c:v>
                </c:pt>
              </c:strCache>
            </c:strRef>
          </c:cat>
          <c:val>
            <c:numRef>
              <c:f>Sheet1!$B$2:$B$4</c:f>
              <c:numCache>
                <c:formatCode>#,##0.00</c:formatCode>
                <c:ptCount val="3"/>
                <c:pt idx="0">
                  <c:v>280.92</c:v>
                </c:pt>
                <c:pt idx="1">
                  <c:v>4.18</c:v>
                </c:pt>
                <c:pt idx="2">
                  <c:v>7.55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200"/>
              <a:t>2022</a:t>
            </a:r>
            <a:r>
              <a:rPr lang="zh-CN" altLang="en-US" sz="1200"/>
              <a:t>年度老干部局单位预算收入与决算收入对比图</a:t>
            </a:r>
            <a:endParaRPr lang="zh-CN" altLang="en-US" sz="1200"/>
          </a:p>
        </c:rich>
      </c:tx>
      <c:layout>
        <c:manualLayout>
          <c:xMode val="edge"/>
          <c:yMode val="edge"/>
          <c:x val="0.143611111111111"/>
          <c:y val="0.0243055555555556"/>
        </c:manualLayout>
      </c:layout>
      <c:overlay val="0"/>
      <c:spPr>
        <a:noFill/>
        <a:ln>
          <a:noFill/>
        </a:ln>
        <a:effectLst/>
      </c:spPr>
    </c:title>
    <c:autoTitleDeleted val="0"/>
    <c:plotArea>
      <c:layout/>
      <c:barChart>
        <c:barDir val="col"/>
        <c:grouping val="clustered"/>
        <c:varyColors val="0"/>
        <c:ser>
          <c:idx val="0"/>
          <c:order val="0"/>
          <c:tx>
            <c:strRef>
              <c:f>Sheet2!$B$1</c:f>
              <c:strCache>
                <c:ptCount val="1"/>
                <c:pt idx="0">
                  <c:v>预算</c:v>
                </c:pt>
              </c:strCache>
            </c:strRef>
          </c:tx>
          <c:spPr>
            <a:solidFill>
              <a:schemeClr val="accent1"/>
            </a:solidFill>
            <a:ln>
              <a:noFill/>
            </a:ln>
            <a:effectLst/>
          </c:spPr>
          <c:invertIfNegative val="0"/>
          <c:dLbls>
            <c:delete val="1"/>
          </c:dLbls>
          <c:cat>
            <c:strRef>
              <c:f>Sheet2!$A$2:$A$4</c:f>
              <c:strCache>
                <c:ptCount val="3"/>
                <c:pt idx="0">
                  <c:v>社会保障和就业支出</c:v>
                </c:pt>
                <c:pt idx="1">
                  <c:v>卫生健康支出</c:v>
                </c:pt>
                <c:pt idx="2">
                  <c:v>住房保障支出</c:v>
                </c:pt>
              </c:strCache>
            </c:strRef>
          </c:cat>
          <c:val>
            <c:numRef>
              <c:f>Sheet2!$B$2:$B$4</c:f>
              <c:numCache>
                <c:formatCode>General</c:formatCode>
                <c:ptCount val="3"/>
                <c:pt idx="0">
                  <c:v>285.87</c:v>
                </c:pt>
                <c:pt idx="1">
                  <c:v>10.84</c:v>
                </c:pt>
                <c:pt idx="2">
                  <c:v>8.83</c:v>
                </c:pt>
              </c:numCache>
            </c:numRef>
          </c:val>
        </c:ser>
        <c:ser>
          <c:idx val="1"/>
          <c:order val="1"/>
          <c:tx>
            <c:strRef>
              <c:f>Sheet2!$C$1</c:f>
              <c:strCache>
                <c:ptCount val="1"/>
                <c:pt idx="0">
                  <c:v>决算</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Sheet2!$A$2:$A$4</c:f>
              <c:strCache>
                <c:ptCount val="3"/>
                <c:pt idx="0">
                  <c:v>社会保障和就业支出</c:v>
                </c:pt>
                <c:pt idx="1">
                  <c:v>卫生健康支出</c:v>
                </c:pt>
                <c:pt idx="2">
                  <c:v>住房保障支出</c:v>
                </c:pt>
              </c:strCache>
            </c:strRef>
          </c:cat>
          <c:val>
            <c:numRef>
              <c:f>Sheet2!$C$2:$C$4</c:f>
              <c:numCache>
                <c:formatCode>General</c:formatCode>
                <c:ptCount val="3"/>
                <c:pt idx="0">
                  <c:v>280.92</c:v>
                </c:pt>
                <c:pt idx="1">
                  <c:v>4.18</c:v>
                </c:pt>
                <c:pt idx="2">
                  <c:v>7.55</c:v>
                </c:pt>
              </c:numCache>
            </c:numRef>
          </c:val>
        </c:ser>
        <c:dLbls>
          <c:showLegendKey val="0"/>
          <c:showVal val="0"/>
          <c:showCatName val="0"/>
          <c:showSerName val="0"/>
          <c:showPercent val="0"/>
          <c:showBubbleSize val="0"/>
        </c:dLbls>
        <c:gapWidth val="219"/>
        <c:overlap val="-27"/>
        <c:axId val="143942400"/>
        <c:axId val="143943936"/>
      </c:barChart>
      <c:catAx>
        <c:axId val="143942400"/>
        <c:scaling>
          <c:orientation val="minMax"/>
        </c:scaling>
        <c:delete val="0"/>
        <c:axPos val="b"/>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3943936"/>
        <c:crosses val="autoZero"/>
        <c:auto val="1"/>
        <c:lblAlgn val="ctr"/>
        <c:lblOffset val="100"/>
        <c:noMultiLvlLbl val="0"/>
      </c:catAx>
      <c:valAx>
        <c:axId val="14394393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3942400"/>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年决算支出结构图</a:t>
            </a:r>
            <a:endParaRPr lang="zh-CN" altLang="en-US"/>
          </a:p>
        </c:rich>
      </c:tx>
      <c:layout/>
      <c:overlay val="0"/>
      <c:spPr>
        <a:noFill/>
        <a:ln>
          <a:noFill/>
        </a:ln>
        <a:effectLst/>
      </c:spPr>
    </c:title>
    <c:autoTitleDeleted val="0"/>
    <c:plotArea>
      <c:layout/>
      <c:pieChart>
        <c:varyColors val="1"/>
        <c:ser>
          <c:idx val="0"/>
          <c:order val="0"/>
          <c:tx>
            <c:strRef>
              <c:f>Sheet3!$B$1</c:f>
              <c:strCache>
                <c:ptCount val="1"/>
                <c:pt idx="0">
                  <c:v>2021年决算支出结构图</c:v>
                </c:pt>
              </c:strCache>
            </c:strRef>
          </c:tx>
          <c:explosion val="0"/>
          <c:dPt>
            <c:idx val="0"/>
            <c:bubble3D val="0"/>
            <c:spPr>
              <a:solidFill>
                <a:schemeClr val="accent5"/>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6"/>
              </a:solidFill>
              <a:ln w="19050">
                <a:solidFill>
                  <a:schemeClr val="lt1"/>
                </a:solidFill>
              </a:ln>
              <a:effectLst/>
            </c:spPr>
          </c:dPt>
          <c:dLbls>
            <c:dLbl>
              <c:idx val="0"/>
              <c:layout>
                <c:manualLayout>
                  <c:x val="-0.163551377492696"/>
                  <c:y val="-0.034791068156856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181062541668478"/>
                  <c:y val="0.012490430186202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128139520659984"/>
                  <c:y val="0.0564802239268591"/>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Sheet3!$A$2:$A$4</c:f>
              <c:strCache>
                <c:ptCount val="3"/>
                <c:pt idx="0">
                  <c:v>社会保障和就业支出</c:v>
                </c:pt>
                <c:pt idx="1">
                  <c:v>卫生健康支出</c:v>
                </c:pt>
                <c:pt idx="2">
                  <c:v>住房保障支出</c:v>
                </c:pt>
              </c:strCache>
            </c:strRef>
          </c:cat>
          <c:val>
            <c:numRef>
              <c:f>Sheet3!$B$2:$B$4</c:f>
              <c:numCache>
                <c:formatCode>General</c:formatCode>
                <c:ptCount val="3"/>
                <c:pt idx="0">
                  <c:v>280.92</c:v>
                </c:pt>
                <c:pt idx="1">
                  <c:v>4.18</c:v>
                </c:pt>
                <c:pt idx="2">
                  <c:v>7.55</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200"/>
              <a:t>2022</a:t>
            </a:r>
            <a:r>
              <a:rPr lang="zh-CN" altLang="en-US" sz="1200"/>
              <a:t>年度老干部局单位预算支出与决算支出对比图</a:t>
            </a:r>
            <a:endParaRPr lang="zh-CN" altLang="en-US" sz="1200"/>
          </a:p>
        </c:rich>
      </c:tx>
      <c:layout>
        <c:manualLayout>
          <c:xMode val="edge"/>
          <c:yMode val="edge"/>
          <c:x val="0.143611111111111"/>
          <c:y val="0.0243055555555556"/>
        </c:manualLayout>
      </c:layout>
      <c:overlay val="0"/>
      <c:spPr>
        <a:noFill/>
        <a:ln>
          <a:noFill/>
        </a:ln>
        <a:effectLst/>
      </c:spPr>
    </c:title>
    <c:autoTitleDeleted val="0"/>
    <c:plotArea>
      <c:layout/>
      <c:barChart>
        <c:barDir val="col"/>
        <c:grouping val="clustered"/>
        <c:varyColors val="0"/>
        <c:ser>
          <c:idx val="0"/>
          <c:order val="0"/>
          <c:tx>
            <c:strRef>
              <c:f>Sheet4!$B$1</c:f>
              <c:strCache>
                <c:ptCount val="1"/>
                <c:pt idx="0">
                  <c:v>预算</c:v>
                </c:pt>
              </c:strCache>
            </c:strRef>
          </c:tx>
          <c:spPr>
            <a:solidFill>
              <a:schemeClr val="accent1"/>
            </a:solidFill>
            <a:ln>
              <a:noFill/>
            </a:ln>
            <a:effectLst/>
          </c:spPr>
          <c:invertIfNegative val="0"/>
          <c:dLbls>
            <c:delete val="1"/>
          </c:dLbls>
          <c:cat>
            <c:strRef>
              <c:f>Sheet4!$A$2:$A$4</c:f>
              <c:strCache>
                <c:ptCount val="3"/>
                <c:pt idx="0">
                  <c:v>社会保障和就业支出</c:v>
                </c:pt>
                <c:pt idx="1">
                  <c:v>卫生健康支出</c:v>
                </c:pt>
                <c:pt idx="2">
                  <c:v>住房保障支出</c:v>
                </c:pt>
              </c:strCache>
            </c:strRef>
          </c:cat>
          <c:val>
            <c:numRef>
              <c:f>Sheet4!$B$2:$B$4</c:f>
              <c:numCache>
                <c:formatCode>General</c:formatCode>
                <c:ptCount val="3"/>
                <c:pt idx="0">
                  <c:v>285.87</c:v>
                </c:pt>
                <c:pt idx="1">
                  <c:v>10.84</c:v>
                </c:pt>
                <c:pt idx="2">
                  <c:v>8.83</c:v>
                </c:pt>
              </c:numCache>
            </c:numRef>
          </c:val>
        </c:ser>
        <c:ser>
          <c:idx val="1"/>
          <c:order val="1"/>
          <c:tx>
            <c:strRef>
              <c:f>Sheet4!$C$1</c:f>
              <c:strCache>
                <c:ptCount val="1"/>
                <c:pt idx="0">
                  <c:v>决算</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Sheet4!$A$2:$A$4</c:f>
              <c:strCache>
                <c:ptCount val="3"/>
                <c:pt idx="0">
                  <c:v>社会保障和就业支出</c:v>
                </c:pt>
                <c:pt idx="1">
                  <c:v>卫生健康支出</c:v>
                </c:pt>
                <c:pt idx="2">
                  <c:v>住房保障支出</c:v>
                </c:pt>
              </c:strCache>
            </c:strRef>
          </c:cat>
          <c:val>
            <c:numRef>
              <c:f>Sheet4!$C$2:$C$4</c:f>
              <c:numCache>
                <c:formatCode>General</c:formatCode>
                <c:ptCount val="3"/>
                <c:pt idx="0">
                  <c:v>280.92</c:v>
                </c:pt>
                <c:pt idx="1">
                  <c:v>4.18</c:v>
                </c:pt>
                <c:pt idx="2">
                  <c:v>7.55</c:v>
                </c:pt>
              </c:numCache>
            </c:numRef>
          </c:val>
        </c:ser>
        <c:dLbls>
          <c:showLegendKey val="0"/>
          <c:showVal val="0"/>
          <c:showCatName val="0"/>
          <c:showSerName val="0"/>
          <c:showPercent val="0"/>
          <c:showBubbleSize val="0"/>
        </c:dLbls>
        <c:gapWidth val="219"/>
        <c:overlap val="-27"/>
        <c:axId val="152059264"/>
        <c:axId val="152081536"/>
      </c:barChart>
      <c:catAx>
        <c:axId val="152059264"/>
        <c:scaling>
          <c:orientation val="minMax"/>
        </c:scaling>
        <c:delete val="0"/>
        <c:axPos val="b"/>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2081536"/>
        <c:crosses val="autoZero"/>
        <c:auto val="1"/>
        <c:lblAlgn val="ctr"/>
        <c:lblOffset val="100"/>
        <c:noMultiLvlLbl val="0"/>
      </c:catAx>
      <c:valAx>
        <c:axId val="15208153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2059264"/>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151E70-66E5-4C19-B4A6-FDD493D250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2362</Words>
  <Characters>2429</Characters>
  <Lines>108</Lines>
  <Paragraphs>30</Paragraphs>
  <TotalTime>1368</TotalTime>
  <ScaleCrop>false</ScaleCrop>
  <LinksUpToDate>false</LinksUpToDate>
  <CharactersWithSpaces>2531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2023-08-16T08:41:00Z</dcterms:created>
  <dc:creator>Administrator</dc:creator>
  <cp:lastModifiedBy>Lenovo</cp:lastModifiedBy>
  <cp:lastPrinted>2023-08-17T09:10:00Z</cp:lastPrinted>
  <dcterms:modified xsi:type="dcterms:W3CDTF">2025-05-12T03:16:21Z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7E7588654FC244E380CF99C244D2BB12</vt:lpwstr>
  </property>
  <property fmtid="{D5CDD505-2E9C-101B-9397-08002B2CF9AE}" pid="4" name="KSOTemplateDocerSaveRecord">
    <vt:lpwstr>eyJoZGlkIjoiNDY2YmQ3NjljNGMzMjRlY2RiMGFiNWFjYTMxMTc2NTEiLCJ1c2VySWQiOiIxMDc1NjIzMTc3In0=</vt:lpwstr>
  </property>
</Properties>
</file>