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B1257">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14:paraId="7384445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8ADA5AD">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保定市徐水区安肃镇人民政府</w:t>
      </w:r>
    </w:p>
    <w:p w14:paraId="79A28F43">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2019年部门整体支出绩效评价自评报告</w:t>
      </w:r>
    </w:p>
    <w:p w14:paraId="13572A2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9E5ACE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8C1370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F81594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C7D2C9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967095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4C1BC0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400061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EAE879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D22FD0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FC8837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926878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E09DA3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2AA62C0">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757FB14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7A5D9F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A9B849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2CE9A816">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02498DE7">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9F503D4">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B0437F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一、保定市徐水区XXX基本情况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34078E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05D925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11AC80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2862F5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3F9E33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55E987B">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2B9FE28">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864583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0680EC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4CEF44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BDA160F">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DCD155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D7E9F3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161BEC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334B88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BBEC42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330F60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9E74F41">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A898BF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E7F62E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5F1F2A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8579B1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426713B">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C73E7A1">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FDD9A7E">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34502CC">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7588FEB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1FFA07FC">
      <w:pPr>
        <w:widowControl w:val="0"/>
        <w:tabs>
          <w:tab w:val="center" w:pos="4381"/>
        </w:tabs>
        <w:spacing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保定市徐水区安肃镇人民政府为正科级行政单位，经费保障形式为财政拨款，下设8个股室，主要职责有（一）执行本级代表大会的决议和上级国家行政机关的决定和命令，发布决定和命令。（二）制定并落实本行政区域内的经济发展计划，加强公共设施的建设和管理，发展各项服务事业。（三）加强水利建设、土地使用管理和环境综合整治，合理利用自然资源，保护、改善生态和生活环境。（四）依法管理镇财政，执行本级预算。（五）管理和发展文化、教育、科学、广播、体育、卫生等事业。（六）保护社会主义的全民所有财产和劳动群众的集体所有财产，保护公民个人所有的合法财产，保护公民的人身权利、民主权</w:t>
      </w:r>
      <w:r>
        <w:rPr>
          <w:rFonts w:hint="eastAsia" w:ascii="仿宋_GB2312" w:eastAsia="仿宋_GB2312" w:cs="DengXian-Regular"/>
          <w:sz w:val="32"/>
          <w:szCs w:val="32"/>
          <w:lang w:eastAsia="zh-CN"/>
        </w:rPr>
        <w:t>利</w:t>
      </w:r>
      <w:r>
        <w:rPr>
          <w:rFonts w:hint="eastAsia" w:ascii="仿宋_GB2312" w:eastAsia="仿宋_GB2312" w:cs="DengXian-Regular"/>
          <w:sz w:val="32"/>
          <w:szCs w:val="32"/>
        </w:rPr>
        <w:t>和其他权利，保护各种经济的合法权益。（七）组织实施社会主义与民主法制教育，协调公安、司法行政工作，调解民事纠纷，维护社会秩序。（八）推行计划生育政策，控制人口增长，保护妇女、儿童和老人的合法权益。（九）管理民政事务工作，发展社会福利事业，做好社会保障工作，办理兵役事项。（十）办理上级人民政府交办的其他事项。</w:t>
      </w:r>
    </w:p>
    <w:p w14:paraId="697D5B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189AED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1E193C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安肃镇人民政府2019年部门整体支出绩效评价工作。</w:t>
      </w:r>
    </w:p>
    <w:p w14:paraId="7A14E7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安肃镇2019年部门整体支出绩效评价指标体系共设置4个一级指标、7个二级指标、25个三级指标，从投入、过程、产出、效果四个方面对安肃镇部门整体支出情况评分定级。指标体系设定满分为100分，绩效评价分值≥90为“优”；80≤分值＜90为“良”；60≤分值＜80为“合格”；60分以下为“差”。</w:t>
      </w:r>
    </w:p>
    <w:p w14:paraId="0668FB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安肃镇2019年部门整体支出综合评价得分为90分，评价等级为“优”。</w:t>
      </w:r>
    </w:p>
    <w:p w14:paraId="2AA794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安肃镇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50789F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7149FC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677EF1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6D61EE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425CB6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4.项目资金使用率</w:t>
      </w:r>
    </w:p>
    <w:p w14:paraId="5A4F97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4DD1CA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153813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3FC8CD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438ACB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072F51E">
      <w:pPr>
        <w:spacing w:after="0" w:line="360" w:lineRule="auto"/>
        <w:ind w:firstLine="640" w:firstLineChars="200"/>
        <w:jc w:val="both"/>
        <w:textAlignment w:val="baseline"/>
        <w:rPr>
          <w:rFonts w:ascii="仿宋_GB2312" w:eastAsia="仿宋_GB2312" w:cs="DengXian-Regular"/>
          <w:sz w:val="32"/>
          <w:szCs w:val="32"/>
        </w:rPr>
      </w:pPr>
      <w:bookmarkStart w:id="1" w:name="_Toc4346"/>
      <w:r>
        <w:rPr>
          <w:rFonts w:hint="eastAsia" w:ascii="仿宋_GB2312" w:eastAsia="仿宋_GB2312" w:cs="DengXian-Regular"/>
          <w:sz w:val="32"/>
          <w:szCs w:val="32"/>
        </w:rPr>
        <w:t>3.提高项目资金使用率</w:t>
      </w:r>
    </w:p>
    <w:p w14:paraId="04F9A43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加强日常对项目资金的管理，督促项目进度和资金拨付进度，应拨付的资金及时拨付，提高项目资金使用效率。</w:t>
      </w:r>
    </w:p>
    <w:p w14:paraId="43A9C197">
      <w:pPr>
        <w:pStyle w:val="3"/>
        <w:spacing w:line="540" w:lineRule="exact"/>
        <w:jc w:val="center"/>
        <w:rPr>
          <w:rFonts w:ascii="黑体" w:hAnsi="黑体"/>
          <w:b w:val="0"/>
        </w:rPr>
      </w:pPr>
      <w:r>
        <w:rPr>
          <w:rFonts w:hint="eastAsia" w:ascii="黑体" w:hAnsi="黑体"/>
          <w:b w:val="0"/>
        </w:rPr>
        <w:t>第二部分   绩效评价报告</w:t>
      </w:r>
      <w:bookmarkEnd w:id="1"/>
    </w:p>
    <w:p w14:paraId="22F83C03">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一、保定市徐水区安肃镇人民政府基本情况</w:t>
      </w:r>
      <w:bookmarkEnd w:id="2"/>
      <w:bookmarkEnd w:id="3"/>
      <w:bookmarkStart w:id="4" w:name="_Toc492652764"/>
    </w:p>
    <w:p w14:paraId="4E54B204">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2233BE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安肃镇单位职能配置内设机构和人员编制规定》的通知，保定市徐水区安肃镇人民政府为正科级行政单位，下设8个股室。根据绩效预算管理改革的相关要求，按照“部门职责—工作活动绩效目标”的层级设立了绩效预算架构，职责活动包括协调维护社会稳定和国家安全、综合事务管理、促进土地流转、农村面貌改造提升等共42部分。</w:t>
      </w:r>
      <w:bookmarkStart w:id="6" w:name="_Toc465149499"/>
      <w:bookmarkStart w:id="7" w:name="_Toc492652765"/>
    </w:p>
    <w:p w14:paraId="442A9752">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2D1C0F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按照2019年绩效预算编制要求，我单位设置的年度发展规划总体目标为：</w:t>
      </w:r>
    </w:p>
    <w:p w14:paraId="0A50F5B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560"/>
        <w:rPr>
          <w:rFonts w:ascii="仿宋_GB2312" w:eastAsia="仿宋_GB2312" w:cs="DengXian-Regular"/>
          <w:sz w:val="32"/>
          <w:szCs w:val="32"/>
        </w:rPr>
      </w:pPr>
      <w:r>
        <w:rPr>
          <w:rFonts w:ascii="仿宋_GB2312" w:eastAsia="仿宋_GB2312" w:cs="DengXian-Regular"/>
          <w:sz w:val="32"/>
          <w:szCs w:val="32"/>
        </w:rPr>
        <w:t>坚持以习近平新时代中国特色社会主义思想为指导，深入贯彻党的十九大和十九届二中、三中、四中全会精神，紧紧围绕全区中心工作和区委重要部署，紧紧围绕全区中心工作和区委重要部署，民主表决，科学决策，坚持以人为本，把维护群众利益、落实精准扶贫政策，改善民生作为乡镇工作的着力点。制定、落实镇经济发展规划；组织实施社会主义法制与民主教育；维护社会秩序稳定；加强公共设施建设和管理，保护、改善生态和群众生活环境，保护群众人身权利和财产安全，保障群众合法权益；管理民政事务工作，发展好社会福利工作，做好社会保障工作，为建设社会主义新农村，努力开创我镇工作新局面。</w:t>
      </w:r>
    </w:p>
    <w:p w14:paraId="0FE31C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44D11EB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w:t>
      </w:r>
      <w:r>
        <w:rPr>
          <w:rFonts w:ascii="仿宋_GB2312" w:eastAsia="仿宋_GB2312" w:cs="DengXian-Regular"/>
          <w:sz w:val="32"/>
          <w:szCs w:val="32"/>
        </w:rPr>
        <w:t>有效化解不稳定隐患，维护社会稳定。</w:t>
      </w:r>
    </w:p>
    <w:p w14:paraId="7205664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w:t>
      </w:r>
      <w:r>
        <w:rPr>
          <w:rFonts w:ascii="仿宋_GB2312" w:eastAsia="仿宋_GB2312" w:cs="DengXian-Regular"/>
          <w:sz w:val="32"/>
          <w:szCs w:val="32"/>
        </w:rPr>
        <w:t>促进农村文化建设发展。</w:t>
      </w:r>
    </w:p>
    <w:p w14:paraId="082F848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搞好服务保障，保障各项工作顺利开展。</w:t>
      </w:r>
    </w:p>
    <w:p w14:paraId="5E6194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ascii="仿宋_GB2312" w:eastAsia="仿宋_GB2312" w:cs="DengXian-Regular"/>
          <w:sz w:val="32"/>
          <w:szCs w:val="32"/>
        </w:rPr>
        <w:t>加强安全生产综合监督管理。</w:t>
      </w:r>
    </w:p>
    <w:p w14:paraId="4757EF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地震群测群防补贴及时足额落实到位，保证工作顺利开展。</w:t>
      </w:r>
    </w:p>
    <w:p w14:paraId="788721B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_GB2312" w:eastAsia="仿宋_GB2312" w:cs="DengXian-Regular"/>
          <w:sz w:val="32"/>
          <w:szCs w:val="32"/>
        </w:rPr>
      </w:pPr>
      <w:r>
        <w:rPr>
          <w:rFonts w:hint="eastAsia" w:ascii="仿宋_GB2312" w:eastAsia="仿宋_GB2312" w:cs="DengXian-Regular"/>
          <w:sz w:val="32"/>
          <w:szCs w:val="32"/>
        </w:rPr>
        <w:t>6.</w:t>
      </w:r>
      <w:r>
        <w:rPr>
          <w:rFonts w:ascii="仿宋_GB2312" w:eastAsia="仿宋_GB2312" w:cs="DengXian-Regular"/>
          <w:sz w:val="32"/>
          <w:szCs w:val="32"/>
        </w:rPr>
        <w:t>改善农村空气质量及人居环境。</w:t>
      </w:r>
    </w:p>
    <w:p w14:paraId="230E58D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firstLine="640" w:firstLineChars="200"/>
        <w:rPr>
          <w:rFonts w:ascii="仿宋_GB2312" w:eastAsia="仿宋_GB2312" w:cs="DengXian-Regular"/>
          <w:sz w:val="32"/>
          <w:szCs w:val="32"/>
        </w:rPr>
      </w:pPr>
      <w:bookmarkStart w:id="9" w:name="_Toc1678"/>
      <w:bookmarkStart w:id="10" w:name="_Toc492652766"/>
      <w:bookmarkStart w:id="11" w:name="_Toc465149500"/>
      <w:r>
        <w:rPr>
          <w:rFonts w:hint="eastAsia" w:ascii="仿宋_GB2312" w:eastAsia="仿宋_GB2312" w:cs="DengXian-Regular"/>
          <w:sz w:val="32"/>
          <w:szCs w:val="32"/>
        </w:rPr>
        <w:t>7.</w:t>
      </w:r>
      <w:r>
        <w:rPr>
          <w:rFonts w:ascii="仿宋_GB2312" w:eastAsia="仿宋_GB2312" w:cs="DengXian-Regular"/>
          <w:sz w:val="32"/>
          <w:szCs w:val="32"/>
        </w:rPr>
        <w:t>保证土地流转资金及时足额发放到位，维护社会稳定。</w:t>
      </w:r>
    </w:p>
    <w:p w14:paraId="203F09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5E230D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color w:val="FF0000"/>
          <w:sz w:val="32"/>
          <w:szCs w:val="32"/>
        </w:rPr>
        <w:t>2019年我单位预算收入2462.66万元，一般公共预算拨款2318.81万元，其中：财政拨款2305.39万元，中央财政提前通知转移支付13.42万元；政府性基金预算拨款143.85万元。预</w:t>
      </w:r>
      <w:r>
        <w:rPr>
          <w:rFonts w:hint="eastAsia" w:ascii="仿宋_GB2312" w:eastAsia="仿宋_GB2312" w:cs="DengXian-Regular"/>
          <w:sz w:val="32"/>
          <w:szCs w:val="32"/>
        </w:rPr>
        <w:t>算收入按功能分类包含：一般公共服务支出1495.64万元，科学技术支出0.74万元，文化体育传媒支出19.97万元，社会保障和就业支出246.87万元，医疗卫生与计划生育支出59.41万元，节能环保支出50万元，城乡社区支出142.85万元，农林水支出365.62万元，住房保障支出77.76万元，灾害防治及应急管理支出2.8万元。具体预算收入详见附件2。</w:t>
      </w:r>
    </w:p>
    <w:p w14:paraId="2C12F1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我单位决算收入7944.21万元，其中：财政拨款收入7943.93万元，其他收入0.28万元（全部为利息收入）。决算收入按功能分类包含：一般公共服务支出1806.55万元，占比23%；公共安全支出4.24万元，占比0.05%；教育支出130.32万元，占比1.64%；科学技术支出0.74万元，占比0.01%；文化旅游体育与传媒支出24.52万元，占比0.31%；社会保障和就业支出443.86万元，占比5.59%；卫生健康支出41.33万元，占比0.52%；节能环保支出343.74万元，占比4.32%；城乡社区支出4306.54万元，占比54%；农林水支出758.17万元，占比9.5%；住房保障支出81.11万元，占比1.02%；灾害防治及应急管理支出2.8万元，占比0.04%。具体决算收入详见附件2。决算收入结构如图1。</w:t>
      </w:r>
    </w:p>
    <w:p w14:paraId="48120F57">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2019年度区安肃镇决算收入结构图</w:t>
      </w:r>
    </w:p>
    <w:p w14:paraId="62B198F7">
      <w:pPr>
        <w:spacing w:after="0" w:line="540" w:lineRule="exact"/>
        <w:ind w:firstLine="640" w:firstLineChars="200"/>
        <w:jc w:val="both"/>
        <w:rPr>
          <w:rFonts w:ascii="仿宋_GB2312" w:eastAsia="仿宋_GB2312" w:cs="Times New Roman" w:hAnsiTheme="minorEastAsia"/>
          <w:sz w:val="32"/>
          <w:szCs w:val="32"/>
          <w:u w:color="000000"/>
        </w:rPr>
      </w:pPr>
    </w:p>
    <w:p w14:paraId="1DF8AB01">
      <w:pPr>
        <w:spacing w:after="0" w:line="540" w:lineRule="exact"/>
        <w:ind w:firstLine="640" w:firstLineChars="200"/>
        <w:jc w:val="both"/>
        <w:rPr>
          <w:rFonts w:ascii="仿宋_GB2312" w:eastAsia="仿宋_GB2312" w:cs="Times New Roman" w:hAnsiTheme="minorEastAsia"/>
          <w:sz w:val="32"/>
          <w:szCs w:val="32"/>
          <w:u w:color="000000"/>
        </w:rPr>
      </w:pPr>
    </w:p>
    <w:p w14:paraId="455B5810">
      <w:pPr>
        <w:spacing w:after="0" w:line="540" w:lineRule="exact"/>
        <w:ind w:firstLine="640" w:firstLineChars="200"/>
        <w:jc w:val="both"/>
        <w:rPr>
          <w:rFonts w:ascii="仿宋_GB2312" w:eastAsia="仿宋_GB2312" w:cs="DengXian-Regular"/>
          <w:sz w:val="32"/>
          <w:szCs w:val="32"/>
        </w:rPr>
      </w:pPr>
    </w:p>
    <w:p w14:paraId="391D7300">
      <w:pPr>
        <w:spacing w:after="0" w:line="540" w:lineRule="exact"/>
        <w:ind w:firstLine="640" w:firstLineChars="200"/>
        <w:jc w:val="both"/>
        <w:rPr>
          <w:rFonts w:ascii="仿宋_GB2312" w:eastAsia="仿宋_GB2312" w:cs="DengXian-Regular"/>
          <w:sz w:val="32"/>
          <w:szCs w:val="32"/>
        </w:rPr>
      </w:pPr>
    </w:p>
    <w:p w14:paraId="6385DD45">
      <w:pPr>
        <w:spacing w:after="0" w:line="540" w:lineRule="exact"/>
        <w:ind w:firstLine="640" w:firstLineChars="200"/>
        <w:jc w:val="both"/>
        <w:rPr>
          <w:rFonts w:ascii="仿宋_GB2312" w:eastAsia="仿宋_GB2312" w:cs="DengXian-Regular"/>
          <w:sz w:val="32"/>
          <w:szCs w:val="32"/>
        </w:rPr>
      </w:pPr>
    </w:p>
    <w:p w14:paraId="66EC000B">
      <w:pPr>
        <w:spacing w:after="0" w:line="540" w:lineRule="exact"/>
        <w:ind w:firstLine="640" w:firstLineChars="200"/>
        <w:jc w:val="both"/>
        <w:rPr>
          <w:rFonts w:ascii="仿宋_GB2312" w:eastAsia="仿宋_GB2312" w:cs="DengXian-Regular"/>
          <w:sz w:val="32"/>
          <w:szCs w:val="32"/>
        </w:rPr>
      </w:pPr>
    </w:p>
    <w:p w14:paraId="37538431">
      <w:pPr>
        <w:spacing w:after="0" w:line="540" w:lineRule="exact"/>
        <w:ind w:firstLine="640" w:firstLineChars="200"/>
        <w:jc w:val="both"/>
        <w:rPr>
          <w:rFonts w:ascii="仿宋_GB2312" w:eastAsia="仿宋_GB2312" w:cs="DengXian-Regular"/>
          <w:sz w:val="32"/>
          <w:szCs w:val="32"/>
        </w:rPr>
      </w:pPr>
    </w:p>
    <w:p w14:paraId="022B993B">
      <w:pPr>
        <w:spacing w:after="0" w:line="540" w:lineRule="exact"/>
        <w:ind w:firstLine="640" w:firstLineChars="200"/>
        <w:jc w:val="both"/>
        <w:rPr>
          <w:rFonts w:ascii="仿宋_GB2312" w:eastAsia="仿宋_GB2312" w:cs="DengXian-Regular"/>
          <w:sz w:val="32"/>
          <w:szCs w:val="32"/>
        </w:rPr>
      </w:pPr>
    </w:p>
    <w:p w14:paraId="21E741EF">
      <w:pPr>
        <w:spacing w:after="0" w:line="540" w:lineRule="exact"/>
        <w:ind w:firstLine="640" w:firstLineChars="200"/>
        <w:jc w:val="both"/>
        <w:rPr>
          <w:rFonts w:ascii="仿宋_GB2312" w:eastAsia="仿宋_GB2312" w:cs="DengXian-Regular"/>
          <w:sz w:val="32"/>
          <w:szCs w:val="32"/>
        </w:rPr>
      </w:pPr>
    </w:p>
    <w:p w14:paraId="6B6553E3">
      <w:pPr>
        <w:spacing w:after="0" w:line="540" w:lineRule="exact"/>
        <w:ind w:firstLine="640" w:firstLineChars="200"/>
        <w:jc w:val="both"/>
        <w:rPr>
          <w:rFonts w:ascii="仿宋_GB2312" w:eastAsia="仿宋_GB2312" w:cs="DengXian-Regular"/>
          <w:sz w:val="32"/>
          <w:szCs w:val="32"/>
        </w:rPr>
      </w:pPr>
    </w:p>
    <w:p w14:paraId="113A1D85">
      <w:pPr>
        <w:spacing w:after="0" w:line="540" w:lineRule="exact"/>
        <w:ind w:firstLine="640" w:firstLineChars="200"/>
        <w:jc w:val="both"/>
        <w:rPr>
          <w:rFonts w:ascii="仿宋_GB2312" w:eastAsia="仿宋_GB2312" w:cs="DengXian-Regular"/>
          <w:sz w:val="32"/>
          <w:szCs w:val="32"/>
        </w:rPr>
      </w:pPr>
    </w:p>
    <w:p w14:paraId="0EBCF60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我单位一般公共预算财政拨款决算收入比年初预算增加1318.58万元</w:t>
      </w:r>
      <w:bookmarkStart w:id="80" w:name="_GoBack"/>
      <w:bookmarkEnd w:id="80"/>
      <w:r>
        <w:rPr>
          <w:rFonts w:hint="eastAsia" w:ascii="仿宋_GB2312" w:eastAsia="仿宋_GB2312" w:cs="DengXian-Regular"/>
          <w:sz w:val="32"/>
          <w:szCs w:val="32"/>
        </w:rPr>
        <w:t>，完成年初预算的157%。决算收入大于预算收入的主要原因为2019年度人员经费和项目支出增加；预算收入与决算收入对比情况见图2。</w:t>
      </w:r>
    </w:p>
    <w:p w14:paraId="53DAD3A5">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2019年度区安肃镇预算收入与决算收入对比图</w:t>
      </w:r>
    </w:p>
    <w:p w14:paraId="5B376D86">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drawing>
          <wp:anchor distT="0" distB="0" distL="114300" distR="114300" simplePos="0" relativeHeight="251659264" behindDoc="0" locked="0" layoutInCell="1" allowOverlap="1">
            <wp:simplePos x="0" y="0"/>
            <wp:positionH relativeFrom="column">
              <wp:posOffset>77470</wp:posOffset>
            </wp:positionH>
            <wp:positionV relativeFrom="paragraph">
              <wp:posOffset>126365</wp:posOffset>
            </wp:positionV>
            <wp:extent cx="5122545" cy="2747010"/>
            <wp:effectExtent l="19050" t="0" r="20955" b="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2797300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2019年度我单位</w:t>
      </w:r>
      <w:r>
        <w:rPr>
          <w:rFonts w:hint="eastAsia" w:ascii="仿宋_GB2312" w:eastAsia="仿宋_GB2312" w:cs="Times New Roman" w:hAnsiTheme="minorEastAsia"/>
          <w:sz w:val="32"/>
          <w:szCs w:val="32"/>
          <w:u w:color="000000"/>
        </w:rPr>
        <w:t>预算支出安排</w:t>
      </w:r>
      <w:r>
        <w:rPr>
          <w:rFonts w:hint="eastAsia" w:ascii="仿宋_GB2312" w:eastAsia="仿宋_GB2312" w:cs="DengXian-Regular"/>
          <w:sz w:val="32"/>
          <w:szCs w:val="32"/>
        </w:rPr>
        <w:t>2462.66</w:t>
      </w:r>
      <w:r>
        <w:rPr>
          <w:rFonts w:hint="eastAsia" w:ascii="仿宋_GB2312" w:eastAsia="仿宋_GB2312" w:cs="Times New Roman" w:hAnsiTheme="minorEastAsia"/>
          <w:sz w:val="32"/>
          <w:szCs w:val="32"/>
          <w:u w:color="000000"/>
        </w:rPr>
        <w:t>万元，其中：基本支出1784.17万元，项目支出678.49万元。预算支出按功能分类包含：</w:t>
      </w:r>
      <w:r>
        <w:rPr>
          <w:rFonts w:hint="eastAsia" w:ascii="仿宋_GB2312" w:eastAsia="仿宋_GB2312" w:cs="DengXian-Regular"/>
          <w:sz w:val="32"/>
          <w:szCs w:val="32"/>
        </w:rPr>
        <w:t>一般公共服务支出1495.64万元，科学技术支出0.74万元，文化体育传媒支出19.97万元，社会保障和就业支出246.87万元，医疗卫生与计划生育支出59.41万元，节能环保支出50万元，城乡社区支出142.85万元，农林水支出365.62万元，住房保障支出77.76万元，灾害防治及应急管理支出2.8万元。</w:t>
      </w:r>
      <w:r>
        <w:rPr>
          <w:rFonts w:hint="eastAsia" w:ascii="仿宋_GB2312" w:eastAsia="仿宋_GB2312" w:cs="Times New Roman" w:hAnsiTheme="minorEastAsia"/>
          <w:sz w:val="32"/>
          <w:szCs w:val="32"/>
          <w:u w:color="000000"/>
        </w:rPr>
        <w:t>具体预算支出详见附件2。</w:t>
      </w:r>
    </w:p>
    <w:p w14:paraId="75706839">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2019年度我单位</w:t>
      </w:r>
      <w:r>
        <w:rPr>
          <w:rFonts w:hint="eastAsia" w:ascii="仿宋_GB2312" w:eastAsia="仿宋_GB2312" w:cs="Times New Roman" w:hAnsiTheme="minorEastAsia"/>
          <w:sz w:val="32"/>
          <w:szCs w:val="32"/>
          <w:u w:color="000000"/>
        </w:rPr>
        <w:t>决算支出为</w:t>
      </w:r>
      <w:r>
        <w:rPr>
          <w:rFonts w:hint="eastAsia" w:ascii="仿宋_GB2312" w:eastAsia="仿宋_GB2312" w:cs="DengXian-Regular"/>
          <w:sz w:val="32"/>
          <w:szCs w:val="32"/>
        </w:rPr>
        <w:t>8148.47</w:t>
      </w:r>
      <w:r>
        <w:rPr>
          <w:rFonts w:hint="eastAsia" w:ascii="仿宋_GB2312" w:eastAsia="仿宋_GB2312" w:cs="Times New Roman" w:hAnsiTheme="minorEastAsia"/>
          <w:sz w:val="32"/>
          <w:szCs w:val="32"/>
          <w:u w:color="000000"/>
        </w:rPr>
        <w:t>万元，其中：基本支出1768.81万元，项目支出6379.66万元。决算支出按功能分类包含：</w:t>
      </w:r>
      <w:r>
        <w:rPr>
          <w:rFonts w:hint="eastAsia" w:ascii="仿宋_GB2312" w:eastAsia="仿宋_GB2312" w:cs="DengXian-Regular"/>
          <w:sz w:val="32"/>
          <w:szCs w:val="32"/>
        </w:rPr>
        <w:t>一般公共服务支出</w:t>
      </w:r>
      <w:r>
        <w:rPr>
          <w:rFonts w:hint="eastAsia" w:ascii="仿宋_GB2312" w:eastAsia="仿宋_GB2312" w:cs="Times New Roman" w:hAnsiTheme="minorEastAsia"/>
          <w:sz w:val="32"/>
          <w:szCs w:val="32"/>
          <w:u w:color="000000"/>
        </w:rPr>
        <w:t>1830.25万元，占比22.46%；公共安全支出4.24万元，占比0.05%；教育支出130.32万元，占比1.6%；科学技术支出0.74万元，占比0.01%；文化旅游体育与传媒支出25.67万元，占比0.32%；社会保障和就业支出444.04万元，占比5.45%；医疗卫生与计划教育支出41.33万元，占比0.51%；节能环保支出501.61万，占比6.16%；城乡社区支出4296.69万元，占比52.73%；农林水支出788.17万元，占比9.67%；住房保障支出81.11万元，占比1%；灾害防治与应急管理支出2.8万元，占比0.03%；其他支出1.5万元，占比0.01%。具体决算支出详见附件2。</w:t>
      </w:r>
    </w:p>
    <w:p w14:paraId="0F15B53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44AA0C44">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2019年度安肃镇</w:t>
      </w:r>
      <w:r>
        <w:rPr>
          <w:rFonts w:hint="eastAsia" w:asciiTheme="minorEastAsia" w:hAnsiTheme="minorEastAsia" w:eastAsiaTheme="minorEastAsia" w:cstheme="minorEastAsia"/>
          <w:b/>
          <w:bCs/>
          <w:sz w:val="32"/>
          <w:szCs w:val="32"/>
          <w:u w:color="000000"/>
        </w:rPr>
        <w:t>决算支出结构图</w:t>
      </w:r>
    </w:p>
    <w:p w14:paraId="69289D58">
      <w:pPr>
        <w:spacing w:after="0" w:line="580" w:lineRule="exact"/>
        <w:ind w:firstLine="440" w:firstLineChars="200"/>
        <w:rPr>
          <w:rFonts w:ascii="仿宋_GB2312" w:eastAsia="仿宋_GB2312" w:cs="DengXian-Regular"/>
          <w:sz w:val="32"/>
          <w:szCs w:val="32"/>
        </w:rPr>
      </w:pPr>
      <w:r>
        <w:drawing>
          <wp:anchor distT="0" distB="0" distL="90170" distR="90170" simplePos="0" relativeHeight="251660288" behindDoc="0" locked="0" layoutInCell="1" allowOverlap="1">
            <wp:simplePos x="0" y="0"/>
            <wp:positionH relativeFrom="column">
              <wp:posOffset>143510</wp:posOffset>
            </wp:positionH>
            <wp:positionV relativeFrom="paragraph">
              <wp:posOffset>-90805</wp:posOffset>
            </wp:positionV>
            <wp:extent cx="4991100" cy="2790825"/>
            <wp:effectExtent l="0" t="0" r="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eastAsia="仿宋_GB2312" w:cs="DengXian-Regular"/>
          <w:sz w:val="32"/>
          <w:szCs w:val="32"/>
        </w:rPr>
        <w:t>财政拨款决算支出比年初预算增加5685.75万元。决算支出完成年初预算的331%。</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主要原因为主要是2019年人员经费和项目支出增加。</w:t>
      </w:r>
      <w:r>
        <w:rPr>
          <w:rFonts w:hint="eastAsia" w:ascii="仿宋" w:hAnsi="仿宋" w:eastAsia="仿宋"/>
          <w:snapToGrid w:val="0"/>
          <w:sz w:val="32"/>
          <w:szCs w:val="32"/>
        </w:rPr>
        <w:t>预算支出与决算支出对比情况如图4。</w:t>
      </w:r>
    </w:p>
    <w:p w14:paraId="70D3D4A4">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drawing>
          <wp:anchor distT="0" distB="0" distL="114300" distR="114300" simplePos="0" relativeHeight="251661312" behindDoc="0" locked="0" layoutInCell="1" allowOverlap="1">
            <wp:simplePos x="0" y="0"/>
            <wp:positionH relativeFrom="column">
              <wp:posOffset>144145</wp:posOffset>
            </wp:positionH>
            <wp:positionV relativeFrom="paragraph">
              <wp:posOffset>499745</wp:posOffset>
            </wp:positionV>
            <wp:extent cx="5102225" cy="2717165"/>
            <wp:effectExtent l="4445" t="4445" r="17780" b="21590"/>
            <wp:wrapSquare wrapText="bothSides"/>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2019年度安肃镇</w:t>
      </w:r>
      <w:r>
        <w:rPr>
          <w:rFonts w:hint="eastAsia" w:asciiTheme="minorEastAsia" w:hAnsiTheme="minorEastAsia" w:eastAsiaTheme="minorEastAsia" w:cstheme="minorEastAsia"/>
          <w:b/>
          <w:bCs/>
          <w:sz w:val="32"/>
          <w:szCs w:val="32"/>
        </w:rPr>
        <w:t>预算支出与决算支出对比图</w:t>
      </w:r>
    </w:p>
    <w:p w14:paraId="74A7D1E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我单位2019年实际项目支出6379.66万元，决算报表中项目支出6379.66万元，实际支出与决算报表差0万元。</w:t>
      </w:r>
    </w:p>
    <w:p w14:paraId="0F904EA7">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14:paraId="5A7F753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我单位“三公”经费预算22万元（公务用车运行维护费14万元，公务接待费8万元），实际支出4.79万元（公务用车运行维护费4.67万元，公务接待费0.12万元），比预算减少17.21万元，节约率78%。2019年“三公”经费预算数与2018年预算数相比无变化，决算数与2018年实际支出相比，减少6.42万元。具体详见表1。</w:t>
      </w:r>
    </w:p>
    <w:p w14:paraId="71E9BB6A">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安肃镇“三公”经费预算及决算明细表</w:t>
      </w:r>
    </w:p>
    <w:p w14:paraId="6EBA661E">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24D674C1">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7B92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4770F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03ADD1">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238AF21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265B0">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19C69FCB">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C2534">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27D52">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0ACA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360D07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9E592D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010F1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EE1E9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58E2E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31C9EAC2">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3C0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710F70A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34B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B72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F22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AFEBB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9ABED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362EE3">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0B29630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78D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C262067">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324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E74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002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CD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4.67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3CD82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96CFC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-2.08</w:t>
            </w:r>
          </w:p>
        </w:tc>
      </w:tr>
      <w:tr w14:paraId="46163B8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72A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D12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921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578A">
            <w:pPr>
              <w:spacing w:after="0"/>
              <w:ind w:firstLine="210" w:firstLineChars="1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B9B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C0A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0.12</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CD086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67C07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-4.34</w:t>
            </w:r>
          </w:p>
        </w:tc>
      </w:tr>
      <w:tr w14:paraId="354D53F8">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307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3F00F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BDE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1E2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714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A96EE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4.79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EEB899">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9AED3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-6.42</w:t>
            </w:r>
          </w:p>
        </w:tc>
      </w:tr>
    </w:tbl>
    <w:p w14:paraId="6AB97AA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我单位车辆合计4辆，其中公务用车4辆，其他用车0辆。2019年公务用车购置及运维费年初预算14万元，全部为公务用车运行维护费，实际支出4.67万元，比预算减少9.33万元，节约率67%。2019年预算数与2018年预算相比无变化，决算数与2018年实际支出相比，减少6.42万元。</w:t>
      </w:r>
    </w:p>
    <w:p w14:paraId="452C3E0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2、公务接待：2019年我单位公务接待费年初预算8万元，实际支出0.12万元，比预算减少了7.88万元，节约率98.5%。2019年预算数与2018年预算相比无变化，决算数与2018年实际支出相比，减少4.34万元。</w:t>
      </w:r>
    </w:p>
    <w:p w14:paraId="6FA2C3AE">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28941A5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5C8929D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25个（详见附件3）。指标体系设定满分100分，绩效评价分值≥90为“优”；80≤分值＜90为“良”；60≤分值＜80为“中”；60分以下为“差”。评价指标体系具体构成如下：</w:t>
      </w:r>
      <w:bookmarkStart w:id="19" w:name="_Toc9569"/>
      <w:bookmarkStart w:id="20" w:name="_Toc492652771"/>
    </w:p>
    <w:p w14:paraId="763781D5">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6E8C60E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投入指标指标分值为12分，下设2个二级指标：绩效目标设定和预算配置，6个三级指标：绩效目标合理性、绩效目标科学性、绩效指标明确性、预算编制完整性、项目预算细化率、在职人员控制率。</w:t>
      </w:r>
      <w:bookmarkStart w:id="21" w:name="_Toc492652772"/>
      <w:bookmarkStart w:id="22" w:name="_Toc30221"/>
    </w:p>
    <w:p w14:paraId="4436C64A">
      <w:pPr>
        <w:spacing w:after="0" w:line="360" w:lineRule="auto"/>
        <w:ind w:firstLine="640" w:firstLineChars="200"/>
        <w:jc w:val="both"/>
        <w:rPr>
          <w:rFonts w:ascii="仿宋_GB2312" w:eastAsia="仿宋_GB2312" w:cs="DengXian-Regular"/>
          <w:sz w:val="32"/>
          <w:szCs w:val="32"/>
        </w:rPr>
      </w:pPr>
      <w:r>
        <w:rPr>
          <w:rFonts w:hint="eastAsia" w:ascii="楷体" w:hAnsi="楷体" w:eastAsia="楷体"/>
          <w:kern w:val="2"/>
          <w:sz w:val="32"/>
        </w:rPr>
        <w:t>（二）过程（48分）</w:t>
      </w:r>
      <w:bookmarkEnd w:id="21"/>
      <w:bookmarkEnd w:id="22"/>
    </w:p>
    <w:p w14:paraId="7605C6E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41C6F5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7477CC6C">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0BF636D0">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14:paraId="5C3D53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产出指标指标分值为25分，下设1个二级指标：责任履行，3个三级指标：结转结余率、项目资金使用率、实际完成工作及时率。</w:t>
      </w:r>
    </w:p>
    <w:p w14:paraId="33CE479B">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2DA706EB">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299DA7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57566A88">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443C676D">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7127A249">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我单位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5D81EC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3DEB319">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0BA77AED">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5C2338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5CA62D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3D3E3A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7D0EBC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664AD3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389FE9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730D7891">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10B0F60C">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安肃镇2019年部门整体支出绩效目标和指标的设置及完成情况；资金预算情况、实际收支情况及结转结余情况；部门履职对社会发展所带来的直接或间接影响及服务对象对部门履职效果的满意程度。</w:t>
      </w:r>
    </w:p>
    <w:p w14:paraId="5468503B">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22B3B1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180856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2DA1FE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5638F1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7F9585AD">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43794048">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1FF2C61A">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15A45F51">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5625B309">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024E2840">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26BBD7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6FE166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4B741B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34883D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5FAD6F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通过对相关资料的收集，制定绩效评价实施方案和体系,确定最终方案。</w:t>
      </w:r>
    </w:p>
    <w:p w14:paraId="4ED648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405E83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我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27C06C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4032E0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05E5DF65">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5FDFA37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安肃镇部门整体支出绩效评价总得分为90分，综合绩效评价等级为“优”。各项得分情况如下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7297A65E">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36FD4E1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79B98623">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6E5C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32D064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07F8472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583B9F9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7CC508E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063E613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7765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270D0F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4A84D132">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7E8DA3DA">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6ABAF5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284C90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4F02A4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1B6E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884EA3F">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DA6674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FC57B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2026F7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B12FFA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F23A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D0E6811">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7D37BD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34D43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D1AC7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0429E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7DF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216233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08114F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0DBDC5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0528AF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3C1798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B04D8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5CCD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4BF546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C1FAB63">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401E9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65133B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827C3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49ED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941924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A01BBC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469A2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03BF12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42EDC0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D69C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4CAF1A7A">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0DC0E98D">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1ED8A17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45BCA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7A6088BE">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4A0EC3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3B2217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65508A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安肃镇单位职能配置内设机构和人员编制规定》和徐水区安肃镇2019年预算文本—部门职责工作活动绩效目标，评价工作组认为安肃镇部门职责符合“三定”方案中所赋予的职责，绩效目标设立依据充分，符合客观实际，与部门职责、工作规划和重点工作相关，工作活动和项目预算安排合理。</w:t>
      </w:r>
    </w:p>
    <w:p w14:paraId="3BCDE9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52F05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7586B6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27A13C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根据安肃镇2019年预算文本—部门职责工作活动绩效目标（详见附件4），绩效目标与部门履职、年度工作任务相符；工作活动有明确的绩效目标，绩效目标与部门职责目标、部门年度工作目标一致。</w:t>
      </w:r>
    </w:p>
    <w:p w14:paraId="16833A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5CC854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019AF293">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1822F0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根据安肃镇2019年预算文本—部门职责工作活动绩效目标,该指标实际得分2分。</w:t>
      </w:r>
    </w:p>
    <w:p w14:paraId="68DD45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7E3B95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4FF0C7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2B25FC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根据2019年预算文本及相关会计资料，单位所有收入均已纳入部门预算，部门支出按基本支出、项目支出分别编制。</w:t>
      </w:r>
    </w:p>
    <w:p w14:paraId="126258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4701F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05B503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C760C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60F213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根据2019年预算文本—部门项目支出预算表，安肃镇2019年预算项目共34个（详见附件2-2-2），涉及资金678.49万元，所有项目均细化到具体用款单位及项目资金额度。项目预算细化率=（678.49/678.49）*100%=100%</w:t>
      </w:r>
    </w:p>
    <w:p w14:paraId="2E3CE5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242E35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335027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该指标主要考核截至2019年底在职人员控制情况，通过在职人员控制率衡量。</w:t>
      </w:r>
    </w:p>
    <w:p w14:paraId="3A168C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549F98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安肃镇单位职能配置内设机构和人员编制规定》的通知，安肃镇人员编制为77人，根据区2019年决算文本-部门基本情况表，截至2019年底，在职人员107人，在职人员控制率=（107/77）*100%=139%。</w:t>
      </w:r>
    </w:p>
    <w:p w14:paraId="580F0E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60"/>
    <w:bookmarkEnd w:id="61"/>
    <w:p w14:paraId="5E285727">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428DB224">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48FD8D61">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224F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7320DD4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4C86082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796DF1B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6E63AC2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0AC8CE5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E4E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66C273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4BB151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22ACEC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18BE85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75AB62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82CCD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607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90B891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04131FF">
            <w:pPr>
              <w:spacing w:line="420" w:lineRule="exact"/>
              <w:jc w:val="center"/>
              <w:rPr>
                <w:rFonts w:cs="宋体" w:asciiTheme="minorEastAsia" w:hAnsiTheme="minorEastAsia" w:eastAsiaTheme="minorEastAsia"/>
                <w:sz w:val="21"/>
                <w:szCs w:val="21"/>
              </w:rPr>
            </w:pPr>
          </w:p>
        </w:tc>
        <w:tc>
          <w:tcPr>
            <w:tcW w:w="2277" w:type="dxa"/>
            <w:vAlign w:val="center"/>
          </w:tcPr>
          <w:p w14:paraId="0E7B5B3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39CFBC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CB375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7F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CA9024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FF95CA7">
            <w:pPr>
              <w:spacing w:line="420" w:lineRule="exact"/>
              <w:jc w:val="center"/>
              <w:rPr>
                <w:rFonts w:cs="宋体" w:asciiTheme="minorEastAsia" w:hAnsiTheme="minorEastAsia" w:eastAsiaTheme="minorEastAsia"/>
                <w:sz w:val="21"/>
                <w:szCs w:val="21"/>
              </w:rPr>
            </w:pPr>
          </w:p>
        </w:tc>
        <w:tc>
          <w:tcPr>
            <w:tcW w:w="2277" w:type="dxa"/>
            <w:vAlign w:val="center"/>
          </w:tcPr>
          <w:p w14:paraId="64BF20C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4A46F1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55E31D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42C0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B59926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DD30775">
            <w:pPr>
              <w:spacing w:line="420" w:lineRule="exact"/>
              <w:jc w:val="center"/>
              <w:rPr>
                <w:rFonts w:cs="宋体" w:asciiTheme="minorEastAsia" w:hAnsiTheme="minorEastAsia" w:eastAsiaTheme="minorEastAsia"/>
                <w:sz w:val="21"/>
                <w:szCs w:val="21"/>
              </w:rPr>
            </w:pPr>
          </w:p>
        </w:tc>
        <w:tc>
          <w:tcPr>
            <w:tcW w:w="2277" w:type="dxa"/>
            <w:vAlign w:val="center"/>
          </w:tcPr>
          <w:p w14:paraId="6FF8D3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29986A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A2075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833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DC5416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455DCCC">
            <w:pPr>
              <w:spacing w:line="420" w:lineRule="exact"/>
              <w:jc w:val="center"/>
              <w:rPr>
                <w:rFonts w:cs="宋体" w:asciiTheme="minorEastAsia" w:hAnsiTheme="minorEastAsia" w:eastAsiaTheme="minorEastAsia"/>
                <w:sz w:val="21"/>
                <w:szCs w:val="21"/>
              </w:rPr>
            </w:pPr>
          </w:p>
        </w:tc>
        <w:tc>
          <w:tcPr>
            <w:tcW w:w="2277" w:type="dxa"/>
            <w:vAlign w:val="center"/>
          </w:tcPr>
          <w:p w14:paraId="5A5F7E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272F0DD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A3A3E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034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FF3327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AACF904">
            <w:pPr>
              <w:spacing w:line="420" w:lineRule="exact"/>
              <w:jc w:val="center"/>
              <w:rPr>
                <w:rFonts w:cs="宋体" w:asciiTheme="minorEastAsia" w:hAnsiTheme="minorEastAsia" w:eastAsiaTheme="minorEastAsia"/>
                <w:sz w:val="21"/>
                <w:szCs w:val="21"/>
              </w:rPr>
            </w:pPr>
          </w:p>
        </w:tc>
        <w:tc>
          <w:tcPr>
            <w:tcW w:w="2277" w:type="dxa"/>
            <w:vAlign w:val="center"/>
          </w:tcPr>
          <w:p w14:paraId="363778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717886A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0DEEE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47A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7C7451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F48B46D">
            <w:pPr>
              <w:spacing w:line="420" w:lineRule="exact"/>
              <w:jc w:val="center"/>
              <w:rPr>
                <w:rFonts w:cs="宋体" w:asciiTheme="minorEastAsia" w:hAnsiTheme="minorEastAsia" w:eastAsiaTheme="minorEastAsia"/>
                <w:sz w:val="21"/>
                <w:szCs w:val="21"/>
              </w:rPr>
            </w:pPr>
          </w:p>
        </w:tc>
        <w:tc>
          <w:tcPr>
            <w:tcW w:w="2277" w:type="dxa"/>
            <w:vAlign w:val="center"/>
          </w:tcPr>
          <w:p w14:paraId="2CEB326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65C0BD6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690B7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8D7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8C4313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4F2CD3A">
            <w:pPr>
              <w:spacing w:line="420" w:lineRule="exact"/>
              <w:jc w:val="center"/>
              <w:rPr>
                <w:rFonts w:cs="宋体" w:asciiTheme="minorEastAsia" w:hAnsiTheme="minorEastAsia" w:eastAsiaTheme="minorEastAsia"/>
                <w:sz w:val="21"/>
                <w:szCs w:val="21"/>
              </w:rPr>
            </w:pPr>
          </w:p>
        </w:tc>
        <w:tc>
          <w:tcPr>
            <w:tcW w:w="2277" w:type="dxa"/>
            <w:vAlign w:val="center"/>
          </w:tcPr>
          <w:p w14:paraId="15F115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16B0DC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9ACBD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453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7CCED88">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85CBDD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1473BE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477D28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35FC83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3B18F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32D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9EF62F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D03C346">
            <w:pPr>
              <w:spacing w:line="420" w:lineRule="exact"/>
              <w:jc w:val="center"/>
              <w:rPr>
                <w:rFonts w:cs="宋体" w:asciiTheme="minorEastAsia" w:hAnsiTheme="minorEastAsia" w:eastAsiaTheme="minorEastAsia"/>
                <w:sz w:val="21"/>
                <w:szCs w:val="21"/>
              </w:rPr>
            </w:pPr>
          </w:p>
        </w:tc>
        <w:tc>
          <w:tcPr>
            <w:tcW w:w="2277" w:type="dxa"/>
            <w:vAlign w:val="center"/>
          </w:tcPr>
          <w:p w14:paraId="19BBB5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52A3F4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FC92F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EC3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A47500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25639F2">
            <w:pPr>
              <w:spacing w:line="420" w:lineRule="exact"/>
              <w:jc w:val="center"/>
              <w:rPr>
                <w:rFonts w:cs="宋体" w:asciiTheme="minorEastAsia" w:hAnsiTheme="minorEastAsia" w:eastAsiaTheme="minorEastAsia"/>
                <w:sz w:val="21"/>
                <w:szCs w:val="21"/>
              </w:rPr>
            </w:pPr>
          </w:p>
        </w:tc>
        <w:tc>
          <w:tcPr>
            <w:tcW w:w="2277" w:type="dxa"/>
            <w:vAlign w:val="center"/>
          </w:tcPr>
          <w:p w14:paraId="0E6B5C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3C9AF68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D4249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2E0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E8FF0B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AE5B738">
            <w:pPr>
              <w:spacing w:line="420" w:lineRule="exact"/>
              <w:jc w:val="center"/>
              <w:rPr>
                <w:rFonts w:cs="宋体" w:asciiTheme="minorEastAsia" w:hAnsiTheme="minorEastAsia" w:eastAsiaTheme="minorEastAsia"/>
                <w:sz w:val="21"/>
                <w:szCs w:val="21"/>
              </w:rPr>
            </w:pPr>
          </w:p>
        </w:tc>
        <w:tc>
          <w:tcPr>
            <w:tcW w:w="2277" w:type="dxa"/>
            <w:vAlign w:val="center"/>
          </w:tcPr>
          <w:p w14:paraId="0CECA2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42B7CD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96D5C7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536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38DAD124">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374FB0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6013FE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012A16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08E69B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D0D13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231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223DD1E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9865D79">
            <w:pPr>
              <w:spacing w:line="420" w:lineRule="exact"/>
              <w:jc w:val="center"/>
              <w:rPr>
                <w:rFonts w:cs="宋体" w:asciiTheme="minorEastAsia" w:hAnsiTheme="minorEastAsia" w:eastAsiaTheme="minorEastAsia"/>
                <w:sz w:val="21"/>
                <w:szCs w:val="21"/>
              </w:rPr>
            </w:pPr>
          </w:p>
        </w:tc>
        <w:tc>
          <w:tcPr>
            <w:tcW w:w="2277" w:type="dxa"/>
            <w:vAlign w:val="center"/>
          </w:tcPr>
          <w:p w14:paraId="117979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5A05F5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347AB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B10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166274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739E8F66">
            <w:pPr>
              <w:spacing w:line="420" w:lineRule="exact"/>
              <w:jc w:val="center"/>
              <w:rPr>
                <w:rFonts w:cs="宋体" w:asciiTheme="minorEastAsia" w:hAnsiTheme="minorEastAsia" w:eastAsiaTheme="minorEastAsia"/>
                <w:sz w:val="21"/>
                <w:szCs w:val="21"/>
              </w:rPr>
            </w:pPr>
          </w:p>
        </w:tc>
        <w:tc>
          <w:tcPr>
            <w:tcW w:w="1155" w:type="dxa"/>
            <w:vAlign w:val="center"/>
          </w:tcPr>
          <w:p w14:paraId="1D2CA91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5D75BD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44</w:t>
            </w:r>
          </w:p>
        </w:tc>
      </w:tr>
      <w:bookmarkEnd w:id="63"/>
    </w:tbl>
    <w:p w14:paraId="399AB5FA">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3D5D44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30C206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3A475B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5AFBDC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安肃镇的预算指标文件，其中：徐财预指[2019]xxx号追加行政运行办公经费xx万元；徐财预指[2019]xx号追加xxx设备购置及委托业务费合计xx万元；徐财预指[2019]xx号号追加xxx办公经费xx万元、行政运行办公经费及委托业务费合计xx万元，区xxx单位2019年度预算收入的追加数为xx万元，年初预算数为xxx万元，预算收入调整率为xx%，预算调整增加了xx个百分点，扣5.33*0.1*2=1.07分。</w:t>
      </w:r>
    </w:p>
    <w:p w14:paraId="5F2741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该项指标实际得分xx分。</w:t>
      </w:r>
    </w:p>
    <w:p w14:paraId="6C37F5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650363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3A737D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6B626D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根据安肃镇2019年预算文本、决算文本，2019年收入预算数2462.66万元，收入决算数7944.21万元，收入完成率=（决算数/预算数）*100%=323%。</w:t>
      </w:r>
    </w:p>
    <w:p w14:paraId="3F88F2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753A2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1ABF94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59E4C2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4D7D18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财政局下发的预算指标文件，其中：徐财预指[2019]xx号追加行政运行办公经费xx万元；徐财预指[2019]xx号追加xxx设备购置及委托业务费合计xx万元；徐财预指[2019]xx号追加xxx业务办公经费xx万元、行政运行办公经费及委托业务费合计xx万元，安肃镇2019年度预算支出的追加数合计5717.71万元，年初预算数为2462.66万元，预算支出调整率为232%，预算调整率大于10%。</w:t>
      </w:r>
    </w:p>
    <w:p w14:paraId="2E9C29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p w14:paraId="4ED3A1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6334CD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151C66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69F91E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根据2019年决算文本，部门决算财政拨款支出数8148.41万元，财政拨款收入数7943.93万元，财政拨款支出率=（财政拨款支出数/财政拨款收入数）*100%=103%</w:t>
      </w:r>
      <w:r>
        <w:rPr>
          <w:rFonts w:ascii="Arial" w:hAnsi="Arial" w:eastAsia="仿宋_GB2312" w:cs="Arial"/>
          <w:sz w:val="32"/>
          <w:szCs w:val="32"/>
        </w:rPr>
        <w:t>≥</w:t>
      </w:r>
      <w:r>
        <w:rPr>
          <w:rFonts w:hint="eastAsia" w:ascii="仿宋_GB2312" w:eastAsia="仿宋_GB2312" w:cs="DengXian-Regular"/>
          <w:sz w:val="32"/>
          <w:szCs w:val="32"/>
        </w:rPr>
        <w:t>90%。安肃镇2019年年初结转和结余235.23万元，故支出数大于收入数。</w:t>
      </w:r>
    </w:p>
    <w:p w14:paraId="0A6E6B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B914D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3A3FE8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56480B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639DAD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根据安肃镇2019年预算文本及决算文本，“三公”经费年初预算数22万元，年末决算数4.79万元，“三公”经费控制率=（年末决算数/年初预算数）*100%=22%</w:t>
      </w:r>
      <w:r>
        <w:rPr>
          <w:rFonts w:ascii="Arial" w:hAnsi="Arial" w:eastAsia="仿宋_GB2312" w:cs="Arial"/>
          <w:sz w:val="32"/>
          <w:szCs w:val="32"/>
        </w:rPr>
        <w:t>≤</w:t>
      </w:r>
      <w:r>
        <w:rPr>
          <w:rFonts w:hint="eastAsia" w:ascii="仿宋_GB2312" w:eastAsia="仿宋_GB2312" w:cs="DengXian-Regular"/>
          <w:sz w:val="32"/>
          <w:szCs w:val="32"/>
        </w:rPr>
        <w:t>100%。</w:t>
      </w:r>
    </w:p>
    <w:p w14:paraId="23B5AE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64E5B0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3D6850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51D919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2DDBAC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根据安肃镇2019年预算文本及决算文本，政府采购年初预算数0万元，年末决算数751.43万元，政府采购执行率为100%。</w:t>
      </w:r>
    </w:p>
    <w:p w14:paraId="03DD42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5D4227F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195D4B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47BD6D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根据2019年明细账、会计凭证等相关资料，安肃镇资金使用符合相关会计准则和财务制度，资金拨付有完备的审批程序和手续，资金使用符合部门预算批复的用途，未发现截留、挤占、挪用财政资金的情况。</w:t>
      </w:r>
    </w:p>
    <w:p w14:paraId="3DF9EC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178C90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15094D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15508A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经核查安肃镇2019年决算文本、明细账及总账，安肃镇决算文本数据均与明细账、总账一致。</w:t>
      </w:r>
    </w:p>
    <w:p w14:paraId="5DA9CD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4F85BB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131A2A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0B44E60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4D102C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安肃镇工作制度涵盖了财务制度、网络安全制度、公务用车制度等相关制度，经检查安肃镇付款流程审批单、资产盘点表等资料，安肃镇已按照相关管理制度的规定执行。</w:t>
      </w:r>
    </w:p>
    <w:p w14:paraId="59E5D5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6F4A39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5BA48A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24FE52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安肃镇2019年按政府信息公开的有关要求在保定市徐水区人民政府网公开了2019年的预决算情况、部门责任清单、行政监督清单等相关信息。</w:t>
      </w:r>
    </w:p>
    <w:p w14:paraId="5D935C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3488AC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41A9A5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6E029A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根据提供的会计账簿、凭证及其他相关资料，安肃镇会计信息资料真实完整，</w:t>
      </w:r>
    </w:p>
    <w:p w14:paraId="5F1759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F5150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363B2C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6C8683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安肃镇建立了固定资产台账、无形资产台账，资产保存完整，2019年新增资产26.21万元，包含：通用设备（电脑、打印机、空调、显示屏等）14.49万元、图书4.86万元、家具（办公桌椅、文件柜等）6.86万元，资产购置手续完备，配置符合要求，资产管理整体较规范。</w:t>
      </w:r>
    </w:p>
    <w:p w14:paraId="248FDA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457575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5DD591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33D1E9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6E0FD7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32186D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区安肃镇2019年一般项目部门绩效自评表，安肃镇2019年开展绩效自评的项目数为33个，年初预算文本项目数33个，要求自评项目个数33个，自评覆盖率为 100%。</w:t>
      </w:r>
    </w:p>
    <w:p w14:paraId="290D05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3FC1B7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02DC24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5FA847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166FFBA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安肃镇2019年参评数量33个，绩效评价结果达到优等的数量32个，绩效评价优等率为97%。</w:t>
      </w:r>
    </w:p>
    <w:p w14:paraId="3C9DC6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该指标实际得分x分。</w:t>
      </w:r>
      <w:bookmarkEnd w:id="64"/>
      <w:bookmarkEnd w:id="65"/>
    </w:p>
    <w:p w14:paraId="10C86E84">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01036E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6EC2848F">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7F735A91">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752C339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433513E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79E341B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4C78074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EF2BA5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FE78A4B">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5D83F1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21C00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420DDE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44E1E2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D81DD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A2C93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1BACE33">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CDBD53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005D12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6E2D10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F8DF7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853" w:type="dxa"/>
            <w:tcBorders>
              <w:top w:val="single" w:color="000000" w:sz="4" w:space="0"/>
              <w:left w:val="single" w:color="000000" w:sz="4" w:space="0"/>
              <w:bottom w:val="single" w:color="000000" w:sz="4" w:space="0"/>
              <w:right w:val="single" w:color="000000" w:sz="4" w:space="0"/>
            </w:tcBorders>
            <w:vAlign w:val="center"/>
          </w:tcPr>
          <w:p w14:paraId="4CABA1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2F802DC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30F7760">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765EA4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EAFC8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实际完成工作及时率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8103C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853" w:type="dxa"/>
            <w:tcBorders>
              <w:top w:val="single" w:color="000000" w:sz="4" w:space="0"/>
              <w:left w:val="single" w:color="000000" w:sz="4" w:space="0"/>
              <w:bottom w:val="single" w:color="000000" w:sz="4" w:space="0"/>
              <w:right w:val="single" w:color="000000" w:sz="4" w:space="0"/>
            </w:tcBorders>
            <w:vAlign w:val="center"/>
          </w:tcPr>
          <w:p w14:paraId="4B928F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23EF4394">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6029D1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2DF6E939">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6AF5A6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D3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1479B8DC">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14:paraId="284944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16B3B8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09FE11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根据2019年决算文本及相关资料，安肃镇2019年结转结余资金31.91万元，决算收入7944.21万元，结转结余率0.4%，小于5%。</w:t>
      </w:r>
    </w:p>
    <w:p w14:paraId="13B3D8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2F090B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2.项目资金使用率（10分）</w:t>
      </w:r>
    </w:p>
    <w:p w14:paraId="082463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1D8887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项目资金使用率=（实际支出项目资金总额/计划完成项目资金总数）*100%。</w:t>
      </w:r>
    </w:p>
    <w:p w14:paraId="7C897B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2019年实际支出项目资金总额6379.66万元，年初预算共34个项目，预算数678.49万元，年中追加项目资金5711.03万元，项目资金使用率为99.8%。</w:t>
      </w:r>
    </w:p>
    <w:p w14:paraId="5E4C5C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该指标实际得分10分。</w:t>
      </w:r>
    </w:p>
    <w:p w14:paraId="1409D5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rPr>
        <w:t xml:space="preserve"> </w:t>
      </w:r>
      <w:r>
        <w:rPr>
          <w:rFonts w:hint="eastAsia" w:ascii="仿宋_GB2312" w:eastAsia="仿宋_GB2312" w:cs="DengXian-Regular"/>
          <w:sz w:val="32"/>
          <w:szCs w:val="32"/>
        </w:rPr>
        <w:t>实际完成工作及时率（10分）</w:t>
      </w:r>
    </w:p>
    <w:p w14:paraId="349E4D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该指标主要评价实际完成工作及时率，通过项目资金完成及时率来衡量。</w:t>
      </w:r>
    </w:p>
    <w:p w14:paraId="340EED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实际完成工作及时率=（实际完成工作数/计划完成工作数）*100%。</w:t>
      </w:r>
    </w:p>
    <w:p w14:paraId="28D8BA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2019年实际完成工作数71个项目，年初预算共34个项目，年中追加项目37个，实际完成工作及时率为100%。</w:t>
      </w:r>
    </w:p>
    <w:p w14:paraId="0C9889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该指标实际得分10分。</w:t>
      </w:r>
    </w:p>
    <w:p w14:paraId="5C951DEF">
      <w:pPr>
        <w:spacing w:after="0" w:line="360" w:lineRule="auto"/>
        <w:ind w:firstLine="640" w:firstLineChars="200"/>
        <w:jc w:val="both"/>
        <w:textAlignment w:val="baseline"/>
        <w:rPr>
          <w:rFonts w:ascii="仿宋_GB2312" w:eastAsia="仿宋_GB2312" w:cs="DengXian-Regular"/>
          <w:sz w:val="32"/>
          <w:szCs w:val="32"/>
        </w:rPr>
      </w:pPr>
    </w:p>
    <w:p w14:paraId="0EA94221">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4DEDDFEC">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702A058E">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003A133E">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0FCF13C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4A97DD2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6DD68C2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32BBE9B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0BCBFDA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5F014C3">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3FAFEDD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57CA982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750C9EB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4E6680E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013E3D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48B52B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568A32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60932D4E">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687960D4">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4771E99">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7A27A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6E5BA4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1C7EB3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417D2F8">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0A16FF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668C9EB0">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4EAFF6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004209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14:paraId="56A7C200">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14:paraId="7C2715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3687E7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经查看相关资料，安肃镇履行职责对社会发展所带来的社会效益一般，有效的提高了社会公众的环保意识，减少了社会不稳定因素。</w:t>
      </w:r>
    </w:p>
    <w:p w14:paraId="5E187D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该项指标实际得分6分。</w:t>
      </w:r>
    </w:p>
    <w:p w14:paraId="443241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17F4276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2C77959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19000EB8">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53FCE4C6">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7A22D6A7">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3C9897E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491084B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1C56A62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616BFE5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4B23480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49B4509C">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28E9B7CE">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7B3AEAB">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0297D4C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134" w:type="dxa"/>
            <w:tcBorders>
              <w:top w:val="single" w:color="000000" w:sz="4" w:space="0"/>
              <w:left w:val="single" w:color="000000" w:sz="4" w:space="0"/>
              <w:bottom w:val="single" w:color="000000" w:sz="4" w:space="0"/>
              <w:right w:val="single" w:color="000000" w:sz="4" w:space="0"/>
            </w:tcBorders>
            <w:vAlign w:val="center"/>
          </w:tcPr>
          <w:p w14:paraId="4AF1664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4A0B1A9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65285F4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F4FAFF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xx</w:t>
            </w:r>
          </w:p>
        </w:tc>
      </w:tr>
      <w:tr w14:paraId="7AF7ED93">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2E767AB">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09D70BD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134" w:type="dxa"/>
            <w:tcBorders>
              <w:top w:val="single" w:color="000000" w:sz="4" w:space="0"/>
              <w:left w:val="single" w:color="000000" w:sz="4" w:space="0"/>
              <w:bottom w:val="single" w:color="000000" w:sz="4" w:space="0"/>
              <w:right w:val="single" w:color="000000" w:sz="4" w:space="0"/>
            </w:tcBorders>
            <w:vAlign w:val="center"/>
          </w:tcPr>
          <w:p w14:paraId="04C3C0A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4BF6137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0BADCA1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CF46E5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xx</w:t>
            </w:r>
          </w:p>
        </w:tc>
      </w:tr>
      <w:tr w14:paraId="1C08887C">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0203FEE">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6C965EE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134" w:type="dxa"/>
            <w:tcBorders>
              <w:top w:val="single" w:color="000000" w:sz="4" w:space="0"/>
              <w:left w:val="single" w:color="000000" w:sz="4" w:space="0"/>
              <w:bottom w:val="single" w:color="000000" w:sz="4" w:space="0"/>
              <w:right w:val="single" w:color="000000" w:sz="4" w:space="0"/>
            </w:tcBorders>
            <w:vAlign w:val="center"/>
          </w:tcPr>
          <w:p w14:paraId="7DCCC769">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58A3A0A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31624C7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7E230F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r>
    </w:tbl>
    <w:p w14:paraId="173F7A8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1F38EFE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5FCA14A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6AA0F67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经计算，总体得分为xx分，小于(大于）90分，评价等级为“xx”。</w:t>
      </w:r>
    </w:p>
    <w:p w14:paraId="0D654466">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该指标实际得分xx分。</w:t>
      </w:r>
    </w:p>
    <w:p w14:paraId="40F40352">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2C4EC8D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安肃镇</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14:paraId="20BD9C6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55CEE71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7D961AA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22D7CF1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4.项目资金使用率方面</w:t>
      </w:r>
    </w:p>
    <w:bookmarkEnd w:id="75"/>
    <w:bookmarkEnd w:id="76"/>
    <w:p w14:paraId="422DEEDD">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14:paraId="0C896553">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区安肃镇</w:t>
      </w:r>
      <w:r>
        <w:rPr>
          <w:rFonts w:hint="eastAsia" w:ascii="仿宋_GB2312" w:eastAsia="仿宋_GB2312" w:cs="Times New Roman" w:hAnsiTheme="minorEastAsia"/>
          <w:sz w:val="32"/>
          <w:szCs w:val="32"/>
          <w:u w:color="000000"/>
        </w:rPr>
        <w:t>部门基本情况及主要职责</w:t>
      </w:r>
    </w:p>
    <w:p w14:paraId="3E71D1B8">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安肃镇</w:t>
      </w:r>
      <w:r>
        <w:rPr>
          <w:rFonts w:hint="eastAsia" w:ascii="仿宋_GB2312" w:eastAsia="仿宋_GB2312" w:cs="Times New Roman" w:hAnsiTheme="minorEastAsia"/>
          <w:sz w:val="32"/>
          <w:szCs w:val="32"/>
          <w:u w:color="000000"/>
        </w:rPr>
        <w:t>收支预算及决算明细表</w:t>
      </w:r>
    </w:p>
    <w:p w14:paraId="6E4EF618">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0CE7F257">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w:t>
      </w:r>
      <w:r>
        <w:rPr>
          <w:rFonts w:hint="eastAsia" w:ascii="仿宋_GB2312" w:eastAsia="仿宋_GB2312" w:cs="DengXian-Regular"/>
          <w:sz w:val="32"/>
          <w:szCs w:val="32"/>
        </w:rPr>
        <w:t>安肃镇</w:t>
      </w:r>
      <w:r>
        <w:rPr>
          <w:rFonts w:hint="eastAsia" w:ascii="仿宋_GB2312" w:eastAsia="仿宋_GB2312" w:cs="Times New Roman" w:hAnsiTheme="minorEastAsia"/>
          <w:sz w:val="32"/>
          <w:szCs w:val="32"/>
          <w:u w:color="000000"/>
        </w:rPr>
        <w:t>工作活动绩效目标、绩效指标一览表</w:t>
      </w:r>
      <w:bookmarkEnd w:id="77"/>
    </w:p>
    <w:p w14:paraId="41FD727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5AD144E">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B566EFC">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0D806FE">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2D74D9F">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2FB74">
    <w:pPr>
      <w:pStyle w:val="14"/>
      <w:jc w:val="center"/>
    </w:pPr>
  </w:p>
  <w:p w14:paraId="0A87D66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0165">
    <w:pPr>
      <w:pStyle w:val="14"/>
      <w:jc w:val="center"/>
    </w:pPr>
    <w:r>
      <w:fldChar w:fldCharType="begin"/>
    </w:r>
    <w:r>
      <w:instrText xml:space="preserve"> PAGE   \* MERGEFORMAT </w:instrText>
    </w:r>
    <w:r>
      <w:fldChar w:fldCharType="separate"/>
    </w:r>
    <w:r>
      <w:rPr>
        <w:lang w:val="zh-CN"/>
      </w:rPr>
      <w:t>6</w:t>
    </w:r>
    <w:r>
      <w:rPr>
        <w:lang w:val="zh-CN"/>
      </w:rPr>
      <w:fldChar w:fldCharType="end"/>
    </w:r>
  </w:p>
  <w:p w14:paraId="18236E8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FiMDNlYTY3MWViZjQwOWM2YmE5NTZlOTM5MzNkNzMifQ=="/>
  </w:docVars>
  <w:rsids>
    <w:rsidRoot w:val="00D31D50"/>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81E0A"/>
    <w:rsid w:val="00091D50"/>
    <w:rsid w:val="000935D5"/>
    <w:rsid w:val="0009618D"/>
    <w:rsid w:val="00096195"/>
    <w:rsid w:val="0009756F"/>
    <w:rsid w:val="000A1F67"/>
    <w:rsid w:val="000A2079"/>
    <w:rsid w:val="000A5467"/>
    <w:rsid w:val="000A792B"/>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E41A6"/>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27A01"/>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4554"/>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3C9"/>
    <w:rsid w:val="00292F98"/>
    <w:rsid w:val="002939A0"/>
    <w:rsid w:val="002959A3"/>
    <w:rsid w:val="0029626E"/>
    <w:rsid w:val="00296E59"/>
    <w:rsid w:val="00297CEF"/>
    <w:rsid w:val="002A0364"/>
    <w:rsid w:val="002A1661"/>
    <w:rsid w:val="002A1A25"/>
    <w:rsid w:val="002A563C"/>
    <w:rsid w:val="002A61F9"/>
    <w:rsid w:val="002B05EF"/>
    <w:rsid w:val="002B2E34"/>
    <w:rsid w:val="002B76FA"/>
    <w:rsid w:val="002C029E"/>
    <w:rsid w:val="002C0D76"/>
    <w:rsid w:val="002C2C71"/>
    <w:rsid w:val="002C5A65"/>
    <w:rsid w:val="002C71F3"/>
    <w:rsid w:val="002D2112"/>
    <w:rsid w:val="002D53D7"/>
    <w:rsid w:val="002D5508"/>
    <w:rsid w:val="002D5FC1"/>
    <w:rsid w:val="002D7AB3"/>
    <w:rsid w:val="002E1482"/>
    <w:rsid w:val="002E1D3C"/>
    <w:rsid w:val="002E1F73"/>
    <w:rsid w:val="002E269D"/>
    <w:rsid w:val="002E3460"/>
    <w:rsid w:val="002E70AE"/>
    <w:rsid w:val="002F0C41"/>
    <w:rsid w:val="002F46F6"/>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5592"/>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0B24"/>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1F9E"/>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7DF"/>
    <w:rsid w:val="00564377"/>
    <w:rsid w:val="00564538"/>
    <w:rsid w:val="00566A89"/>
    <w:rsid w:val="00567E07"/>
    <w:rsid w:val="00575E9C"/>
    <w:rsid w:val="005771F7"/>
    <w:rsid w:val="00577B7B"/>
    <w:rsid w:val="00583F7F"/>
    <w:rsid w:val="0058600B"/>
    <w:rsid w:val="00587913"/>
    <w:rsid w:val="00593428"/>
    <w:rsid w:val="00593B65"/>
    <w:rsid w:val="005A039D"/>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644C"/>
    <w:rsid w:val="0067780F"/>
    <w:rsid w:val="00686C30"/>
    <w:rsid w:val="00690FA3"/>
    <w:rsid w:val="0069331D"/>
    <w:rsid w:val="00696DF8"/>
    <w:rsid w:val="0069783E"/>
    <w:rsid w:val="00697E26"/>
    <w:rsid w:val="006A0330"/>
    <w:rsid w:val="006A3AE1"/>
    <w:rsid w:val="006A3B57"/>
    <w:rsid w:val="006A6AB2"/>
    <w:rsid w:val="006A7B7D"/>
    <w:rsid w:val="006B117D"/>
    <w:rsid w:val="006B19B7"/>
    <w:rsid w:val="006B392C"/>
    <w:rsid w:val="006B4CC0"/>
    <w:rsid w:val="006B65B0"/>
    <w:rsid w:val="006C5198"/>
    <w:rsid w:val="006C6A07"/>
    <w:rsid w:val="006D2C34"/>
    <w:rsid w:val="006E0A3D"/>
    <w:rsid w:val="006E27F1"/>
    <w:rsid w:val="006E5BC8"/>
    <w:rsid w:val="006E7CBA"/>
    <w:rsid w:val="006F222F"/>
    <w:rsid w:val="006F7B69"/>
    <w:rsid w:val="0070241F"/>
    <w:rsid w:val="007024A9"/>
    <w:rsid w:val="00703C96"/>
    <w:rsid w:val="00704C40"/>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1F20"/>
    <w:rsid w:val="0079721A"/>
    <w:rsid w:val="007A095C"/>
    <w:rsid w:val="007A0AF8"/>
    <w:rsid w:val="007A283A"/>
    <w:rsid w:val="007A65C8"/>
    <w:rsid w:val="007A6B16"/>
    <w:rsid w:val="007A7AC4"/>
    <w:rsid w:val="007B50A7"/>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45D"/>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E6C1C"/>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494F"/>
    <w:rsid w:val="00934BD9"/>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C380B"/>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1C4"/>
    <w:rsid w:val="00B34A43"/>
    <w:rsid w:val="00B36912"/>
    <w:rsid w:val="00B404A0"/>
    <w:rsid w:val="00B4256A"/>
    <w:rsid w:val="00B432AB"/>
    <w:rsid w:val="00B54D75"/>
    <w:rsid w:val="00B60C2A"/>
    <w:rsid w:val="00B61C81"/>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1393"/>
    <w:rsid w:val="00BC60E6"/>
    <w:rsid w:val="00BE2395"/>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A20"/>
    <w:rsid w:val="00C73E69"/>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2957"/>
    <w:rsid w:val="00D13F47"/>
    <w:rsid w:val="00D14E66"/>
    <w:rsid w:val="00D159FC"/>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B08"/>
    <w:rsid w:val="00D85F8D"/>
    <w:rsid w:val="00D87F81"/>
    <w:rsid w:val="00D90E39"/>
    <w:rsid w:val="00D97E89"/>
    <w:rsid w:val="00DA3692"/>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20832"/>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195B"/>
    <w:rsid w:val="00E7727F"/>
    <w:rsid w:val="00E83519"/>
    <w:rsid w:val="00E91889"/>
    <w:rsid w:val="00E91F0F"/>
    <w:rsid w:val="00E93EEF"/>
    <w:rsid w:val="00E944E2"/>
    <w:rsid w:val="00E95C54"/>
    <w:rsid w:val="00E96103"/>
    <w:rsid w:val="00EA027D"/>
    <w:rsid w:val="00EA5A2D"/>
    <w:rsid w:val="00EB22CF"/>
    <w:rsid w:val="00EB3414"/>
    <w:rsid w:val="00EB39DD"/>
    <w:rsid w:val="00EB40E4"/>
    <w:rsid w:val="00EB67BA"/>
    <w:rsid w:val="00EC16F8"/>
    <w:rsid w:val="00EC306F"/>
    <w:rsid w:val="00EC408E"/>
    <w:rsid w:val="00EC41F2"/>
    <w:rsid w:val="00EC4EB3"/>
    <w:rsid w:val="00EC5617"/>
    <w:rsid w:val="00EC7C9E"/>
    <w:rsid w:val="00ED090B"/>
    <w:rsid w:val="00ED230D"/>
    <w:rsid w:val="00ED2440"/>
    <w:rsid w:val="00ED7F40"/>
    <w:rsid w:val="00EE1C0B"/>
    <w:rsid w:val="00EE59D0"/>
    <w:rsid w:val="00EE7DB3"/>
    <w:rsid w:val="00EE7FF3"/>
    <w:rsid w:val="00EF26BF"/>
    <w:rsid w:val="00EF4861"/>
    <w:rsid w:val="00EF4EC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1AFA"/>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BB0"/>
    <w:rsid w:val="00FF6EAF"/>
    <w:rsid w:val="00FF7408"/>
    <w:rsid w:val="01695955"/>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AD7468"/>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A4B39"/>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5D42687"/>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89532\Desktop\&#24213;&#31295;---&#33258;&#24049;&#303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2019</a:t>
            </a:r>
            <a:r>
              <a:rPr lang="zh-CN" altLang="en-US" sz="1400" b="0">
                <a:latin typeface="仿宋" panose="02010609060101010101" pitchFamily="3" charset="-122"/>
                <a:ea typeface="仿宋" panose="02010609060101010101" pitchFamily="3" charset="-122"/>
                <a:cs typeface="仿宋" panose="02010609060101010101" pitchFamily="3" charset="-122"/>
              </a:rPr>
              <a:t>年度预算收入与决算收入对比图</a:t>
            </a:r>
            <a:endParaRPr lang="zh-CN" altLang="en-US" sz="1400" b="0">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186409052606237"/>
          <c:y val="0.00684150513112889"/>
        </c:manualLayout>
      </c:layout>
      <c:overlay val="0"/>
    </c:title>
    <c:autoTitleDeleted val="0"/>
    <c:plotArea>
      <c:layout>
        <c:manualLayout>
          <c:layoutTarget val="inner"/>
          <c:xMode val="edge"/>
          <c:yMode val="edge"/>
          <c:x val="0.159427550004525"/>
          <c:y val="0.174797092671109"/>
          <c:w val="0.684520830835232"/>
          <c:h val="0.388237431859482"/>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0.02030456852791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6818950930626"/>
                  <c:y val="-0.07692307692307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6"/>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0.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768189509306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0"/>
          <c:showBubbleSize val="0"/>
        </c:dLbls>
        <c:gapWidth val="150"/>
        <c:axId val="238132224"/>
        <c:axId val="237929600"/>
      </c:barChart>
      <c:catAx>
        <c:axId val="238132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7929600"/>
        <c:crosses val="autoZero"/>
        <c:auto val="1"/>
        <c:lblAlgn val="ctr"/>
        <c:lblOffset val="100"/>
        <c:noMultiLvlLbl val="0"/>
      </c:catAx>
      <c:valAx>
        <c:axId val="237929600"/>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81322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e2a3bed-c7d9-4c8b-ac7e-8ef54875e807}"/>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2018</a:t>
            </a:r>
            <a:r>
              <a:rPr lang="zh-CN" altLang="en-US" sz="1400" b="0">
                <a:latin typeface="仿宋" panose="02010609060101010101" pitchFamily="3" charset="-122"/>
                <a:ea typeface="仿宋" panose="02010609060101010101" pitchFamily="3" charset="-122"/>
                <a:cs typeface="仿宋" panose="02010609060101010101" pitchFamily="3" charset="-122"/>
              </a:rPr>
              <a:t>年度决算支出结构图</a:t>
            </a:r>
            <a:endParaRPr lang="zh-CN" altLang="en-US" sz="1400" b="0">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298346055979648"/>
          <c:y val="0.00682593856655289"/>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9f08b2eb-7d6b-418a-981b-96ebc9ebe54e}"/>
      </c:ext>
    </c:extLst>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2018</a:t>
            </a:r>
            <a:r>
              <a:rPr lang="zh-CN" altLang="en-US" sz="1400" b="0">
                <a:latin typeface="仿宋" panose="02010609060101010101" pitchFamily="3" charset="-122"/>
                <a:ea typeface="仿宋" panose="02010609060101010101" pitchFamily="3" charset="-122"/>
                <a:cs typeface="仿宋" panose="02010609060101010101" pitchFamily="3" charset="-122"/>
              </a:rPr>
              <a:t>年预算支出与决算支出对比图</a:t>
            </a:r>
            <a:endParaRPr lang="zh-CN" altLang="en-US" sz="1400" b="0">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212023186761504"/>
          <c:y val="0.00789265982636148"/>
        </c:manualLayout>
      </c:layout>
      <c:overlay val="0"/>
    </c:title>
    <c:autoTitleDeleted val="0"/>
    <c:plotArea>
      <c:layout>
        <c:manualLayout>
          <c:layoutTarget val="inner"/>
          <c:xMode val="edge"/>
          <c:yMode val="edge"/>
          <c:x val="0.176327804291726"/>
          <c:y val="0.151059495972789"/>
          <c:w val="0.677196941205967"/>
          <c:h val="0.388318863456989"/>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0.02030456852791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6818950930626"/>
                  <c:y val="-0.07692307692307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6"/>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0.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768189509306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0"/>
          <c:showBubbleSize val="0"/>
        </c:dLbls>
        <c:gapWidth val="150"/>
        <c:axId val="237959424"/>
        <c:axId val="238092288"/>
      </c:barChart>
      <c:catAx>
        <c:axId val="2379594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8092288"/>
        <c:crosses val="autoZero"/>
        <c:auto val="1"/>
        <c:lblAlgn val="ctr"/>
        <c:lblOffset val="100"/>
        <c:noMultiLvlLbl val="0"/>
      </c:catAx>
      <c:valAx>
        <c:axId val="238092288"/>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79594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5c001bb-84fe-4dbb-be6f-1223147481ff}"/>
      </c:ext>
    </c:extLst>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3608362" y="174387"/>
          <a:ext cx="566046" cy="103787"/>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4857751" y="400050"/>
          <a:ext cx="762000"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0FA5-592F-48A3-BC49-E6CC61B98F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4619</Words>
  <Characters>5241</Characters>
  <Lines>108</Lines>
  <Paragraphs>30</Paragraphs>
  <TotalTime>669</TotalTime>
  <ScaleCrop>false</ScaleCrop>
  <LinksUpToDate>false</LinksUpToDate>
  <CharactersWithSpaces>5392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郑金峰</cp:lastModifiedBy>
  <cp:lastPrinted>2020-08-10T02:34:00Z</cp:lastPrinted>
  <dcterms:modified xsi:type="dcterms:W3CDTF">2025-05-12T03:35:00Z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44EE0423E96C4B9098A66EE0DA99C20D_12</vt:lpwstr>
  </property>
  <property fmtid="{D5CDD505-2E9C-101B-9397-08002B2CF9AE}" pid="4" name="KSOTemplateDocerSaveRecord">
    <vt:lpwstr>eyJoZGlkIjoiMjFiMDNlYTY3MWViZjQwOWM2YmE5NTZlOTM5MzNkNzMiLCJ1c2VySWQiOiIzMDU0ODE4MzIifQ==</vt:lpwstr>
  </property>
</Properties>
</file>