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883" w:firstLineChars="200"/>
        <w:jc w:val="both"/>
        <w:rPr>
          <w:rFonts w:asciiTheme="majorEastAsia" w:hAnsiTheme="majorEastAsia" w:eastAsiaTheme="majorEastAsia" w:cstheme="majorEastAsia"/>
          <w:b/>
          <w:kern w:val="2"/>
          <w:sz w:val="44"/>
          <w:szCs w:val="44"/>
        </w:rPr>
      </w:pPr>
    </w:p>
    <w:p>
      <w:pPr>
        <w:widowControl w:val="0"/>
        <w:adjustRightInd/>
        <w:snapToGrid/>
        <w:spacing w:after="0" w:line="540" w:lineRule="exact"/>
        <w:ind w:firstLine="883" w:firstLineChars="200"/>
        <w:jc w:val="both"/>
        <w:rPr>
          <w:rFonts w:asciiTheme="majorEastAsia" w:hAnsiTheme="majorEastAsia" w:eastAsiaTheme="majorEastAsia" w:cstheme="majorEastAsia"/>
          <w:b/>
          <w:kern w:val="2"/>
          <w:sz w:val="44"/>
          <w:szCs w:val="44"/>
        </w:rPr>
      </w:pPr>
      <w:r>
        <w:rPr>
          <w:rFonts w:asciiTheme="majorEastAsia" w:hAnsiTheme="majorEastAsia" w:eastAsiaTheme="majorEastAsia" w:cstheme="majorEastAsia"/>
          <w:b/>
          <w:kern w:val="2"/>
          <w:sz w:val="44"/>
          <w:szCs w:val="44"/>
        </w:rPr>
        <w:t>附件</w:t>
      </w:r>
      <w:r>
        <w:rPr>
          <w:rFonts w:hint="eastAsia" w:asciiTheme="majorEastAsia" w:hAnsiTheme="majorEastAsia" w:eastAsiaTheme="majorEastAsia" w:cstheme="majorEastAsia"/>
          <w:b/>
          <w:kern w:val="2"/>
          <w:sz w:val="44"/>
          <w:szCs w:val="44"/>
        </w:rPr>
        <w:t>2</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中共保定市徐水区委老干部局</w:t>
      </w:r>
    </w:p>
    <w:p>
      <w:pPr>
        <w:widowControl w:val="0"/>
        <w:adjustRightInd/>
        <w:snapToGrid/>
        <w:spacing w:after="0" w:line="580" w:lineRule="exact"/>
        <w:jc w:val="center"/>
        <w:rPr>
          <w:rFonts w:ascii="黑体" w:hAnsi="黑体" w:eastAsia="黑体" w:cs="Times New Roman"/>
          <w:bCs/>
          <w:kern w:val="2"/>
          <w:sz w:val="48"/>
          <w:szCs w:val="48"/>
        </w:rPr>
      </w:pPr>
      <w:r>
        <w:rPr>
          <w:rFonts w:hint="eastAsia" w:asciiTheme="majorEastAsia" w:hAnsiTheme="majorEastAsia" w:eastAsiaTheme="majorEastAsia" w:cstheme="majorEastAsia"/>
          <w:b/>
          <w:kern w:val="2"/>
          <w:sz w:val="44"/>
          <w:szCs w:val="44"/>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22</w:t>
      </w:r>
      <w:r>
        <w:rPr>
          <w:rFonts w:hint="eastAsia" w:cs="Times New Roman" w:asciiTheme="minorEastAsia" w:hAnsiTheme="minorEastAsia" w:eastAsiaTheme="minorEastAsia"/>
          <w:bCs/>
          <w:kern w:val="2"/>
          <w:sz w:val="36"/>
          <w:szCs w:val="36"/>
        </w:rPr>
        <w:t>年11月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2"/>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9"/>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一、中共保定市徐水区委老干部局基本情况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9"/>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9"/>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hint="eastAsia" w:ascii="仿宋_GB2312" w:eastAsia="仿宋_GB2312" w:cs="DengXian-Regular"/>
          <w:sz w:val="32"/>
          <w:szCs w:val="32"/>
        </w:rPr>
        <w:t>年部门整体支出情况开展了绩效自评价工作。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保定市徐水区老干部局为正科级行政单位，经费保障形式为财政拨款，下设2个股室，分别为办公室、服务管理股，主要职责有：</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负责贯彻落实党中央、国务院、省委、省政府、市委、市政府和区委、区政府关于离退休干部工作的方针政策，拟订或参与拟订全区离退休干部工作有关的具体规定和办法。</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指导、督促、检查各乡镇及各部门的离退休干部工作，组织和协调有关部门共同做好离退休干部工作。</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负责易地安置离休干部服务管理工作。</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指导督促各乡镇及各部门落实离退休干部的政治和生活待遇并进行检查。抓好离休干部“两费”（离休费、医药费）的落实；调查研究离退休干部政治和生活待遇落实中存在的问题，协调有关部门提出解决办法。</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协助组织部门抓好离退休干部党支部建设，加强和改进新形势下老干部的思想政治工作。</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指导全区老干部活动中心（室、站）学习活动阵地建设与管理；组织和指导离退休干部开展文化艺术、体育娱乐、保健讲座、健康疗养、参观学习等活动；指导全区老年教育工作，负责老年大学的建设和管理。</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指导全区各乡镇及各部门组织引导离退休干部利用自身优势，在政治、经济、文化和青少年教育等各领域发挥作用。</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负责指导逝世离休干部的善后工作。</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负责回区老干部探亲访友和其它老干部工作部门到区的联络接待工作。</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承担区委老干部工作领导小组办公室的日常工 作。</w:t>
      </w:r>
    </w:p>
    <w:p>
      <w:pPr>
        <w:tabs>
          <w:tab w:val="left" w:pos="312"/>
        </w:tabs>
        <w:spacing w:after="0" w:line="360" w:lineRule="auto"/>
        <w:ind w:left="640"/>
        <w:jc w:val="both"/>
        <w:textAlignment w:val="baseline"/>
        <w:rPr>
          <w:rFonts w:ascii="仿宋_GB2312" w:eastAsia="仿宋_GB2312" w:cs="DengXian-Regular"/>
          <w:sz w:val="32"/>
          <w:szCs w:val="32"/>
        </w:rPr>
      </w:pPr>
      <w:r>
        <w:rPr>
          <w:rFonts w:hint="eastAsia" w:ascii="仿宋_GB2312" w:eastAsia="仿宋_GB2312" w:cs="DengXian-Regular"/>
          <w:sz w:val="32"/>
          <w:szCs w:val="32"/>
        </w:rPr>
        <w:t>（十一）承担区关心下一代工作委员会办公室的日常工作。</w:t>
      </w:r>
    </w:p>
    <w:p>
      <w:pPr>
        <w:tabs>
          <w:tab w:val="left" w:pos="312"/>
        </w:tabs>
        <w:spacing w:after="0" w:line="360" w:lineRule="auto"/>
        <w:ind w:left="640"/>
        <w:jc w:val="both"/>
        <w:textAlignment w:val="baseline"/>
        <w:rPr>
          <w:rFonts w:ascii="仿宋_GB2312" w:eastAsia="仿宋_GB2312" w:cs="DengXian-Regular"/>
          <w:sz w:val="32"/>
          <w:szCs w:val="32"/>
        </w:rPr>
      </w:pPr>
      <w:r>
        <w:rPr>
          <w:rFonts w:hint="eastAsia" w:ascii="仿宋_GB2312" w:eastAsia="仿宋_GB2312" w:cs="DengXian-Regular"/>
          <w:sz w:val="32"/>
          <w:szCs w:val="32"/>
        </w:rPr>
        <w:t>（十二）承办区委、区政府交办的其它事项。</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老干部局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区老干部局202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委老干部局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区委老干部局202</w:t>
      </w:r>
      <w:r>
        <w:rPr>
          <w:rFonts w:ascii="仿宋_GB2312" w:eastAsia="仿宋_GB2312" w:cs="DengXian-Regular"/>
          <w:sz w:val="32"/>
          <w:szCs w:val="32"/>
        </w:rPr>
        <w:t>1</w:t>
      </w:r>
      <w:r>
        <w:rPr>
          <w:rFonts w:hint="eastAsia" w:ascii="仿宋_GB2312" w:eastAsia="仿宋_GB2312" w:cs="DengXian-Regular"/>
          <w:sz w:val="32"/>
          <w:szCs w:val="32"/>
        </w:rPr>
        <w:t>年部门整体支出综合评价得分为92分，评价等级为“优”。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经评价，区委老干部局202</w:t>
      </w:r>
      <w:r>
        <w:rPr>
          <w:rFonts w:ascii="仿宋_GB2312" w:eastAsia="仿宋_GB2312" w:cs="DengXian-Regular"/>
          <w:sz w:val="32"/>
          <w:szCs w:val="32"/>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委老干部局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w:t>
      </w:r>
      <w:r>
        <w:rPr>
          <w:rFonts w:hint="eastAsia" w:ascii="仿宋_GB2312" w:eastAsia="仿宋_GB2312" w:cs="DengXian-Regular"/>
          <w:sz w:val="32"/>
          <w:szCs w:val="32"/>
        </w:rPr>
        <w:t>1</w:t>
      </w:r>
      <w:r>
        <w:rPr>
          <w:rFonts w:ascii="仿宋_GB2312" w:eastAsia="仿宋_GB2312" w:cs="DengXian-Regular"/>
          <w:sz w:val="32"/>
          <w:szCs w:val="32"/>
        </w:rPr>
        <w:t>年基本支出决算数较预算数</w:t>
      </w:r>
      <w:r>
        <w:rPr>
          <w:rFonts w:hint="eastAsia" w:ascii="仿宋_GB2312" w:eastAsia="仿宋_GB2312" w:cs="DengXian-Regular"/>
          <w:sz w:val="32"/>
          <w:szCs w:val="32"/>
        </w:rPr>
        <w:t>减少</w:t>
      </w:r>
      <w:r>
        <w:rPr>
          <w:rFonts w:ascii="仿宋_GB2312" w:eastAsia="仿宋_GB2312" w:cs="DengXian-Regular"/>
          <w:sz w:val="32"/>
          <w:szCs w:val="32"/>
        </w:rPr>
        <w:t>，主要原因为有人员退休，建议202</w:t>
      </w:r>
      <w:r>
        <w:rPr>
          <w:rFonts w:hint="eastAsia" w:ascii="仿宋_GB2312" w:eastAsia="仿宋_GB2312" w:cs="DengXian-Regular"/>
          <w:sz w:val="32"/>
          <w:szCs w:val="32"/>
        </w:rPr>
        <w:t>2</w:t>
      </w:r>
      <w:r>
        <w:rPr>
          <w:rFonts w:ascii="仿宋_GB2312" w:eastAsia="仿宋_GB2312" w:cs="DengXian-Regular"/>
          <w:sz w:val="32"/>
          <w:szCs w:val="32"/>
        </w:rPr>
        <w:t>年预算根据</w:t>
      </w:r>
      <w:r>
        <w:rPr>
          <w:rFonts w:hint="eastAsia" w:ascii="仿宋_GB2312" w:eastAsia="仿宋_GB2312" w:cs="DengXian-Regular"/>
          <w:sz w:val="32"/>
          <w:szCs w:val="32"/>
        </w:rPr>
        <w:t>2021年实际发生人员经费支出、人员数量和工资标准适当安排人员经费预算。</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w:t>
      </w:r>
      <w:r>
        <w:rPr>
          <w:rFonts w:hint="eastAsia" w:ascii="仿宋_GB2312" w:eastAsia="仿宋_GB2312" w:cs="DengXian-Regular"/>
          <w:sz w:val="32"/>
          <w:szCs w:val="32"/>
        </w:rPr>
        <w:t>1</w:t>
      </w:r>
      <w:r>
        <w:rPr>
          <w:rFonts w:ascii="仿宋_GB2312" w:eastAsia="仿宋_GB2312" w:cs="DengXian-Regular"/>
          <w:sz w:val="32"/>
          <w:szCs w:val="32"/>
        </w:rPr>
        <w:t>年项目支出资金</w:t>
      </w:r>
      <w:r>
        <w:rPr>
          <w:rFonts w:hint="eastAsia" w:ascii="仿宋_GB2312" w:eastAsia="仿宋_GB2312" w:cs="DengXian-Regular"/>
          <w:sz w:val="32"/>
          <w:szCs w:val="32"/>
        </w:rPr>
        <w:t>全部按时</w:t>
      </w:r>
      <w:r>
        <w:rPr>
          <w:rFonts w:ascii="仿宋_GB2312" w:eastAsia="仿宋_GB2312" w:cs="DengXian-Regular"/>
          <w:sz w:val="32"/>
          <w:szCs w:val="32"/>
        </w:rPr>
        <w:t>正常支出。</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一、保定市徐水区委老干部局基本情况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委老干部局职能配置内设机构和人员编制规定》的通知，区委老干部局为区政府工作部门，正科级单位，下设2个股室。区委老干部局根据绩效预算管理改革的相关要求，按照“部</w:t>
      </w:r>
      <w:bookmarkStart w:id="6" w:name="_Toc465149499"/>
      <w:bookmarkStart w:id="7" w:name="_Toc492652765"/>
      <w:r>
        <w:rPr>
          <w:rFonts w:hint="eastAsia" w:ascii="仿宋_GB2312" w:eastAsia="仿宋_GB2312" w:cs="DengXian-Regular"/>
          <w:sz w:val="32"/>
          <w:szCs w:val="32"/>
        </w:rPr>
        <w:t>门职责—工作活动绩效目标”的层级设立了绩效预算架构。</w:t>
      </w:r>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ascii="仿宋_GB2312" w:eastAsia="仿宋_GB2312" w:cs="DengXian-Regular"/>
          <w:sz w:val="32"/>
          <w:szCs w:val="32"/>
        </w:rPr>
        <w:t>1</w:t>
      </w:r>
      <w:r>
        <w:rPr>
          <w:rFonts w:hint="eastAsia" w:ascii="仿宋_GB2312" w:eastAsia="仿宋_GB2312" w:cs="DengXian-Regular"/>
          <w:sz w:val="32"/>
          <w:szCs w:val="32"/>
        </w:rPr>
        <w:t>年绩效预算编制要求，区委老干部局设置的年度发展规划总体目标为：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92652766"/>
      <w:bookmarkStart w:id="11" w:name="_Toc465149500"/>
      <w:r>
        <w:rPr>
          <w:rFonts w:hint="eastAsia" w:ascii="仿宋_GB2312" w:eastAsia="仿宋_GB2312" w:cs="DengXian-Regular"/>
          <w:sz w:val="32"/>
          <w:szCs w:val="32"/>
        </w:rPr>
        <w:t>紧紧围绕全区中心工作和区委重要部署，科学决策、坚持以人为本，认真落实好离退休干部政治待遇，落实三项保障机制为重点,抓好离退休干部的生活待遇，进一步完善老干部活动中心建设，组织引导老干部积极发挥余热。增强责任感和工作积极性，不断提高对离退休干部的服务水平。适应新形势、新任务、新要求，抓好老干部局自身建设，提高服务质量，不断规范履职行为，努力开创老干部局工作新局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离退休干部政策及服务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1、落实老干部政策、生活待遇贯彻落实国家关于离退休干部的方针政策，组织落实离退休干部的政治、生活待遇, 老干部生活待遇保障率达到100%，离退休干部慰问经费让每位老干部感受到政治上的关心，生活上的爱护，加强离退休干部管理制度。离休干部和区级实职退休干部体检费， 让每位老干部感受到政治上的关心，生活上的爱护。老年节区内参观视察经费组织引导老干部积极发挥余热，保障离退休干部各项政策的落实。</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老年活动阵地建设。</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老年教育及关心下一代，贯彻执行老年教育和老干部工作方针，构建终身教育体系；开展全区关心下一代工作，组织老同志参加青少年教育工作。老年教育普及率达到100%，计划开展两个项目，一是老年大学经费：目前已开办文艺、戏曲、书法、绘画、老干部知识讲堂等专业班。以老年大学为依托成立的老干部合唱团、京剧社、老年书画研究会等老干部社团也非常活跃，经常参加省、市、县组织的各项活动，既丰富了老干部的文化生活，也为我县精神文明建设贡献了力量。二是关心下一代工作委员会经费：关工委是在各级党委、政府领导下，以离退休老同志为主体，党政有关部门和群团组织负责人参加的，以关心、教育、培养青少年健康成长为目的的工作组织,是党和政府教育青少年的参谋和助手，联系青少年的桥梁和纽带，在对青少年的教育中发挥着传承、引导、关爱、保护中不可替代的作用。各级关工委要在党委、政府领导，按照“急党政之所急、想青少年所需、尽关工委所能”的工作方针，围绕中心、服务大局，勇于创新、主动作为，充分发挥“五老”的优势和作用，开展丰富多彩、生动活泼及教育和关爱活动。关工委办公室要承上启下、联系协调、当好参谋，竭诚为老同志开展关心下一代工作做好服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综合事务管理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1、综合事务管理，负责离退休干部管理服务机构设施维修改造、后勤保障、日常运转。综合事务管理工作完成率达到100%。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委老干部局预算收入258.22万元，均为一般公共预算拨款，其中：财政拨款258.22万元。预算收入按功能分类包含：社会保障和就业支出239.04万元，卫生健康支出10.43万元，住房保障支出8.75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委老干部局决算收入206.45万元，其中：财政拨款收入206.41万元，其他收入0.04万元（全部为利息收入）。决算收入按功能分类包含：社会保障和就业支出193.1万元，占比93.54%；卫生健康支出4.69万元，占比2.27%；住房保障支出8.65万元，占比4.19%。具体决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图1  202</w:t>
      </w:r>
      <w:r>
        <w:rPr>
          <w:rFonts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t>年度区委老干部局决算收入结构图</w:t>
      </w:r>
    </w:p>
    <w:p>
      <w:pPr>
        <w:spacing w:after="0" w:line="360" w:lineRule="auto"/>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ascii="仿宋_GB2312" w:eastAsia="仿宋_GB2312" w:cs="DengXian-Regular"/>
          <w:sz w:val="32"/>
          <w:szCs w:val="32"/>
        </w:rPr>
      </w:pPr>
      <w:r>
        <w:rPr>
          <w:rFonts w:ascii="仿宋_GB2312" w:eastAsia="仿宋_GB2312" w:cs="DengXian-Regular"/>
          <w:sz w:val="32"/>
          <w:szCs w:val="32"/>
        </w:rPr>
        <w:drawing>
          <wp:inline distT="0" distB="0" distL="0" distR="0">
            <wp:extent cx="4838700" cy="283845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徐水区委老干部局一般公共预算财政拨款决算收入比年初预算减少51.77万元，完成年初预算的79.94%。决算收入小于预算收入的主要原因为202</w:t>
      </w:r>
      <w:r>
        <w:rPr>
          <w:rFonts w:ascii="仿宋_GB2312" w:eastAsia="仿宋_GB2312" w:cs="DengXian-Regular"/>
          <w:sz w:val="32"/>
          <w:szCs w:val="32"/>
        </w:rPr>
        <w:t>1</w:t>
      </w:r>
      <w:r>
        <w:rPr>
          <w:rFonts w:hint="eastAsia" w:ascii="仿宋_GB2312" w:eastAsia="仿宋_GB2312" w:cs="DengXian-Regular"/>
          <w:sz w:val="32"/>
          <w:szCs w:val="32"/>
        </w:rPr>
        <w:t>年度区委老干部局有结转精神文明奖。预算收入与决算收入对比情况见图2。</w:t>
      </w:r>
    </w:p>
    <w:p>
      <w:pPr>
        <w:spacing w:after="0" w:line="360" w:lineRule="auto"/>
        <w:jc w:val="center"/>
        <w:rPr>
          <w:rFonts w:hint="eastAsia"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w:t>
      </w:r>
      <w:r>
        <w:rPr>
          <w:rFonts w:asciiTheme="minorEastAsia" w:hAnsiTheme="minorEastAsia" w:eastAsiaTheme="minorEastAsia" w:cstheme="minorEastAsia"/>
          <w:b/>
          <w:sz w:val="32"/>
          <w:szCs w:val="32"/>
          <w:u w:color="000000"/>
        </w:rPr>
        <w:t>1</w:t>
      </w:r>
      <w:r>
        <w:rPr>
          <w:rFonts w:hint="eastAsia" w:asciiTheme="minorEastAsia" w:hAnsiTheme="minorEastAsia" w:eastAsiaTheme="minorEastAsia" w:cstheme="minorEastAsia"/>
          <w:b/>
          <w:sz w:val="32"/>
          <w:szCs w:val="32"/>
          <w:u w:color="000000"/>
        </w:rPr>
        <w:t>年度区委老干部局预算收入与决算收入对比图</w:t>
      </w:r>
    </w:p>
    <w:p>
      <w:pPr>
        <w:spacing w:after="0" w:line="360" w:lineRule="auto"/>
        <w:jc w:val="center"/>
        <w:rPr>
          <w:rFonts w:ascii="仿宋_GB2312" w:eastAsia="仿宋_GB2312" w:cs="Times New Roman" w:hAnsiTheme="minorEastAsia"/>
          <w:bCs/>
          <w:sz w:val="32"/>
          <w:szCs w:val="32"/>
          <w:u w:color="000000"/>
        </w:rPr>
      </w:pPr>
      <w:r>
        <w:rPr>
          <w:rFonts w:ascii="仿宋_GB2312" w:eastAsia="仿宋_GB2312" w:cs="Times New Roman" w:hAnsiTheme="minorEastAsia"/>
          <w:bCs/>
          <w:sz w:val="32"/>
          <w:szCs w:val="32"/>
          <w:u w:color="000000"/>
        </w:rPr>
        <w:drawing>
          <wp:inline distT="0" distB="0" distL="0" distR="0">
            <wp:extent cx="5278120" cy="3079115"/>
            <wp:effectExtent l="0" t="0" r="0" b="6985"/>
            <wp:docPr id="4" name="图表 4" descr="111" title="2021年"/>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年度区委老干部局</w:t>
      </w:r>
      <w:r>
        <w:rPr>
          <w:rFonts w:hint="eastAsia" w:ascii="仿宋_GB2312" w:eastAsia="仿宋_GB2312" w:cs="Times New Roman" w:hAnsiTheme="minorEastAsia"/>
          <w:sz w:val="32"/>
          <w:szCs w:val="32"/>
          <w:u w:color="000000"/>
        </w:rPr>
        <w:t>预算支出安排258.22万元，其中：基本支出228.08万元，项目支出30.14万元。预算支出按功能分类包含：社会保障和就业支出239.04万元，卫生健康支出10.43万元，住房保障支出8.75万元。具体预算支出详见附件2。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年度区委老干部局</w:t>
      </w:r>
      <w:r>
        <w:rPr>
          <w:rFonts w:hint="eastAsia" w:ascii="仿宋_GB2312" w:eastAsia="仿宋_GB2312" w:cs="Times New Roman" w:hAnsiTheme="minorEastAsia"/>
          <w:sz w:val="32"/>
          <w:szCs w:val="32"/>
          <w:u w:color="000000"/>
        </w:rPr>
        <w:t>决算支出为232.09万元，其中：基本支出205.32万元，项目支出26.77万元。决算支出按功能分类包含：社会保障和就业支出218.74万元，占比94.25%；卫生健康支出4.69万元，占比2.02%；住房保障支出8.65万元，占比3.73%。具体决算支出详见附件2。</w:t>
      </w:r>
    </w:p>
    <w:p>
      <w:pPr>
        <w:spacing w:after="0" w:line="360" w:lineRule="auto"/>
        <w:ind w:firstLine="640" w:firstLineChars="200"/>
        <w:jc w:val="both"/>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ind w:firstLine="640" w:firstLineChars="200"/>
        <w:jc w:val="both"/>
        <w:rPr>
          <w:rFonts w:ascii="仿宋_GB2312" w:eastAsia="仿宋_GB2312" w:cs="Times New Roman" w:hAnsiTheme="minorEastAsia"/>
          <w:sz w:val="32"/>
          <w:szCs w:val="32"/>
          <w:u w:color="000000"/>
        </w:rPr>
      </w:pPr>
    </w:p>
    <w:p>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图3  202</w:t>
      </w:r>
      <w:r>
        <w:rPr>
          <w:rFonts w:asciiTheme="minorEastAsia" w:hAnsiTheme="minorEastAsia" w:eastAsiaTheme="minorEastAsia" w:cstheme="minorEastAsia"/>
          <w:b/>
          <w:bCs/>
          <w:sz w:val="32"/>
          <w:szCs w:val="32"/>
          <w:u w:color="000000"/>
        </w:rPr>
        <w:t>1</w:t>
      </w:r>
      <w:r>
        <w:rPr>
          <w:rFonts w:hint="eastAsia" w:asciiTheme="minorEastAsia" w:hAnsiTheme="minorEastAsia" w:eastAsiaTheme="minorEastAsia" w:cstheme="minorEastAsia"/>
          <w:b/>
          <w:bCs/>
          <w:sz w:val="32"/>
          <w:szCs w:val="32"/>
          <w:u w:color="000000"/>
        </w:rPr>
        <w:t>年度区委老干部局决算支出结构图</w:t>
      </w:r>
      <w:r>
        <w:rPr>
          <w:rFonts w:ascii="仿宋_GB2312" w:eastAsia="仿宋_GB2312" w:cs="Times New Roman" w:hAnsiTheme="minorEastAsia"/>
          <w:sz w:val="32"/>
          <w:szCs w:val="32"/>
          <w:u w:color="000000"/>
        </w:rPr>
        <w:drawing>
          <wp:inline distT="0" distB="0" distL="0" distR="0">
            <wp:extent cx="5278120" cy="3079115"/>
            <wp:effectExtent l="0" t="0" r="0" b="698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财政拨款决算支出比年初预算减少26.13万元。决算支出完成年初预算的89.88%。</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主要原因为精神文明奖的结转</w:t>
      </w:r>
      <w:r>
        <w:rPr>
          <w:rFonts w:hint="eastAsia" w:ascii="仿宋" w:hAnsi="仿宋" w:eastAsia="仿宋"/>
          <w:snapToGrid w:val="0"/>
          <w:sz w:val="32"/>
          <w:szCs w:val="32"/>
        </w:rPr>
        <w:t>。预算支出与决算支出对比情况如图4。</w:t>
      </w:r>
    </w:p>
    <w:p>
      <w:pPr>
        <w:spacing w:after="0" w:line="360" w:lineRule="auto"/>
        <w:jc w:val="center"/>
        <w:rPr>
          <w:rFonts w:asciiTheme="minorEastAsia" w:hAnsiTheme="minorEastAsia" w:eastAsiaTheme="minorEastAsia" w:cstheme="minorEastAsia"/>
          <w:b/>
          <w:bCs/>
          <w:sz w:val="32"/>
          <w:szCs w:val="32"/>
        </w:rPr>
      </w:pPr>
      <w:r>
        <mc:AlternateContent>
          <mc:Choice Requires="wps">
            <w:drawing>
              <wp:anchor distT="0" distB="0" distL="114300" distR="114300" simplePos="0" relativeHeight="251659264" behindDoc="0" locked="0" layoutInCell="1" allowOverlap="1">
                <wp:simplePos x="0" y="0"/>
                <wp:positionH relativeFrom="column">
                  <wp:posOffset>988695</wp:posOffset>
                </wp:positionH>
                <wp:positionV relativeFrom="paragraph">
                  <wp:posOffset>457200</wp:posOffset>
                </wp:positionV>
                <wp:extent cx="2432685" cy="361950"/>
                <wp:effectExtent l="4445" t="4445" r="20320" b="14605"/>
                <wp:wrapNone/>
                <wp:docPr id="2" name="文本框 2"/>
                <wp:cNvGraphicFramePr/>
                <a:graphic xmlns:a="http://schemas.openxmlformats.org/drawingml/2006/main">
                  <a:graphicData uri="http://schemas.microsoft.com/office/word/2010/wordprocessingShape">
                    <wps:wsp>
                      <wps:cNvSpPr txBox="1"/>
                      <wps:spPr>
                        <a:xfrm>
                          <a:off x="0" y="0"/>
                          <a:ext cx="2432685" cy="3619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2021年预算支出和决算支出对比图</w:t>
                            </w:r>
                          </w:p>
                        </w:txbxContent>
                      </wps:txbx>
                      <wps:bodyPr anchor="t" anchorCtr="0" upright="1"/>
                    </wps:wsp>
                  </a:graphicData>
                </a:graphic>
              </wp:anchor>
            </w:drawing>
          </mc:Choice>
          <mc:Fallback>
            <w:pict>
              <v:shape id="_x0000_s1026" o:spid="_x0000_s1026" o:spt="202" type="#_x0000_t202" style="position:absolute;left:0pt;margin-left:77.85pt;margin-top:36pt;height:28.5pt;width:191.55pt;z-index:251659264;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L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bIc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NOAAs5AgAATwQAAA4AAAAAAAAAAAAA&#10;AAAALgIAAGRycy9lMm9Eb2MueG1sUEsBAi0AFAAGAAgAAAAhAP0vMtbbAAAABQEAAA8AAAAAAAAA&#10;AAAAAAAAkwQAAGRycy9kb3ducmV2LnhtbFBLBQYAAAAABAAEAPMAAACbBQAAAAA=&#10;">
                <v:fill on="t" focussize="0,0"/>
                <v:stroke color="#000000" joinstyle="miter"/>
                <v:imagedata o:title=""/>
                <o:lock v:ext="edit" aspectratio="f"/>
                <v:textbox>
                  <w:txbxContent>
                    <w:p>
                      <w:r>
                        <w:rPr>
                          <w:rFonts w:hint="eastAsia"/>
                        </w:rPr>
                        <w:t>2021年预算支出和决算支出对比图</w:t>
                      </w:r>
                    </w:p>
                  </w:txbxContent>
                </v:textbox>
              </v:shape>
            </w:pict>
          </mc:Fallback>
        </mc:AlternateContent>
      </w:r>
      <w:r>
        <w:rPr>
          <w:rFonts w:hint="eastAsia" w:asciiTheme="minorEastAsia" w:hAnsiTheme="minorEastAsia" w:eastAsiaTheme="minorEastAsia" w:cstheme="minorEastAsia"/>
          <w:b/>
          <w:bCs/>
          <w:sz w:val="32"/>
          <w:szCs w:val="32"/>
        </w:rPr>
        <w:t>图4  202</w:t>
      </w:r>
      <w:r>
        <w:rPr>
          <w:rFonts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t>年度区委老干部局预算支出与决算支出对比图</w:t>
      </w:r>
      <w:r>
        <w:rPr>
          <w:rFonts w:hint="eastAsia" w:asciiTheme="minorEastAsia" w:hAnsiTheme="minorEastAsia" w:eastAsiaTheme="minorEastAsia" w:cstheme="minorEastAsia"/>
          <w:b/>
          <w:bCs/>
          <w:sz w:val="32"/>
          <w:szCs w:val="32"/>
        </w:rPr>
        <w:drawing>
          <wp:inline distT="0" distB="0" distL="0" distR="0">
            <wp:extent cx="5278120" cy="3079115"/>
            <wp:effectExtent l="0" t="0" r="0" b="698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区委老干部局202</w:t>
      </w:r>
      <w:r>
        <w:rPr>
          <w:rFonts w:ascii="仿宋_GB2312" w:eastAsia="仿宋_GB2312" w:cs="DengXian-Regular"/>
          <w:sz w:val="32"/>
          <w:szCs w:val="32"/>
        </w:rPr>
        <w:t>1</w:t>
      </w:r>
      <w:r>
        <w:rPr>
          <w:rFonts w:hint="eastAsia" w:ascii="仿宋_GB2312" w:eastAsia="仿宋_GB2312" w:cs="DengXian-Regular"/>
          <w:sz w:val="32"/>
          <w:szCs w:val="32"/>
        </w:rPr>
        <w:t>年实际项目支出26.77万元，决算报表中项目支出26.77万元，实际支出与决算报表差0万元。</w:t>
      </w:r>
    </w:p>
    <w:p>
      <w:pPr>
        <w:pStyle w:val="4"/>
        <w:spacing w:before="0" w:after="0"/>
        <w:ind w:firstLine="643" w:firstLineChars="200"/>
        <w:jc w:val="both"/>
        <w:rPr>
          <w:rFonts w:ascii="仿宋_GB2312" w:hAnsi="Tahoma" w:cs="DengXian-Regular"/>
          <w:sz w:val="32"/>
        </w:rPr>
      </w:pPr>
      <w:bookmarkStart w:id="13" w:name="_Toc19291"/>
      <w:bookmarkStart w:id="14" w:name="_Toc465149503"/>
      <w:bookmarkStart w:id="15" w:name="_Toc492652769"/>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hint="eastAsia"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年区委老干部局“三公”经费预算3.5万元（公务用车运行维护费3万元，公务接待费0.5万元），实际支出3.36万元（公务用车运行维护费2.86万元，公务接待费0.5万元），比预算减少0.64万元，节约率18.29%。202</w:t>
      </w:r>
      <w:r>
        <w:rPr>
          <w:rFonts w:ascii="仿宋_GB2312" w:eastAsia="仿宋_GB2312" w:cs="DengXian-Regular"/>
          <w:sz w:val="32"/>
          <w:szCs w:val="32"/>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年实际支出相比，增加2.19万元。具体详见表1。</w:t>
      </w: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区委老干部局</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4"/>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0.69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2.86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2.19</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0.48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0.02</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2.21</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1</w:t>
      </w:r>
      <w:r>
        <w:rPr>
          <w:rFonts w:hint="eastAsia" w:ascii="仿宋_GB2312" w:eastAsia="仿宋_GB2312" w:cs="DengXian-Regular"/>
          <w:sz w:val="32"/>
          <w:szCs w:val="32"/>
        </w:rPr>
        <w:t>年底区委老干部局车辆合计1辆，其中应急保障车1辆。202</w:t>
      </w:r>
      <w:r>
        <w:rPr>
          <w:rFonts w:ascii="仿宋_GB2312" w:eastAsia="仿宋_GB2312" w:cs="DengXian-Regular"/>
          <w:sz w:val="32"/>
          <w:szCs w:val="32"/>
        </w:rPr>
        <w:t>1</w:t>
      </w:r>
      <w:r>
        <w:rPr>
          <w:rFonts w:hint="eastAsia" w:ascii="仿宋_GB2312" w:eastAsia="仿宋_GB2312" w:cs="DengXian-Regular"/>
          <w:sz w:val="32"/>
          <w:szCs w:val="32"/>
        </w:rPr>
        <w:t>年公务用车购置及运维费年初预算3万元，全部为公务用车运行维护费，实际支出2.86万元，比预算减少0.14万元，节约率4.67%。202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年实际支出相比，增加2.17万元。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ascii="仿宋_GB2312" w:eastAsia="仿宋_GB2312" w:cs="DengXian-Regular"/>
          <w:sz w:val="32"/>
          <w:szCs w:val="32"/>
        </w:rPr>
        <w:t>1</w:t>
      </w:r>
      <w:r>
        <w:rPr>
          <w:rFonts w:hint="eastAsia" w:ascii="仿宋_GB2312" w:eastAsia="仿宋_GB2312" w:cs="DengXian-Regular"/>
          <w:sz w:val="32"/>
          <w:szCs w:val="32"/>
        </w:rPr>
        <w:t>年区委老干部局公务接待费年初预算0.5万元，实际支出0.5万元。202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年实际支出相比，增加0.02万元。</w:t>
      </w:r>
    </w:p>
    <w:p>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根据绩效预算管理改革的有关政策和文件规定，并与区委老干部局沟通，绩效评价工作组以绩效预算架构为指导，以部门预算文本及相关资料为基础，制定了部门整体支出绩效评价指标体系。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投入指标指标分值为12分，下设2个二级指标：绩效目标设定和预算配置，6个三级指标：绩效目标合理性、效指标明确性、在职人员控制率、“三公经费”变动率、重点支出安排率。</w:t>
      </w:r>
    </w:p>
    <w:p>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资产管理，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80" w:name="_GoBack"/>
      <w:bookmarkEnd w:id="80"/>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通过对区委老干部局202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区委老干部局202</w:t>
      </w:r>
      <w:r>
        <w:rPr>
          <w:rFonts w:ascii="仿宋_GB2312" w:eastAsia="仿宋_GB2312" w:cs="DengXian-Regular"/>
          <w:sz w:val="32"/>
          <w:szCs w:val="32"/>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经与区委老干部局充分沟通，并充分收集相关资料，主要包括部门职责、工作活动、预决算文本、相关管理制度、资金使用等相关资料，为制定绩效评价实施方案和指标体系奠定了基础。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基于对区委老干部局相关资料的收集，制定绩效评价实施方案和体系,确定最终方案。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委老干部局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区委老干部局部门整体支出绩效评价总得分为97分，综合绩效评价等级为“优”。各项得分情况如下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4"/>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通过对比保定市徐水区委办公室及保定市徐水区人民政府办公室印发的《保定市徐水区委老干部局职能配置内设机构和人员编制规定》和徐水区委老干部局202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评价工作组认为区委老干部局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w:t>
      </w:r>
      <w:r>
        <w:rPr>
          <w:rFonts w:ascii="仿宋_GB2312" w:eastAsia="仿宋_GB2312" w:cs="DengXian-Regular"/>
          <w:sz w:val="32"/>
          <w:szCs w:val="32"/>
        </w:rPr>
        <w:t>1</w:t>
      </w:r>
      <w:r>
        <w:rPr>
          <w:rFonts w:hint="eastAsia" w:ascii="仿宋_GB2312" w:eastAsia="仿宋_GB2312" w:cs="DengXian-Regular"/>
          <w:sz w:val="32"/>
          <w:szCs w:val="32"/>
        </w:rPr>
        <w:t>年预算文本及相关会计资料，区委老干部局所有收入均已纳入部门预算，部门支出按基本支出、项目支出分别编制。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w:t>
      </w:r>
      <w:r>
        <w:rPr>
          <w:rFonts w:ascii="仿宋_GB2312" w:eastAsia="仿宋_GB2312" w:cs="DengXian-Regular"/>
          <w:sz w:val="32"/>
          <w:szCs w:val="32"/>
        </w:rPr>
        <w:t>1</w:t>
      </w:r>
      <w:r>
        <w:rPr>
          <w:rFonts w:hint="eastAsia" w:ascii="仿宋_GB2312" w:eastAsia="仿宋_GB2312" w:cs="DengXian-Regular"/>
          <w:sz w:val="32"/>
          <w:szCs w:val="32"/>
        </w:rPr>
        <w:t>年预算文本—部门项目支出预算表，</w:t>
      </w:r>
      <w:r>
        <w:rPr>
          <w:rFonts w:ascii="仿宋_GB2312" w:eastAsia="仿宋_GB2312" w:cs="DengXian-Regular"/>
          <w:sz w:val="32"/>
          <w:szCs w:val="32"/>
        </w:rPr>
        <w:t>老干部局</w:t>
      </w:r>
      <w:r>
        <w:rPr>
          <w:rFonts w:hint="eastAsia" w:ascii="仿宋_GB2312" w:eastAsia="仿宋_GB2312" w:cs="DengXian-Regular"/>
          <w:sz w:val="32"/>
          <w:szCs w:val="32"/>
        </w:rPr>
        <w:t>2021年预算项目共7个，涉及资金26.77万元，所有项目均细化到具体用款单位及项目资金额度。项目预算细化率=（26.77/30.14）*100%=88.82%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ascii="仿宋_GB2312" w:eastAsia="仿宋_GB2312" w:cs="DengXian-Regular"/>
          <w:sz w:val="32"/>
          <w:szCs w:val="32"/>
        </w:rPr>
        <w:t>1</w:t>
      </w:r>
      <w:r>
        <w:rPr>
          <w:rFonts w:hint="eastAsia" w:ascii="仿宋_GB2312" w:eastAsia="仿宋_GB2312" w:cs="DengXian-Regular"/>
          <w:sz w:val="32"/>
          <w:szCs w:val="32"/>
        </w:rPr>
        <w:t>年底区委老干部局在职人员控制情况，通过在职人员控制率衡量。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根据保定市徐水区委办公室及保定市徐水区人民政府办公室关于印发《保定市徐水区委老干部局职能配置内设机构和人员编制规定》的通知，</w:t>
      </w:r>
      <w:r>
        <w:rPr>
          <w:rFonts w:ascii="仿宋_GB2312" w:eastAsia="仿宋_GB2312" w:cs="DengXian-Regular"/>
          <w:sz w:val="32"/>
          <w:szCs w:val="32"/>
        </w:rPr>
        <w:t>老干部局</w:t>
      </w:r>
      <w:r>
        <w:rPr>
          <w:rFonts w:hint="eastAsia" w:ascii="仿宋_GB2312" w:eastAsia="仿宋_GB2312" w:cs="DengXian-Regular"/>
          <w:sz w:val="32"/>
          <w:szCs w:val="32"/>
        </w:rPr>
        <w:t>部门人员编制为8人，根据区委老干部局202</w:t>
      </w:r>
      <w:r>
        <w:rPr>
          <w:rFonts w:ascii="仿宋_GB2312" w:eastAsia="仿宋_GB2312" w:cs="DengXian-Regular"/>
          <w:sz w:val="32"/>
          <w:szCs w:val="32"/>
        </w:rPr>
        <w:t>1</w:t>
      </w:r>
      <w:r>
        <w:rPr>
          <w:rFonts w:hint="eastAsia" w:ascii="仿宋_GB2312" w:eastAsia="仿宋_GB2312" w:cs="DengXian-Regular"/>
          <w:sz w:val="32"/>
          <w:szCs w:val="32"/>
        </w:rPr>
        <w:t>年决算文本-部门基本情况表，截至202</w:t>
      </w:r>
      <w:r>
        <w:rPr>
          <w:rFonts w:ascii="仿宋_GB2312" w:eastAsia="仿宋_GB2312" w:cs="DengXian-Regular"/>
          <w:sz w:val="32"/>
          <w:szCs w:val="32"/>
        </w:rPr>
        <w:t>1</w:t>
      </w:r>
      <w:r>
        <w:rPr>
          <w:rFonts w:hint="eastAsia" w:ascii="仿宋_GB2312" w:eastAsia="仿宋_GB2312" w:cs="DengXian-Regular"/>
          <w:sz w:val="32"/>
          <w:szCs w:val="32"/>
        </w:rPr>
        <w:t>年底，在职人员8人，在职人员控制率=（8/8）*100%=100%。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hint="eastAsia"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44</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根据区委老干部局的预算指标文件，其中：徐财预指[</w:t>
      </w:r>
      <w:r>
        <w:rPr>
          <w:rFonts w:ascii="仿宋_GB2312" w:eastAsia="仿宋_GB2312" w:cs="DengXian-Regular"/>
          <w:sz w:val="32"/>
          <w:szCs w:val="32"/>
        </w:rPr>
        <w:t>2021</w:t>
      </w:r>
      <w:r>
        <w:rPr>
          <w:rFonts w:hint="eastAsia" w:ascii="仿宋_GB2312" w:eastAsia="仿宋_GB2312" w:cs="DengXian-Regular"/>
          <w:sz w:val="32"/>
          <w:szCs w:val="32"/>
        </w:rPr>
        <w:t>]10706号追加老干部局劳务派遣人员预算2.02万元，区委老干部局202</w:t>
      </w:r>
      <w:r>
        <w:rPr>
          <w:rFonts w:ascii="仿宋_GB2312" w:eastAsia="仿宋_GB2312" w:cs="DengXian-Regular"/>
          <w:sz w:val="32"/>
          <w:szCs w:val="32"/>
        </w:rPr>
        <w:t>1</w:t>
      </w:r>
      <w:r>
        <w:rPr>
          <w:rFonts w:hint="eastAsia" w:ascii="仿宋_GB2312" w:eastAsia="仿宋_GB2312" w:cs="DengXian-Regular"/>
          <w:sz w:val="32"/>
          <w:szCs w:val="32"/>
        </w:rPr>
        <w:t>年度预算收入的追加数为2.02万元，年初预算数为5.28万元，预算收入调整率为38.26%，预算调整增加了28个百分点，扣2分。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w:t>
      </w:r>
      <w:r>
        <w:rPr>
          <w:rFonts w:ascii="仿宋_GB2312" w:eastAsia="仿宋_GB2312" w:cs="DengXian-Regular"/>
          <w:sz w:val="32"/>
          <w:szCs w:val="32"/>
        </w:rPr>
        <w:t>1</w:t>
      </w:r>
      <w:r>
        <w:rPr>
          <w:rFonts w:hint="eastAsia" w:ascii="仿宋_GB2312" w:eastAsia="仿宋_GB2312" w:cs="DengXian-Regular"/>
          <w:sz w:val="32"/>
          <w:szCs w:val="32"/>
        </w:rPr>
        <w:t>年预算文本、决算文本，202</w:t>
      </w:r>
      <w:r>
        <w:rPr>
          <w:rFonts w:ascii="仿宋_GB2312" w:eastAsia="仿宋_GB2312" w:cs="DengXian-Regular"/>
          <w:sz w:val="32"/>
          <w:szCs w:val="32"/>
        </w:rPr>
        <w:t>1</w:t>
      </w:r>
      <w:r>
        <w:rPr>
          <w:rFonts w:hint="eastAsia" w:ascii="仿宋_GB2312" w:eastAsia="仿宋_GB2312" w:cs="DengXian-Regular"/>
          <w:sz w:val="32"/>
          <w:szCs w:val="32"/>
        </w:rPr>
        <w:t>年收入预算数258.22万元，收入决算数206.41万元，收入完成率=（决算数/预算数）*100%=79.94%。</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根据区委老干部局提供的保定市财政局下发的预算指标文件，其中：徐财预指[</w:t>
      </w:r>
      <w:r>
        <w:rPr>
          <w:rFonts w:ascii="仿宋_GB2312" w:eastAsia="仿宋_GB2312" w:cs="DengXian-Regular"/>
          <w:sz w:val="32"/>
          <w:szCs w:val="32"/>
        </w:rPr>
        <w:t>2021</w:t>
      </w:r>
      <w:r>
        <w:rPr>
          <w:rFonts w:hint="eastAsia" w:ascii="仿宋_GB2312" w:eastAsia="仿宋_GB2312" w:cs="DengXian-Regular"/>
          <w:sz w:val="32"/>
          <w:szCs w:val="32"/>
        </w:rPr>
        <w:t>] 10706号追加老干部局劳务派遣人员预算2.02万元，区委老干部局202</w:t>
      </w:r>
      <w:r>
        <w:rPr>
          <w:rFonts w:ascii="仿宋_GB2312" w:eastAsia="仿宋_GB2312" w:cs="DengXian-Regular"/>
          <w:sz w:val="32"/>
          <w:szCs w:val="32"/>
        </w:rPr>
        <w:t>1</w:t>
      </w:r>
      <w:r>
        <w:rPr>
          <w:rFonts w:hint="eastAsia" w:ascii="仿宋_GB2312" w:eastAsia="仿宋_GB2312" w:cs="DengXian-Regular"/>
          <w:sz w:val="32"/>
          <w:szCs w:val="32"/>
        </w:rPr>
        <w:t>年度预算支出的追加数合计2.02万元，年初预算数为5.28万元，预算支出调整率为38.58%，预算调整增加了28个百分点，扣2分。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Arial" w:hAnsi="Arial" w:eastAsia="仿宋_GB2312" w:cs="Arial"/>
          <w:sz w:val="32"/>
          <w:szCs w:val="32"/>
        </w:rPr>
      </w:pPr>
      <w:r>
        <w:rPr>
          <w:rFonts w:hint="eastAsia" w:ascii="仿宋_GB2312" w:eastAsia="仿宋_GB2312" w:cs="DengXian-Regular"/>
          <w:sz w:val="32"/>
          <w:szCs w:val="32"/>
        </w:rPr>
        <w:t>区委老干部局提供的202</w:t>
      </w:r>
      <w:r>
        <w:rPr>
          <w:rFonts w:ascii="仿宋_GB2312" w:eastAsia="仿宋_GB2312" w:cs="DengXian-Regular"/>
          <w:sz w:val="32"/>
          <w:szCs w:val="32"/>
        </w:rPr>
        <w:t>1</w:t>
      </w:r>
      <w:r>
        <w:rPr>
          <w:rFonts w:hint="eastAsia" w:ascii="仿宋_GB2312" w:eastAsia="仿宋_GB2312" w:cs="DengXian-Regular"/>
          <w:sz w:val="32"/>
          <w:szCs w:val="32"/>
        </w:rPr>
        <w:t>年决算文本，部门决算财政拨款支出数232.09万元，财政拨款收入数232.09万元，财政拨款支出率=（财政拨款支出数/财政拨款收入数）*100%=100%。区委老干部局202</w:t>
      </w:r>
      <w:r>
        <w:rPr>
          <w:rFonts w:ascii="仿宋_GB2312" w:eastAsia="仿宋_GB2312" w:cs="DengXian-Regular"/>
          <w:sz w:val="32"/>
          <w:szCs w:val="32"/>
        </w:rPr>
        <w:t>1</w:t>
      </w:r>
      <w:r>
        <w:rPr>
          <w:rFonts w:hint="eastAsia" w:ascii="仿宋_GB2312" w:eastAsia="仿宋_GB2312" w:cs="DengXian-Regular"/>
          <w:sz w:val="32"/>
          <w:szCs w:val="32"/>
        </w:rPr>
        <w:t>年年初结转和结余0万元。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w:t>
      </w:r>
      <w:r>
        <w:rPr>
          <w:rFonts w:ascii="仿宋_GB2312" w:eastAsia="仿宋_GB2312" w:cs="DengXian-Regular"/>
          <w:sz w:val="32"/>
          <w:szCs w:val="32"/>
        </w:rPr>
        <w:t>1</w:t>
      </w:r>
      <w:r>
        <w:rPr>
          <w:rFonts w:hint="eastAsia" w:ascii="仿宋_GB2312" w:eastAsia="仿宋_GB2312" w:cs="DengXian-Regular"/>
          <w:sz w:val="32"/>
          <w:szCs w:val="32"/>
        </w:rPr>
        <w:t>年预算文本及决算文本，“三公”经费年初预算数3.5万元，年末决算数3.36万元，“三公”经费控制率=（年末决算数/年初预算数）*100%=96%</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w:t>
      </w:r>
      <w:r>
        <w:rPr>
          <w:rFonts w:ascii="仿宋_GB2312" w:eastAsia="仿宋_GB2312" w:cs="DengXian-Regular"/>
          <w:sz w:val="32"/>
          <w:szCs w:val="32"/>
        </w:rPr>
        <w:t>1</w:t>
      </w:r>
      <w:r>
        <w:rPr>
          <w:rFonts w:hint="eastAsia" w:ascii="仿宋_GB2312" w:eastAsia="仿宋_GB2312" w:cs="DengXian-Regular"/>
          <w:sz w:val="32"/>
          <w:szCs w:val="32"/>
        </w:rPr>
        <w:t>年预算文本及决算文本，政府采购年初预算数0.91万元，年末决算数0.91万元，政府采购执行率为100%。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w:t>
      </w:r>
      <w:r>
        <w:rPr>
          <w:rFonts w:ascii="仿宋_GB2312" w:eastAsia="仿宋_GB2312" w:cs="DengXian-Regular"/>
          <w:sz w:val="32"/>
          <w:szCs w:val="32"/>
        </w:rPr>
        <w:t>1</w:t>
      </w:r>
      <w:r>
        <w:rPr>
          <w:rFonts w:hint="eastAsia" w:ascii="仿宋_GB2312" w:eastAsia="仿宋_GB2312" w:cs="DengXian-Regular"/>
          <w:sz w:val="32"/>
          <w:szCs w:val="32"/>
        </w:rPr>
        <w:t>年明细账、会计凭证等相关资料，区委老干部局资金使用符合相关会计准则和财务制度，资金拨付有完备的审批程序和手续，资金使用符合部门预算批复的用途，未发现截留、挤占、挪用财政资金的情况。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经核查区委老干部局202</w:t>
      </w:r>
      <w:r>
        <w:rPr>
          <w:rFonts w:ascii="仿宋_GB2312" w:eastAsia="仿宋_GB2312" w:cs="DengXian-Regular"/>
          <w:sz w:val="32"/>
          <w:szCs w:val="32"/>
        </w:rPr>
        <w:t>1</w:t>
      </w:r>
      <w:r>
        <w:rPr>
          <w:rFonts w:hint="eastAsia" w:ascii="仿宋_GB2312" w:eastAsia="仿宋_GB2312" w:cs="DengXian-Regular"/>
          <w:sz w:val="32"/>
          <w:szCs w:val="32"/>
        </w:rPr>
        <w:t>年决算文本、明细账及总账，区委老干部局决算文本数据均与明细账、总账一致。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区委老干部局工作制度涵盖了财务制度、网络安全制度、公务用车制度等相关制度，经检查区委老干部局付款流程审批单、资产盘点表等资料，区委老干部局已按照相关管理制度的规定执行。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区委老干部局202</w:t>
      </w:r>
      <w:r>
        <w:rPr>
          <w:rFonts w:ascii="仿宋_GB2312" w:eastAsia="仿宋_GB2312" w:cs="DengXian-Regular"/>
          <w:sz w:val="32"/>
          <w:szCs w:val="32"/>
        </w:rPr>
        <w:t>1</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1</w:t>
      </w:r>
      <w:r>
        <w:rPr>
          <w:rFonts w:hint="eastAsia" w:ascii="仿宋_GB2312" w:eastAsia="仿宋_GB2312" w:cs="DengXian-Regular"/>
          <w:sz w:val="32"/>
          <w:szCs w:val="32"/>
        </w:rPr>
        <w:t>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根据区委老干部局提供的会计账簿、凭证及其他相关资料，区委老干部局会计信息资料真实完整，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区委老干部局建立了固定资产台账、无形资产台账，资产保存完整，202</w:t>
      </w:r>
      <w:r>
        <w:rPr>
          <w:rFonts w:ascii="仿宋_GB2312" w:eastAsia="仿宋_GB2312" w:cs="DengXian-Regular"/>
          <w:sz w:val="32"/>
          <w:szCs w:val="32"/>
        </w:rPr>
        <w:t>1</w:t>
      </w:r>
      <w:r>
        <w:rPr>
          <w:rFonts w:hint="eastAsia" w:ascii="仿宋_GB2312" w:eastAsia="仿宋_GB2312" w:cs="DengXian-Regular"/>
          <w:sz w:val="32"/>
          <w:szCs w:val="32"/>
        </w:rPr>
        <w:t>年新增资产0.91万元，包含：空调（0.52万元）、办公桌椅0.39，资产购置手续完备，配置符合要求，资产管理整体较规范。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ascii="仿宋_GB2312" w:eastAsia="仿宋_GB2312" w:cs="DengXian-Regular"/>
          <w:sz w:val="32"/>
          <w:szCs w:val="32"/>
        </w:rPr>
        <w:t>1</w:t>
      </w:r>
      <w:r>
        <w:rPr>
          <w:rFonts w:hint="eastAsia" w:ascii="仿宋_GB2312" w:eastAsia="仿宋_GB2312" w:cs="DengXian-Regular"/>
          <w:sz w:val="32"/>
          <w:szCs w:val="32"/>
        </w:rPr>
        <w:t>年度财政专项资金部门绩效自评价工作的通知》及徐水区委老干部局202</w:t>
      </w:r>
      <w:r>
        <w:rPr>
          <w:rFonts w:ascii="仿宋_GB2312" w:eastAsia="仿宋_GB2312" w:cs="DengXian-Regular"/>
          <w:sz w:val="32"/>
          <w:szCs w:val="32"/>
        </w:rPr>
        <w:t>1</w:t>
      </w:r>
      <w:r>
        <w:rPr>
          <w:rFonts w:hint="eastAsia" w:ascii="仿宋_GB2312" w:eastAsia="仿宋_GB2312" w:cs="DengXian-Regular"/>
          <w:sz w:val="32"/>
          <w:szCs w:val="32"/>
        </w:rPr>
        <w:t>年一般项目部门绩效自评表，区委老干部局202</w:t>
      </w:r>
      <w:r>
        <w:rPr>
          <w:rFonts w:ascii="仿宋_GB2312" w:eastAsia="仿宋_GB2312" w:cs="DengXian-Regular"/>
          <w:sz w:val="32"/>
          <w:szCs w:val="32"/>
        </w:rPr>
        <w:t>1</w:t>
      </w:r>
      <w:r>
        <w:rPr>
          <w:rFonts w:hint="eastAsia" w:ascii="仿宋_GB2312" w:eastAsia="仿宋_GB2312" w:cs="DengXian-Regular"/>
          <w:sz w:val="32"/>
          <w:szCs w:val="32"/>
        </w:rPr>
        <w:t>年开展绩效自评的项目数为7个，年初预算文本项目数7个，要求自评项目个数7个，自评覆盖率为100%。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区委老干部局202</w:t>
      </w:r>
      <w:r>
        <w:rPr>
          <w:rFonts w:ascii="仿宋_GB2312" w:eastAsia="仿宋_GB2312" w:cs="DengXian-Regular"/>
          <w:sz w:val="32"/>
          <w:szCs w:val="32"/>
        </w:rPr>
        <w:t>1</w:t>
      </w:r>
      <w:r>
        <w:rPr>
          <w:rFonts w:hint="eastAsia" w:ascii="仿宋_GB2312" w:eastAsia="仿宋_GB2312" w:cs="DengXian-Regular"/>
          <w:sz w:val="32"/>
          <w:szCs w:val="32"/>
        </w:rPr>
        <w:t>年参评数量3个，绩效评价结果达到优等的数量3个，绩效评价优等率为100%。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该一级指标包含责任履行一个二级指标，主要反映结转结余率，项目资金使用率，完成及时率、老干部满意率、青少年满意率。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4"/>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老干部满意率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青少年满意率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23</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w:t>
      </w:r>
      <w:r>
        <w:rPr>
          <w:rFonts w:ascii="仿宋_GB2312" w:eastAsia="仿宋_GB2312" w:cs="DengXian-Regular"/>
          <w:sz w:val="32"/>
          <w:szCs w:val="32"/>
        </w:rPr>
        <w:t>1</w:t>
      </w:r>
      <w:r>
        <w:rPr>
          <w:rFonts w:hint="eastAsia" w:ascii="仿宋_GB2312" w:eastAsia="仿宋_GB2312" w:cs="DengXian-Regular"/>
          <w:sz w:val="32"/>
          <w:szCs w:val="32"/>
        </w:rPr>
        <w:t>年决算文本及相关资料，区委老干部局202</w:t>
      </w:r>
      <w:r>
        <w:rPr>
          <w:rFonts w:ascii="仿宋_GB2312" w:eastAsia="仿宋_GB2312" w:cs="DengXian-Regular"/>
          <w:sz w:val="32"/>
          <w:szCs w:val="32"/>
        </w:rPr>
        <w:t>1</w:t>
      </w:r>
      <w:r>
        <w:rPr>
          <w:rFonts w:hint="eastAsia" w:ascii="仿宋_GB2312" w:eastAsia="仿宋_GB2312" w:cs="DengXian-Regular"/>
          <w:sz w:val="32"/>
          <w:szCs w:val="32"/>
        </w:rPr>
        <w:t>年结转结余资金27.71万元，决算收入27.71万元，结转结余率100%，大于5%。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区委老干部局202</w:t>
      </w:r>
      <w:r>
        <w:rPr>
          <w:rFonts w:ascii="仿宋_GB2312" w:eastAsia="仿宋_GB2312" w:cs="DengXian-Regular"/>
          <w:sz w:val="32"/>
          <w:szCs w:val="32"/>
        </w:rPr>
        <w:t>1</w:t>
      </w:r>
      <w:r>
        <w:rPr>
          <w:rFonts w:hint="eastAsia" w:ascii="仿宋_GB2312" w:eastAsia="仿宋_GB2312" w:cs="DengXian-Regular"/>
          <w:sz w:val="32"/>
          <w:szCs w:val="32"/>
        </w:rPr>
        <w:t>年实际支出项目资金总额26.77万元，年初预算共7个项目，预算数30.14万元，年中追加项目资金2.02万元，项目资金使用率为88.82%。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hint="eastAsia"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10</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4"/>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经查看区委老干部局提供的相关资料，区委老干部局履行职责对社会发展所带来的社会效益较显著，有效的提高了社会公众的服务意识。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4"/>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离退休干部政策及服务</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37</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12</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老年活动阵地建设</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43</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7</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综合事务管理</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41</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经计算，总体得分为91分，大于90分，评价等级为“优”。</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区委老干部局</w:t>
      </w:r>
      <w:r>
        <w:rPr>
          <w:rFonts w:hint="eastAsia" w:ascii="仿宋_GB2312" w:eastAsia="仿宋_GB2312" w:cs="Times New Roman" w:hAnsiTheme="minorEastAsia"/>
          <w:sz w:val="32"/>
          <w:szCs w:val="32"/>
          <w:u w:color="000000"/>
        </w:rPr>
        <w:t>202</w:t>
      </w: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w:t>
      </w:r>
    </w:p>
    <w:bookmarkEnd w:id="75"/>
    <w:bookmarkEnd w:id="76"/>
    <w:p>
      <w:pPr>
        <w:spacing w:after="0" w:line="360" w:lineRule="auto"/>
        <w:jc w:val="both"/>
        <w:textAlignment w:val="baseline"/>
        <w:rPr>
          <w:rFonts w:ascii="仿宋_GB2312" w:eastAsia="仿宋_GB2312" w:cs="Times New Roman" w:hAnsiTheme="minorEastAsia"/>
          <w:sz w:val="32"/>
          <w:szCs w:val="32"/>
          <w:u w:color="000000"/>
        </w:rPr>
      </w:pPr>
      <w:bookmarkStart w:id="77" w:name="_Toc465149521"/>
    </w:p>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区委老干部局</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委老干部局</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委老干部局</w:t>
      </w:r>
      <w:r>
        <w:rPr>
          <w:rFonts w:hint="eastAsia" w:ascii="仿宋_GB2312" w:eastAsia="仿宋_GB2312" w:cs="Times New Roman" w:hAnsiTheme="minorEastAsia"/>
          <w:sz w:val="32"/>
          <w:szCs w:val="32"/>
          <w:u w:color="000000"/>
        </w:rPr>
        <w:t>工作活动绩效目标、绩效指标一览表</w:t>
      </w:r>
      <w:bookmarkEnd w:id="77"/>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33</w:t>
    </w:r>
    <w:r>
      <w:rPr>
        <w:lang w:val="zh-CN"/>
      </w:rPr>
      <w:fldChar w:fldCharType="end"/>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ADE56"/>
    <w:multiLevelType w:val="singleLevel"/>
    <w:tmpl w:val="FC8ADE56"/>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E49D9"/>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26C9E"/>
    <w:rsid w:val="0013591D"/>
    <w:rsid w:val="00141DE8"/>
    <w:rsid w:val="00144105"/>
    <w:rsid w:val="00145B4E"/>
    <w:rsid w:val="001544E1"/>
    <w:rsid w:val="001551CE"/>
    <w:rsid w:val="00164732"/>
    <w:rsid w:val="00164FE1"/>
    <w:rsid w:val="001703D7"/>
    <w:rsid w:val="0017055D"/>
    <w:rsid w:val="001719D0"/>
    <w:rsid w:val="00172245"/>
    <w:rsid w:val="0017403C"/>
    <w:rsid w:val="00174241"/>
    <w:rsid w:val="00176E7D"/>
    <w:rsid w:val="001804B7"/>
    <w:rsid w:val="001827F5"/>
    <w:rsid w:val="0018362C"/>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0C75"/>
    <w:rsid w:val="00221907"/>
    <w:rsid w:val="00222FA8"/>
    <w:rsid w:val="0022308F"/>
    <w:rsid w:val="0022532A"/>
    <w:rsid w:val="00226105"/>
    <w:rsid w:val="00227AFB"/>
    <w:rsid w:val="00235741"/>
    <w:rsid w:val="00236B18"/>
    <w:rsid w:val="002401EA"/>
    <w:rsid w:val="0024138A"/>
    <w:rsid w:val="00241B9D"/>
    <w:rsid w:val="002439D4"/>
    <w:rsid w:val="00245CB2"/>
    <w:rsid w:val="00246A44"/>
    <w:rsid w:val="00250BAC"/>
    <w:rsid w:val="00260245"/>
    <w:rsid w:val="0026252A"/>
    <w:rsid w:val="00262BB1"/>
    <w:rsid w:val="00263D3A"/>
    <w:rsid w:val="002643BE"/>
    <w:rsid w:val="00265325"/>
    <w:rsid w:val="00266069"/>
    <w:rsid w:val="00266E84"/>
    <w:rsid w:val="002715FC"/>
    <w:rsid w:val="002736FD"/>
    <w:rsid w:val="00274CFA"/>
    <w:rsid w:val="00275677"/>
    <w:rsid w:val="00275A3F"/>
    <w:rsid w:val="0028068C"/>
    <w:rsid w:val="00280F6C"/>
    <w:rsid w:val="00282A89"/>
    <w:rsid w:val="00283F8F"/>
    <w:rsid w:val="0028636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166"/>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34E"/>
    <w:rsid w:val="003345BC"/>
    <w:rsid w:val="00343662"/>
    <w:rsid w:val="00351126"/>
    <w:rsid w:val="0035365E"/>
    <w:rsid w:val="00355403"/>
    <w:rsid w:val="003569A8"/>
    <w:rsid w:val="00361FFF"/>
    <w:rsid w:val="00362340"/>
    <w:rsid w:val="00363405"/>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31DA"/>
    <w:rsid w:val="003B5CD1"/>
    <w:rsid w:val="003B6DEC"/>
    <w:rsid w:val="003B79D3"/>
    <w:rsid w:val="003C2B92"/>
    <w:rsid w:val="003C3842"/>
    <w:rsid w:val="003D126B"/>
    <w:rsid w:val="003D1D33"/>
    <w:rsid w:val="003D22C9"/>
    <w:rsid w:val="003D28AC"/>
    <w:rsid w:val="003D3093"/>
    <w:rsid w:val="003D37D8"/>
    <w:rsid w:val="003D7B2A"/>
    <w:rsid w:val="003E070C"/>
    <w:rsid w:val="003E266C"/>
    <w:rsid w:val="003E3AC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4445"/>
    <w:rsid w:val="00445C28"/>
    <w:rsid w:val="004468B5"/>
    <w:rsid w:val="00451E9F"/>
    <w:rsid w:val="004551F1"/>
    <w:rsid w:val="00456648"/>
    <w:rsid w:val="00457E00"/>
    <w:rsid w:val="00461E7C"/>
    <w:rsid w:val="004639E0"/>
    <w:rsid w:val="00463A6D"/>
    <w:rsid w:val="00465A21"/>
    <w:rsid w:val="0047047F"/>
    <w:rsid w:val="00470AFC"/>
    <w:rsid w:val="00472C49"/>
    <w:rsid w:val="00474DE3"/>
    <w:rsid w:val="00477959"/>
    <w:rsid w:val="00486217"/>
    <w:rsid w:val="00486A56"/>
    <w:rsid w:val="00494D73"/>
    <w:rsid w:val="004A19C4"/>
    <w:rsid w:val="004A6EA4"/>
    <w:rsid w:val="004A7F7E"/>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9AA"/>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E7B51"/>
    <w:rsid w:val="004F4875"/>
    <w:rsid w:val="005031BA"/>
    <w:rsid w:val="00507211"/>
    <w:rsid w:val="00507934"/>
    <w:rsid w:val="0051171B"/>
    <w:rsid w:val="00512D1D"/>
    <w:rsid w:val="005131A5"/>
    <w:rsid w:val="00515160"/>
    <w:rsid w:val="005164FA"/>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93BDE"/>
    <w:rsid w:val="005A15D6"/>
    <w:rsid w:val="005A1FD8"/>
    <w:rsid w:val="005A317D"/>
    <w:rsid w:val="005A79F9"/>
    <w:rsid w:val="005C2023"/>
    <w:rsid w:val="005C3594"/>
    <w:rsid w:val="005C46B7"/>
    <w:rsid w:val="005C7C8B"/>
    <w:rsid w:val="005D5617"/>
    <w:rsid w:val="005D6591"/>
    <w:rsid w:val="005D6869"/>
    <w:rsid w:val="005D7446"/>
    <w:rsid w:val="005D785B"/>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41C"/>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3D83"/>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5AEF"/>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2686"/>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4D63"/>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096"/>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B7DCD"/>
    <w:rsid w:val="009C0DAB"/>
    <w:rsid w:val="009C1E20"/>
    <w:rsid w:val="009C799F"/>
    <w:rsid w:val="009D0378"/>
    <w:rsid w:val="009D0F18"/>
    <w:rsid w:val="009D1E40"/>
    <w:rsid w:val="009D1EFB"/>
    <w:rsid w:val="009D5964"/>
    <w:rsid w:val="009D6A0C"/>
    <w:rsid w:val="009E0725"/>
    <w:rsid w:val="009E0C2C"/>
    <w:rsid w:val="009E1492"/>
    <w:rsid w:val="009E4B3F"/>
    <w:rsid w:val="009E5877"/>
    <w:rsid w:val="009F69B0"/>
    <w:rsid w:val="00A00EE6"/>
    <w:rsid w:val="00A0310D"/>
    <w:rsid w:val="00A0635E"/>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55E1"/>
    <w:rsid w:val="00AC60A3"/>
    <w:rsid w:val="00AC70E1"/>
    <w:rsid w:val="00AD1D29"/>
    <w:rsid w:val="00AD328E"/>
    <w:rsid w:val="00AD46FC"/>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06B5"/>
    <w:rsid w:val="00B85F5F"/>
    <w:rsid w:val="00B86395"/>
    <w:rsid w:val="00B86E2B"/>
    <w:rsid w:val="00B915D3"/>
    <w:rsid w:val="00B91DEC"/>
    <w:rsid w:val="00B92A56"/>
    <w:rsid w:val="00B931F8"/>
    <w:rsid w:val="00B95DB0"/>
    <w:rsid w:val="00B9722F"/>
    <w:rsid w:val="00B97741"/>
    <w:rsid w:val="00BA0721"/>
    <w:rsid w:val="00BA1883"/>
    <w:rsid w:val="00BA227D"/>
    <w:rsid w:val="00BA3EFA"/>
    <w:rsid w:val="00BA4C84"/>
    <w:rsid w:val="00BB7AF1"/>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1AA"/>
    <w:rsid w:val="00C42DB9"/>
    <w:rsid w:val="00C447FD"/>
    <w:rsid w:val="00C44B90"/>
    <w:rsid w:val="00C51434"/>
    <w:rsid w:val="00C51743"/>
    <w:rsid w:val="00C51A61"/>
    <w:rsid w:val="00C57393"/>
    <w:rsid w:val="00C64C71"/>
    <w:rsid w:val="00C6528B"/>
    <w:rsid w:val="00C66072"/>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D5E40"/>
    <w:rsid w:val="00CE33C1"/>
    <w:rsid w:val="00CE3834"/>
    <w:rsid w:val="00CF148C"/>
    <w:rsid w:val="00CF3D94"/>
    <w:rsid w:val="00CF48A3"/>
    <w:rsid w:val="00CF5081"/>
    <w:rsid w:val="00D058E4"/>
    <w:rsid w:val="00D07178"/>
    <w:rsid w:val="00D11C0B"/>
    <w:rsid w:val="00D11EE9"/>
    <w:rsid w:val="00D13F47"/>
    <w:rsid w:val="00D1424C"/>
    <w:rsid w:val="00D14E66"/>
    <w:rsid w:val="00D17631"/>
    <w:rsid w:val="00D17CD3"/>
    <w:rsid w:val="00D21B22"/>
    <w:rsid w:val="00D24AEB"/>
    <w:rsid w:val="00D24AFD"/>
    <w:rsid w:val="00D27902"/>
    <w:rsid w:val="00D27984"/>
    <w:rsid w:val="00D31D50"/>
    <w:rsid w:val="00D323E9"/>
    <w:rsid w:val="00D34F5B"/>
    <w:rsid w:val="00D35023"/>
    <w:rsid w:val="00D403B8"/>
    <w:rsid w:val="00D443DF"/>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5768"/>
    <w:rsid w:val="00D97E89"/>
    <w:rsid w:val="00DA1D3F"/>
    <w:rsid w:val="00DA45EE"/>
    <w:rsid w:val="00DA58A3"/>
    <w:rsid w:val="00DB2F5B"/>
    <w:rsid w:val="00DB46CB"/>
    <w:rsid w:val="00DB695F"/>
    <w:rsid w:val="00DB7A02"/>
    <w:rsid w:val="00DC03E7"/>
    <w:rsid w:val="00DC3710"/>
    <w:rsid w:val="00DC3B9E"/>
    <w:rsid w:val="00DC4FB9"/>
    <w:rsid w:val="00DC545F"/>
    <w:rsid w:val="00DC54A9"/>
    <w:rsid w:val="00DC6139"/>
    <w:rsid w:val="00DC6686"/>
    <w:rsid w:val="00DC6D84"/>
    <w:rsid w:val="00DC7F68"/>
    <w:rsid w:val="00DD1D7F"/>
    <w:rsid w:val="00DD1DE9"/>
    <w:rsid w:val="00DD360A"/>
    <w:rsid w:val="00DD7F91"/>
    <w:rsid w:val="00DE0985"/>
    <w:rsid w:val="00DE42BF"/>
    <w:rsid w:val="00DE4A1A"/>
    <w:rsid w:val="00DE4E11"/>
    <w:rsid w:val="00DE53FE"/>
    <w:rsid w:val="00DE6ED8"/>
    <w:rsid w:val="00E00A5F"/>
    <w:rsid w:val="00E05D64"/>
    <w:rsid w:val="00E05EB9"/>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83657"/>
    <w:rsid w:val="00E91889"/>
    <w:rsid w:val="00E91F0F"/>
    <w:rsid w:val="00E944E2"/>
    <w:rsid w:val="00E95C54"/>
    <w:rsid w:val="00E96103"/>
    <w:rsid w:val="00EA027D"/>
    <w:rsid w:val="00EB22CF"/>
    <w:rsid w:val="00EB3414"/>
    <w:rsid w:val="00EB39DD"/>
    <w:rsid w:val="00EB40E4"/>
    <w:rsid w:val="00EB4FDC"/>
    <w:rsid w:val="00EB67BA"/>
    <w:rsid w:val="00EC16F8"/>
    <w:rsid w:val="00EC306F"/>
    <w:rsid w:val="00EC408E"/>
    <w:rsid w:val="00EC41F2"/>
    <w:rsid w:val="00EC4E40"/>
    <w:rsid w:val="00EC4EB3"/>
    <w:rsid w:val="00EC5617"/>
    <w:rsid w:val="00EC7C9E"/>
    <w:rsid w:val="00ED230D"/>
    <w:rsid w:val="00ED2440"/>
    <w:rsid w:val="00EE1C0B"/>
    <w:rsid w:val="00EE259D"/>
    <w:rsid w:val="00EE3219"/>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2D3A"/>
    <w:rsid w:val="00F63B02"/>
    <w:rsid w:val="00F65350"/>
    <w:rsid w:val="00F65C21"/>
    <w:rsid w:val="00F700A6"/>
    <w:rsid w:val="00F760D1"/>
    <w:rsid w:val="00F8151A"/>
    <w:rsid w:val="00F83516"/>
    <w:rsid w:val="00F83788"/>
    <w:rsid w:val="00F84D69"/>
    <w:rsid w:val="00F85054"/>
    <w:rsid w:val="00F87AEF"/>
    <w:rsid w:val="00F87C14"/>
    <w:rsid w:val="00F90C22"/>
    <w:rsid w:val="00F94F61"/>
    <w:rsid w:val="00FA17B4"/>
    <w:rsid w:val="00FA3581"/>
    <w:rsid w:val="00FB10B8"/>
    <w:rsid w:val="00FB24BA"/>
    <w:rsid w:val="00FB28C8"/>
    <w:rsid w:val="00FB381D"/>
    <w:rsid w:val="00FB4AAB"/>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465FFD"/>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255EA"/>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0540B"/>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3"/>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4"/>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5"/>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6"/>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7"/>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5">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8">
    <w:name w:val="caption"/>
    <w:basedOn w:val="1"/>
    <w:next w:val="1"/>
    <w:semiHidden/>
    <w:unhideWhenUsed/>
    <w:qFormat/>
    <w:uiPriority w:val="35"/>
    <w:rPr>
      <w:rFonts w:eastAsia="黑体" w:asciiTheme="majorHAnsi" w:hAnsiTheme="majorHAnsi" w:cstheme="majorBidi"/>
      <w:sz w:val="20"/>
      <w:szCs w:val="20"/>
    </w:rPr>
  </w:style>
  <w:style w:type="paragraph" w:styleId="9">
    <w:name w:val="Document Map"/>
    <w:basedOn w:val="1"/>
    <w:link w:val="44"/>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10">
    <w:name w:val="annotation text"/>
    <w:basedOn w:val="1"/>
    <w:link w:val="42"/>
    <w:unhideWhenUsed/>
    <w:qFormat/>
    <w:uiPriority w:val="99"/>
  </w:style>
  <w:style w:type="paragraph" w:styleId="11">
    <w:name w:val="Body Text"/>
    <w:basedOn w:val="1"/>
    <w:link w:val="45"/>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2">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3">
    <w:name w:val="Plain Text"/>
    <w:basedOn w:val="1"/>
    <w:link w:val="46"/>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4">
    <w:name w:val="Balloon Text"/>
    <w:basedOn w:val="1"/>
    <w:link w:val="47"/>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5">
    <w:name w:val="footer"/>
    <w:basedOn w:val="1"/>
    <w:link w:val="39"/>
    <w:unhideWhenUsed/>
    <w:qFormat/>
    <w:uiPriority w:val="99"/>
    <w:pPr>
      <w:tabs>
        <w:tab w:val="center" w:pos="4153"/>
        <w:tab w:val="right" w:pos="8306"/>
      </w:tabs>
    </w:pPr>
    <w:rPr>
      <w:sz w:val="18"/>
      <w:szCs w:val="18"/>
    </w:rPr>
  </w:style>
  <w:style w:type="paragraph" w:styleId="16">
    <w:name w:val="header"/>
    <w:basedOn w:val="1"/>
    <w:link w:val="38"/>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8">
    <w:name w:val="footnote text"/>
    <w:basedOn w:val="1"/>
    <w:link w:val="48"/>
    <w:qFormat/>
    <w:uiPriority w:val="99"/>
    <w:pPr>
      <w:widowControl w:val="0"/>
      <w:adjustRightInd/>
      <w:spacing w:after="0"/>
    </w:pPr>
    <w:rPr>
      <w:rFonts w:ascii="Times New Roman" w:hAnsi="Times New Roman" w:eastAsia="宋体" w:cs="Times New Roman"/>
      <w:kern w:val="2"/>
      <w:sz w:val="18"/>
      <w:szCs w:val="18"/>
    </w:rPr>
  </w:style>
  <w:style w:type="paragraph" w:styleId="19">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20">
    <w:name w:val="HTML Preformatted"/>
    <w:basedOn w:val="1"/>
    <w:link w:val="4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1">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2">
    <w:name w:val="Title"/>
    <w:basedOn w:val="1"/>
    <w:next w:val="1"/>
    <w:link w:val="71"/>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3">
    <w:name w:val="annotation subject"/>
    <w:basedOn w:val="10"/>
    <w:next w:val="10"/>
    <w:link w:val="43"/>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6">
    <w:name w:val="page number"/>
    <w:basedOn w:val="25"/>
    <w:qFormat/>
    <w:uiPriority w:val="99"/>
  </w:style>
  <w:style w:type="character" w:styleId="27">
    <w:name w:val="FollowedHyperlink"/>
    <w:basedOn w:val="25"/>
    <w:unhideWhenUsed/>
    <w:qFormat/>
    <w:uiPriority w:val="99"/>
    <w:rPr>
      <w:color w:val="800080"/>
      <w:u w:val="single"/>
    </w:rPr>
  </w:style>
  <w:style w:type="character" w:styleId="28">
    <w:name w:val="Emphasis"/>
    <w:qFormat/>
    <w:uiPriority w:val="99"/>
    <w:rPr>
      <w:color w:val="CC0000"/>
    </w:rPr>
  </w:style>
  <w:style w:type="character" w:styleId="29">
    <w:name w:val="Hyperlink"/>
    <w:qFormat/>
    <w:uiPriority w:val="99"/>
    <w:rPr>
      <w:color w:val="0000FF"/>
      <w:u w:val="single"/>
    </w:rPr>
  </w:style>
  <w:style w:type="character" w:styleId="30">
    <w:name w:val="annotation reference"/>
    <w:basedOn w:val="25"/>
    <w:qFormat/>
    <w:uiPriority w:val="99"/>
    <w:rPr>
      <w:sz w:val="21"/>
      <w:szCs w:val="21"/>
    </w:rPr>
  </w:style>
  <w:style w:type="character" w:styleId="31">
    <w:name w:val="footnote reference"/>
    <w:basedOn w:val="25"/>
    <w:qFormat/>
    <w:uiPriority w:val="99"/>
    <w:rPr>
      <w:vertAlign w:val="superscript"/>
    </w:rPr>
  </w:style>
  <w:style w:type="character" w:customStyle="1" w:styleId="32">
    <w:name w:val="标题 1 Char"/>
    <w:basedOn w:val="25"/>
    <w:link w:val="2"/>
    <w:qFormat/>
    <w:uiPriority w:val="99"/>
    <w:rPr>
      <w:rFonts w:ascii="Times New Roman" w:hAnsi="Times New Roman" w:eastAsia="黑体" w:cs="Times New Roman"/>
      <w:b/>
      <w:bCs/>
      <w:color w:val="000000"/>
      <w:kern w:val="44"/>
      <w:sz w:val="36"/>
      <w:szCs w:val="44"/>
      <w:u w:color="000000"/>
    </w:rPr>
  </w:style>
  <w:style w:type="character" w:customStyle="1" w:styleId="33">
    <w:name w:val="标题 2 Char"/>
    <w:basedOn w:val="25"/>
    <w:link w:val="3"/>
    <w:qFormat/>
    <w:uiPriority w:val="99"/>
    <w:rPr>
      <w:rFonts w:ascii="Arial" w:hAnsi="Arial" w:eastAsia="黑体" w:cs="Times New Roman"/>
      <w:b/>
      <w:bCs/>
      <w:kern w:val="2"/>
      <w:sz w:val="32"/>
      <w:szCs w:val="32"/>
    </w:rPr>
  </w:style>
  <w:style w:type="character" w:customStyle="1" w:styleId="34">
    <w:name w:val="标题 3 Char"/>
    <w:basedOn w:val="25"/>
    <w:link w:val="4"/>
    <w:qFormat/>
    <w:uiPriority w:val="99"/>
    <w:rPr>
      <w:rFonts w:ascii="Times New Roman" w:hAnsi="Times New Roman" w:eastAsia="仿宋_GB2312" w:cs="Times New Roman"/>
      <w:b/>
      <w:bCs/>
      <w:sz w:val="30"/>
      <w:szCs w:val="32"/>
      <w:u w:color="000000"/>
    </w:rPr>
  </w:style>
  <w:style w:type="character" w:customStyle="1" w:styleId="35">
    <w:name w:val="标题 4 Char"/>
    <w:basedOn w:val="25"/>
    <w:link w:val="5"/>
    <w:qFormat/>
    <w:uiPriority w:val="0"/>
    <w:rPr>
      <w:rFonts w:asciiTheme="majorHAnsi" w:hAnsiTheme="majorHAnsi" w:eastAsiaTheme="majorEastAsia" w:cstheme="majorBidi"/>
      <w:b/>
      <w:bCs/>
      <w:kern w:val="2"/>
      <w:sz w:val="28"/>
      <w:szCs w:val="28"/>
    </w:rPr>
  </w:style>
  <w:style w:type="character" w:customStyle="1" w:styleId="36">
    <w:name w:val="标题 5 Char"/>
    <w:basedOn w:val="25"/>
    <w:link w:val="6"/>
    <w:qFormat/>
    <w:uiPriority w:val="0"/>
    <w:rPr>
      <w:rFonts w:ascii="Times New Roman" w:hAnsi="Times New Roman" w:eastAsia="宋体" w:cs="Times New Roman"/>
      <w:b/>
      <w:bCs/>
      <w:kern w:val="2"/>
      <w:sz w:val="28"/>
      <w:szCs w:val="28"/>
    </w:rPr>
  </w:style>
  <w:style w:type="character" w:customStyle="1" w:styleId="37">
    <w:name w:val="标题 6 Char"/>
    <w:basedOn w:val="25"/>
    <w:link w:val="7"/>
    <w:qFormat/>
    <w:uiPriority w:val="0"/>
    <w:rPr>
      <w:rFonts w:asciiTheme="majorHAnsi" w:hAnsiTheme="majorHAnsi" w:eastAsiaTheme="majorEastAsia" w:cstheme="majorBidi"/>
      <w:b/>
      <w:bCs/>
      <w:kern w:val="2"/>
      <w:sz w:val="24"/>
      <w:szCs w:val="24"/>
    </w:rPr>
  </w:style>
  <w:style w:type="character" w:customStyle="1" w:styleId="38">
    <w:name w:val="页眉 Char"/>
    <w:basedOn w:val="25"/>
    <w:link w:val="16"/>
    <w:qFormat/>
    <w:uiPriority w:val="99"/>
    <w:rPr>
      <w:rFonts w:ascii="Tahoma" w:hAnsi="Tahoma"/>
      <w:sz w:val="18"/>
      <w:szCs w:val="18"/>
    </w:rPr>
  </w:style>
  <w:style w:type="character" w:customStyle="1" w:styleId="39">
    <w:name w:val="页脚 Char"/>
    <w:basedOn w:val="25"/>
    <w:link w:val="15"/>
    <w:qFormat/>
    <w:uiPriority w:val="99"/>
    <w:rPr>
      <w:rFonts w:ascii="Tahoma" w:hAnsi="Tahoma"/>
      <w:sz w:val="18"/>
      <w:szCs w:val="18"/>
    </w:rPr>
  </w:style>
  <w:style w:type="paragraph" w:customStyle="1" w:styleId="40">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1">
    <w:name w:val="List Paragraph"/>
    <w:basedOn w:val="1"/>
    <w:qFormat/>
    <w:uiPriority w:val="99"/>
    <w:pPr>
      <w:ind w:firstLine="420" w:firstLineChars="200"/>
    </w:pPr>
  </w:style>
  <w:style w:type="character" w:customStyle="1" w:styleId="42">
    <w:name w:val="批注文字 Char"/>
    <w:basedOn w:val="25"/>
    <w:link w:val="10"/>
    <w:qFormat/>
    <w:uiPriority w:val="99"/>
    <w:rPr>
      <w:rFonts w:ascii="Tahoma" w:hAnsi="Tahoma"/>
    </w:rPr>
  </w:style>
  <w:style w:type="character" w:customStyle="1" w:styleId="43">
    <w:name w:val="批注主题 Char"/>
    <w:basedOn w:val="42"/>
    <w:link w:val="23"/>
    <w:qFormat/>
    <w:uiPriority w:val="99"/>
    <w:rPr>
      <w:rFonts w:ascii="Times New Roman" w:hAnsi="Times New Roman" w:eastAsia="宋体" w:cs="Times New Roman"/>
      <w:b/>
      <w:bCs/>
      <w:kern w:val="2"/>
      <w:sz w:val="21"/>
      <w:szCs w:val="24"/>
    </w:rPr>
  </w:style>
  <w:style w:type="character" w:customStyle="1" w:styleId="44">
    <w:name w:val="文档结构图 Char"/>
    <w:basedOn w:val="25"/>
    <w:link w:val="9"/>
    <w:semiHidden/>
    <w:qFormat/>
    <w:uiPriority w:val="99"/>
    <w:rPr>
      <w:rFonts w:ascii="Times New Roman" w:hAnsi="Times New Roman" w:eastAsia="宋体" w:cs="Times New Roman"/>
      <w:kern w:val="2"/>
      <w:sz w:val="21"/>
      <w:szCs w:val="24"/>
      <w:shd w:val="clear" w:color="auto" w:fill="000080"/>
    </w:rPr>
  </w:style>
  <w:style w:type="character" w:customStyle="1" w:styleId="45">
    <w:name w:val="正文文本 Char"/>
    <w:basedOn w:val="25"/>
    <w:link w:val="11"/>
    <w:qFormat/>
    <w:uiPriority w:val="99"/>
    <w:rPr>
      <w:rFonts w:ascii="Times New Roman" w:hAnsi="Times New Roman" w:eastAsia="宋体" w:cs="Times New Roman"/>
      <w:kern w:val="2"/>
      <w:sz w:val="21"/>
      <w:szCs w:val="24"/>
    </w:rPr>
  </w:style>
  <w:style w:type="character" w:customStyle="1" w:styleId="46">
    <w:name w:val="纯文本 Char"/>
    <w:basedOn w:val="25"/>
    <w:link w:val="13"/>
    <w:qFormat/>
    <w:uiPriority w:val="99"/>
    <w:rPr>
      <w:rFonts w:ascii="宋体" w:hAnsi="Times New Roman" w:eastAsia="宋体" w:cs="Times New Roman"/>
      <w:color w:val="000000"/>
      <w:sz w:val="21"/>
      <w:szCs w:val="20"/>
      <w:u w:color="000000"/>
    </w:rPr>
  </w:style>
  <w:style w:type="character" w:customStyle="1" w:styleId="47">
    <w:name w:val="批注框文本 Char"/>
    <w:basedOn w:val="25"/>
    <w:link w:val="14"/>
    <w:qFormat/>
    <w:uiPriority w:val="99"/>
    <w:rPr>
      <w:rFonts w:ascii="Times New Roman" w:hAnsi="Times New Roman" w:eastAsia="宋体" w:cs="Times New Roman"/>
      <w:kern w:val="2"/>
      <w:sz w:val="18"/>
      <w:szCs w:val="18"/>
    </w:rPr>
  </w:style>
  <w:style w:type="character" w:customStyle="1" w:styleId="48">
    <w:name w:val="脚注文本 Char"/>
    <w:basedOn w:val="25"/>
    <w:link w:val="18"/>
    <w:qFormat/>
    <w:uiPriority w:val="99"/>
    <w:rPr>
      <w:rFonts w:ascii="Times New Roman" w:hAnsi="Times New Roman" w:eastAsia="宋体" w:cs="Times New Roman"/>
      <w:kern w:val="2"/>
      <w:sz w:val="18"/>
      <w:szCs w:val="18"/>
    </w:rPr>
  </w:style>
  <w:style w:type="character" w:customStyle="1" w:styleId="49">
    <w:name w:val="HTML 预设格式 Char"/>
    <w:basedOn w:val="25"/>
    <w:link w:val="20"/>
    <w:qFormat/>
    <w:uiPriority w:val="0"/>
    <w:rPr>
      <w:rFonts w:ascii="宋体" w:hAnsi="宋体" w:eastAsia="宋体" w:cs="宋体"/>
      <w:sz w:val="24"/>
      <w:szCs w:val="24"/>
    </w:rPr>
  </w:style>
  <w:style w:type="paragraph" w:customStyle="1" w:styleId="50">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1">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2">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3">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4">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5">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6">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7">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8">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9">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60">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1">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2">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4">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5">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6">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7">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8">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9">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70">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1">
    <w:name w:val="标题 Char"/>
    <w:basedOn w:val="25"/>
    <w:link w:val="22"/>
    <w:qFormat/>
    <w:uiPriority w:val="0"/>
    <w:rPr>
      <w:rFonts w:eastAsia="宋体" w:asciiTheme="majorHAnsi" w:hAnsiTheme="majorHAnsi" w:cstheme="majorBidi"/>
      <w:b/>
      <w:bCs/>
      <w:kern w:val="2"/>
      <w:sz w:val="32"/>
      <w:szCs w:val="32"/>
    </w:rPr>
  </w:style>
  <w:style w:type="paragraph" w:customStyle="1" w:styleId="72">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3">
    <w:name w:val="font01"/>
    <w:basedOn w:val="25"/>
    <w:qFormat/>
    <w:uiPriority w:val="0"/>
    <w:rPr>
      <w:rFonts w:hint="eastAsia" w:ascii="宋体" w:hAnsi="宋体" w:eastAsia="宋体" w:cs="宋体"/>
      <w:b/>
      <w:color w:val="000000"/>
      <w:sz w:val="32"/>
      <w:szCs w:val="32"/>
      <w:u w:val="none"/>
    </w:rPr>
  </w:style>
  <w:style w:type="character" w:customStyle="1" w:styleId="74">
    <w:name w:val="font21"/>
    <w:basedOn w:val="25"/>
    <w:qFormat/>
    <w:uiPriority w:val="0"/>
    <w:rPr>
      <w:rFonts w:hint="default" w:ascii="Times New Roman" w:hAnsi="Times New Roman" w:cs="Times New Roman"/>
      <w:b/>
      <w:color w:val="000000"/>
      <w:sz w:val="32"/>
      <w:szCs w:val="32"/>
      <w:u w:val="none"/>
    </w:rPr>
  </w:style>
  <w:style w:type="paragraph" w:styleId="75">
    <w:name w:val="Quote"/>
    <w:basedOn w:val="1"/>
    <w:next w:val="1"/>
    <w:link w:val="76"/>
    <w:qFormat/>
    <w:uiPriority w:val="29"/>
    <w:pPr>
      <w:adjustRightInd/>
      <w:snapToGrid/>
      <w:spacing w:line="276" w:lineRule="auto"/>
    </w:pPr>
    <w:rPr>
      <w:rFonts w:asciiTheme="minorHAnsi" w:hAnsiTheme="minorHAnsi" w:eastAsiaTheme="minorEastAsia"/>
      <w:i/>
      <w:iCs/>
      <w:color w:val="000000" w:themeColor="text1"/>
    </w:rPr>
  </w:style>
  <w:style w:type="character" w:customStyle="1" w:styleId="76">
    <w:name w:val="引用 Char"/>
    <w:basedOn w:val="25"/>
    <w:link w:val="75"/>
    <w:uiPriority w:val="29"/>
    <w:rPr>
      <w:rFonts w:asciiTheme="minorHAnsi" w:hAnsiTheme="minorHAnsi" w:eastAsiaTheme="minorEastAsia" w:cstheme="minorBidi"/>
      <w:i/>
      <w:iCs/>
      <w:color w:val="000000" w:themeColor="text1"/>
      <w:sz w:val="22"/>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2021</a:t>
            </a:r>
            <a:r>
              <a:rPr lang="zh-CN" altLang="en-US"/>
              <a:t>年决算收入结构图</a:t>
            </a:r>
            <a:endParaRPr lang="zh-CN" altLang="en-US"/>
          </a:p>
        </c:rich>
      </c:tx>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Lbls>
            <c:dLbl>
              <c:idx val="0"/>
              <c:layout>
                <c:manualLayout>
                  <c:x val="-0.0622181577696489"/>
                  <c:y val="-0.21490320421356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193.1, 93.54%</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295176099377469"/>
                  <c:y val="0.0052005883165533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4.69,2.27%</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928286761988686"/>
                  <c:y val="-0.0074517929840813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8.65, 4.19%</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193.1</c:v>
                </c:pt>
                <c:pt idx="1">
                  <c:v>4.69</c:v>
                </c:pt>
                <c:pt idx="2">
                  <c:v>8.65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49502095443074"/>
          <c:y val="0.219062295497245"/>
          <c:w val="0.787294718574038"/>
          <c:h val="0.673544508730593"/>
        </c:manualLayout>
      </c:layout>
      <c:barChart>
        <c:barDir val="col"/>
        <c:grouping val="clustered"/>
        <c:varyColors val="0"/>
        <c:ser>
          <c:idx val="0"/>
          <c:order val="0"/>
          <c:tx>
            <c:strRef>
              <c:f>Sheet1!$B$2</c:f>
              <c:strCache>
                <c:ptCount val="1"/>
                <c:pt idx="0">
                  <c:v>预算</c:v>
                </c:pt>
              </c:strCache>
            </c:strRef>
          </c:tx>
          <c:invertIfNegative val="0"/>
          <c:dLbls>
            <c:delete val="1"/>
          </c:dLbls>
          <c:cat>
            <c:strRef>
              <c:f>Sheet1!$A$3:$A$5</c:f>
              <c:strCache>
                <c:ptCount val="3"/>
                <c:pt idx="0">
                  <c:v>社会保障和就业支出</c:v>
                </c:pt>
                <c:pt idx="1">
                  <c:v>卫生健康支出</c:v>
                </c:pt>
                <c:pt idx="2">
                  <c:v>住房保障支出</c:v>
                </c:pt>
              </c:strCache>
            </c:strRef>
          </c:cat>
          <c:val>
            <c:numRef>
              <c:f>Sheet1!$B$3:$B$5</c:f>
              <c:numCache>
                <c:formatCode>General</c:formatCode>
                <c:ptCount val="3"/>
                <c:pt idx="0">
                  <c:v>239.04</c:v>
                </c:pt>
                <c:pt idx="1">
                  <c:v>10.43</c:v>
                </c:pt>
                <c:pt idx="2">
                  <c:v>8.75</c:v>
                </c:pt>
              </c:numCache>
            </c:numRef>
          </c:val>
        </c:ser>
        <c:ser>
          <c:idx val="1"/>
          <c:order val="1"/>
          <c:tx>
            <c:strRef>
              <c:f>Sheet1!$C$2</c:f>
              <c:strCache>
                <c:ptCount val="1"/>
                <c:pt idx="0">
                  <c:v>决算</c:v>
                </c:pt>
              </c:strCache>
            </c:strRef>
          </c:tx>
          <c:invertIfNegative val="0"/>
          <c:dLbls>
            <c:delete val="1"/>
          </c:dLbls>
          <c:cat>
            <c:strRef>
              <c:f>Sheet1!$A$3:$A$5</c:f>
              <c:strCache>
                <c:ptCount val="3"/>
                <c:pt idx="0">
                  <c:v>社会保障和就业支出</c:v>
                </c:pt>
                <c:pt idx="1">
                  <c:v>卫生健康支出</c:v>
                </c:pt>
                <c:pt idx="2">
                  <c:v>住房保障支出</c:v>
                </c:pt>
              </c:strCache>
            </c:strRef>
          </c:cat>
          <c:val>
            <c:numRef>
              <c:f>Sheet1!$C$3:$C$5</c:f>
              <c:numCache>
                <c:formatCode>General</c:formatCode>
                <c:ptCount val="3"/>
                <c:pt idx="0">
                  <c:v>193.1</c:v>
                </c:pt>
                <c:pt idx="1">
                  <c:v>4.69</c:v>
                </c:pt>
                <c:pt idx="2">
                  <c:v>8.65</c:v>
                </c:pt>
              </c:numCache>
            </c:numRef>
          </c:val>
        </c:ser>
        <c:dLbls>
          <c:showLegendKey val="0"/>
          <c:showVal val="0"/>
          <c:showCatName val="0"/>
          <c:showSerName val="0"/>
          <c:showPercent val="0"/>
          <c:showBubbleSize val="0"/>
        </c:dLbls>
        <c:gapWidth val="150"/>
        <c:axId val="236944000"/>
        <c:axId val="250749696"/>
      </c:barChart>
      <c:catAx>
        <c:axId val="2369440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0749696"/>
        <c:crosses val="autoZero"/>
        <c:auto val="1"/>
        <c:lblAlgn val="ctr"/>
        <c:lblOffset val="100"/>
        <c:noMultiLvlLbl val="0"/>
      </c:catAx>
      <c:valAx>
        <c:axId val="2507496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694400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2021</a:t>
            </a:r>
            <a:r>
              <a:rPr lang="zh-CN" altLang="en-US"/>
              <a:t>年决算支出结构图</a:t>
            </a:r>
            <a:endParaRPr lang="zh-CN" altLang="en-US"/>
          </a:p>
        </c:rich>
      </c:tx>
      <c:layout/>
      <c:overlay val="0"/>
    </c:title>
    <c:autoTitleDeleted val="0"/>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218.74, 94.25%</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0.0630859319480372"/>
                  <c:y val="0.0071241559201384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4.69, 2.02%</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03330111714375"/>
                  <c:y val="0.010717762446876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8.65, 3.73%</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218.74</c:v>
                </c:pt>
                <c:pt idx="1">
                  <c:v>4.69</c:v>
                </c:pt>
                <c:pt idx="2">
                  <c:v>8.65</c:v>
                </c:pt>
              </c:numCache>
            </c:numRef>
          </c:val>
        </c:ser>
        <c:ser>
          <c:idx val="1"/>
          <c:order val="1"/>
          <c:tx>
            <c:strRef>
              <c:f>Sheet1!$C$1</c:f>
              <c:strCache>
                <c:ptCount val="1"/>
                <c:pt idx="0">
                  <c:v>列2</c:v>
                </c:pt>
              </c:strCache>
            </c:strRef>
          </c:tx>
          <c:explosion val="0"/>
          <c:dPt>
            <c:idx val="0"/>
            <c:bubble3D val="0"/>
          </c:dPt>
          <c:dPt>
            <c:idx val="1"/>
            <c:bubble3D val="0"/>
          </c:dPt>
          <c:dPt>
            <c:idx val="2"/>
            <c:bubble3D val="0"/>
          </c:dPt>
          <c:dLbls>
            <c:delete val="1"/>
          </c:dLbls>
          <c:cat>
            <c:strRef>
              <c:f>Sheet1!$A$2:$A$4</c:f>
              <c:strCache>
                <c:ptCount val="3"/>
                <c:pt idx="0">
                  <c:v>社会保障和就业支出</c:v>
                </c:pt>
                <c:pt idx="1">
                  <c:v>卫生健康支出</c:v>
                </c:pt>
                <c:pt idx="2">
                  <c:v>住房保障支出</c:v>
                </c:pt>
              </c:strCache>
            </c:strRef>
          </c:cat>
          <c:val>
            <c:numRef>
              <c:f>Sheet1!$C$2:$C$4</c:f>
              <c:numCache>
                <c:formatCode>General</c:formatCode>
                <c:ptCount val="3"/>
                <c:pt idx="0">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1686888513334"/>
          <c:y val="0.289179845507557"/>
          <c:w val="0.797713390373845"/>
          <c:h val="0.54980765577122"/>
        </c:manualLayout>
      </c:layout>
      <c:barChart>
        <c:barDir val="col"/>
        <c:grouping val="clustered"/>
        <c:varyColors val="0"/>
        <c:ser>
          <c:idx val="0"/>
          <c:order val="0"/>
          <c:tx>
            <c:strRef>
              <c:f>Sheet1!$B$1</c:f>
              <c:strCache>
                <c:ptCount val="1"/>
                <c:pt idx="0">
                  <c:v>预算</c:v>
                </c:pt>
              </c:strCache>
            </c:strRef>
          </c:tx>
          <c:invertIfNegative val="0"/>
          <c:dLbls>
            <c:delete val="1"/>
          </c:dLbls>
          <c:cat>
            <c:strRef>
              <c:f>Sheet1!$A$2:$A$6</c:f>
              <c:strCache>
                <c:ptCount val="3"/>
                <c:pt idx="0">
                  <c:v>社会保障和就业支出</c:v>
                </c:pt>
                <c:pt idx="1">
                  <c:v>卫生健康支出</c:v>
                </c:pt>
                <c:pt idx="2">
                  <c:v>住房保障支出</c:v>
                </c:pt>
              </c:strCache>
            </c:strRef>
          </c:cat>
          <c:val>
            <c:numRef>
              <c:f>Sheet1!$B$2:$B$6</c:f>
              <c:numCache>
                <c:formatCode>General</c:formatCode>
                <c:ptCount val="5"/>
                <c:pt idx="0">
                  <c:v>239.04</c:v>
                </c:pt>
                <c:pt idx="1">
                  <c:v>10.43</c:v>
                </c:pt>
                <c:pt idx="2">
                  <c:v>8.75</c:v>
                </c:pt>
              </c:numCache>
            </c:numRef>
          </c:val>
        </c:ser>
        <c:ser>
          <c:idx val="1"/>
          <c:order val="1"/>
          <c:tx>
            <c:strRef>
              <c:f>Sheet1!$C$1</c:f>
              <c:strCache>
                <c:ptCount val="1"/>
                <c:pt idx="0">
                  <c:v>决算</c:v>
                </c:pt>
              </c:strCache>
            </c:strRef>
          </c:tx>
          <c:invertIfNegative val="0"/>
          <c:dLbls>
            <c:delete val="1"/>
          </c:dLbls>
          <c:cat>
            <c:strRef>
              <c:f>Sheet1!$A$2:$A$6</c:f>
              <c:strCache>
                <c:ptCount val="3"/>
                <c:pt idx="0">
                  <c:v>社会保障和就业支出</c:v>
                </c:pt>
                <c:pt idx="1">
                  <c:v>卫生健康支出</c:v>
                </c:pt>
                <c:pt idx="2">
                  <c:v>住房保障支出</c:v>
                </c:pt>
              </c:strCache>
            </c:strRef>
          </c:cat>
          <c:val>
            <c:numRef>
              <c:f>Sheet1!$C$2:$C$6</c:f>
              <c:numCache>
                <c:formatCode>General</c:formatCode>
                <c:ptCount val="5"/>
                <c:pt idx="0">
                  <c:v>218.74</c:v>
                </c:pt>
                <c:pt idx="1">
                  <c:v>4.69</c:v>
                </c:pt>
                <c:pt idx="2">
                  <c:v>8.65</c:v>
                </c:pt>
              </c:numCache>
            </c:numRef>
          </c:val>
        </c:ser>
        <c:dLbls>
          <c:showLegendKey val="0"/>
          <c:showVal val="0"/>
          <c:showCatName val="0"/>
          <c:showSerName val="0"/>
          <c:showPercent val="0"/>
          <c:showBubbleSize val="0"/>
        </c:dLbls>
        <c:gapWidth val="150"/>
        <c:axId val="308183040"/>
        <c:axId val="308184576"/>
      </c:barChart>
      <c:catAx>
        <c:axId val="30818304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8184576"/>
        <c:crosses val="autoZero"/>
        <c:auto val="1"/>
        <c:lblAlgn val="ctr"/>
        <c:lblOffset val="100"/>
        <c:noMultiLvlLbl val="0"/>
      </c:catAx>
      <c:valAx>
        <c:axId val="3081845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818304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0.74213</cdr:x>
      <cdr:y>0.23154</cdr:y>
    </cdr:from>
    <cdr:to>
      <cdr:x>0.93895</cdr:x>
      <cdr:y>0.32214</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3590925" y="657225"/>
          <a:ext cx="952381" cy="257143"/>
        </a:xfrm>
        <a:prstGeom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0.77117</cdr:x>
      <cdr:y>0.18045</cdr:y>
    </cdr:from>
    <cdr:to>
      <cdr:x>0.95161</cdr:x>
      <cdr:y>0.26396</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4070350" y="555625"/>
          <a:ext cx="952381" cy="257143"/>
        </a:xfrm>
        <a:prstGeom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0.81932</cdr:x>
      <cdr:y>0.13405</cdr:y>
    </cdr:from>
    <cdr:to>
      <cdr:x>0.99976</cdr:x>
      <cdr:y>0.21756</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4324469" y="412750"/>
          <a:ext cx="952381" cy="257143"/>
        </a:xfrm>
        <a:prstGeom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0.7808</cdr:x>
      <cdr:y>0.19695</cdr:y>
    </cdr:from>
    <cdr:to>
      <cdr:x>0.96124</cdr:x>
      <cdr:y>0.28046</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4121150" y="606425"/>
          <a:ext cx="952381" cy="257143"/>
        </a:xfrm>
        <a:prstGeom prst="rect">
          <a:avLst/>
        </a:prstGeom>
      </cdr:spPr>
    </cdr:pic>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4174F7-B048-4D5D-B5BA-A52F431899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2307</Words>
  <Characters>13154</Characters>
  <Lines>109</Lines>
  <Paragraphs>30</Paragraphs>
  <TotalTime>1664</TotalTime>
  <ScaleCrop>false</ScaleCrop>
  <LinksUpToDate>false</LinksUpToDate>
  <CharactersWithSpaces>15431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Lenovo</cp:lastModifiedBy>
  <cp:lastPrinted>2022-11-21T04:26:00Z</cp:lastPrinted>
  <dcterms:modified xsi:type="dcterms:W3CDTF">2025-05-12T03:07:28Z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7E7588654FC244E380CF99C244D2BB12</vt:lpwstr>
  </property>
</Properties>
</file>