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9F208">
      <w:pPr>
        <w:widowControl w:val="0"/>
        <w:adjustRightInd/>
        <w:snapToGrid/>
        <w:spacing w:after="0" w:line="540" w:lineRule="exact"/>
        <w:ind w:firstLine="640" w:firstLineChars="200"/>
        <w:jc w:val="both"/>
        <w:rPr>
          <w:rFonts w:ascii="Times New Roman" w:hAnsi="Times New Roman" w:eastAsia="宋体" w:cs="Times New Roman"/>
          <w:bCs/>
          <w:kern w:val="2"/>
          <w:sz w:val="32"/>
          <w:szCs w:val="32"/>
        </w:rPr>
      </w:pPr>
      <w:bookmarkStart w:id="75" w:name="_GoBack"/>
      <w:bookmarkEnd w:id="75"/>
    </w:p>
    <w:p w14:paraId="326D27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2F28065">
      <w:pPr>
        <w:widowControl w:val="0"/>
        <w:adjustRightInd/>
        <w:snapToGrid/>
        <w:spacing w:after="0" w:line="480" w:lineRule="auto"/>
        <w:jc w:val="center"/>
        <w:rPr>
          <w:rFonts w:ascii="黑体" w:hAnsi="黑体" w:eastAsia="黑体" w:cs="Times New Roman"/>
          <w:bCs/>
          <w:w w:val="90"/>
          <w:kern w:val="2"/>
          <w:sz w:val="48"/>
          <w:szCs w:val="48"/>
        </w:rPr>
      </w:pPr>
      <w:r>
        <w:rPr>
          <w:rFonts w:hint="eastAsia" w:ascii="黑体" w:hAnsi="黑体" w:eastAsia="黑体" w:cs="Times New Roman"/>
          <w:bCs/>
          <w:w w:val="90"/>
          <w:kern w:val="2"/>
          <w:sz w:val="48"/>
          <w:szCs w:val="48"/>
        </w:rPr>
        <w:t>中共保定市徐水区委统战部</w:t>
      </w:r>
    </w:p>
    <w:p w14:paraId="018EC9FC">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14:paraId="01FC3EE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C08F6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6632A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510D66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C4085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844FA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16E84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95285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17D8A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BFE8FC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9D5D8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5CC0B6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ACD58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A16300">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0C18E15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D21C4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53EB11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2ED49E63">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F82410F">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p>
        <w:p w14:paraId="7F2048D3">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p>
        <w:p w14:paraId="502D244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14D3CA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p>
        <w:p w14:paraId="76C73E9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p>
        <w:p w14:paraId="0792530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p>
        <w:p w14:paraId="2AABBAD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p>
        <w:p w14:paraId="17E7047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p>
        <w:p w14:paraId="2AD24A5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33C2A9B">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23E0E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265EA2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1FD5D1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67035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0DBC45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D69E64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E048B4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DBA7E7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CB9CA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115982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95E38D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FCBDE1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p>
        <w:p w14:paraId="1EEEBA4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p>
        <w:p w14:paraId="76F864E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5483FB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A9E1ABF">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28</w:t>
          </w:r>
          <w:r>
            <w:rPr>
              <w:rFonts w:hint="eastAsia" w:asciiTheme="majorEastAsia" w:hAnsiTheme="majorEastAsia" w:eastAsiaTheme="majorEastAsia" w:cstheme="majorEastAsia"/>
              <w:b/>
              <w:bCs/>
              <w:sz w:val="24"/>
            </w:rPr>
            <w:fldChar w:fldCharType="end"/>
          </w:r>
        </w:p>
        <w:p w14:paraId="172FBB3C">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6F01DDC1">
      <w:pPr>
        <w:pStyle w:val="3"/>
        <w:spacing w:before="0" w:after="0" w:line="600" w:lineRule="exact"/>
        <w:jc w:val="center"/>
        <w:rPr>
          <w:rFonts w:ascii="黑体" w:hAnsi="黑体"/>
          <w:b w:val="0"/>
        </w:rPr>
      </w:pPr>
      <w:bookmarkStart w:id="0" w:name="_Toc25184"/>
      <w:r>
        <w:rPr>
          <w:rFonts w:hint="eastAsia" w:ascii="黑体" w:hAnsi="黑体"/>
          <w:b w:val="0"/>
        </w:rPr>
        <w:t>第一部分   摘  要</w:t>
      </w:r>
      <w:bookmarkEnd w:id="0"/>
    </w:p>
    <w:p w14:paraId="1EF19C8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对2019年部门整体支出情况开展了绩效自评价工作。</w:t>
      </w:r>
    </w:p>
    <w:p w14:paraId="7A14E9FC">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中共保定市徐水区委统战部为正科级行政单位，经费保障形式为财政拨款，下设</w:t>
      </w:r>
      <w:r>
        <w:rPr>
          <w:rFonts w:ascii="仿宋_GB2312" w:eastAsia="仿宋_GB2312" w:cs="DengXian-Regular"/>
          <w:sz w:val="32"/>
          <w:szCs w:val="32"/>
        </w:rPr>
        <w:t>2</w:t>
      </w:r>
      <w:r>
        <w:rPr>
          <w:rFonts w:hint="eastAsia" w:ascii="仿宋_GB2312" w:eastAsia="仿宋_GB2312" w:cs="DengXian-Regular"/>
          <w:sz w:val="32"/>
          <w:szCs w:val="32"/>
        </w:rPr>
        <w:t>个股室，分别为综合股、民族宗教股。</w:t>
      </w:r>
    </w:p>
    <w:p w14:paraId="18E06C04">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主要职责：</w:t>
      </w:r>
    </w:p>
    <w:p w14:paraId="0CF3FCD7">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28CE3AEE">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组织和落实中央、省委、市委、区委关于统一战线工作重大决策部署，巩固壮大最广泛的爱国统一战线。</w:t>
      </w:r>
    </w:p>
    <w:p w14:paraId="3E5F078E">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479F1D85">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（三）贯彻落实党的宣传工作方针政策，统筹推进全区统一战线宣传工作，加强统一战线意识形态领域建设，拟订全区统一战线宣传工作规划并组织实施，研判涉及统一战线的舆情并协调有关部门应对处置。</w:t>
      </w:r>
    </w:p>
    <w:p w14:paraId="2BD7411F">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60FEFA2F">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（五）统一领导民族工作，贯彻落实党的民族工作方针协调落实民族工作政策和重大措施，协调处理民族工作中的重大</w:t>
      </w:r>
      <w:r>
        <w:rPr>
          <w:rFonts w:hint="eastAsia" w:ascii="Times New Roman" w:hAnsi="微软雅黑" w:eastAsia="方正仿宋_GBK" w:cs="微软雅黑"/>
          <w:sz w:val="28"/>
          <w:lang w:eastAsia="zh-CN"/>
        </w:rPr>
        <w:t>问题</w:t>
      </w:r>
      <w:r>
        <w:rPr>
          <w:rFonts w:hint="eastAsia" w:ascii="Times New Roman" w:hAnsi="微软雅黑" w:eastAsia="方正仿宋_GBK" w:cs="微软雅黑"/>
          <w:sz w:val="28"/>
        </w:rPr>
        <w:t>，根据分工做好少数民族干部和少数民族代表人士工作，领导区民族宗教事务局依法管理民族事务，全面促进民族事业发展。</w:t>
      </w:r>
    </w:p>
    <w:p w14:paraId="4EC4F18F">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6538B221">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3EB162B9">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Times New Roman" w:eastAsia="方正仿宋_GBK"/>
          <w:sz w:val="28"/>
        </w:rPr>
        <w:t>“</w:t>
      </w:r>
      <w:r>
        <w:rPr>
          <w:rFonts w:hint="eastAsia" w:ascii="Times New Roman" w:hAnsi="微软雅黑" w:eastAsia="方正仿宋_GBK" w:cs="微软雅黑"/>
          <w:sz w:val="28"/>
        </w:rPr>
        <w:t>亲</w:t>
      </w:r>
      <w:r>
        <w:rPr>
          <w:rFonts w:ascii="Times New Roman" w:eastAsia="方正仿宋_GBK"/>
          <w:sz w:val="28"/>
        </w:rPr>
        <w:t>”“</w:t>
      </w:r>
      <w:r>
        <w:rPr>
          <w:rFonts w:hint="eastAsia" w:ascii="Times New Roman" w:hAnsi="微软雅黑" w:eastAsia="方正仿宋_GBK" w:cs="微软雅黑"/>
          <w:sz w:val="28"/>
        </w:rPr>
        <w:t>清</w:t>
      </w:r>
      <w:r>
        <w:rPr>
          <w:rFonts w:ascii="Times New Roman" w:eastAsia="方正仿宋_GBK"/>
          <w:sz w:val="28"/>
        </w:rPr>
        <w:t>”</w:t>
      </w:r>
      <w:r>
        <w:rPr>
          <w:rFonts w:hint="eastAsia" w:ascii="Times New Roman" w:hAnsi="微软雅黑" w:eastAsia="方正仿宋_GBK" w:cs="微软雅黑"/>
          <w:sz w:val="28"/>
        </w:rPr>
        <w:t>新型政商关系，促进非公有制经济健康发展和非公有制经济人士健康成长。</w:t>
      </w:r>
    </w:p>
    <w:p w14:paraId="52E15FCC">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699B403A">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2B670D57">
      <w:pPr>
        <w:spacing w:line="500" w:lineRule="exact"/>
        <w:ind w:firstLine="560" w:firstLineChars="200"/>
        <w:rPr>
          <w:rFonts w:ascii="Times New Roman" w:eastAsia="方正仿宋_GBK"/>
          <w:sz w:val="28"/>
        </w:rPr>
      </w:pPr>
      <w:r>
        <w:rPr>
          <w:rFonts w:hint="eastAsia" w:ascii="Times New Roman" w:hAnsi="微软雅黑" w:eastAsia="方正仿宋_GBK" w:cs="微软雅黑"/>
          <w:sz w:val="28"/>
        </w:rPr>
        <w:t>（十一）协助管理乡镇城区办统战干部、宗教专干，领导区工商联党组，指导工商联工作。负责区委统一战线工作领导小组、区宗教工作领导小组、区对台工作领导小组的日常工作。</w:t>
      </w:r>
    </w:p>
    <w:p w14:paraId="7AC24284">
      <w:pPr>
        <w:spacing w:line="360" w:lineRule="auto"/>
        <w:rPr>
          <w:rFonts w:ascii="Times New Roman" w:hAnsi="微软雅黑" w:eastAsia="方正仿宋_GBK" w:cs="微软雅黑"/>
          <w:sz w:val="28"/>
        </w:rPr>
      </w:pPr>
      <w:r>
        <w:rPr>
          <w:rFonts w:hint="eastAsia" w:ascii="Times New Roman" w:hAnsi="微软雅黑" w:eastAsia="方正仿宋_GBK" w:cs="微软雅黑"/>
          <w:sz w:val="28"/>
        </w:rPr>
        <w:t>（十二）完成区委、区政府交办的其他任务。</w:t>
      </w:r>
    </w:p>
    <w:p w14:paraId="498BD1F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190ACF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C52F9A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区委编办2019年部门整体支出绩效评价工作。</w:t>
      </w:r>
    </w:p>
    <w:p w14:paraId="46DF925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2019年部门整体支出绩效评价指标体系共设置4个一级指标、7个二级指标、27个三级指标，从投入、过程、产出、效果四个方面对区委统战部整体支出情况评分定级。指标体系设定满分为100分，绩效评价分值≥90为“优”；80≤分值＜90为“良”；60≤分值＜80为“合格”；60分以下为“差”。</w:t>
      </w:r>
    </w:p>
    <w:p w14:paraId="535D16C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区委统战部2019年部门整体支出综合评价得分为91.7分，评价等级为“优”。</w:t>
      </w:r>
    </w:p>
    <w:p w14:paraId="7F14EC8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委统战部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61E7DFC6">
      <w:pPr>
        <w:pStyle w:val="3"/>
        <w:spacing w:before="0" w:after="0" w:line="600" w:lineRule="exact"/>
        <w:ind w:firstLine="640" w:firstLineChars="200"/>
        <w:jc w:val="center"/>
        <w:rPr>
          <w:rFonts w:ascii="黑体" w:hAnsi="黑体"/>
          <w:b w:val="0"/>
        </w:rPr>
      </w:pPr>
      <w:bookmarkStart w:id="1" w:name="_Toc4346"/>
      <w:r>
        <w:rPr>
          <w:rFonts w:hint="eastAsia" w:ascii="黑体" w:hAnsi="黑体"/>
          <w:b w:val="0"/>
        </w:rPr>
        <w:t>第二部分   绩效评价报告</w:t>
      </w:r>
      <w:bookmarkEnd w:id="1"/>
    </w:p>
    <w:p w14:paraId="407898AB">
      <w:pPr>
        <w:pStyle w:val="3"/>
        <w:adjustRightInd w:val="0"/>
        <w:snapToGrid w:val="0"/>
        <w:spacing w:before="0" w:after="0" w:line="600" w:lineRule="exact"/>
        <w:ind w:firstLine="643" w:firstLineChars="200"/>
        <w:rPr>
          <w:rFonts w:ascii="楷体" w:hAnsi="楷体" w:eastAsia="楷体" w:cs="楷体"/>
        </w:rPr>
      </w:pPr>
      <w:bookmarkStart w:id="2" w:name="_Toc427"/>
      <w:bookmarkStart w:id="3" w:name="_Toc492652763"/>
      <w:r>
        <w:rPr>
          <w:rFonts w:hint="eastAsia" w:ascii="楷体" w:hAnsi="楷体" w:eastAsia="楷体" w:cs="楷体"/>
        </w:rPr>
        <w:t>一、区委统战部基本情况</w:t>
      </w:r>
      <w:bookmarkEnd w:id="2"/>
      <w:bookmarkEnd w:id="3"/>
      <w:bookmarkStart w:id="4" w:name="_Toc492652764"/>
    </w:p>
    <w:bookmarkEnd w:id="4"/>
    <w:p w14:paraId="4E451AF5">
      <w:pPr>
        <w:pStyle w:val="74"/>
        <w:widowControl/>
        <w:spacing w:line="600" w:lineRule="exact"/>
        <w:ind w:firstLine="640" w:firstLineChars="200"/>
        <w:jc w:val="both"/>
        <w:rPr>
          <w:rFonts w:ascii="仿宋_GB2312" w:hAnsi="仿宋" w:eastAsia="仿宋_GB2312" w:cs="仿宋_GB2312"/>
          <w:sz w:val="32"/>
          <w:szCs w:val="32"/>
        </w:rPr>
      </w:pPr>
      <w:bookmarkStart w:id="5" w:name="_Toc465149500"/>
      <w:bookmarkStart w:id="6" w:name="_Toc492652766"/>
      <w:r>
        <w:rPr>
          <w:rFonts w:hint="eastAsia" w:ascii="仿宋_GB2312" w:hAnsi="仿宋" w:eastAsia="仿宋_GB2312" w:cs="仿宋_GB2312"/>
          <w:sz w:val="32"/>
          <w:szCs w:val="32"/>
        </w:rPr>
        <w:t>根据中共保定市徐水区委办公室关于印发《中共徐水区委统一战线工作部职能配置、内设机构和人员编制规定》的通知（徐政办[20</w:t>
      </w:r>
      <w:r>
        <w:rPr>
          <w:rFonts w:ascii="仿宋_GB2312" w:hAnsi="仿宋" w:eastAsia="仿宋_GB2312" w:cs="仿宋_GB2312"/>
          <w:sz w:val="32"/>
          <w:szCs w:val="32"/>
        </w:rPr>
        <w:t>19</w:t>
      </w:r>
      <w:r>
        <w:rPr>
          <w:rFonts w:hint="eastAsia" w:ascii="仿宋_GB2312" w:hAnsi="仿宋" w:eastAsia="仿宋_GB2312" w:cs="仿宋_GB2312"/>
          <w:sz w:val="32"/>
          <w:szCs w:val="32"/>
        </w:rPr>
        <w:t>]</w:t>
      </w:r>
      <w:r>
        <w:rPr>
          <w:rFonts w:ascii="仿宋_GB2312" w:hAnsi="仿宋" w:eastAsia="仿宋_GB2312" w:cs="仿宋_GB2312"/>
          <w:sz w:val="32"/>
          <w:szCs w:val="32"/>
        </w:rPr>
        <w:t>33</w:t>
      </w:r>
      <w:r>
        <w:rPr>
          <w:rFonts w:hint="eastAsia" w:ascii="仿宋_GB2312" w:hAnsi="仿宋" w:eastAsia="仿宋_GB2312" w:cs="仿宋_GB2312"/>
          <w:sz w:val="32"/>
          <w:szCs w:val="32"/>
        </w:rPr>
        <w:t>号），现将我部门概况说明如下：</w:t>
      </w:r>
    </w:p>
    <w:p w14:paraId="52AFFD25">
      <w:pPr>
        <w:spacing w:line="560" w:lineRule="exact"/>
        <w:ind w:firstLine="640" w:firstLineChars="200"/>
        <w:rPr>
          <w:rFonts w:ascii="仿宋_GB2312" w:eastAsia="仿宋_GB2312"/>
          <w:sz w:val="32"/>
          <w:szCs w:val="32"/>
        </w:rPr>
      </w:pPr>
      <w:r>
        <w:rPr>
          <w:rFonts w:hint="eastAsia" w:ascii="仿宋_GB2312" w:eastAsia="仿宋_GB2312"/>
          <w:sz w:val="32"/>
          <w:szCs w:val="32"/>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07B82FE7">
      <w:pPr>
        <w:spacing w:line="560" w:lineRule="exact"/>
        <w:rPr>
          <w:rFonts w:ascii="仿宋_GB2312" w:eastAsia="仿宋_GB2312"/>
          <w:sz w:val="32"/>
          <w:szCs w:val="32"/>
        </w:rPr>
      </w:pPr>
      <w:r>
        <w:rPr>
          <w:rFonts w:hint="eastAsia" w:ascii="仿宋_GB2312" w:eastAsia="仿宋_GB2312"/>
          <w:sz w:val="32"/>
          <w:szCs w:val="32"/>
        </w:rPr>
        <w:t>组织和落实中央、省委、市委、区委关于统一战线工作重大决策部署，巩固壮大最广泛的爱国统一战线。</w:t>
      </w:r>
    </w:p>
    <w:p w14:paraId="10E8BD09">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5D641793">
      <w:pPr>
        <w:spacing w:line="560" w:lineRule="exact"/>
        <w:ind w:firstLine="640" w:firstLineChars="200"/>
        <w:rPr>
          <w:rFonts w:ascii="仿宋_GB2312" w:eastAsia="仿宋_GB2312"/>
          <w:sz w:val="32"/>
          <w:szCs w:val="32"/>
        </w:rPr>
      </w:pPr>
      <w:r>
        <w:rPr>
          <w:rFonts w:hint="eastAsia" w:ascii="仿宋_GB2312" w:eastAsia="仿宋_GB2312"/>
          <w:sz w:val="32"/>
          <w:szCs w:val="32"/>
        </w:rPr>
        <w:t>（三）贯彻落实党的宣传工作方针政策，统筹推进全区统一战线宣传工作，加强统一战线意识形态领域建设，拟订全区统一战线宣传工作规划并组织实施，研判涉及统一战线的舆情并协调有关部门应对处置。</w:t>
      </w:r>
    </w:p>
    <w:p w14:paraId="1EF5D180">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3C3E539B">
      <w:pPr>
        <w:spacing w:line="560" w:lineRule="exact"/>
        <w:ind w:firstLine="640" w:firstLineChars="200"/>
        <w:rPr>
          <w:rFonts w:ascii="仿宋_GB2312" w:eastAsia="仿宋_GB2312"/>
          <w:sz w:val="32"/>
          <w:szCs w:val="32"/>
        </w:rPr>
      </w:pPr>
      <w:r>
        <w:rPr>
          <w:rFonts w:hint="eastAsia" w:ascii="仿宋_GB2312" w:eastAsia="仿宋_GB2312"/>
          <w:sz w:val="32"/>
          <w:szCs w:val="32"/>
        </w:rPr>
        <w:t>（五）统一领导民族工作，贯彻落实党的民族工作方针协调落实民族工作政策和重大措施，协调处理民族工作中的重大</w:t>
      </w:r>
      <w:r>
        <w:rPr>
          <w:rFonts w:hint="eastAsia" w:ascii="仿宋_GB2312" w:eastAsia="仿宋_GB2312"/>
          <w:sz w:val="32"/>
          <w:szCs w:val="32"/>
          <w:lang w:eastAsia="zh-CN"/>
        </w:rPr>
        <w:t>问题</w:t>
      </w:r>
      <w:r>
        <w:rPr>
          <w:rFonts w:hint="eastAsia" w:ascii="仿宋_GB2312" w:eastAsia="仿宋_GB2312"/>
          <w:sz w:val="32"/>
          <w:szCs w:val="32"/>
        </w:rPr>
        <w:t>，根据分工做好少数民族干部和少数民族代表人士工作，领导区民族宗教事务局依法管理民族事务，全面促进民族事业发展。</w:t>
      </w:r>
    </w:p>
    <w:p w14:paraId="2096C700">
      <w:pPr>
        <w:spacing w:line="560" w:lineRule="exact"/>
        <w:ind w:firstLine="640" w:firstLineChars="200"/>
        <w:rPr>
          <w:rFonts w:ascii="仿宋_GB2312" w:eastAsia="仿宋_GB2312"/>
          <w:sz w:val="32"/>
          <w:szCs w:val="32"/>
        </w:rPr>
      </w:pPr>
      <w:r>
        <w:rPr>
          <w:rFonts w:hint="eastAsia" w:ascii="仿宋_GB2312" w:eastAsia="仿宋_GB2312"/>
          <w:sz w:val="32"/>
          <w:szCs w:val="32"/>
        </w:rP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49C2F31C">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7CE2A2D1">
      <w:pPr>
        <w:spacing w:line="560" w:lineRule="exact"/>
        <w:ind w:firstLine="640" w:firstLineChars="200"/>
        <w:rPr>
          <w:rFonts w:ascii="仿宋_GB2312" w:eastAsia="仿宋_GB2312"/>
          <w:sz w:val="32"/>
          <w:szCs w:val="32"/>
        </w:rPr>
      </w:pPr>
      <w:r>
        <w:rPr>
          <w:rFonts w:hint="eastAsia" w:ascii="仿宋_GB2312" w:eastAsia="仿宋_GB2312"/>
          <w:sz w:val="32"/>
          <w:szCs w:val="32"/>
        </w:rPr>
        <w:t>（八）参与制定、推动落实鼓励支持引导非公有制经济发展的政策措施，调查研究非公有制经济入士情况并提出政策建议，了解和反映非公有制经济人士的意见，团结、服务引导、教育非公有制经济人士，构建“亲”“清”新型政商关系，促进非公有制经济健康发展和非公有制经济人士健康成长。</w:t>
      </w:r>
    </w:p>
    <w:p w14:paraId="29F9EB18">
      <w:pPr>
        <w:spacing w:line="560" w:lineRule="exact"/>
        <w:ind w:firstLine="640" w:firstLineChars="200"/>
        <w:rPr>
          <w:rFonts w:ascii="仿宋_GB2312" w:eastAsia="仿宋_GB2312"/>
          <w:sz w:val="32"/>
          <w:szCs w:val="32"/>
        </w:rPr>
      </w:pPr>
      <w:r>
        <w:rPr>
          <w:rFonts w:hint="eastAsia" w:ascii="仿宋_GB2312" w:eastAsia="仿宋_GB2312"/>
          <w:sz w:val="32"/>
          <w:szCs w:val="32"/>
        </w:rP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6E0F766D">
      <w:pPr>
        <w:spacing w:line="560" w:lineRule="exact"/>
        <w:ind w:firstLine="640" w:firstLineChars="200"/>
        <w:rPr>
          <w:rFonts w:ascii="仿宋_GB2312" w:eastAsia="仿宋_GB2312"/>
          <w:sz w:val="32"/>
          <w:szCs w:val="32"/>
        </w:rPr>
      </w:pPr>
      <w:r>
        <w:rPr>
          <w:rFonts w:hint="eastAsia" w:ascii="仿宋_GB2312" w:eastAsia="仿宋_GB2312"/>
          <w:sz w:val="32"/>
          <w:szCs w:val="32"/>
        </w:rP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28668569">
      <w:pPr>
        <w:spacing w:line="560" w:lineRule="exact"/>
        <w:ind w:firstLine="640" w:firstLineChars="200"/>
        <w:rPr>
          <w:rFonts w:ascii="仿宋_GB2312" w:eastAsia="仿宋_GB2312"/>
          <w:sz w:val="32"/>
          <w:szCs w:val="32"/>
        </w:rPr>
      </w:pPr>
      <w:r>
        <w:rPr>
          <w:rFonts w:hint="eastAsia" w:ascii="仿宋_GB2312" w:eastAsia="仿宋_GB2312"/>
          <w:sz w:val="32"/>
          <w:szCs w:val="32"/>
        </w:rPr>
        <w:t>（十一）协助管理乡镇城区办统战干部、宗教专干，领导区工商联党组，指导工商联工作。负责区委统一战线工作领导小组、区宗教工作领导小组、区对台工作领导小组的日常工作。</w:t>
      </w:r>
    </w:p>
    <w:p w14:paraId="1FB24A28">
      <w:pPr>
        <w:pStyle w:val="74"/>
        <w:widowControl/>
        <w:spacing w:line="600" w:lineRule="exact"/>
        <w:ind w:firstLine="640" w:firstLineChars="200"/>
        <w:jc w:val="both"/>
        <w:rPr>
          <w:rFonts w:ascii="仿宋_GB2312" w:hAnsi="仿宋" w:eastAsia="仿宋_GB2312" w:cs="仿宋_GB2312"/>
          <w:sz w:val="32"/>
          <w:szCs w:val="32"/>
        </w:rPr>
      </w:pPr>
      <w:r>
        <w:rPr>
          <w:rFonts w:hint="eastAsia" w:ascii="仿宋_GB2312" w:eastAsia="仿宋_GB2312"/>
          <w:sz w:val="32"/>
          <w:szCs w:val="32"/>
        </w:rPr>
        <w:t>（十二）完成区委、区政府交办的其他任务。</w:t>
      </w:r>
    </w:p>
    <w:p w14:paraId="7B24D58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2019年区委统战部预算收入</w:t>
      </w:r>
      <w:r>
        <w:rPr>
          <w:rFonts w:ascii="仿宋_GB2312" w:eastAsia="仿宋_GB2312" w:cs="DengXian-Regular"/>
          <w:sz w:val="32"/>
          <w:szCs w:val="32"/>
        </w:rPr>
        <w:t>178.52</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178.52</w:t>
      </w:r>
      <w:r>
        <w:rPr>
          <w:rFonts w:hint="eastAsia" w:ascii="仿宋_GB2312" w:eastAsia="仿宋_GB2312" w:cs="DengXian-Regular"/>
          <w:sz w:val="32"/>
          <w:szCs w:val="32"/>
        </w:rPr>
        <w:t>万元。预算收入按功能分类包含：一般公共服务支出</w:t>
      </w:r>
      <w:r>
        <w:rPr>
          <w:rFonts w:ascii="仿宋_GB2312" w:eastAsia="仿宋_GB2312" w:cs="DengXian-Regular"/>
          <w:sz w:val="32"/>
          <w:szCs w:val="32"/>
        </w:rPr>
        <w:t>146.58</w:t>
      </w:r>
      <w:r>
        <w:rPr>
          <w:rFonts w:hint="eastAsia" w:ascii="仿宋_GB2312" w:eastAsia="仿宋_GB2312" w:cs="DengXian-Regular"/>
          <w:sz w:val="32"/>
          <w:szCs w:val="32"/>
        </w:rPr>
        <w:t>万元，社会保障和就业支出</w:t>
      </w:r>
      <w:r>
        <w:rPr>
          <w:rFonts w:ascii="仿宋_GB2312" w:eastAsia="仿宋_GB2312" w:cs="DengXian-Regular"/>
          <w:sz w:val="32"/>
          <w:szCs w:val="32"/>
        </w:rPr>
        <w:t>23.38</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3.3</w:t>
      </w:r>
      <w:r>
        <w:rPr>
          <w:rFonts w:hint="eastAsia" w:ascii="仿宋_GB2312" w:eastAsia="仿宋_GB2312" w:cs="DengXian-Regular"/>
          <w:sz w:val="32"/>
          <w:szCs w:val="32"/>
        </w:rPr>
        <w:t>万元，住房保障支出6.</w:t>
      </w:r>
      <w:r>
        <w:rPr>
          <w:rFonts w:ascii="仿宋_GB2312" w:eastAsia="仿宋_GB2312" w:cs="DengXian-Regular"/>
          <w:sz w:val="32"/>
          <w:szCs w:val="32"/>
        </w:rPr>
        <w:t>5</w:t>
      </w:r>
      <w:r>
        <w:rPr>
          <w:rFonts w:hint="eastAsia" w:ascii="仿宋_GB2312" w:eastAsia="仿宋_GB2312" w:cs="DengXian-Regular"/>
          <w:sz w:val="32"/>
          <w:szCs w:val="32"/>
        </w:rPr>
        <w:t>2万元。具体预算收入详见附件2。</w:t>
      </w:r>
    </w:p>
    <w:p w14:paraId="6598B35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2019年区委统战部决算收入</w:t>
      </w:r>
      <w:r>
        <w:rPr>
          <w:rFonts w:ascii="仿宋_GB2312" w:eastAsia="仿宋_GB2312" w:cs="DengXian-Regular"/>
          <w:sz w:val="32"/>
          <w:szCs w:val="32"/>
        </w:rPr>
        <w:t>179.78</w:t>
      </w:r>
      <w:r>
        <w:rPr>
          <w:rFonts w:hint="eastAsia" w:ascii="仿宋_GB2312" w:eastAsia="仿宋_GB2312" w:cs="DengXian-Regular"/>
          <w:sz w:val="32"/>
          <w:szCs w:val="32"/>
        </w:rPr>
        <w:t>万元，其中：财政拨款收入</w:t>
      </w:r>
      <w:r>
        <w:rPr>
          <w:rFonts w:ascii="仿宋_GB2312" w:eastAsia="仿宋_GB2312" w:cs="DengXian-Regular"/>
          <w:sz w:val="32"/>
          <w:szCs w:val="32"/>
        </w:rPr>
        <w:t>179.78</w:t>
      </w:r>
      <w:r>
        <w:rPr>
          <w:rFonts w:hint="eastAsia" w:ascii="仿宋_GB2312" w:eastAsia="仿宋_GB2312" w:cs="DengXian-Regular"/>
          <w:sz w:val="32"/>
          <w:szCs w:val="32"/>
        </w:rPr>
        <w:t>万元，其他收入</w:t>
      </w:r>
      <w:r>
        <w:rPr>
          <w:rFonts w:ascii="仿宋_GB2312" w:eastAsia="仿宋_GB2312" w:cs="DengXian-Regular"/>
          <w:sz w:val="32"/>
          <w:szCs w:val="32"/>
        </w:rPr>
        <w:t>0</w:t>
      </w:r>
      <w:r>
        <w:rPr>
          <w:rFonts w:hint="eastAsia" w:ascii="仿宋_GB2312" w:eastAsia="仿宋_GB2312" w:cs="DengXian-Regular"/>
          <w:sz w:val="32"/>
          <w:szCs w:val="32"/>
        </w:rPr>
        <w:t>万元（全部为利息收入）。决算收入按功能分类包含：一般公共服务支出</w:t>
      </w:r>
      <w:r>
        <w:rPr>
          <w:rFonts w:ascii="仿宋_GB2312" w:eastAsia="仿宋_GB2312" w:cs="DengXian-Regular"/>
          <w:sz w:val="32"/>
          <w:szCs w:val="32"/>
        </w:rPr>
        <w:t>146.58</w:t>
      </w:r>
      <w:r>
        <w:rPr>
          <w:rFonts w:hint="eastAsia" w:ascii="仿宋_GB2312" w:eastAsia="仿宋_GB2312" w:cs="DengXian-Regular"/>
          <w:sz w:val="32"/>
          <w:szCs w:val="32"/>
        </w:rPr>
        <w:t>万元，占比81.50%；社会保障和就业支出</w:t>
      </w:r>
      <w:r>
        <w:rPr>
          <w:rFonts w:ascii="仿宋_GB2312" w:eastAsia="仿宋_GB2312" w:cs="DengXian-Regular"/>
          <w:sz w:val="32"/>
          <w:szCs w:val="32"/>
        </w:rPr>
        <w:t>23.38</w:t>
      </w:r>
      <w:r>
        <w:rPr>
          <w:rFonts w:hint="eastAsia" w:ascii="仿宋_GB2312" w:eastAsia="仿宋_GB2312" w:cs="DengXian-Regular"/>
          <w:sz w:val="32"/>
          <w:szCs w:val="32"/>
        </w:rPr>
        <w:t>万元，占比</w:t>
      </w:r>
      <w:r>
        <w:rPr>
          <w:rFonts w:ascii="仿宋_GB2312" w:eastAsia="仿宋_GB2312" w:cs="DengXian-Regular"/>
          <w:sz w:val="32"/>
          <w:szCs w:val="32"/>
        </w:rPr>
        <w:t>13</w:t>
      </w:r>
      <w:r>
        <w:rPr>
          <w:rFonts w:hint="eastAsia" w:ascii="仿宋_GB2312" w:eastAsia="仿宋_GB2312" w:cs="DengXian-Regular"/>
          <w:sz w:val="32"/>
          <w:szCs w:val="32"/>
        </w:rPr>
        <w:t>%；医疗卫生与计划生育支出</w:t>
      </w:r>
      <w:r>
        <w:rPr>
          <w:rFonts w:ascii="仿宋_GB2312" w:eastAsia="仿宋_GB2312" w:cs="DengXian-Regular"/>
          <w:sz w:val="32"/>
          <w:szCs w:val="32"/>
        </w:rPr>
        <w:t>3.3</w:t>
      </w:r>
      <w:r>
        <w:rPr>
          <w:rFonts w:hint="eastAsia" w:ascii="仿宋_GB2312" w:eastAsia="仿宋_GB2312" w:cs="DengXian-Regular"/>
          <w:sz w:val="32"/>
          <w:szCs w:val="32"/>
        </w:rPr>
        <w:t>万元，占比</w:t>
      </w:r>
      <w:r>
        <w:rPr>
          <w:rFonts w:ascii="仿宋_GB2312" w:eastAsia="仿宋_GB2312" w:cs="DengXian-Regular"/>
          <w:sz w:val="32"/>
          <w:szCs w:val="32"/>
        </w:rPr>
        <w:t>1.8</w:t>
      </w:r>
      <w:r>
        <w:rPr>
          <w:rFonts w:hint="eastAsia" w:ascii="仿宋_GB2312" w:eastAsia="仿宋_GB2312" w:cs="DengXian-Regular"/>
          <w:sz w:val="32"/>
          <w:szCs w:val="32"/>
        </w:rPr>
        <w:t>%；住房保障支出</w:t>
      </w:r>
      <w:r>
        <w:rPr>
          <w:rFonts w:ascii="仿宋_GB2312" w:eastAsia="仿宋_GB2312" w:cs="DengXian-Regular"/>
          <w:sz w:val="32"/>
          <w:szCs w:val="32"/>
        </w:rPr>
        <w:t>6.52</w:t>
      </w:r>
      <w:r>
        <w:rPr>
          <w:rFonts w:hint="eastAsia" w:ascii="仿宋_GB2312" w:eastAsia="仿宋_GB2312" w:cs="DengXian-Regular"/>
          <w:sz w:val="32"/>
          <w:szCs w:val="32"/>
        </w:rPr>
        <w:t>万元，占比</w:t>
      </w:r>
      <w:r>
        <w:rPr>
          <w:rFonts w:ascii="仿宋_GB2312" w:eastAsia="仿宋_GB2312" w:cs="DengXian-Regular"/>
          <w:sz w:val="32"/>
          <w:szCs w:val="32"/>
        </w:rPr>
        <w:t>3.6</w:t>
      </w:r>
      <w:r>
        <w:rPr>
          <w:rFonts w:hint="eastAsia" w:ascii="仿宋_GB2312" w:eastAsia="仿宋_GB2312" w:cs="DengXian-Regular"/>
          <w:sz w:val="32"/>
          <w:szCs w:val="32"/>
        </w:rPr>
        <w:t>%。</w:t>
      </w:r>
    </w:p>
    <w:p w14:paraId="6052A1D7">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2。决算收入结构</w:t>
      </w:r>
    </w:p>
    <w:p w14:paraId="2C2F1D9F">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区委统战部一般公共预算财政拨款决算收入比年初预算增加16.80万元，完成年初预算的</w:t>
      </w:r>
      <w:r>
        <w:rPr>
          <w:rFonts w:ascii="仿宋_GB2312" w:eastAsia="仿宋_GB2312" w:cs="DengXian-Regular"/>
          <w:sz w:val="32"/>
          <w:szCs w:val="32"/>
        </w:rPr>
        <w:t>122.15</w:t>
      </w:r>
      <w:r>
        <w:rPr>
          <w:rFonts w:hint="eastAsia" w:ascii="仿宋_GB2312" w:eastAsia="仿宋_GB2312" w:cs="DengXian-Regular"/>
          <w:sz w:val="32"/>
          <w:szCs w:val="32"/>
        </w:rPr>
        <w:t>%。决算收入大于预算收入的主要原因为2019年度人员经费</w:t>
      </w:r>
      <w:r>
        <w:rPr>
          <w:rFonts w:ascii="仿宋_GB2312" w:eastAsia="仿宋_GB2312" w:cs="DengXian-Regular"/>
          <w:sz w:val="32"/>
          <w:szCs w:val="32"/>
        </w:rPr>
        <w:t>和项目资金的增加</w:t>
      </w:r>
      <w:r>
        <w:rPr>
          <w:rFonts w:hint="eastAsia" w:ascii="仿宋_GB2312" w:eastAsia="仿宋_GB2312" w:cs="DengXian-Regular"/>
          <w:sz w:val="32"/>
          <w:szCs w:val="32"/>
        </w:rPr>
        <w:t>。</w:t>
      </w:r>
    </w:p>
    <w:p w14:paraId="2A0711F4">
      <w:pPr>
        <w:pStyle w:val="4"/>
        <w:spacing w:before="0" w:after="0" w:line="600" w:lineRule="exact"/>
        <w:ind w:firstLine="643" w:firstLineChars="200"/>
        <w:jc w:val="both"/>
        <w:rPr>
          <w:rFonts w:ascii="仿宋_GB2312" w:hAnsiTheme="minorEastAsia"/>
          <w:sz w:val="32"/>
        </w:rPr>
      </w:pPr>
      <w:bookmarkStart w:id="7" w:name="_Toc18197"/>
      <w:r>
        <w:rPr>
          <w:rFonts w:hint="eastAsia" w:ascii="仿宋_GB2312" w:hAnsiTheme="minorEastAsia"/>
          <w:sz w:val="32"/>
        </w:rPr>
        <w:t>（四）预算支出及决算</w:t>
      </w:r>
      <w:bookmarkEnd w:id="5"/>
      <w:bookmarkEnd w:id="6"/>
      <w:r>
        <w:rPr>
          <w:rFonts w:hint="eastAsia" w:ascii="仿宋_GB2312" w:hAnsiTheme="minorEastAsia"/>
          <w:sz w:val="32"/>
        </w:rPr>
        <w:t>支出</w:t>
      </w:r>
      <w:bookmarkEnd w:id="7"/>
    </w:p>
    <w:p w14:paraId="1441CB15">
      <w:pPr>
        <w:spacing w:after="0" w:line="6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2019年度区委统战部</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179.78</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134.42</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45.36</w:t>
      </w:r>
      <w:r>
        <w:rPr>
          <w:rFonts w:hint="eastAsia" w:ascii="仿宋_GB2312" w:eastAsia="仿宋_GB2312" w:cs="Times New Roman" w:hAnsiTheme="minorEastAsia"/>
          <w:sz w:val="32"/>
          <w:szCs w:val="32"/>
          <w:u w:color="000000"/>
        </w:rPr>
        <w:t>万元。预算支出按功能分类包含：一般公共服务支出</w:t>
      </w:r>
      <w:r>
        <w:rPr>
          <w:rFonts w:ascii="仿宋_GB2312" w:eastAsia="仿宋_GB2312" w:cs="Times New Roman" w:hAnsiTheme="minorEastAsia"/>
          <w:sz w:val="32"/>
          <w:szCs w:val="32"/>
          <w:u w:color="000000"/>
        </w:rPr>
        <w:t>146.58</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23.38</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3.3</w:t>
      </w:r>
      <w:r>
        <w:rPr>
          <w:rFonts w:hint="eastAsia" w:ascii="仿宋_GB2312" w:eastAsia="仿宋_GB2312" w:cs="Times New Roman" w:hAnsiTheme="minorEastAsia"/>
          <w:sz w:val="32"/>
          <w:szCs w:val="32"/>
          <w:u w:color="000000"/>
        </w:rPr>
        <w:t>万元，住房保障支出6.</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2万元。具体预算支出详见附件2。</w:t>
      </w:r>
    </w:p>
    <w:p w14:paraId="672B2C1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2019年度区委统战部单位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179.78</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134.42</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45.36</w:t>
      </w:r>
      <w:r>
        <w:rPr>
          <w:rFonts w:hint="eastAsia" w:ascii="仿宋_GB2312" w:eastAsia="仿宋_GB2312" w:cs="Times New Roman" w:hAnsiTheme="minorEastAsia"/>
          <w:sz w:val="32"/>
          <w:szCs w:val="32"/>
          <w:u w:color="000000"/>
        </w:rPr>
        <w:t>万元。决算支出按功能分类包含：一般公共服务支出</w:t>
      </w:r>
      <w:r>
        <w:rPr>
          <w:rFonts w:ascii="仿宋_GB2312" w:eastAsia="仿宋_GB2312" w:cs="Times New Roman" w:hAnsiTheme="minorEastAsia"/>
          <w:sz w:val="32"/>
          <w:szCs w:val="32"/>
          <w:u w:color="000000"/>
        </w:rPr>
        <w:t>146.58</w:t>
      </w:r>
      <w:r>
        <w:rPr>
          <w:rFonts w:hint="eastAsia" w:ascii="仿宋_GB2312" w:eastAsia="仿宋_GB2312" w:cs="Times New Roman" w:hAnsiTheme="minorEastAsia"/>
          <w:sz w:val="32"/>
          <w:szCs w:val="32"/>
          <w:u w:color="000000"/>
        </w:rPr>
        <w:t>万元，占比81.</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w:t>
      </w:r>
      <w:r>
        <w:rPr>
          <w:rFonts w:hint="eastAsia" w:ascii="仿宋_GB2312" w:eastAsia="仿宋_GB2312" w:cs="DengXian-Regular"/>
          <w:sz w:val="32"/>
          <w:szCs w:val="32"/>
        </w:rPr>
        <w:t>社会保障和就业支出</w:t>
      </w:r>
      <w:r>
        <w:rPr>
          <w:rFonts w:ascii="仿宋_GB2312" w:eastAsia="仿宋_GB2312" w:cs="DengXian-Regular"/>
          <w:sz w:val="32"/>
          <w:szCs w:val="32"/>
        </w:rPr>
        <w:t>23.38</w:t>
      </w:r>
      <w:r>
        <w:rPr>
          <w:rFonts w:hint="eastAsia" w:ascii="仿宋_GB2312" w:eastAsia="仿宋_GB2312" w:cs="DengXian-Regular"/>
          <w:sz w:val="32"/>
          <w:szCs w:val="32"/>
        </w:rPr>
        <w:t>万元，占比</w:t>
      </w:r>
      <w:r>
        <w:rPr>
          <w:rFonts w:ascii="仿宋_GB2312" w:eastAsia="仿宋_GB2312" w:cs="DengXian-Regular"/>
          <w:sz w:val="32"/>
          <w:szCs w:val="32"/>
        </w:rPr>
        <w:t>13</w:t>
      </w:r>
      <w:r>
        <w:rPr>
          <w:rFonts w:hint="eastAsia" w:ascii="仿宋_GB2312" w:eastAsia="仿宋_GB2312" w:cs="DengXian-Regular"/>
          <w:sz w:val="32"/>
          <w:szCs w:val="32"/>
        </w:rPr>
        <w:t>%；医疗卫生与计划生育支出</w:t>
      </w:r>
      <w:r>
        <w:rPr>
          <w:rFonts w:ascii="仿宋_GB2312" w:eastAsia="仿宋_GB2312" w:cs="DengXian-Regular"/>
          <w:sz w:val="32"/>
          <w:szCs w:val="32"/>
        </w:rPr>
        <w:t>3.3</w:t>
      </w:r>
      <w:r>
        <w:rPr>
          <w:rFonts w:hint="eastAsia" w:ascii="仿宋_GB2312" w:eastAsia="仿宋_GB2312" w:cs="DengXian-Regular"/>
          <w:sz w:val="32"/>
          <w:szCs w:val="32"/>
        </w:rPr>
        <w:t>万元，占比</w:t>
      </w:r>
      <w:r>
        <w:rPr>
          <w:rFonts w:ascii="仿宋_GB2312" w:eastAsia="仿宋_GB2312" w:cs="DengXian-Regular"/>
          <w:sz w:val="32"/>
          <w:szCs w:val="32"/>
        </w:rPr>
        <w:t>1.8</w:t>
      </w:r>
      <w:r>
        <w:rPr>
          <w:rFonts w:hint="eastAsia" w:ascii="仿宋_GB2312" w:eastAsia="仿宋_GB2312" w:cs="DengXian-Regular"/>
          <w:sz w:val="32"/>
          <w:szCs w:val="32"/>
        </w:rPr>
        <w:t>%；住房保障支出</w:t>
      </w:r>
      <w:r>
        <w:rPr>
          <w:rFonts w:ascii="仿宋_GB2312" w:eastAsia="仿宋_GB2312" w:cs="DengXian-Regular"/>
          <w:sz w:val="32"/>
          <w:szCs w:val="32"/>
        </w:rPr>
        <w:t>6.52</w:t>
      </w:r>
      <w:r>
        <w:rPr>
          <w:rFonts w:hint="eastAsia" w:ascii="仿宋_GB2312" w:eastAsia="仿宋_GB2312" w:cs="DengXian-Regular"/>
          <w:sz w:val="32"/>
          <w:szCs w:val="32"/>
        </w:rPr>
        <w:t>万元，占比</w:t>
      </w:r>
      <w:r>
        <w:rPr>
          <w:rFonts w:ascii="仿宋_GB2312" w:eastAsia="仿宋_GB2312" w:cs="DengXian-Regular"/>
          <w:sz w:val="32"/>
          <w:szCs w:val="32"/>
        </w:rPr>
        <w:t>3.6</w:t>
      </w:r>
      <w:r>
        <w:rPr>
          <w:rFonts w:hint="eastAsia" w:ascii="仿宋_GB2312" w:eastAsia="仿宋_GB2312" w:cs="DengXian-Regular"/>
          <w:sz w:val="32"/>
          <w:szCs w:val="32"/>
        </w:rPr>
        <w:t>%。</w:t>
      </w:r>
    </w:p>
    <w:p w14:paraId="4DBFF901">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16.8</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122.15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主要原因为2019年度人员经费</w:t>
      </w:r>
      <w:r>
        <w:rPr>
          <w:rFonts w:ascii="仿宋_GB2312" w:eastAsia="仿宋_GB2312" w:cs="DengXian-Regular"/>
          <w:sz w:val="32"/>
          <w:szCs w:val="32"/>
        </w:rPr>
        <w:t>和项目资金的增加</w:t>
      </w:r>
      <w:r>
        <w:rPr>
          <w:rFonts w:hint="eastAsia" w:ascii="仿宋" w:hAnsi="仿宋" w:eastAsia="仿宋"/>
          <w:snapToGrid w:val="0"/>
          <w:sz w:val="32"/>
          <w:szCs w:val="32"/>
        </w:rPr>
        <w:t>。</w:t>
      </w:r>
    </w:p>
    <w:p w14:paraId="12E85901">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区委统战部2019年实际项目支出</w:t>
      </w:r>
      <w:r>
        <w:rPr>
          <w:rFonts w:ascii="仿宋_GB2312" w:eastAsia="仿宋_GB2312" w:cs="DengXian-Regular"/>
          <w:sz w:val="32"/>
          <w:szCs w:val="32"/>
        </w:rPr>
        <w:t>45.36</w:t>
      </w:r>
      <w:r>
        <w:rPr>
          <w:rFonts w:hint="eastAsia" w:ascii="仿宋_GB2312" w:eastAsia="仿宋_GB2312" w:cs="DengXian-Regular"/>
          <w:sz w:val="32"/>
          <w:szCs w:val="32"/>
        </w:rPr>
        <w:t>万元，决算报表中项目支出</w:t>
      </w:r>
      <w:r>
        <w:rPr>
          <w:rFonts w:ascii="仿宋_GB2312" w:eastAsia="仿宋_GB2312" w:cs="DengXian-Regular"/>
          <w:sz w:val="32"/>
          <w:szCs w:val="32"/>
        </w:rPr>
        <w:t>45.36</w:t>
      </w:r>
      <w:r>
        <w:rPr>
          <w:rFonts w:hint="eastAsia" w:ascii="仿宋_GB2312" w:eastAsia="仿宋_GB2312" w:cs="DengXian-Regular"/>
          <w:sz w:val="32"/>
          <w:szCs w:val="32"/>
        </w:rPr>
        <w:t>万元，实际支出与决算报表差0万元。</w:t>
      </w:r>
    </w:p>
    <w:p w14:paraId="0BBB163C">
      <w:pPr>
        <w:pStyle w:val="4"/>
        <w:spacing w:before="0" w:after="0" w:line="600" w:lineRule="exact"/>
        <w:ind w:firstLine="643" w:firstLineChars="200"/>
        <w:jc w:val="both"/>
        <w:rPr>
          <w:rFonts w:ascii="仿宋_GB2312" w:hAnsi="Tahoma" w:cs="DengXian-Regular"/>
          <w:sz w:val="32"/>
        </w:rPr>
      </w:pPr>
      <w:bookmarkStart w:id="8" w:name="_Toc492652769"/>
      <w:bookmarkStart w:id="9" w:name="_Toc465149503"/>
      <w:bookmarkStart w:id="10" w:name="_Toc19291"/>
      <w:r>
        <w:rPr>
          <w:rFonts w:hint="eastAsia" w:ascii="仿宋_GB2312" w:hAnsi="Tahoma" w:cs="DengXian-Regular"/>
          <w:sz w:val="32"/>
        </w:rPr>
        <w:t>（五）“三公”经费预算安排及支出情况</w:t>
      </w:r>
      <w:bookmarkEnd w:id="8"/>
      <w:bookmarkEnd w:id="9"/>
      <w:bookmarkEnd w:id="10"/>
    </w:p>
    <w:p w14:paraId="65A5D765">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2019年区委统战部“三公”经费预算</w:t>
      </w:r>
      <w:r>
        <w:rPr>
          <w:rFonts w:ascii="仿宋_GB2312" w:eastAsia="仿宋_GB2312" w:cs="DengXian-Regular"/>
          <w:sz w:val="32"/>
          <w:szCs w:val="32"/>
        </w:rPr>
        <w:t>5</w:t>
      </w:r>
      <w:r>
        <w:rPr>
          <w:rFonts w:hint="eastAsia" w:ascii="仿宋_GB2312" w:eastAsia="仿宋_GB2312" w:cs="DengXian-Regular"/>
          <w:sz w:val="32"/>
          <w:szCs w:val="32"/>
        </w:rPr>
        <w:t>.3万元（公务用车运行维护费</w:t>
      </w:r>
      <w:r>
        <w:rPr>
          <w:rFonts w:ascii="仿宋_GB2312" w:eastAsia="仿宋_GB2312" w:cs="DengXian-Regular"/>
          <w:sz w:val="32"/>
          <w:szCs w:val="32"/>
        </w:rPr>
        <w:t>3.3</w:t>
      </w:r>
      <w:r>
        <w:rPr>
          <w:rFonts w:hint="eastAsia" w:ascii="仿宋_GB2312" w:eastAsia="仿宋_GB2312" w:cs="DengXian-Regular"/>
          <w:sz w:val="32"/>
          <w:szCs w:val="32"/>
        </w:rPr>
        <w:t>万元，公务接待费0.</w:t>
      </w:r>
      <w:r>
        <w:rPr>
          <w:rFonts w:ascii="仿宋_GB2312" w:eastAsia="仿宋_GB2312" w:cs="DengXian-Regular"/>
          <w:sz w:val="32"/>
          <w:szCs w:val="32"/>
        </w:rPr>
        <w:t>4</w:t>
      </w:r>
      <w:r>
        <w:rPr>
          <w:rFonts w:hint="eastAsia" w:ascii="仿宋_GB2312" w:eastAsia="仿宋_GB2312" w:cs="DengXian-Regular"/>
          <w:sz w:val="32"/>
          <w:szCs w:val="32"/>
        </w:rPr>
        <w:t>2万元），实际支出</w:t>
      </w:r>
      <w:r>
        <w:rPr>
          <w:rFonts w:ascii="仿宋_GB2312" w:eastAsia="仿宋_GB2312" w:cs="DengXian-Regular"/>
          <w:sz w:val="32"/>
          <w:szCs w:val="32"/>
        </w:rPr>
        <w:t>3.72</w:t>
      </w:r>
      <w:r>
        <w:rPr>
          <w:rFonts w:hint="eastAsia" w:ascii="仿宋_GB2312" w:eastAsia="仿宋_GB2312" w:cs="DengXian-Regular"/>
          <w:sz w:val="32"/>
          <w:szCs w:val="32"/>
        </w:rPr>
        <w:t>万元（公务用车运行维护费3.3万元，公务接待费0</w:t>
      </w:r>
      <w:r>
        <w:rPr>
          <w:rFonts w:ascii="仿宋_GB2312" w:eastAsia="仿宋_GB2312" w:cs="DengXian-Regular"/>
          <w:sz w:val="32"/>
          <w:szCs w:val="32"/>
        </w:rPr>
        <w:t>.42</w:t>
      </w:r>
      <w:r>
        <w:rPr>
          <w:rFonts w:hint="eastAsia" w:ascii="仿宋_GB2312" w:eastAsia="仿宋_GB2312" w:cs="DengXian-Regular"/>
          <w:sz w:val="32"/>
          <w:szCs w:val="32"/>
        </w:rPr>
        <w:t>万元），比预算减少2.97万元，节约率47.14%。2019年“三公”经费预算数与2018年预算数相比无变化，决算数与2018年实际支出相比，减少2.27万元。具体详见表1。</w:t>
      </w:r>
    </w:p>
    <w:p w14:paraId="32EA7300">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区委统战部“三公”经费预算及决算明细表</w:t>
      </w:r>
    </w:p>
    <w:p w14:paraId="1E6707FB">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3D482254">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FDC1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35E97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4990A">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EED82D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CCEF">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8CF84BC">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8BD26">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0B7E0">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4E34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A9411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68298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FBE92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22892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71C26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CBCFE33">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A36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3CD61B2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8D8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540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18D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3E945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7A6FC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FBBFA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30FAE6E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AAA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13492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11E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1714">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5A62">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B5E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73C6C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87E72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14:paraId="0156FFD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2E4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A58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C79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7FAF">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0.63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C205">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0A1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.42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E57A3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9166C1">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-0.21</w:t>
            </w:r>
          </w:p>
        </w:tc>
      </w:tr>
      <w:tr w14:paraId="1EC9EC4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8D6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553049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416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43B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1204">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C2C51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asciiTheme="minorEastAsia" w:hAnsiTheme="minorEastAsia" w:eastAsiaTheme="minorEastAsia" w:cstheme="minorEastAsia"/>
                <w:color w:val="000000"/>
                <w:sz w:val="21"/>
                <w:szCs w:val="21"/>
              </w:rPr>
              <w:t>72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99A161">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9EF4F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0.21</w:t>
            </w:r>
          </w:p>
        </w:tc>
      </w:tr>
    </w:tbl>
    <w:p w14:paraId="33669813">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1、公务用车：2019年底区委统战部车辆合计1辆，其中</w:t>
      </w:r>
      <w:r>
        <w:rPr>
          <w:rFonts w:hint="eastAsia" w:ascii="仿宋" w:hAnsi="仿宋" w:eastAsia="仿宋"/>
          <w:sz w:val="32"/>
          <w:szCs w:val="32"/>
        </w:rPr>
        <w:t>机要应急保障</w:t>
      </w:r>
      <w:r>
        <w:rPr>
          <w:rFonts w:hint="eastAsia" w:ascii="仿宋_GB2312" w:eastAsia="仿宋_GB2312" w:cs="DengXian-Regular"/>
          <w:sz w:val="32"/>
          <w:szCs w:val="32"/>
        </w:rPr>
        <w:t>用车1辆。2019年公务用车购置及运维费年初预算</w:t>
      </w:r>
      <w:r>
        <w:rPr>
          <w:rFonts w:ascii="仿宋_GB2312" w:eastAsia="仿宋_GB2312" w:cs="DengXian-Regular"/>
          <w:sz w:val="32"/>
          <w:szCs w:val="32"/>
        </w:rPr>
        <w:t>3.3</w:t>
      </w:r>
      <w:r>
        <w:rPr>
          <w:rFonts w:hint="eastAsia" w:ascii="仿宋_GB2312" w:eastAsia="仿宋_GB2312" w:cs="DengXian-Regular"/>
          <w:sz w:val="32"/>
          <w:szCs w:val="32"/>
        </w:rPr>
        <w:t>万元，全部为公务用车运行维护费，实际支出3.3万元，完成预算资金</w:t>
      </w:r>
      <w:r>
        <w:rPr>
          <w:rFonts w:ascii="仿宋_GB2312" w:eastAsia="仿宋_GB2312" w:cs="DengXian-Regular"/>
          <w:sz w:val="32"/>
          <w:szCs w:val="32"/>
        </w:rPr>
        <w:t>的</w:t>
      </w:r>
      <w:r>
        <w:rPr>
          <w:rFonts w:hint="eastAsia" w:ascii="仿宋_GB2312" w:eastAsia="仿宋_GB2312" w:cs="DengXian-Regular"/>
          <w:sz w:val="32"/>
          <w:szCs w:val="32"/>
        </w:rPr>
        <w:t>100</w:t>
      </w:r>
      <w:r>
        <w:rPr>
          <w:rFonts w:ascii="仿宋_GB2312" w:eastAsia="仿宋_GB2312" w:cs="DengXian-Regular"/>
          <w:sz w:val="32"/>
          <w:szCs w:val="32"/>
        </w:rPr>
        <w:t>%</w:t>
      </w:r>
      <w:r>
        <w:rPr>
          <w:rFonts w:hint="eastAsia" w:ascii="仿宋_GB2312" w:eastAsia="仿宋_GB2312" w:cs="DengXian-Regular"/>
          <w:sz w:val="32"/>
          <w:szCs w:val="32"/>
        </w:rPr>
        <w:t>。2019年预算数与2018年预算相比无变化，决算数与2018年实际支出相比，无增减变化。</w:t>
      </w:r>
    </w:p>
    <w:p w14:paraId="22A7818A">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2、公务接待：2019年区委统战部公务接待费年初预算</w:t>
      </w:r>
      <w:r>
        <w:rPr>
          <w:rFonts w:ascii="仿宋_GB2312" w:eastAsia="仿宋_GB2312" w:cs="DengXian-Regular"/>
          <w:sz w:val="32"/>
          <w:szCs w:val="32"/>
        </w:rPr>
        <w:t>2</w:t>
      </w:r>
      <w:r>
        <w:rPr>
          <w:rFonts w:hint="eastAsia" w:ascii="仿宋_GB2312" w:eastAsia="仿宋_GB2312" w:cs="DengXian-Regular"/>
          <w:sz w:val="32"/>
          <w:szCs w:val="32"/>
        </w:rPr>
        <w:t>万元，实际支出</w:t>
      </w:r>
      <w:r>
        <w:rPr>
          <w:rFonts w:ascii="仿宋_GB2312" w:eastAsia="仿宋_GB2312" w:cs="DengXian-Regular"/>
          <w:sz w:val="32"/>
          <w:szCs w:val="32"/>
        </w:rPr>
        <w:t>0.42</w:t>
      </w:r>
      <w:r>
        <w:rPr>
          <w:rFonts w:hint="eastAsia" w:ascii="仿宋_GB2312" w:eastAsia="仿宋_GB2312" w:cs="DengXian-Regular"/>
          <w:sz w:val="32"/>
          <w:szCs w:val="32"/>
        </w:rPr>
        <w:t>万元，比预算减少了</w:t>
      </w:r>
      <w:r>
        <w:rPr>
          <w:rFonts w:ascii="仿宋_GB2312" w:eastAsia="仿宋_GB2312" w:cs="DengXian-Regular"/>
          <w:sz w:val="32"/>
          <w:szCs w:val="32"/>
        </w:rPr>
        <w:t>1.58</w:t>
      </w:r>
      <w:r>
        <w:rPr>
          <w:rFonts w:hint="eastAsia" w:ascii="仿宋_GB2312" w:eastAsia="仿宋_GB2312" w:cs="DengXian-Regular"/>
          <w:sz w:val="32"/>
          <w:szCs w:val="32"/>
        </w:rPr>
        <w:t>万元，节约率</w:t>
      </w:r>
      <w:r>
        <w:rPr>
          <w:rFonts w:ascii="仿宋_GB2312" w:eastAsia="仿宋_GB2312" w:cs="DengXian-Regular"/>
          <w:sz w:val="32"/>
          <w:szCs w:val="32"/>
        </w:rPr>
        <w:t>79</w:t>
      </w:r>
      <w:r>
        <w:rPr>
          <w:rFonts w:hint="eastAsia" w:ascii="仿宋_GB2312" w:eastAsia="仿宋_GB2312" w:cs="DengXian-Regular"/>
          <w:sz w:val="32"/>
          <w:szCs w:val="32"/>
        </w:rPr>
        <w:t>%。2019年预算数与2018年预算相比无变化，决算数与2018年实际支出相比，减少0.21万元。</w:t>
      </w:r>
    </w:p>
    <w:p w14:paraId="3945E387">
      <w:pPr>
        <w:pStyle w:val="3"/>
        <w:spacing w:before="0" w:after="0" w:line="600" w:lineRule="exact"/>
        <w:jc w:val="center"/>
        <w:rPr>
          <w:rFonts w:ascii="黑体" w:hAnsiTheme="minorEastAsia"/>
          <w:u w:color="000000"/>
        </w:rPr>
      </w:pPr>
      <w:bookmarkStart w:id="11" w:name="_Toc492652770"/>
      <w:bookmarkStart w:id="12" w:name="_Toc20454"/>
      <w:bookmarkStart w:id="13" w:name="_Toc465149504"/>
      <w:r>
        <w:rPr>
          <w:rFonts w:hint="eastAsia" w:ascii="黑体"/>
        </w:rPr>
        <w:t>二、部门整体支出绩效评价指标体系设定情况</w:t>
      </w:r>
      <w:bookmarkEnd w:id="11"/>
      <w:bookmarkEnd w:id="12"/>
    </w:p>
    <w:p w14:paraId="40E259D1">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根据绩效预算管理改革的有关政策和文件规定，并与区委统战部沟通，绩效评价工作组以绩效预算架构为指导，以部门预算文本及相关资料为基础，制定了部门整体支出绩效评价指标体系。</w:t>
      </w:r>
    </w:p>
    <w:p w14:paraId="5560697F">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4" w:name="_Toc492652771"/>
      <w:bookmarkStart w:id="15" w:name="_Toc9569"/>
    </w:p>
    <w:p w14:paraId="025C6D0D">
      <w:pPr>
        <w:spacing w:after="0" w:line="600" w:lineRule="exact"/>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4"/>
      <w:bookmarkEnd w:id="15"/>
    </w:p>
    <w:p w14:paraId="56F1E166">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02AF6839">
      <w:pPr>
        <w:keepNext/>
        <w:widowControl w:val="0"/>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3E26D7FD">
      <w:pPr>
        <w:pStyle w:val="4"/>
        <w:spacing w:before="0" w:after="0" w:line="600" w:lineRule="exact"/>
        <w:ind w:firstLine="643" w:firstLineChars="200"/>
        <w:jc w:val="both"/>
        <w:rPr>
          <w:rFonts w:ascii="楷体" w:hAnsi="楷体" w:eastAsia="楷体"/>
          <w:sz w:val="32"/>
        </w:rPr>
      </w:pPr>
      <w:bookmarkStart w:id="16" w:name="_Toc30221"/>
      <w:bookmarkStart w:id="17" w:name="_Toc492652772"/>
      <w:r>
        <w:rPr>
          <w:rFonts w:hint="eastAsia" w:ascii="楷体" w:hAnsi="楷体" w:eastAsia="楷体"/>
          <w:kern w:val="2"/>
          <w:sz w:val="32"/>
        </w:rPr>
        <w:t>（二）过程（48分）</w:t>
      </w:r>
      <w:bookmarkEnd w:id="16"/>
      <w:bookmarkEnd w:id="17"/>
    </w:p>
    <w:p w14:paraId="12387BB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5FF1B4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524E6B84">
      <w:pPr>
        <w:pStyle w:val="4"/>
        <w:spacing w:before="0" w:after="0" w:line="600" w:lineRule="exact"/>
        <w:ind w:firstLine="643" w:firstLineChars="200"/>
        <w:jc w:val="both"/>
        <w:rPr>
          <w:rFonts w:ascii="楷体" w:hAnsi="楷体" w:eastAsia="楷体"/>
          <w:kern w:val="2"/>
          <w:sz w:val="32"/>
        </w:rPr>
      </w:pPr>
      <w:bookmarkStart w:id="18" w:name="_Toc492652773"/>
      <w:bookmarkStart w:id="19" w:name="_Toc24932"/>
      <w:r>
        <w:rPr>
          <w:rFonts w:hint="eastAsia" w:ascii="楷体" w:hAnsi="楷体" w:eastAsia="楷体"/>
          <w:kern w:val="2"/>
          <w:sz w:val="32"/>
        </w:rPr>
        <w:t>（三）产出（25分）</w:t>
      </w:r>
      <w:bookmarkEnd w:id="18"/>
      <w:bookmarkEnd w:id="19"/>
    </w:p>
    <w:p w14:paraId="00D3ED08">
      <w:pPr>
        <w:spacing w:after="0" w:line="600" w:lineRule="exact"/>
        <w:ind w:firstLine="640" w:firstLineChars="200"/>
        <w:jc w:val="both"/>
        <w:textAlignment w:val="baseline"/>
        <w:rPr>
          <w:rFonts w:ascii="仿宋_GB2312" w:eastAsia="仿宋_GB2312" w:cs="DengXian-Regular"/>
          <w:sz w:val="32"/>
          <w:szCs w:val="32"/>
        </w:rPr>
      </w:pPr>
      <w:bookmarkStart w:id="20" w:name="_Toc492652774"/>
      <w:r>
        <w:rPr>
          <w:rFonts w:hint="eastAsia" w:ascii="仿宋_GB2312" w:eastAsia="仿宋_GB2312" w:cs="DengXian-Regular"/>
          <w:sz w:val="32"/>
          <w:szCs w:val="32"/>
        </w:rPr>
        <w:t>主要反映结转结余率，项目资金使用率。</w:t>
      </w:r>
    </w:p>
    <w:p w14:paraId="2D18383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42E3842B">
      <w:pPr>
        <w:pStyle w:val="4"/>
        <w:spacing w:before="0" w:after="0" w:line="600" w:lineRule="exact"/>
        <w:ind w:firstLine="643" w:firstLineChars="200"/>
        <w:jc w:val="both"/>
        <w:rPr>
          <w:rFonts w:ascii="楷体_GB2312" w:eastAsia="楷体_GB2312" w:hAnsiTheme="minorEastAsia"/>
          <w:sz w:val="32"/>
        </w:rPr>
      </w:pPr>
      <w:bookmarkStart w:id="21" w:name="_Toc21821"/>
      <w:r>
        <w:rPr>
          <w:rFonts w:hint="eastAsia" w:ascii="楷体_GB2312" w:eastAsia="楷体_GB2312" w:hAnsiTheme="minorEastAsia"/>
          <w:kern w:val="2"/>
          <w:sz w:val="32"/>
        </w:rPr>
        <w:t>（四）效果（15分）</w:t>
      </w:r>
      <w:bookmarkEnd w:id="20"/>
      <w:bookmarkEnd w:id="21"/>
    </w:p>
    <w:p w14:paraId="0A95ED34">
      <w:pPr>
        <w:spacing w:after="0" w:line="600" w:lineRule="exact"/>
        <w:ind w:firstLine="640" w:firstLineChars="200"/>
        <w:jc w:val="both"/>
        <w:textAlignment w:val="baseline"/>
        <w:rPr>
          <w:rFonts w:ascii="仿宋_GB2312" w:eastAsia="仿宋_GB2312" w:cs="DengXian-Regular"/>
          <w:sz w:val="32"/>
          <w:szCs w:val="32"/>
        </w:rPr>
      </w:pPr>
      <w:bookmarkStart w:id="22"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0D79EC9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124C6FF3">
      <w:pPr>
        <w:pStyle w:val="3"/>
        <w:spacing w:before="0" w:after="0" w:line="600" w:lineRule="exact"/>
        <w:ind w:firstLine="643" w:firstLineChars="200"/>
        <w:rPr>
          <w:rFonts w:ascii="黑体"/>
        </w:rPr>
      </w:pPr>
      <w:bookmarkStart w:id="23" w:name="_Toc11842"/>
      <w:r>
        <w:rPr>
          <w:rFonts w:hint="eastAsia" w:ascii="黑体"/>
        </w:rPr>
        <w:t>三、综合绩效评价工作情况</w:t>
      </w:r>
      <w:bookmarkEnd w:id="13"/>
      <w:bookmarkEnd w:id="22"/>
      <w:bookmarkEnd w:id="23"/>
      <w:bookmarkStart w:id="24" w:name="_Toc465149505"/>
      <w:bookmarkStart w:id="25" w:name="_Toc492652776"/>
    </w:p>
    <w:p w14:paraId="58B887E7">
      <w:pPr>
        <w:pStyle w:val="4"/>
        <w:spacing w:before="0" w:after="0" w:line="600" w:lineRule="exact"/>
        <w:ind w:firstLine="643" w:firstLineChars="200"/>
        <w:jc w:val="both"/>
        <w:rPr>
          <w:rFonts w:ascii="楷体_GB2312" w:eastAsia="楷体_GB2312" w:hAnsiTheme="minorEastAsia"/>
          <w:sz w:val="32"/>
        </w:rPr>
      </w:pPr>
      <w:bookmarkStart w:id="26" w:name="_Toc17138"/>
      <w:r>
        <w:rPr>
          <w:rFonts w:hint="eastAsia" w:ascii="楷体_GB2312" w:eastAsia="楷体_GB2312" w:hAnsiTheme="minorEastAsia"/>
          <w:kern w:val="2"/>
          <w:sz w:val="32"/>
        </w:rPr>
        <w:t>（一）绩效评价目的</w:t>
      </w:r>
      <w:bookmarkEnd w:id="24"/>
      <w:bookmarkEnd w:id="25"/>
      <w:bookmarkEnd w:id="26"/>
    </w:p>
    <w:p w14:paraId="7E84EFE7">
      <w:pPr>
        <w:spacing w:after="0" w:line="600" w:lineRule="exact"/>
        <w:ind w:firstLine="640" w:firstLineChars="200"/>
        <w:jc w:val="both"/>
        <w:textAlignment w:val="baseline"/>
        <w:rPr>
          <w:rFonts w:ascii="仿宋_GB2312" w:eastAsia="仿宋_GB2312" w:cs="DengXian-Regular"/>
          <w:sz w:val="32"/>
          <w:szCs w:val="32"/>
        </w:rPr>
      </w:pPr>
      <w:bookmarkStart w:id="27" w:name="_Toc492652777"/>
      <w:bookmarkStart w:id="28" w:name="_Toc465149506"/>
      <w:r>
        <w:rPr>
          <w:rFonts w:hint="eastAsia" w:ascii="仿宋_GB2312" w:eastAsia="仿宋_GB2312" w:cs="DengXian-Regular"/>
          <w:sz w:val="32"/>
          <w:szCs w:val="32"/>
        </w:rPr>
        <w:t>通过对区委编办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CCB2BA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73D20510">
      <w:pPr>
        <w:pStyle w:val="4"/>
        <w:spacing w:before="0" w:after="0" w:line="600" w:lineRule="exact"/>
        <w:ind w:firstLine="643" w:firstLineChars="200"/>
        <w:jc w:val="both"/>
        <w:rPr>
          <w:rFonts w:ascii="楷体_GB2312" w:eastAsia="楷体_GB2312" w:hAnsiTheme="minorEastAsia"/>
          <w:kern w:val="2"/>
          <w:sz w:val="32"/>
        </w:rPr>
      </w:pPr>
      <w:bookmarkStart w:id="29" w:name="_Toc11607"/>
      <w:r>
        <w:rPr>
          <w:rFonts w:hint="eastAsia" w:ascii="楷体_GB2312" w:eastAsia="楷体_GB2312" w:hAnsiTheme="minorEastAsia"/>
          <w:kern w:val="2"/>
          <w:sz w:val="32"/>
        </w:rPr>
        <w:t>（二）绩效评价依据</w:t>
      </w:r>
      <w:bookmarkEnd w:id="27"/>
      <w:bookmarkEnd w:id="28"/>
      <w:bookmarkEnd w:id="29"/>
    </w:p>
    <w:p w14:paraId="27172F73">
      <w:pPr>
        <w:spacing w:after="0" w:line="600" w:lineRule="exact"/>
        <w:ind w:firstLine="640" w:firstLineChars="200"/>
        <w:jc w:val="both"/>
        <w:textAlignment w:val="baseline"/>
        <w:rPr>
          <w:rFonts w:ascii="仿宋_GB2312" w:eastAsia="仿宋_GB2312" w:cs="DengXian-Regular"/>
          <w:sz w:val="32"/>
          <w:szCs w:val="32"/>
        </w:rPr>
      </w:pPr>
      <w:bookmarkStart w:id="30"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64F332B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2EDBCA1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9CB773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D2A5D6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A4CC20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1489574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1" w:name="_Toc492652778"/>
    </w:p>
    <w:p w14:paraId="1C254239">
      <w:pPr>
        <w:pStyle w:val="4"/>
        <w:spacing w:before="0" w:after="0" w:line="600" w:lineRule="exact"/>
        <w:ind w:firstLine="643" w:firstLineChars="200"/>
        <w:jc w:val="both"/>
        <w:rPr>
          <w:rFonts w:ascii="楷体_GB2312" w:eastAsia="楷体_GB2312" w:hAnsiTheme="minorEastAsia"/>
          <w:kern w:val="2"/>
          <w:sz w:val="32"/>
        </w:rPr>
      </w:pPr>
      <w:bookmarkStart w:id="32" w:name="_Toc7609"/>
      <w:r>
        <w:rPr>
          <w:rFonts w:hint="eastAsia" w:ascii="楷体_GB2312" w:eastAsia="楷体_GB2312" w:hAnsiTheme="minorEastAsia"/>
          <w:kern w:val="2"/>
          <w:sz w:val="32"/>
        </w:rPr>
        <w:t>（三）绩效评价</w:t>
      </w:r>
      <w:bookmarkEnd w:id="31"/>
      <w:r>
        <w:rPr>
          <w:rFonts w:hint="eastAsia" w:ascii="楷体_GB2312" w:eastAsia="楷体_GB2312" w:hAnsiTheme="minorEastAsia"/>
          <w:kern w:val="2"/>
          <w:sz w:val="32"/>
        </w:rPr>
        <w:t>内容</w:t>
      </w:r>
      <w:bookmarkEnd w:id="32"/>
    </w:p>
    <w:bookmarkEnd w:id="30"/>
    <w:p w14:paraId="08F44656">
      <w:pPr>
        <w:spacing w:after="0" w:line="600" w:lineRule="exact"/>
        <w:ind w:firstLine="640" w:firstLineChars="200"/>
        <w:jc w:val="both"/>
        <w:textAlignment w:val="baseline"/>
        <w:rPr>
          <w:rFonts w:ascii="仿宋_GB2312" w:eastAsia="仿宋_GB2312" w:cs="DengXian-Regular"/>
          <w:sz w:val="32"/>
          <w:szCs w:val="32"/>
        </w:rPr>
      </w:pPr>
      <w:bookmarkStart w:id="33" w:name="_Toc465149508"/>
      <w:bookmarkStart w:id="34" w:name="_Toc492652779"/>
      <w:r>
        <w:rPr>
          <w:rFonts w:hint="eastAsia" w:ascii="仿宋_GB2312" w:eastAsia="仿宋_GB2312" w:cs="DengXian-Regular"/>
          <w:sz w:val="32"/>
          <w:szCs w:val="32"/>
        </w:rPr>
        <w:t>区委统战部2019年部门整体支出绩效目标和指标的设置及完成情况；资金预算情况、实际收支情况及结转结余情况；部门履职对社会发展所带来的直接或间接影响及服务对象对部门履职效果的满意程度。</w:t>
      </w:r>
    </w:p>
    <w:p w14:paraId="4228575E">
      <w:pPr>
        <w:pStyle w:val="4"/>
        <w:spacing w:before="0" w:after="0" w:line="600" w:lineRule="exact"/>
        <w:ind w:firstLine="643" w:firstLineChars="200"/>
        <w:jc w:val="both"/>
        <w:rPr>
          <w:rFonts w:ascii="楷体_GB2312" w:eastAsia="楷体_GB2312" w:hAnsiTheme="minorEastAsia"/>
          <w:kern w:val="2"/>
          <w:sz w:val="32"/>
        </w:rPr>
      </w:pPr>
      <w:bookmarkStart w:id="35" w:name="_Toc789"/>
      <w:r>
        <w:rPr>
          <w:rFonts w:hint="eastAsia" w:ascii="楷体_GB2312" w:eastAsia="楷体_GB2312" w:hAnsiTheme="minorEastAsia"/>
          <w:kern w:val="2"/>
          <w:sz w:val="32"/>
        </w:rPr>
        <w:t>（四）绩效评价原则</w:t>
      </w:r>
      <w:bookmarkEnd w:id="35"/>
    </w:p>
    <w:p w14:paraId="71DA60B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154C5E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550452E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503F68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29707512">
      <w:pPr>
        <w:pStyle w:val="4"/>
        <w:spacing w:before="0" w:after="0" w:line="600" w:lineRule="exact"/>
        <w:ind w:firstLine="643" w:firstLineChars="200"/>
        <w:jc w:val="both"/>
        <w:rPr>
          <w:rFonts w:ascii="楷体_GB2312" w:eastAsia="楷体_GB2312" w:hAnsiTheme="minorEastAsia"/>
          <w:kern w:val="2"/>
          <w:sz w:val="32"/>
        </w:rPr>
      </w:pPr>
      <w:bookmarkStart w:id="36" w:name="_Toc8171"/>
      <w:r>
        <w:rPr>
          <w:rFonts w:hint="eastAsia" w:ascii="楷体_GB2312" w:eastAsia="楷体_GB2312" w:hAnsiTheme="minorEastAsia"/>
          <w:kern w:val="2"/>
          <w:sz w:val="32"/>
        </w:rPr>
        <w:t>（五）</w:t>
      </w:r>
      <w:bookmarkEnd w:id="33"/>
      <w:bookmarkStart w:id="37" w:name="_Toc465149509"/>
      <w:r>
        <w:rPr>
          <w:rFonts w:hint="eastAsia" w:ascii="楷体_GB2312" w:eastAsia="楷体_GB2312" w:hAnsiTheme="minorEastAsia"/>
          <w:kern w:val="2"/>
          <w:sz w:val="32"/>
        </w:rPr>
        <w:t>绩效评价方法</w:t>
      </w:r>
      <w:bookmarkEnd w:id="34"/>
      <w:bookmarkEnd w:id="36"/>
      <w:bookmarkEnd w:id="37"/>
    </w:p>
    <w:p w14:paraId="79847DBB">
      <w:pPr>
        <w:spacing w:after="0" w:line="600" w:lineRule="exact"/>
        <w:ind w:firstLine="640" w:firstLineChars="200"/>
        <w:jc w:val="both"/>
        <w:textAlignment w:val="baseline"/>
        <w:rPr>
          <w:rFonts w:ascii="仿宋_GB2312" w:eastAsia="仿宋_GB2312" w:cs="DengXian-Regular"/>
          <w:sz w:val="32"/>
          <w:szCs w:val="32"/>
        </w:rPr>
      </w:pPr>
      <w:bookmarkStart w:id="38" w:name="_Toc422314152"/>
      <w:bookmarkStart w:id="39" w:name="_Toc421623217"/>
      <w:bookmarkStart w:id="40" w:name="_Toc465149510"/>
      <w:bookmarkStart w:id="41"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38"/>
      <w:bookmarkEnd w:id="39"/>
    </w:p>
    <w:p w14:paraId="087B2CC4">
      <w:pPr>
        <w:spacing w:after="0" w:line="600" w:lineRule="exact"/>
        <w:ind w:firstLine="640" w:firstLineChars="200"/>
        <w:jc w:val="both"/>
        <w:textAlignment w:val="baseline"/>
        <w:rPr>
          <w:rFonts w:ascii="仿宋_GB2312" w:eastAsia="仿宋_GB2312" w:cs="DengXian-Regular"/>
          <w:sz w:val="32"/>
          <w:szCs w:val="32"/>
        </w:rPr>
      </w:pPr>
      <w:bookmarkStart w:id="42" w:name="_Toc422314153"/>
      <w:bookmarkStart w:id="43"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2"/>
      <w:bookmarkEnd w:id="43"/>
    </w:p>
    <w:p w14:paraId="52F6A573">
      <w:pPr>
        <w:spacing w:after="0" w:line="600" w:lineRule="exact"/>
        <w:ind w:firstLine="640" w:firstLineChars="200"/>
        <w:jc w:val="both"/>
        <w:textAlignment w:val="baseline"/>
        <w:rPr>
          <w:rFonts w:ascii="仿宋_GB2312" w:eastAsia="仿宋_GB2312" w:cs="DengXian-Regular"/>
          <w:sz w:val="32"/>
          <w:szCs w:val="32"/>
        </w:rPr>
      </w:pPr>
      <w:bookmarkStart w:id="44" w:name="_Toc422314155"/>
      <w:bookmarkStart w:id="45"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4"/>
      <w:bookmarkEnd w:id="45"/>
    </w:p>
    <w:p w14:paraId="5DB33E65">
      <w:pPr>
        <w:spacing w:after="0" w:line="600" w:lineRule="exact"/>
        <w:ind w:firstLine="640" w:firstLineChars="200"/>
        <w:jc w:val="both"/>
        <w:textAlignment w:val="baseline"/>
        <w:rPr>
          <w:rFonts w:ascii="仿宋_GB2312" w:eastAsia="仿宋_GB2312" w:cs="DengXian-Regular"/>
          <w:sz w:val="32"/>
          <w:szCs w:val="32"/>
        </w:rPr>
      </w:pPr>
      <w:bookmarkStart w:id="46" w:name="_Toc422314156"/>
      <w:bookmarkStart w:id="47"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6"/>
      <w:bookmarkEnd w:id="47"/>
      <w:bookmarkStart w:id="48" w:name="_Toc20821"/>
    </w:p>
    <w:p w14:paraId="185E8F9C">
      <w:pPr>
        <w:spacing w:after="0" w:line="600" w:lineRule="exact"/>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0"/>
      <w:bookmarkEnd w:id="41"/>
      <w:bookmarkEnd w:id="48"/>
    </w:p>
    <w:p w14:paraId="201F3CC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01027CF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3157F42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经充分收集相关资料，主要包括部门职责、工作活动、预决算文本、相关管理制度、资金使用等相关资料，为制定绩效评价实施方案和指标体系奠定了基础。</w:t>
      </w:r>
    </w:p>
    <w:p w14:paraId="741D319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4054A3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基于对相关资料的收集，制定绩效评价实施方案和体系,确定最终方案。</w:t>
      </w:r>
    </w:p>
    <w:p w14:paraId="16B7C6B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829101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委编办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78DD85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49" w:name="_Toc465149511"/>
      <w:bookmarkStart w:id="50" w:name="_Toc492652781"/>
    </w:p>
    <w:p w14:paraId="3C0A7FF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1D38CB37">
      <w:pPr>
        <w:pStyle w:val="3"/>
        <w:spacing w:before="0" w:after="0" w:line="600" w:lineRule="exact"/>
        <w:ind w:firstLine="643" w:firstLineChars="200"/>
        <w:rPr>
          <w:rFonts w:ascii="黑体"/>
        </w:rPr>
      </w:pPr>
      <w:bookmarkStart w:id="51" w:name="_Toc6467"/>
      <w:r>
        <w:rPr>
          <w:rFonts w:hint="eastAsia" w:ascii="黑体"/>
        </w:rPr>
        <w:t>四、</w:t>
      </w:r>
      <w:bookmarkEnd w:id="49"/>
      <w:bookmarkEnd w:id="50"/>
      <w:bookmarkStart w:id="52" w:name="_Toc492652782"/>
      <w:r>
        <w:rPr>
          <w:rFonts w:hint="eastAsia" w:ascii="黑体"/>
        </w:rPr>
        <w:t>绩效评价评分情况</w:t>
      </w:r>
      <w:bookmarkEnd w:id="51"/>
    </w:p>
    <w:bookmarkEnd w:id="52"/>
    <w:p w14:paraId="1EC56214">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区委统战部部门整体支出绩效评价总得分为91.7分，综合绩效评价等级为“优”。各项得分情况如下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2481AA0D">
      <w:pPr>
        <w:pStyle w:val="4"/>
        <w:spacing w:before="0" w:after="0" w:line="600" w:lineRule="exact"/>
        <w:ind w:firstLine="643" w:firstLineChars="200"/>
        <w:jc w:val="both"/>
        <w:rPr>
          <w:rFonts w:ascii="楷体_GB2312" w:eastAsia="楷体_GB2312" w:hAnsiTheme="minorEastAsia"/>
          <w:kern w:val="2"/>
          <w:sz w:val="32"/>
        </w:rPr>
      </w:pPr>
      <w:bookmarkStart w:id="53" w:name="_Toc492652783"/>
      <w:bookmarkStart w:id="54" w:name="_Toc4390"/>
      <w:r>
        <w:rPr>
          <w:rFonts w:hint="eastAsia" w:ascii="楷体_GB2312" w:eastAsia="楷体_GB2312" w:hAnsiTheme="minorEastAsia"/>
          <w:kern w:val="2"/>
          <w:sz w:val="32"/>
        </w:rPr>
        <w:t>（一）</w:t>
      </w:r>
      <w:bookmarkEnd w:id="53"/>
      <w:r>
        <w:rPr>
          <w:rFonts w:hint="eastAsia" w:ascii="楷体_GB2312" w:eastAsia="楷体_GB2312" w:hAnsiTheme="minorEastAsia"/>
          <w:kern w:val="2"/>
          <w:sz w:val="32"/>
        </w:rPr>
        <w:t>投入（12分）</w:t>
      </w:r>
      <w:bookmarkEnd w:id="54"/>
    </w:p>
    <w:p w14:paraId="2775D3AB">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585066C">
      <w:pPr>
        <w:spacing w:after="0" w:line="600" w:lineRule="exact"/>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494D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526A5F1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572453C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4628F88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8BCA0A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09A701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D9C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632572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2E2B820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3ED51537">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2E771A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66D703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A654D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A586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D82452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A5BD31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A6AE6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2F27F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CC344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9E4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A9EC34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950793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BD370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034C3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B5BCA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F256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60AB9F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533499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44523F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EBD29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1C384F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4C9B6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9A61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93B78F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5A63A2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FF776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4A9806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75A05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6EF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B838C0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E3B4C4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C2E3B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584F1D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60C19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9D3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691468FC">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571A6087">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08F317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0DB17F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6998B382">
      <w:pPr>
        <w:spacing w:after="0" w:line="600" w:lineRule="exact"/>
        <w:ind w:firstLine="640" w:firstLineChars="200"/>
        <w:jc w:val="both"/>
        <w:textAlignment w:val="baseline"/>
        <w:rPr>
          <w:rFonts w:ascii="仿宋_GB2312" w:eastAsia="仿宋_GB2312" w:cs="DengXian-Regular"/>
          <w:sz w:val="32"/>
          <w:szCs w:val="32"/>
        </w:rPr>
      </w:pPr>
      <w:bookmarkStart w:id="55" w:name="_Toc465149513"/>
      <w:bookmarkStart w:id="56" w:name="_Toc464638478"/>
      <w:r>
        <w:rPr>
          <w:rFonts w:hint="eastAsia" w:ascii="仿宋_GB2312" w:eastAsia="仿宋_GB2312" w:cs="DengXian-Regular"/>
          <w:sz w:val="32"/>
          <w:szCs w:val="32"/>
        </w:rPr>
        <w:t>1.绩效目标设定（6分）</w:t>
      </w:r>
    </w:p>
    <w:p w14:paraId="461258A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16CAA8B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FE97C4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通过对比保定市徐水区委办公室及保定市徐水区人民政府办公室印发的《中共保定市徐水区委统一战线</w:t>
      </w:r>
      <w:r>
        <w:rPr>
          <w:rFonts w:ascii="仿宋_GB2312" w:eastAsia="仿宋_GB2312" w:cs="DengXian-Regular"/>
          <w:sz w:val="32"/>
          <w:szCs w:val="32"/>
        </w:rPr>
        <w:t>工作部</w:t>
      </w:r>
      <w:r>
        <w:rPr>
          <w:rFonts w:hint="eastAsia" w:ascii="仿宋_GB2312" w:eastAsia="仿宋_GB2312" w:cs="DengXian-Regular"/>
          <w:sz w:val="32"/>
          <w:szCs w:val="32"/>
        </w:rPr>
        <w:t>职能配置内设机构和人员编制规定》和2019年预算文本—部门职责工作活动绩效目标，评价工作组认为区委统战部部门职责符合“三定”方案中所赋予的职责，绩效目标设立依据充分，符合客观实际，与部门职责、工作规划和重点工作相关，工作活动和项目预算安排合理。</w:t>
      </w:r>
    </w:p>
    <w:p w14:paraId="6696DC8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CC3DD4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9C9199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E06E78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根据区委统战部2019年预算文本—部门职责工作活动绩效目标（详见附件4），绩效目标与部门履职、年度工作任务相符；工作活动有明确的绩效目标，绩效目标与部门职责目标、部门年度工作目标一致。</w:t>
      </w:r>
    </w:p>
    <w:p w14:paraId="5856B58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18E383D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29A6D5A7">
      <w:pPr>
        <w:spacing w:after="0" w:line="60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417BCD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根据区委统战部2019年预算文本—部门职责工作活动绩效目标,该指标实际得分2分。</w:t>
      </w:r>
    </w:p>
    <w:p w14:paraId="6E6750B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EF8E03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E344E7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AF6090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根据区委统战部2019年预算文本及相关会计资料，区委编办所有收入均已纳入部门预算，部门支出按基本支出、项目支出分别编制。</w:t>
      </w:r>
    </w:p>
    <w:p w14:paraId="3AE8417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该指标实际得2分。</w:t>
      </w:r>
    </w:p>
    <w:p w14:paraId="1748862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61E17F7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3C6AF30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2A582E5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根据区委统战部2019年预算文本—部门项目支出预算表，区委统战部2019年预算项目共</w:t>
      </w:r>
      <w:r>
        <w:rPr>
          <w:rFonts w:ascii="仿宋_GB2312" w:eastAsia="仿宋_GB2312" w:cs="DengXian-Regular"/>
          <w:sz w:val="32"/>
          <w:szCs w:val="32"/>
        </w:rPr>
        <w:t>10</w:t>
      </w:r>
      <w:r>
        <w:rPr>
          <w:rFonts w:hint="eastAsia" w:ascii="仿宋_GB2312" w:eastAsia="仿宋_GB2312" w:cs="DengXian-Regular"/>
          <w:sz w:val="32"/>
          <w:szCs w:val="32"/>
        </w:rPr>
        <w:t>个（详见附件2-2-2），涉及资金</w:t>
      </w:r>
      <w:r>
        <w:rPr>
          <w:rFonts w:ascii="仿宋_GB2312" w:eastAsia="仿宋_GB2312" w:cs="DengXian-Regular"/>
          <w:sz w:val="32"/>
          <w:szCs w:val="32"/>
        </w:rPr>
        <w:t>45.36</w:t>
      </w:r>
      <w:r>
        <w:rPr>
          <w:rFonts w:hint="eastAsia" w:ascii="仿宋_GB2312" w:eastAsia="仿宋_GB2312" w:cs="DengXian-Regular"/>
          <w:sz w:val="32"/>
          <w:szCs w:val="32"/>
        </w:rPr>
        <w:t>万元，所有项目均细化到具体用款单位及项目资金额度。项目预算细化率=（9/9）*100%=100%</w:t>
      </w:r>
    </w:p>
    <w:p w14:paraId="681D68D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DEE733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1F82668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该指标主要考核截至2019年底区委统战部在职人员控制情况，通过在职人员控制率衡量。</w:t>
      </w:r>
    </w:p>
    <w:p w14:paraId="4C8630E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2E2C764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中共保定市徐水区委统一战线工作部职能配置内设机构和人员编制规定》的通知，区委统战部人员编制为8人，根据区委统战部2019年决算文本-部门基本情况表，截至2019年底，在职人员8人，在职人员控制率=（8/8）*100%=100%。</w:t>
      </w:r>
    </w:p>
    <w:p w14:paraId="7B6B2A1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w:t>
      </w:r>
    </w:p>
    <w:bookmarkEnd w:id="55"/>
    <w:bookmarkEnd w:id="56"/>
    <w:p w14:paraId="3C2E8CBB">
      <w:pPr>
        <w:pStyle w:val="4"/>
        <w:spacing w:before="0" w:after="0" w:line="600" w:lineRule="exact"/>
        <w:ind w:firstLine="643" w:firstLineChars="200"/>
        <w:jc w:val="both"/>
        <w:rPr>
          <w:rFonts w:ascii="楷体" w:hAnsi="楷体" w:eastAsia="楷体"/>
          <w:sz w:val="32"/>
        </w:rPr>
      </w:pPr>
      <w:bookmarkStart w:id="57" w:name="_Toc19940"/>
      <w:r>
        <w:rPr>
          <w:rFonts w:hint="eastAsia" w:ascii="楷体" w:hAnsi="楷体" w:eastAsia="楷体"/>
          <w:sz w:val="32"/>
        </w:rPr>
        <w:t>（二）过程（48分）</w:t>
      </w:r>
      <w:bookmarkEnd w:id="57"/>
    </w:p>
    <w:p w14:paraId="36AF7F9A">
      <w:pPr>
        <w:spacing w:after="0" w:line="600" w:lineRule="exact"/>
        <w:ind w:firstLine="640" w:firstLineChars="200"/>
        <w:jc w:val="both"/>
        <w:textAlignment w:val="baseline"/>
        <w:rPr>
          <w:rFonts w:ascii="仿宋_GB2312" w:eastAsia="仿宋_GB2312" w:cs="DengXian-Regular"/>
          <w:sz w:val="32"/>
          <w:szCs w:val="32"/>
        </w:rPr>
      </w:pPr>
      <w:bookmarkStart w:id="58"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292AAAF6">
      <w:pPr>
        <w:spacing w:after="0" w:line="600" w:lineRule="exact"/>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88C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4DB424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7B309E8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5A6441B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516950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519B9A1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9C1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4067C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258D48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6DB086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3A3FA0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6FC3DD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A07A7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FAB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DD6F0A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5014917">
            <w:pPr>
              <w:spacing w:line="420" w:lineRule="exact"/>
              <w:jc w:val="center"/>
              <w:rPr>
                <w:rFonts w:cs="宋体" w:asciiTheme="minorEastAsia" w:hAnsiTheme="minorEastAsia" w:eastAsiaTheme="minorEastAsia"/>
                <w:sz w:val="21"/>
                <w:szCs w:val="21"/>
              </w:rPr>
            </w:pPr>
          </w:p>
        </w:tc>
        <w:tc>
          <w:tcPr>
            <w:tcW w:w="2277" w:type="dxa"/>
            <w:vAlign w:val="center"/>
          </w:tcPr>
          <w:p w14:paraId="2EB649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0ED566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D202A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w:t>
            </w:r>
          </w:p>
        </w:tc>
      </w:tr>
      <w:tr w14:paraId="5B13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9F94A2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459738E">
            <w:pPr>
              <w:spacing w:line="420" w:lineRule="exact"/>
              <w:jc w:val="center"/>
              <w:rPr>
                <w:rFonts w:cs="宋体" w:asciiTheme="minorEastAsia" w:hAnsiTheme="minorEastAsia" w:eastAsiaTheme="minorEastAsia"/>
                <w:sz w:val="21"/>
                <w:szCs w:val="21"/>
              </w:rPr>
            </w:pPr>
          </w:p>
        </w:tc>
        <w:tc>
          <w:tcPr>
            <w:tcW w:w="2277" w:type="dxa"/>
            <w:vAlign w:val="center"/>
          </w:tcPr>
          <w:p w14:paraId="33583F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18DAE9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651AC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C1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09EB67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B180818">
            <w:pPr>
              <w:spacing w:line="420" w:lineRule="exact"/>
              <w:jc w:val="center"/>
              <w:rPr>
                <w:rFonts w:cs="宋体" w:asciiTheme="minorEastAsia" w:hAnsiTheme="minorEastAsia" w:eastAsiaTheme="minorEastAsia"/>
                <w:sz w:val="21"/>
                <w:szCs w:val="21"/>
              </w:rPr>
            </w:pPr>
          </w:p>
        </w:tc>
        <w:tc>
          <w:tcPr>
            <w:tcW w:w="2277" w:type="dxa"/>
            <w:vAlign w:val="center"/>
          </w:tcPr>
          <w:p w14:paraId="58336C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52E70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DF950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626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26AF76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D88A98E">
            <w:pPr>
              <w:spacing w:line="420" w:lineRule="exact"/>
              <w:jc w:val="center"/>
              <w:rPr>
                <w:rFonts w:cs="宋体" w:asciiTheme="minorEastAsia" w:hAnsiTheme="minorEastAsia" w:eastAsiaTheme="minorEastAsia"/>
                <w:sz w:val="21"/>
                <w:szCs w:val="21"/>
              </w:rPr>
            </w:pPr>
          </w:p>
        </w:tc>
        <w:tc>
          <w:tcPr>
            <w:tcW w:w="2277" w:type="dxa"/>
            <w:vAlign w:val="center"/>
          </w:tcPr>
          <w:p w14:paraId="090350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723F27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EBB74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44C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725253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47EE291">
            <w:pPr>
              <w:spacing w:line="420" w:lineRule="exact"/>
              <w:jc w:val="center"/>
              <w:rPr>
                <w:rFonts w:cs="宋体" w:asciiTheme="minorEastAsia" w:hAnsiTheme="minorEastAsia" w:eastAsiaTheme="minorEastAsia"/>
                <w:sz w:val="21"/>
                <w:szCs w:val="21"/>
              </w:rPr>
            </w:pPr>
          </w:p>
        </w:tc>
        <w:tc>
          <w:tcPr>
            <w:tcW w:w="2277" w:type="dxa"/>
            <w:vAlign w:val="center"/>
          </w:tcPr>
          <w:p w14:paraId="0618CB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0A5E6D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78EE7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49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C1DC0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FDF688A">
            <w:pPr>
              <w:spacing w:line="420" w:lineRule="exact"/>
              <w:jc w:val="center"/>
              <w:rPr>
                <w:rFonts w:cs="宋体" w:asciiTheme="minorEastAsia" w:hAnsiTheme="minorEastAsia" w:eastAsiaTheme="minorEastAsia"/>
                <w:sz w:val="21"/>
                <w:szCs w:val="21"/>
              </w:rPr>
            </w:pPr>
          </w:p>
        </w:tc>
        <w:tc>
          <w:tcPr>
            <w:tcW w:w="2277" w:type="dxa"/>
            <w:vAlign w:val="center"/>
          </w:tcPr>
          <w:p w14:paraId="21F691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3D5DA5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60519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E69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625DB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FE3F414">
            <w:pPr>
              <w:spacing w:line="420" w:lineRule="exact"/>
              <w:jc w:val="center"/>
              <w:rPr>
                <w:rFonts w:cs="宋体" w:asciiTheme="minorEastAsia" w:hAnsiTheme="minorEastAsia" w:eastAsiaTheme="minorEastAsia"/>
                <w:sz w:val="21"/>
                <w:szCs w:val="21"/>
              </w:rPr>
            </w:pPr>
          </w:p>
        </w:tc>
        <w:tc>
          <w:tcPr>
            <w:tcW w:w="2277" w:type="dxa"/>
            <w:vAlign w:val="center"/>
          </w:tcPr>
          <w:p w14:paraId="64A75C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7363C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B55AD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225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4B045C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BEE49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46BCA9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41D16F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8A6C6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EBE8C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649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55B60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D897DF">
            <w:pPr>
              <w:spacing w:line="420" w:lineRule="exact"/>
              <w:jc w:val="center"/>
              <w:rPr>
                <w:rFonts w:cs="宋体" w:asciiTheme="minorEastAsia" w:hAnsiTheme="minorEastAsia" w:eastAsiaTheme="minorEastAsia"/>
                <w:sz w:val="21"/>
                <w:szCs w:val="21"/>
              </w:rPr>
            </w:pPr>
          </w:p>
        </w:tc>
        <w:tc>
          <w:tcPr>
            <w:tcW w:w="2277" w:type="dxa"/>
            <w:vAlign w:val="center"/>
          </w:tcPr>
          <w:p w14:paraId="3025E9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337379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2A777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91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82117B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FBED0DE">
            <w:pPr>
              <w:spacing w:line="420" w:lineRule="exact"/>
              <w:jc w:val="center"/>
              <w:rPr>
                <w:rFonts w:cs="宋体" w:asciiTheme="minorEastAsia" w:hAnsiTheme="minorEastAsia" w:eastAsiaTheme="minorEastAsia"/>
                <w:sz w:val="21"/>
                <w:szCs w:val="21"/>
              </w:rPr>
            </w:pPr>
          </w:p>
        </w:tc>
        <w:tc>
          <w:tcPr>
            <w:tcW w:w="2277" w:type="dxa"/>
            <w:vAlign w:val="center"/>
          </w:tcPr>
          <w:p w14:paraId="4A9927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043D4E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D6C2E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1C6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AA78A7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FE1F4CB">
            <w:pPr>
              <w:spacing w:line="420" w:lineRule="exact"/>
              <w:jc w:val="center"/>
              <w:rPr>
                <w:rFonts w:cs="宋体" w:asciiTheme="minorEastAsia" w:hAnsiTheme="minorEastAsia" w:eastAsiaTheme="minorEastAsia"/>
                <w:sz w:val="21"/>
                <w:szCs w:val="21"/>
              </w:rPr>
            </w:pPr>
          </w:p>
        </w:tc>
        <w:tc>
          <w:tcPr>
            <w:tcW w:w="2277" w:type="dxa"/>
            <w:vAlign w:val="center"/>
          </w:tcPr>
          <w:p w14:paraId="4DE31C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3F289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C85B2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4A6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570BB6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7928B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3F2940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78525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437273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3670E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BFB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61C107E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FD7037">
            <w:pPr>
              <w:spacing w:line="420" w:lineRule="exact"/>
              <w:jc w:val="center"/>
              <w:rPr>
                <w:rFonts w:cs="宋体" w:asciiTheme="minorEastAsia" w:hAnsiTheme="minorEastAsia" w:eastAsiaTheme="minorEastAsia"/>
                <w:sz w:val="21"/>
                <w:szCs w:val="21"/>
              </w:rPr>
            </w:pPr>
          </w:p>
        </w:tc>
        <w:tc>
          <w:tcPr>
            <w:tcW w:w="2277" w:type="dxa"/>
            <w:vAlign w:val="center"/>
          </w:tcPr>
          <w:p w14:paraId="2FE76A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4CEE41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DA084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4EA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6D6F1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73790310">
            <w:pPr>
              <w:spacing w:line="420" w:lineRule="exact"/>
              <w:jc w:val="center"/>
              <w:rPr>
                <w:rFonts w:cs="宋体" w:asciiTheme="minorEastAsia" w:hAnsiTheme="minorEastAsia" w:eastAsiaTheme="minorEastAsia"/>
                <w:sz w:val="21"/>
                <w:szCs w:val="21"/>
              </w:rPr>
            </w:pPr>
          </w:p>
        </w:tc>
        <w:tc>
          <w:tcPr>
            <w:tcW w:w="1155" w:type="dxa"/>
            <w:vAlign w:val="center"/>
          </w:tcPr>
          <w:p w14:paraId="7B8BAF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504BB7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42.4</w:t>
            </w:r>
          </w:p>
        </w:tc>
      </w:tr>
      <w:bookmarkEnd w:id="58"/>
    </w:tbl>
    <w:p w14:paraId="0F5FDF6F">
      <w:pPr>
        <w:spacing w:after="0" w:line="600" w:lineRule="exact"/>
        <w:ind w:firstLine="640" w:firstLineChars="200"/>
        <w:jc w:val="both"/>
        <w:textAlignment w:val="baseline"/>
        <w:rPr>
          <w:rFonts w:ascii="仿宋_GB2312" w:eastAsia="仿宋_GB2312" w:cs="DengXian-Regular"/>
          <w:sz w:val="32"/>
          <w:szCs w:val="32"/>
        </w:rPr>
      </w:pPr>
      <w:bookmarkStart w:id="59" w:name="_Toc465149514"/>
      <w:bookmarkStart w:id="60" w:name="_Toc464638487"/>
      <w:r>
        <w:rPr>
          <w:rFonts w:hint="eastAsia" w:ascii="仿宋_GB2312" w:eastAsia="仿宋_GB2312" w:cs="DengXian-Regular"/>
          <w:sz w:val="32"/>
          <w:szCs w:val="32"/>
        </w:rPr>
        <w:t>1.预算执行（24分）</w:t>
      </w:r>
    </w:p>
    <w:p w14:paraId="57272CE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4441F09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0FB7D2E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531F37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2019年区委统战部没有调整预算数。</w:t>
      </w:r>
    </w:p>
    <w:p w14:paraId="4D08820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41DAF85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D8B47C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7F2F59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26A268E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根据区委编办2019年预算文本、决算文本，2019年收入预算数</w:t>
      </w:r>
      <w:r>
        <w:rPr>
          <w:rFonts w:ascii="仿宋_GB2312" w:eastAsia="仿宋_GB2312" w:cs="DengXian-Regular"/>
          <w:sz w:val="32"/>
          <w:szCs w:val="32"/>
        </w:rPr>
        <w:t>178.52</w:t>
      </w:r>
      <w:r>
        <w:rPr>
          <w:rFonts w:hint="eastAsia" w:ascii="仿宋_GB2312" w:eastAsia="仿宋_GB2312" w:cs="DengXian-Regular"/>
          <w:sz w:val="32"/>
          <w:szCs w:val="32"/>
        </w:rPr>
        <w:t>万元，收入决算数</w:t>
      </w:r>
      <w:r>
        <w:rPr>
          <w:rFonts w:ascii="仿宋_GB2312" w:eastAsia="仿宋_GB2312" w:cs="DengXian-Regular"/>
          <w:sz w:val="32"/>
          <w:szCs w:val="32"/>
        </w:rPr>
        <w:t>179.78</w:t>
      </w:r>
      <w:r>
        <w:rPr>
          <w:rFonts w:hint="eastAsia" w:ascii="仿宋_GB2312" w:eastAsia="仿宋_GB2312" w:cs="DengXian-Regular"/>
          <w:sz w:val="32"/>
          <w:szCs w:val="32"/>
        </w:rPr>
        <w:t>万元，收入完成率=（</w:t>
      </w:r>
      <w:r>
        <w:rPr>
          <w:rFonts w:ascii="仿宋_GB2312" w:eastAsia="仿宋_GB2312" w:cs="DengXian-Regular"/>
          <w:sz w:val="32"/>
          <w:szCs w:val="32"/>
        </w:rPr>
        <w:t>179.78</w:t>
      </w:r>
      <w:r>
        <w:rPr>
          <w:rFonts w:hint="eastAsia" w:ascii="仿宋_GB2312" w:eastAsia="仿宋_GB2312" w:cs="DengXian-Regular"/>
          <w:sz w:val="32"/>
          <w:szCs w:val="32"/>
        </w:rPr>
        <w:t>/</w:t>
      </w:r>
      <w:r>
        <w:rPr>
          <w:rFonts w:ascii="仿宋_GB2312" w:eastAsia="仿宋_GB2312" w:cs="DengXian-Regular"/>
          <w:sz w:val="32"/>
          <w:szCs w:val="32"/>
        </w:rPr>
        <w:t>178.52</w:t>
      </w:r>
      <w:r>
        <w:rPr>
          <w:rFonts w:hint="eastAsia" w:ascii="仿宋_GB2312" w:eastAsia="仿宋_GB2312" w:cs="DengXian-Regular"/>
          <w:sz w:val="32"/>
          <w:szCs w:val="32"/>
        </w:rPr>
        <w:t>）*100%=</w:t>
      </w:r>
      <w:r>
        <w:rPr>
          <w:rFonts w:ascii="仿宋_GB2312" w:eastAsia="仿宋_GB2312" w:cs="DengXian-Regular"/>
          <w:sz w:val="32"/>
          <w:szCs w:val="32"/>
        </w:rPr>
        <w:t>100.07</w:t>
      </w:r>
      <w:r>
        <w:rPr>
          <w:rFonts w:hint="eastAsia" w:ascii="仿宋_GB2312" w:eastAsia="仿宋_GB2312" w:cs="DengXian-Regular"/>
          <w:sz w:val="32"/>
          <w:szCs w:val="32"/>
        </w:rPr>
        <w:t>%。</w:t>
      </w:r>
    </w:p>
    <w:p w14:paraId="4EA5959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该指标实际得分1.4分。</w:t>
      </w:r>
    </w:p>
    <w:p w14:paraId="47CF882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708D325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7D9829E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26B4730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2019年区委统战部有追加项目费用。</w:t>
      </w:r>
    </w:p>
    <w:p w14:paraId="3EC6180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C2EC53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CC00E6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67CA45F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09714AB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区委统战部提供的2019年决算文本，部门决算财政拨款支出数</w:t>
      </w:r>
      <w:r>
        <w:rPr>
          <w:rFonts w:ascii="仿宋_GB2312" w:eastAsia="仿宋_GB2312" w:cs="DengXian-Regular"/>
          <w:sz w:val="32"/>
          <w:szCs w:val="32"/>
        </w:rPr>
        <w:t>179.78</w:t>
      </w:r>
      <w:r>
        <w:rPr>
          <w:rFonts w:hint="eastAsia" w:ascii="仿宋_GB2312" w:eastAsia="仿宋_GB2312" w:cs="DengXian-Regular"/>
          <w:sz w:val="32"/>
          <w:szCs w:val="32"/>
        </w:rPr>
        <w:t>万元，财政拨款收入数</w:t>
      </w:r>
      <w:r>
        <w:rPr>
          <w:rFonts w:ascii="仿宋_GB2312" w:eastAsia="仿宋_GB2312" w:cs="DengXian-Regular"/>
          <w:sz w:val="32"/>
          <w:szCs w:val="32"/>
        </w:rPr>
        <w:t>178.52</w:t>
      </w:r>
      <w:r>
        <w:rPr>
          <w:rFonts w:hint="eastAsia" w:ascii="仿宋_GB2312" w:eastAsia="仿宋_GB2312" w:cs="DengXian-Regular"/>
          <w:sz w:val="32"/>
          <w:szCs w:val="32"/>
        </w:rPr>
        <w:t>万元，财政拨款支出率=（</w:t>
      </w:r>
      <w:r>
        <w:rPr>
          <w:rFonts w:ascii="仿宋_GB2312" w:eastAsia="仿宋_GB2312" w:cs="DengXian-Regular"/>
          <w:sz w:val="32"/>
          <w:szCs w:val="32"/>
        </w:rPr>
        <w:t>179.78</w:t>
      </w:r>
      <w:r>
        <w:rPr>
          <w:rFonts w:hint="eastAsia" w:ascii="仿宋_GB2312" w:eastAsia="仿宋_GB2312" w:cs="DengXian-Regular"/>
          <w:sz w:val="32"/>
          <w:szCs w:val="32"/>
        </w:rPr>
        <w:t>/</w:t>
      </w:r>
      <w:r>
        <w:rPr>
          <w:rFonts w:ascii="仿宋_GB2312" w:eastAsia="仿宋_GB2312" w:cs="DengXian-Regular"/>
          <w:sz w:val="32"/>
          <w:szCs w:val="32"/>
        </w:rPr>
        <w:t>178.52</w:t>
      </w:r>
      <w:r>
        <w:rPr>
          <w:rFonts w:hint="eastAsia" w:ascii="仿宋_GB2312" w:eastAsia="仿宋_GB2312" w:cs="DengXian-Regular"/>
          <w:sz w:val="32"/>
          <w:szCs w:val="32"/>
        </w:rPr>
        <w:t>）*100%=100.</w:t>
      </w:r>
      <w:r>
        <w:rPr>
          <w:rFonts w:ascii="仿宋_GB2312" w:eastAsia="仿宋_GB2312" w:cs="DengXian-Regular"/>
          <w:sz w:val="32"/>
          <w:szCs w:val="32"/>
        </w:rPr>
        <w:t>07</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90%。区委编办2019年年初结转和结余，故支出数大于收入数。</w:t>
      </w:r>
    </w:p>
    <w:p w14:paraId="30CB52D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141E8E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A48AA1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679DEBF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674690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根据区委统战部2019年预算文本及决算文本，“三公”经费年初预算数</w:t>
      </w:r>
      <w:r>
        <w:rPr>
          <w:rFonts w:ascii="仿宋_GB2312" w:eastAsia="仿宋_GB2312" w:cs="DengXian-Regular"/>
          <w:sz w:val="32"/>
          <w:szCs w:val="32"/>
        </w:rPr>
        <w:t>5.3</w:t>
      </w:r>
      <w:r>
        <w:rPr>
          <w:rFonts w:hint="eastAsia" w:ascii="仿宋_GB2312" w:eastAsia="仿宋_GB2312" w:cs="DengXian-Regular"/>
          <w:sz w:val="32"/>
          <w:szCs w:val="32"/>
        </w:rPr>
        <w:t>万元，年末决算数</w:t>
      </w:r>
      <w:r>
        <w:rPr>
          <w:rFonts w:ascii="仿宋_GB2312" w:eastAsia="仿宋_GB2312" w:cs="DengXian-Regular"/>
          <w:sz w:val="32"/>
          <w:szCs w:val="32"/>
        </w:rPr>
        <w:t>3.72</w:t>
      </w:r>
      <w:r>
        <w:rPr>
          <w:rFonts w:hint="eastAsia" w:ascii="仿宋_GB2312" w:eastAsia="仿宋_GB2312" w:cs="DengXian-Regular"/>
          <w:sz w:val="32"/>
          <w:szCs w:val="32"/>
        </w:rPr>
        <w:t>万元，“三公”经费控制率=（</w:t>
      </w:r>
      <w:r>
        <w:rPr>
          <w:rFonts w:ascii="仿宋_GB2312" w:eastAsia="仿宋_GB2312" w:cs="DengXian-Regular"/>
          <w:sz w:val="32"/>
          <w:szCs w:val="32"/>
        </w:rPr>
        <w:t>3.72</w:t>
      </w:r>
      <w:r>
        <w:rPr>
          <w:rFonts w:hint="eastAsia" w:ascii="仿宋_GB2312" w:eastAsia="仿宋_GB2312" w:cs="DengXian-Regular"/>
          <w:sz w:val="32"/>
          <w:szCs w:val="32"/>
        </w:rPr>
        <w:t>/</w:t>
      </w:r>
      <w:r>
        <w:rPr>
          <w:rFonts w:ascii="仿宋_GB2312" w:eastAsia="仿宋_GB2312" w:cs="DengXian-Regular"/>
          <w:sz w:val="32"/>
          <w:szCs w:val="32"/>
        </w:rPr>
        <w:t>5.3</w:t>
      </w:r>
      <w:r>
        <w:rPr>
          <w:rFonts w:hint="eastAsia" w:ascii="仿宋_GB2312" w:eastAsia="仿宋_GB2312" w:cs="DengXian-Regular"/>
          <w:sz w:val="32"/>
          <w:szCs w:val="32"/>
        </w:rPr>
        <w:t>）*100%=</w:t>
      </w:r>
      <w:r>
        <w:rPr>
          <w:rFonts w:ascii="仿宋_GB2312" w:eastAsia="仿宋_GB2312" w:cs="DengXian-Regular"/>
          <w:sz w:val="32"/>
          <w:szCs w:val="32"/>
        </w:rPr>
        <w:t>70.02</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2C88ECE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75D62E2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47FE70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5B1E6B1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5C1984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根据区委统战部2019年预算文本及决算文本，政府采购年初预算数0万元，年末决算数</w:t>
      </w:r>
      <w:r>
        <w:rPr>
          <w:rFonts w:ascii="仿宋_GB2312" w:eastAsia="仿宋_GB2312" w:cs="DengXian-Regular"/>
          <w:sz w:val="32"/>
          <w:szCs w:val="32"/>
        </w:rPr>
        <w:t xml:space="preserve">  0</w:t>
      </w:r>
      <w:r>
        <w:rPr>
          <w:rFonts w:hint="eastAsia" w:ascii="仿宋_GB2312" w:eastAsia="仿宋_GB2312" w:cs="DengXian-Regular"/>
          <w:sz w:val="32"/>
          <w:szCs w:val="32"/>
        </w:rPr>
        <w:t>万元，政府采购执行率为0。</w:t>
      </w:r>
    </w:p>
    <w:p w14:paraId="5FF97B2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该指标实际得分为0分。</w:t>
      </w:r>
    </w:p>
    <w:p w14:paraId="3477157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26AC5AE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2E855E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根据区委统战部2019年明细账、会计凭证等相关资料，资金使用符合相关会计准则和财务制度，资金拨付有完备的审批程序和手续，资金使用符合部门预算批复的用途，未发现截留、挤占、挪用财政资金的情况。</w:t>
      </w:r>
    </w:p>
    <w:p w14:paraId="12E1FF0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06A6629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5F18998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FD8B9A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经核查区委统战部2019年决算文本、明细账及总账，区为编办决算文本数据均与明细账、总账一致。</w:t>
      </w:r>
    </w:p>
    <w:p w14:paraId="169C12B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BA47F7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857E92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18F5DC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7C99C6D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区委统战部工作制度涵盖了财务制度、网络安全制度、公务用车制度等相关制度，经检查区委统战部付款流程审批单、资产盘点表等资料，已按照相关管理制度的规定执行。</w:t>
      </w:r>
    </w:p>
    <w:p w14:paraId="321BBA9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6276AE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5560585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364F26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区委统战部2019年按政府信息公开的有关要求在保定市徐水区人民政府网公开了2019年的预决算情况、部门责任清单、行政监督清单等相关信息。</w:t>
      </w:r>
    </w:p>
    <w:p w14:paraId="449E69A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35A51F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10FC5F0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6DCE8CE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根据区委统战部提供的会计账簿、凭证及其他相关资料，会计信息资料真实完整，</w:t>
      </w:r>
    </w:p>
    <w:p w14:paraId="616DA80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E643CA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3712AF5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4E9E77E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建立了固定资产台账、无形资产台账，资产保存完整，2019年新增资产1.122万元，包含：家具（0.872万元）、空调设备（0.25万元），资产购置手续完备，配置符合要求，资产管理整体较规范。</w:t>
      </w:r>
    </w:p>
    <w:p w14:paraId="42C76F7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7D209B9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6B7E45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667402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720D06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07EDF4A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根据徐水区财政局《关于开展2019年度财政专项资金部门绩效自评价工作的通知》及区委编办2019年一般项目部门绩效自评表， 2019年开展绩效自评的项目数为</w:t>
      </w:r>
      <w:r>
        <w:rPr>
          <w:rFonts w:ascii="仿宋_GB2312" w:eastAsia="仿宋_GB2312" w:cs="DengXian-Regular"/>
          <w:sz w:val="32"/>
          <w:szCs w:val="32"/>
        </w:rPr>
        <w:t>5</w:t>
      </w:r>
      <w:r>
        <w:rPr>
          <w:rFonts w:hint="eastAsia" w:ascii="仿宋_GB2312" w:eastAsia="仿宋_GB2312" w:cs="DengXian-Regular"/>
          <w:sz w:val="32"/>
          <w:szCs w:val="32"/>
        </w:rPr>
        <w:t>个，年初预算文本项目数</w:t>
      </w:r>
      <w:r>
        <w:rPr>
          <w:rFonts w:ascii="仿宋_GB2312" w:eastAsia="仿宋_GB2312" w:cs="DengXian-Regular"/>
          <w:sz w:val="32"/>
          <w:szCs w:val="32"/>
        </w:rPr>
        <w:t>5</w:t>
      </w:r>
      <w:r>
        <w:rPr>
          <w:rFonts w:hint="eastAsia" w:ascii="仿宋_GB2312" w:eastAsia="仿宋_GB2312" w:cs="DengXian-Regular"/>
          <w:sz w:val="32"/>
          <w:szCs w:val="32"/>
        </w:rPr>
        <w:t>个，要求自评项目个数</w:t>
      </w:r>
      <w:r>
        <w:rPr>
          <w:rFonts w:ascii="仿宋_GB2312" w:eastAsia="仿宋_GB2312" w:cs="DengXian-Regular"/>
          <w:sz w:val="32"/>
          <w:szCs w:val="32"/>
        </w:rPr>
        <w:t>5</w:t>
      </w:r>
      <w:r>
        <w:rPr>
          <w:rFonts w:hint="eastAsia" w:ascii="仿宋_GB2312" w:eastAsia="仿宋_GB2312" w:cs="DengXian-Regular"/>
          <w:sz w:val="32"/>
          <w:szCs w:val="32"/>
        </w:rPr>
        <w:t>个，自评覆盖率为 100%。</w:t>
      </w:r>
    </w:p>
    <w:p w14:paraId="1A0A91C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A32C89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0B5E0D8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448EF29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575E5FE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区委编办2019年参评数量</w:t>
      </w:r>
      <w:r>
        <w:rPr>
          <w:rFonts w:ascii="仿宋_GB2312" w:eastAsia="仿宋_GB2312" w:cs="DengXian-Regular"/>
          <w:sz w:val="32"/>
          <w:szCs w:val="32"/>
        </w:rPr>
        <w:t>5</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5</w:t>
      </w:r>
      <w:r>
        <w:rPr>
          <w:rFonts w:hint="eastAsia" w:ascii="仿宋_GB2312" w:eastAsia="仿宋_GB2312" w:cs="DengXian-Regular"/>
          <w:sz w:val="32"/>
          <w:szCs w:val="32"/>
        </w:rPr>
        <w:t>个，绩效评价优等率为100%。</w:t>
      </w:r>
    </w:p>
    <w:p w14:paraId="210B732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59"/>
      <w:bookmarkEnd w:id="60"/>
    </w:p>
    <w:p w14:paraId="365E8B41">
      <w:pPr>
        <w:pStyle w:val="4"/>
        <w:spacing w:before="0" w:after="0" w:line="600" w:lineRule="exact"/>
        <w:ind w:firstLine="643" w:firstLineChars="200"/>
        <w:jc w:val="both"/>
        <w:rPr>
          <w:rFonts w:ascii="楷体" w:hAnsi="楷体" w:eastAsia="楷体"/>
          <w:sz w:val="32"/>
        </w:rPr>
      </w:pPr>
      <w:bookmarkStart w:id="61" w:name="_Toc12330"/>
      <w:r>
        <w:rPr>
          <w:rFonts w:hint="eastAsia" w:ascii="楷体" w:hAnsi="楷体" w:eastAsia="楷体"/>
          <w:sz w:val="32"/>
        </w:rPr>
        <w:t>（三）产出（25分）</w:t>
      </w:r>
      <w:bookmarkEnd w:id="61"/>
    </w:p>
    <w:p w14:paraId="2C24B8F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4B61DA7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386C3D57">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2053260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A18719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3CA5D68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A4F08D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C89E77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419CAD8">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46DFE6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0C2E58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322BA5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1FBF63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50125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EAF4B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0BEB02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2D6281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CBD09E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3F8EA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3FEA1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60EAF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4.3</w:t>
            </w:r>
          </w:p>
        </w:tc>
      </w:tr>
      <w:tr w14:paraId="3A6A337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9C6006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C24AB2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0DFA6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联谊交友完成率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E4C5E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663D4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5642C8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FC0C75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1EBA6C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52DAB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政策培训、</w:t>
            </w:r>
            <w:r>
              <w:rPr>
                <w:rFonts w:cs="宋体" w:asciiTheme="minorEastAsia" w:hAnsiTheme="minorEastAsia" w:eastAsiaTheme="minorEastAsia"/>
                <w:sz w:val="21"/>
                <w:szCs w:val="21"/>
              </w:rPr>
              <w:t>宣传</w:t>
            </w:r>
            <w:r>
              <w:rPr>
                <w:rFonts w:hint="eastAsia" w:cs="宋体" w:asciiTheme="minorEastAsia" w:hAnsiTheme="minorEastAsia" w:eastAsiaTheme="minorEastAsia"/>
                <w:sz w:val="21"/>
                <w:szCs w:val="21"/>
              </w:rPr>
              <w:t>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E3B2B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454EA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F6B9BF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478BF5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B094E8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F5ED5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社会稳定办结率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61E6D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53978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9DB1883">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0F2C35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1E24CF2">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92550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A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24.7</w:t>
            </w:r>
          </w:p>
        </w:tc>
      </w:tr>
    </w:tbl>
    <w:p w14:paraId="44C09054">
      <w:pPr>
        <w:spacing w:after="0" w:line="600" w:lineRule="exact"/>
        <w:ind w:firstLine="640" w:firstLineChars="200"/>
        <w:jc w:val="both"/>
        <w:textAlignment w:val="baseline"/>
        <w:rPr>
          <w:rFonts w:ascii="仿宋_GB2312" w:eastAsia="仿宋_GB2312" w:cs="DengXian-Regular"/>
          <w:sz w:val="32"/>
          <w:szCs w:val="32"/>
        </w:rPr>
      </w:pPr>
      <w:bookmarkStart w:id="62" w:name="_Toc465149515"/>
      <w:bookmarkStart w:id="63" w:name="_Toc464638518"/>
      <w:r>
        <w:rPr>
          <w:rFonts w:hint="eastAsia" w:ascii="仿宋_GB2312" w:eastAsia="仿宋_GB2312" w:cs="DengXian-Regular"/>
          <w:sz w:val="32"/>
          <w:szCs w:val="32"/>
        </w:rPr>
        <w:t>1.结转结余率（5分）</w:t>
      </w:r>
    </w:p>
    <w:p w14:paraId="3B55D48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34E1F04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946BB2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根据区委统战部办2019年决算文本及相关资料，2019年结转结余资金</w:t>
      </w:r>
      <w:r>
        <w:rPr>
          <w:rFonts w:ascii="仿宋_GB2312" w:eastAsia="仿宋_GB2312" w:cs="DengXian-Regular"/>
          <w:sz w:val="32"/>
          <w:szCs w:val="32"/>
        </w:rPr>
        <w:t>0</w:t>
      </w:r>
      <w:r>
        <w:rPr>
          <w:rFonts w:hint="eastAsia" w:ascii="仿宋_GB2312" w:eastAsia="仿宋_GB2312" w:cs="DengXian-Regular"/>
          <w:sz w:val="32"/>
          <w:szCs w:val="32"/>
        </w:rPr>
        <w:t>万元。</w:t>
      </w:r>
    </w:p>
    <w:p w14:paraId="663B8BA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7541ECF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68651FE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2C3DB3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72C1CFF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区委统战部2019年实际支出项目资金总额6.81万元，年初预算共3个项目，预算数9万元，项目资金使用率为76%。</w:t>
      </w:r>
    </w:p>
    <w:p w14:paraId="2285B0A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该指标实际得分4.3分。</w:t>
      </w:r>
    </w:p>
    <w:p w14:paraId="0380C4AC">
      <w:pPr>
        <w:spacing w:after="0" w:line="600" w:lineRule="exact"/>
        <w:ind w:firstLine="643" w:firstLineChars="200"/>
        <w:jc w:val="both"/>
        <w:textAlignment w:val="baseline"/>
        <w:rPr>
          <w:rFonts w:ascii="仿宋_GB2312" w:eastAsia="仿宋_GB2312" w:cs="DengXian-Regular"/>
          <w:b/>
          <w:sz w:val="32"/>
          <w:szCs w:val="32"/>
        </w:rPr>
      </w:pPr>
      <w:bookmarkStart w:id="64" w:name="_Toc28363"/>
      <w:r>
        <w:rPr>
          <w:rFonts w:hint="eastAsia" w:ascii="仿宋_GB2312" w:eastAsia="仿宋_GB2312" w:cs="DengXian-Regular"/>
          <w:b/>
          <w:sz w:val="32"/>
          <w:szCs w:val="32"/>
        </w:rPr>
        <w:t>（四）效果</w:t>
      </w:r>
      <w:bookmarkEnd w:id="62"/>
      <w:bookmarkEnd w:id="63"/>
      <w:r>
        <w:rPr>
          <w:rFonts w:hint="eastAsia" w:ascii="仿宋_GB2312" w:eastAsia="仿宋_GB2312" w:cs="DengXian-Regular"/>
          <w:b/>
          <w:sz w:val="32"/>
          <w:szCs w:val="32"/>
        </w:rPr>
        <w:t>（15分）</w:t>
      </w:r>
      <w:bookmarkEnd w:id="64"/>
    </w:p>
    <w:p w14:paraId="1FFFCE19">
      <w:pPr>
        <w:spacing w:after="0" w:line="600" w:lineRule="exact"/>
        <w:ind w:firstLine="640" w:firstLineChars="200"/>
        <w:jc w:val="both"/>
        <w:textAlignment w:val="baseline"/>
        <w:rPr>
          <w:rFonts w:ascii="仿宋_GB2312" w:eastAsia="仿宋_GB2312" w:cs="DengXian-Regular"/>
          <w:sz w:val="32"/>
          <w:szCs w:val="32"/>
        </w:rPr>
      </w:pPr>
      <w:bookmarkStart w:id="65"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1C57316">
      <w:pPr>
        <w:spacing w:after="0" w:line="600" w:lineRule="exact"/>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3D32ACF3">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2293C6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44C90D0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799B41C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E3F492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13E184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1AB69FE">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F11C8D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5082619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3FAE95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1F2E6B9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1E246C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B2413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C1E73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781C13C7">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7BFF36DB">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1337ABE">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A9149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698AA3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7DA02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1A20F2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340785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92FDFB5">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30E1E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4D7CB5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r>
      <w:bookmarkEnd w:id="65"/>
    </w:tbl>
    <w:p w14:paraId="079111C2">
      <w:pPr>
        <w:spacing w:after="0" w:line="600" w:lineRule="exact"/>
        <w:ind w:firstLine="640" w:firstLineChars="200"/>
        <w:jc w:val="both"/>
        <w:textAlignment w:val="baseline"/>
        <w:rPr>
          <w:rFonts w:ascii="仿宋_GB2312" w:eastAsia="仿宋_GB2312" w:cs="DengXian-Regular"/>
          <w:sz w:val="32"/>
          <w:szCs w:val="32"/>
        </w:rPr>
      </w:pPr>
      <w:bookmarkStart w:id="66" w:name="_Toc465149516"/>
      <w:bookmarkStart w:id="67" w:name="_Toc492652784"/>
      <w:bookmarkStart w:id="68" w:name="_Toc464638561"/>
      <w:r>
        <w:rPr>
          <w:rFonts w:hint="eastAsia" w:ascii="仿宋_GB2312" w:eastAsia="仿宋_GB2312" w:cs="DengXian-Regular"/>
          <w:sz w:val="32"/>
          <w:szCs w:val="32"/>
        </w:rPr>
        <w:t>1.部门整体效益（10分）</w:t>
      </w:r>
    </w:p>
    <w:p w14:paraId="457620B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1A9B6C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经查看区委统战部提供的相关资料，区委统战部履行职责对社会发展所带来的社会效益较显著，有效的提高了机关事业单位的机构编制意识。</w:t>
      </w:r>
    </w:p>
    <w:p w14:paraId="5FBB550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该项指标实际得分8分。</w:t>
      </w:r>
    </w:p>
    <w:p w14:paraId="76E517F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27BB32D5">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3A917E9A">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4C1068D8">
      <w:pPr>
        <w:spacing w:after="0" w:line="600" w:lineRule="exact"/>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5A24E06">
      <w:pPr>
        <w:spacing w:after="0" w:line="60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7DF5F8B2">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EC39E5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B1AA42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07E15C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46B1747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34D5FB7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39DE12C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7F2B9CBB">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E3E0CE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政策、</w:t>
            </w:r>
            <w:r>
              <w:rPr>
                <w:rFonts w:cs="Times New Roman" w:asciiTheme="minorEastAsia" w:hAnsiTheme="minorEastAsia" w:eastAsiaTheme="minorEastAsia"/>
                <w:sz w:val="21"/>
                <w:szCs w:val="21"/>
                <w:u w:color="000000"/>
              </w:rPr>
              <w:t>培训</w:t>
            </w:r>
            <w:r>
              <w:rPr>
                <w:rFonts w:hint="eastAsia" w:cs="Times New Roman" w:asciiTheme="minorEastAsia" w:hAnsiTheme="minorEastAsia" w:eastAsiaTheme="minorEastAsia"/>
                <w:sz w:val="21"/>
                <w:szCs w:val="21"/>
                <w:u w:color="000000"/>
              </w:rPr>
              <w:t>满意程度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5947924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3D5EC3C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75107C6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BB72F8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808A98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0A38AD60">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5879D6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社会服务态度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267D094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6413062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1CC51F4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0519811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D3995C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18AC73A5">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6FF6798">
            <w:pPr>
              <w:spacing w:after="0" w:line="360" w:lineRule="auto"/>
              <w:jc w:val="both"/>
              <w:textAlignment w:val="baseline"/>
              <w:rPr>
                <w:rFonts w:hint="eastAsia"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宣传、</w:t>
            </w:r>
            <w:r>
              <w:rPr>
                <w:rFonts w:cs="Times New Roman" w:asciiTheme="minorEastAsia" w:hAnsiTheme="minorEastAsia" w:eastAsiaTheme="minorEastAsia"/>
                <w:sz w:val="21"/>
                <w:szCs w:val="21"/>
                <w:u w:color="000000"/>
              </w:rPr>
              <w:t>联谊满意度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7251225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8CEBB7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7CB88F3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8945F6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B00D32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7AFD5840">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51BE2D5">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284556CD">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225860ED">
      <w:pPr>
        <w:spacing w:after="0" w:line="6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经计算，总体得分为100分，小于(大于）90分，评价等级为“优”。</w:t>
      </w:r>
    </w:p>
    <w:p w14:paraId="0FF16184">
      <w:pPr>
        <w:spacing w:after="0" w:line="6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4F3745D4">
      <w:pPr>
        <w:pStyle w:val="3"/>
        <w:keepNext w:val="0"/>
        <w:keepLines w:val="0"/>
        <w:suppressLineNumbers/>
        <w:spacing w:before="0" w:after="0" w:line="360" w:lineRule="auto"/>
        <w:ind w:firstLine="643" w:firstLineChars="200"/>
        <w:rPr>
          <w:rFonts w:ascii="黑体"/>
        </w:rPr>
      </w:pPr>
      <w:bookmarkStart w:id="69" w:name="_Toc13757"/>
      <w:r>
        <w:rPr>
          <w:rFonts w:hint="eastAsia" w:ascii="黑体"/>
        </w:rPr>
        <w:t>五、绩效评价发现的问题</w:t>
      </w:r>
      <w:bookmarkEnd w:id="66"/>
      <w:bookmarkEnd w:id="67"/>
      <w:bookmarkEnd w:id="68"/>
      <w:bookmarkEnd w:id="69"/>
      <w:bookmarkStart w:id="70" w:name="_Toc492652789"/>
    </w:p>
    <w:p w14:paraId="535E704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区委统战部</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1" w:name="_Toc20723"/>
    </w:p>
    <w:p w14:paraId="0D83A73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w:t>
      </w:r>
      <w:r>
        <w:rPr>
          <w:rFonts w:ascii="仿宋_GB2312" w:eastAsia="仿宋_GB2312" w:cs="Times New Roman" w:hAnsiTheme="minorEastAsia"/>
          <w:sz w:val="32"/>
          <w:szCs w:val="32"/>
          <w:u w:color="000000"/>
        </w:rPr>
        <w:t>预算编制有待进一步加强，确保预算执行力度。</w:t>
      </w:r>
    </w:p>
    <w:p w14:paraId="5C6E244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财务制度执行力有待加强，资金使用计划有待细化。</w:t>
      </w:r>
    </w:p>
    <w:bookmarkEnd w:id="70"/>
    <w:bookmarkEnd w:id="71"/>
    <w:p w14:paraId="2F2AEF36">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bookmarkStart w:id="72" w:name="_Toc465149521"/>
    </w:p>
    <w:p w14:paraId="29517A7F">
      <w:pPr>
        <w:spacing w:after="0" w:line="560" w:lineRule="exact"/>
        <w:ind w:left="1440" w:hanging="1440" w:hangingChars="45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附件：1.中共保定市徐水区委统战部基本情况及主要职责</w:t>
      </w:r>
    </w:p>
    <w:p w14:paraId="684A4920">
      <w:pPr>
        <w:spacing w:after="0" w:line="560" w:lineRule="exact"/>
        <w:ind w:left="1284" w:leftChars="438" w:hanging="320" w:hangingChars="1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2.2019年度中共保定市徐水区委统战部收支预算及决算明细表</w:t>
      </w:r>
    </w:p>
    <w:p w14:paraId="42B74464">
      <w:pPr>
        <w:spacing w:after="0" w:line="560" w:lineRule="exact"/>
        <w:ind w:firstLine="960" w:firstLineChars="300"/>
        <w:jc w:val="both"/>
        <w:textAlignment w:val="baseline"/>
        <w:rPr>
          <w:rFonts w:ascii="仿宋_GB2312" w:eastAsia="仿宋_GB2312" w:cs="Times New Roman" w:hAnsiTheme="minorEastAsia"/>
          <w:sz w:val="32"/>
          <w:szCs w:val="32"/>
          <w:u w:color="000000"/>
        </w:rPr>
      </w:pPr>
      <w:bookmarkStart w:id="73" w:name="_Toc465149534"/>
      <w:r>
        <w:rPr>
          <w:rFonts w:hint="eastAsia" w:ascii="仿宋_GB2312" w:eastAsia="仿宋_GB2312" w:cs="Times New Roman" w:hAnsiTheme="minorEastAsia"/>
          <w:sz w:val="32"/>
          <w:szCs w:val="32"/>
          <w:u w:color="000000"/>
        </w:rPr>
        <w:t>3.</w:t>
      </w:r>
      <w:bookmarkEnd w:id="73"/>
      <w:r>
        <w:rPr>
          <w:rFonts w:hint="eastAsia" w:ascii="仿宋_GB2312" w:eastAsia="仿宋_GB2312" w:cs="Times New Roman" w:hAnsiTheme="minorEastAsia"/>
          <w:sz w:val="32"/>
          <w:szCs w:val="32"/>
          <w:u w:color="000000"/>
        </w:rPr>
        <w:t>部门整体支出绩效评价指标体系</w:t>
      </w:r>
    </w:p>
    <w:p w14:paraId="28897CED">
      <w:pPr>
        <w:spacing w:after="0" w:line="560" w:lineRule="exact"/>
        <w:ind w:left="1284" w:leftChars="438" w:hanging="320" w:hangingChars="100"/>
        <w:jc w:val="both"/>
        <w:textAlignment w:val="baseline"/>
        <w:rPr>
          <w:rFonts w:ascii="仿宋_GB2312" w:eastAsia="仿宋_GB2312" w:cs="Times New Roman" w:hAnsiTheme="minorEastAsia"/>
          <w:sz w:val="32"/>
          <w:szCs w:val="32"/>
          <w:u w:color="000000"/>
        </w:rPr>
      </w:pPr>
      <w:bookmarkStart w:id="74" w:name="_Toc465149544"/>
      <w:r>
        <w:rPr>
          <w:rFonts w:hint="eastAsia" w:ascii="仿宋_GB2312" w:eastAsia="仿宋_GB2312" w:cs="Times New Roman" w:hAnsiTheme="minorEastAsia"/>
          <w:sz w:val="32"/>
          <w:szCs w:val="32"/>
          <w:u w:color="000000"/>
        </w:rPr>
        <w:t>4.</w:t>
      </w:r>
      <w:bookmarkEnd w:id="74"/>
      <w:r>
        <w:rPr>
          <w:rFonts w:hint="eastAsia" w:ascii="仿宋_GB2312" w:eastAsia="仿宋_GB2312" w:cs="Times New Roman" w:hAnsiTheme="minorEastAsia"/>
          <w:sz w:val="32"/>
          <w:szCs w:val="32"/>
          <w:u w:color="000000"/>
        </w:rPr>
        <w:t>2019年中共保定市徐水区委统战部工作活动绩效目标、绩效指标一览表</w:t>
      </w:r>
      <w:bookmarkEnd w:id="72"/>
    </w:p>
    <w:p w14:paraId="64CC2D08">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方正仿宋_GBK">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FE81">
    <w:pPr>
      <w:pStyle w:val="14"/>
      <w:jc w:val="center"/>
    </w:pPr>
  </w:p>
  <w:p w14:paraId="7BAF0FB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868B">
    <w:pPr>
      <w:pStyle w:val="14"/>
      <w:jc w:val="center"/>
    </w:pPr>
    <w:r>
      <w:fldChar w:fldCharType="begin"/>
    </w:r>
    <w:r>
      <w:instrText xml:space="preserve"> PAGE   \* MERGEFORMAT </w:instrText>
    </w:r>
    <w:r>
      <w:fldChar w:fldCharType="separate"/>
    </w:r>
    <w:r>
      <w:rPr>
        <w:lang w:val="zh-CN"/>
      </w:rPr>
      <w:t>29</w:t>
    </w:r>
    <w:r>
      <w:rPr>
        <w:lang w:val="zh-CN"/>
      </w:rPr>
      <w:fldChar w:fldCharType="end"/>
    </w:r>
  </w:p>
  <w:p w14:paraId="67ED2C7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3BD"/>
    <w:rsid w:val="0000364C"/>
    <w:rsid w:val="00003FA2"/>
    <w:rsid w:val="00004179"/>
    <w:rsid w:val="0000439F"/>
    <w:rsid w:val="00006E4F"/>
    <w:rsid w:val="00007CA0"/>
    <w:rsid w:val="00015C39"/>
    <w:rsid w:val="000174D3"/>
    <w:rsid w:val="0002415F"/>
    <w:rsid w:val="00025620"/>
    <w:rsid w:val="0002705B"/>
    <w:rsid w:val="000317D7"/>
    <w:rsid w:val="00031EE5"/>
    <w:rsid w:val="00032B03"/>
    <w:rsid w:val="000334C2"/>
    <w:rsid w:val="0003450B"/>
    <w:rsid w:val="0003465E"/>
    <w:rsid w:val="00034910"/>
    <w:rsid w:val="0003506D"/>
    <w:rsid w:val="000409C0"/>
    <w:rsid w:val="00040B1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3F31"/>
    <w:rsid w:val="000740CE"/>
    <w:rsid w:val="000752C6"/>
    <w:rsid w:val="00075B78"/>
    <w:rsid w:val="00077648"/>
    <w:rsid w:val="00080E48"/>
    <w:rsid w:val="0008749A"/>
    <w:rsid w:val="00091473"/>
    <w:rsid w:val="00091D50"/>
    <w:rsid w:val="000935D5"/>
    <w:rsid w:val="00095202"/>
    <w:rsid w:val="00095EF7"/>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59B"/>
    <w:rsid w:val="000F364D"/>
    <w:rsid w:val="000F4432"/>
    <w:rsid w:val="000F465E"/>
    <w:rsid w:val="000F5E8C"/>
    <w:rsid w:val="001000B2"/>
    <w:rsid w:val="001007E9"/>
    <w:rsid w:val="00102693"/>
    <w:rsid w:val="00104C6C"/>
    <w:rsid w:val="00105160"/>
    <w:rsid w:val="0010560E"/>
    <w:rsid w:val="0010612A"/>
    <w:rsid w:val="001061BF"/>
    <w:rsid w:val="00106FF7"/>
    <w:rsid w:val="00107111"/>
    <w:rsid w:val="0010735F"/>
    <w:rsid w:val="001073D6"/>
    <w:rsid w:val="00107819"/>
    <w:rsid w:val="0011574B"/>
    <w:rsid w:val="00116132"/>
    <w:rsid w:val="00117B9C"/>
    <w:rsid w:val="00117E7D"/>
    <w:rsid w:val="00120EA6"/>
    <w:rsid w:val="00122196"/>
    <w:rsid w:val="0012439D"/>
    <w:rsid w:val="0012587C"/>
    <w:rsid w:val="001321C5"/>
    <w:rsid w:val="00135903"/>
    <w:rsid w:val="0013591D"/>
    <w:rsid w:val="00140340"/>
    <w:rsid w:val="00141DE8"/>
    <w:rsid w:val="00144105"/>
    <w:rsid w:val="00145B4E"/>
    <w:rsid w:val="0015045A"/>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97E9B"/>
    <w:rsid w:val="001A0F7A"/>
    <w:rsid w:val="001A1677"/>
    <w:rsid w:val="001A5FD3"/>
    <w:rsid w:val="001B0380"/>
    <w:rsid w:val="001B04A4"/>
    <w:rsid w:val="001B30D5"/>
    <w:rsid w:val="001B382A"/>
    <w:rsid w:val="001B5A5A"/>
    <w:rsid w:val="001B5C88"/>
    <w:rsid w:val="001B6CE6"/>
    <w:rsid w:val="001C046D"/>
    <w:rsid w:val="001C1412"/>
    <w:rsid w:val="001C2B78"/>
    <w:rsid w:val="001C391F"/>
    <w:rsid w:val="001C39F1"/>
    <w:rsid w:val="001C5085"/>
    <w:rsid w:val="001C5135"/>
    <w:rsid w:val="001C796E"/>
    <w:rsid w:val="001D1367"/>
    <w:rsid w:val="001D5041"/>
    <w:rsid w:val="001D5A78"/>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3AEC"/>
    <w:rsid w:val="00205F02"/>
    <w:rsid w:val="0021307B"/>
    <w:rsid w:val="002142B8"/>
    <w:rsid w:val="002161F4"/>
    <w:rsid w:val="00216E75"/>
    <w:rsid w:val="00221907"/>
    <w:rsid w:val="00222FA8"/>
    <w:rsid w:val="0022532A"/>
    <w:rsid w:val="00227AFB"/>
    <w:rsid w:val="00231968"/>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E70D2"/>
    <w:rsid w:val="002F005B"/>
    <w:rsid w:val="002F0C41"/>
    <w:rsid w:val="002F2837"/>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386D"/>
    <w:rsid w:val="00355403"/>
    <w:rsid w:val="003569A8"/>
    <w:rsid w:val="00361FFF"/>
    <w:rsid w:val="00362340"/>
    <w:rsid w:val="003653A5"/>
    <w:rsid w:val="00366971"/>
    <w:rsid w:val="00367DF7"/>
    <w:rsid w:val="00370AFA"/>
    <w:rsid w:val="0037120F"/>
    <w:rsid w:val="0037242E"/>
    <w:rsid w:val="003743E9"/>
    <w:rsid w:val="003744C8"/>
    <w:rsid w:val="003775A2"/>
    <w:rsid w:val="0038005F"/>
    <w:rsid w:val="003803CC"/>
    <w:rsid w:val="00382949"/>
    <w:rsid w:val="003857BF"/>
    <w:rsid w:val="00391AE3"/>
    <w:rsid w:val="00394C9E"/>
    <w:rsid w:val="00396D4C"/>
    <w:rsid w:val="003A02BE"/>
    <w:rsid w:val="003A1765"/>
    <w:rsid w:val="003A1813"/>
    <w:rsid w:val="003A3611"/>
    <w:rsid w:val="003A3C32"/>
    <w:rsid w:val="003A4D02"/>
    <w:rsid w:val="003A4D52"/>
    <w:rsid w:val="003A536E"/>
    <w:rsid w:val="003A6F2E"/>
    <w:rsid w:val="003B0405"/>
    <w:rsid w:val="003B6DEC"/>
    <w:rsid w:val="003B79D3"/>
    <w:rsid w:val="003C018B"/>
    <w:rsid w:val="003C2B92"/>
    <w:rsid w:val="003C6B35"/>
    <w:rsid w:val="003D126B"/>
    <w:rsid w:val="003D1D33"/>
    <w:rsid w:val="003D22C9"/>
    <w:rsid w:val="003D28AC"/>
    <w:rsid w:val="003D37D8"/>
    <w:rsid w:val="003D4AA9"/>
    <w:rsid w:val="003D7B2A"/>
    <w:rsid w:val="003E266C"/>
    <w:rsid w:val="003E3C05"/>
    <w:rsid w:val="003F282F"/>
    <w:rsid w:val="00400E89"/>
    <w:rsid w:val="00401AB4"/>
    <w:rsid w:val="00401C0E"/>
    <w:rsid w:val="00402CA2"/>
    <w:rsid w:val="00402D95"/>
    <w:rsid w:val="00403ADD"/>
    <w:rsid w:val="004068CD"/>
    <w:rsid w:val="00407629"/>
    <w:rsid w:val="004108EE"/>
    <w:rsid w:val="00410BD0"/>
    <w:rsid w:val="00410F1A"/>
    <w:rsid w:val="0041154B"/>
    <w:rsid w:val="00412A31"/>
    <w:rsid w:val="004200B9"/>
    <w:rsid w:val="00425F2C"/>
    <w:rsid w:val="00426133"/>
    <w:rsid w:val="00427C18"/>
    <w:rsid w:val="004300B1"/>
    <w:rsid w:val="00430AF8"/>
    <w:rsid w:val="0043148F"/>
    <w:rsid w:val="0043354D"/>
    <w:rsid w:val="00434EB0"/>
    <w:rsid w:val="004358AB"/>
    <w:rsid w:val="00435DA7"/>
    <w:rsid w:val="004370A2"/>
    <w:rsid w:val="00445C28"/>
    <w:rsid w:val="004468B5"/>
    <w:rsid w:val="00451E9F"/>
    <w:rsid w:val="004531F4"/>
    <w:rsid w:val="004551F1"/>
    <w:rsid w:val="00456648"/>
    <w:rsid w:val="00457E00"/>
    <w:rsid w:val="00461E7C"/>
    <w:rsid w:val="004638DA"/>
    <w:rsid w:val="004639E0"/>
    <w:rsid w:val="00463A6D"/>
    <w:rsid w:val="00465A21"/>
    <w:rsid w:val="0047047F"/>
    <w:rsid w:val="00472C49"/>
    <w:rsid w:val="00474DE3"/>
    <w:rsid w:val="00477959"/>
    <w:rsid w:val="00485E61"/>
    <w:rsid w:val="00486217"/>
    <w:rsid w:val="00486A56"/>
    <w:rsid w:val="00494D73"/>
    <w:rsid w:val="004A19C4"/>
    <w:rsid w:val="004A5ED8"/>
    <w:rsid w:val="004A6EA4"/>
    <w:rsid w:val="004B146A"/>
    <w:rsid w:val="004B1E69"/>
    <w:rsid w:val="004B4146"/>
    <w:rsid w:val="004B5892"/>
    <w:rsid w:val="004B59DD"/>
    <w:rsid w:val="004B5E88"/>
    <w:rsid w:val="004B5EDE"/>
    <w:rsid w:val="004C0341"/>
    <w:rsid w:val="004C258C"/>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383D"/>
    <w:rsid w:val="004E446B"/>
    <w:rsid w:val="004E5448"/>
    <w:rsid w:val="004E5DFC"/>
    <w:rsid w:val="004E642E"/>
    <w:rsid w:val="004E7ADC"/>
    <w:rsid w:val="004F251B"/>
    <w:rsid w:val="004F37CE"/>
    <w:rsid w:val="004F4875"/>
    <w:rsid w:val="004F6796"/>
    <w:rsid w:val="005031BA"/>
    <w:rsid w:val="005042A2"/>
    <w:rsid w:val="00507211"/>
    <w:rsid w:val="00507934"/>
    <w:rsid w:val="0051171B"/>
    <w:rsid w:val="00512D1D"/>
    <w:rsid w:val="005131A5"/>
    <w:rsid w:val="00515160"/>
    <w:rsid w:val="00516D5A"/>
    <w:rsid w:val="005170FB"/>
    <w:rsid w:val="0052300D"/>
    <w:rsid w:val="00523B77"/>
    <w:rsid w:val="0052474C"/>
    <w:rsid w:val="00525074"/>
    <w:rsid w:val="00525520"/>
    <w:rsid w:val="00525A5B"/>
    <w:rsid w:val="005319EE"/>
    <w:rsid w:val="00531BE2"/>
    <w:rsid w:val="005421AC"/>
    <w:rsid w:val="00544C1A"/>
    <w:rsid w:val="00546D1B"/>
    <w:rsid w:val="0055027D"/>
    <w:rsid w:val="00554FA1"/>
    <w:rsid w:val="00556934"/>
    <w:rsid w:val="005607DF"/>
    <w:rsid w:val="00564377"/>
    <w:rsid w:val="00564538"/>
    <w:rsid w:val="00564C97"/>
    <w:rsid w:val="00566A89"/>
    <w:rsid w:val="00567E07"/>
    <w:rsid w:val="005771F7"/>
    <w:rsid w:val="00577B7B"/>
    <w:rsid w:val="00583770"/>
    <w:rsid w:val="00583F7F"/>
    <w:rsid w:val="0058600B"/>
    <w:rsid w:val="0058662E"/>
    <w:rsid w:val="00587913"/>
    <w:rsid w:val="00591BDE"/>
    <w:rsid w:val="00593428"/>
    <w:rsid w:val="00593B65"/>
    <w:rsid w:val="0059427D"/>
    <w:rsid w:val="005A15D6"/>
    <w:rsid w:val="005A19A3"/>
    <w:rsid w:val="005A1C68"/>
    <w:rsid w:val="005A1FD8"/>
    <w:rsid w:val="005A317D"/>
    <w:rsid w:val="005A79F9"/>
    <w:rsid w:val="005C3594"/>
    <w:rsid w:val="005C46B7"/>
    <w:rsid w:val="005C7C8B"/>
    <w:rsid w:val="005D30E9"/>
    <w:rsid w:val="005D5617"/>
    <w:rsid w:val="005D6591"/>
    <w:rsid w:val="005D6869"/>
    <w:rsid w:val="005D7446"/>
    <w:rsid w:val="005E1054"/>
    <w:rsid w:val="005E20C9"/>
    <w:rsid w:val="005E5F88"/>
    <w:rsid w:val="005F06F5"/>
    <w:rsid w:val="005F46C0"/>
    <w:rsid w:val="005F471D"/>
    <w:rsid w:val="005F720A"/>
    <w:rsid w:val="005F7467"/>
    <w:rsid w:val="005F78E7"/>
    <w:rsid w:val="006007F3"/>
    <w:rsid w:val="006016BB"/>
    <w:rsid w:val="00602942"/>
    <w:rsid w:val="0060402C"/>
    <w:rsid w:val="0061101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46F91"/>
    <w:rsid w:val="006474C0"/>
    <w:rsid w:val="00650C90"/>
    <w:rsid w:val="0065172D"/>
    <w:rsid w:val="0065287D"/>
    <w:rsid w:val="0065671B"/>
    <w:rsid w:val="00656A5A"/>
    <w:rsid w:val="00663A42"/>
    <w:rsid w:val="0066418E"/>
    <w:rsid w:val="0066469F"/>
    <w:rsid w:val="00666BC9"/>
    <w:rsid w:val="0067581C"/>
    <w:rsid w:val="0067780F"/>
    <w:rsid w:val="00686C30"/>
    <w:rsid w:val="00690FA3"/>
    <w:rsid w:val="0069331D"/>
    <w:rsid w:val="00696DF8"/>
    <w:rsid w:val="0069766C"/>
    <w:rsid w:val="0069783E"/>
    <w:rsid w:val="00697E26"/>
    <w:rsid w:val="006A0330"/>
    <w:rsid w:val="006A0505"/>
    <w:rsid w:val="006A3AE1"/>
    <w:rsid w:val="006A3B57"/>
    <w:rsid w:val="006A6AB2"/>
    <w:rsid w:val="006B117D"/>
    <w:rsid w:val="006B19B7"/>
    <w:rsid w:val="006B392C"/>
    <w:rsid w:val="006B4CC0"/>
    <w:rsid w:val="006B65B0"/>
    <w:rsid w:val="006C14ED"/>
    <w:rsid w:val="006C18E5"/>
    <w:rsid w:val="006C5198"/>
    <w:rsid w:val="006C6A07"/>
    <w:rsid w:val="006D4D03"/>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47ECE"/>
    <w:rsid w:val="007515E2"/>
    <w:rsid w:val="00755859"/>
    <w:rsid w:val="00756D66"/>
    <w:rsid w:val="00761D80"/>
    <w:rsid w:val="0076364A"/>
    <w:rsid w:val="00766FC5"/>
    <w:rsid w:val="00770E5B"/>
    <w:rsid w:val="00772930"/>
    <w:rsid w:val="00776E20"/>
    <w:rsid w:val="007808F6"/>
    <w:rsid w:val="007814AF"/>
    <w:rsid w:val="007825F0"/>
    <w:rsid w:val="0078362A"/>
    <w:rsid w:val="00787F88"/>
    <w:rsid w:val="0079721A"/>
    <w:rsid w:val="007A095C"/>
    <w:rsid w:val="007A0AF8"/>
    <w:rsid w:val="007A283A"/>
    <w:rsid w:val="007A65C8"/>
    <w:rsid w:val="007A6B16"/>
    <w:rsid w:val="007A7AC4"/>
    <w:rsid w:val="007B3C41"/>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67D22"/>
    <w:rsid w:val="00871B0D"/>
    <w:rsid w:val="00871B14"/>
    <w:rsid w:val="008735A1"/>
    <w:rsid w:val="00875962"/>
    <w:rsid w:val="00880325"/>
    <w:rsid w:val="00882ABD"/>
    <w:rsid w:val="008844A4"/>
    <w:rsid w:val="008857CC"/>
    <w:rsid w:val="0089095F"/>
    <w:rsid w:val="0089314F"/>
    <w:rsid w:val="0089328E"/>
    <w:rsid w:val="0089513A"/>
    <w:rsid w:val="00896069"/>
    <w:rsid w:val="00896786"/>
    <w:rsid w:val="008976AB"/>
    <w:rsid w:val="008A2C15"/>
    <w:rsid w:val="008A3980"/>
    <w:rsid w:val="008A3DBA"/>
    <w:rsid w:val="008A483E"/>
    <w:rsid w:val="008A5601"/>
    <w:rsid w:val="008A77BF"/>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4805"/>
    <w:rsid w:val="00946F52"/>
    <w:rsid w:val="00950F44"/>
    <w:rsid w:val="00952A7D"/>
    <w:rsid w:val="00952BF8"/>
    <w:rsid w:val="00953747"/>
    <w:rsid w:val="0095565A"/>
    <w:rsid w:val="00955918"/>
    <w:rsid w:val="00960439"/>
    <w:rsid w:val="00961D67"/>
    <w:rsid w:val="00961EEE"/>
    <w:rsid w:val="00962D93"/>
    <w:rsid w:val="009636EF"/>
    <w:rsid w:val="00963AEB"/>
    <w:rsid w:val="0096408D"/>
    <w:rsid w:val="009651A8"/>
    <w:rsid w:val="009657E9"/>
    <w:rsid w:val="0096666B"/>
    <w:rsid w:val="009719C3"/>
    <w:rsid w:val="00973C56"/>
    <w:rsid w:val="0097578E"/>
    <w:rsid w:val="00976E55"/>
    <w:rsid w:val="009814B0"/>
    <w:rsid w:val="00984D41"/>
    <w:rsid w:val="009852BB"/>
    <w:rsid w:val="009853C4"/>
    <w:rsid w:val="0098547C"/>
    <w:rsid w:val="009860B4"/>
    <w:rsid w:val="00986724"/>
    <w:rsid w:val="0098718E"/>
    <w:rsid w:val="009900D5"/>
    <w:rsid w:val="00994269"/>
    <w:rsid w:val="0099439A"/>
    <w:rsid w:val="00994737"/>
    <w:rsid w:val="009A0F00"/>
    <w:rsid w:val="009A0FA6"/>
    <w:rsid w:val="009A37AE"/>
    <w:rsid w:val="009A4059"/>
    <w:rsid w:val="009A445F"/>
    <w:rsid w:val="009A47EF"/>
    <w:rsid w:val="009A6734"/>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62AD"/>
    <w:rsid w:val="00A073F4"/>
    <w:rsid w:val="00A07BBE"/>
    <w:rsid w:val="00A12E72"/>
    <w:rsid w:val="00A16439"/>
    <w:rsid w:val="00A16D38"/>
    <w:rsid w:val="00A21057"/>
    <w:rsid w:val="00A217CE"/>
    <w:rsid w:val="00A21E86"/>
    <w:rsid w:val="00A22DFB"/>
    <w:rsid w:val="00A305E3"/>
    <w:rsid w:val="00A353F1"/>
    <w:rsid w:val="00A357B0"/>
    <w:rsid w:val="00A35B22"/>
    <w:rsid w:val="00A37758"/>
    <w:rsid w:val="00A41374"/>
    <w:rsid w:val="00A42B99"/>
    <w:rsid w:val="00A43A58"/>
    <w:rsid w:val="00A479B6"/>
    <w:rsid w:val="00A50D3C"/>
    <w:rsid w:val="00A532E3"/>
    <w:rsid w:val="00A54D9C"/>
    <w:rsid w:val="00A57200"/>
    <w:rsid w:val="00A57865"/>
    <w:rsid w:val="00A60D29"/>
    <w:rsid w:val="00A62B31"/>
    <w:rsid w:val="00A64850"/>
    <w:rsid w:val="00A65003"/>
    <w:rsid w:val="00A65202"/>
    <w:rsid w:val="00A73299"/>
    <w:rsid w:val="00A7396D"/>
    <w:rsid w:val="00A7536B"/>
    <w:rsid w:val="00A80356"/>
    <w:rsid w:val="00A816B6"/>
    <w:rsid w:val="00A82D81"/>
    <w:rsid w:val="00A93877"/>
    <w:rsid w:val="00A96E79"/>
    <w:rsid w:val="00AA2033"/>
    <w:rsid w:val="00AA4A07"/>
    <w:rsid w:val="00AA6230"/>
    <w:rsid w:val="00AB632D"/>
    <w:rsid w:val="00AC5444"/>
    <w:rsid w:val="00AC70E1"/>
    <w:rsid w:val="00AD1D29"/>
    <w:rsid w:val="00AD328E"/>
    <w:rsid w:val="00AD5147"/>
    <w:rsid w:val="00AE0837"/>
    <w:rsid w:val="00AE0954"/>
    <w:rsid w:val="00AE11C8"/>
    <w:rsid w:val="00AE1E82"/>
    <w:rsid w:val="00AE355C"/>
    <w:rsid w:val="00AE4EFC"/>
    <w:rsid w:val="00AE5731"/>
    <w:rsid w:val="00AE7127"/>
    <w:rsid w:val="00AF151E"/>
    <w:rsid w:val="00AF6BA2"/>
    <w:rsid w:val="00AF7801"/>
    <w:rsid w:val="00B019E2"/>
    <w:rsid w:val="00B020ED"/>
    <w:rsid w:val="00B036CB"/>
    <w:rsid w:val="00B04742"/>
    <w:rsid w:val="00B130D5"/>
    <w:rsid w:val="00B13566"/>
    <w:rsid w:val="00B13A54"/>
    <w:rsid w:val="00B14220"/>
    <w:rsid w:val="00B16868"/>
    <w:rsid w:val="00B17251"/>
    <w:rsid w:val="00B2159A"/>
    <w:rsid w:val="00B21D32"/>
    <w:rsid w:val="00B239D3"/>
    <w:rsid w:val="00B2439D"/>
    <w:rsid w:val="00B313B2"/>
    <w:rsid w:val="00B34A43"/>
    <w:rsid w:val="00B36912"/>
    <w:rsid w:val="00B404A0"/>
    <w:rsid w:val="00B4256A"/>
    <w:rsid w:val="00B432AB"/>
    <w:rsid w:val="00B54D75"/>
    <w:rsid w:val="00B55838"/>
    <w:rsid w:val="00B60C2A"/>
    <w:rsid w:val="00B61204"/>
    <w:rsid w:val="00B65FC0"/>
    <w:rsid w:val="00B662D0"/>
    <w:rsid w:val="00B707DD"/>
    <w:rsid w:val="00B719F4"/>
    <w:rsid w:val="00B73609"/>
    <w:rsid w:val="00B73995"/>
    <w:rsid w:val="00B74DBC"/>
    <w:rsid w:val="00B75E08"/>
    <w:rsid w:val="00B76684"/>
    <w:rsid w:val="00B7698F"/>
    <w:rsid w:val="00B85F5F"/>
    <w:rsid w:val="00B86395"/>
    <w:rsid w:val="00B86E2B"/>
    <w:rsid w:val="00B90F5C"/>
    <w:rsid w:val="00B91DEC"/>
    <w:rsid w:val="00B92A56"/>
    <w:rsid w:val="00B931F8"/>
    <w:rsid w:val="00B9374A"/>
    <w:rsid w:val="00B95DB0"/>
    <w:rsid w:val="00B9722F"/>
    <w:rsid w:val="00B97741"/>
    <w:rsid w:val="00BA0373"/>
    <w:rsid w:val="00BA0721"/>
    <w:rsid w:val="00BA1883"/>
    <w:rsid w:val="00BA227D"/>
    <w:rsid w:val="00BA4C84"/>
    <w:rsid w:val="00BC09FC"/>
    <w:rsid w:val="00BC0DD5"/>
    <w:rsid w:val="00BC21E9"/>
    <w:rsid w:val="00BC2EB2"/>
    <w:rsid w:val="00BC60E6"/>
    <w:rsid w:val="00BC7162"/>
    <w:rsid w:val="00BC72A6"/>
    <w:rsid w:val="00BD2AD4"/>
    <w:rsid w:val="00BE66AA"/>
    <w:rsid w:val="00BE6DB2"/>
    <w:rsid w:val="00BE73B9"/>
    <w:rsid w:val="00BF444F"/>
    <w:rsid w:val="00BF77F5"/>
    <w:rsid w:val="00C01D8A"/>
    <w:rsid w:val="00C023EF"/>
    <w:rsid w:val="00C15415"/>
    <w:rsid w:val="00C16A53"/>
    <w:rsid w:val="00C16FE4"/>
    <w:rsid w:val="00C172EB"/>
    <w:rsid w:val="00C22F98"/>
    <w:rsid w:val="00C2363B"/>
    <w:rsid w:val="00C26560"/>
    <w:rsid w:val="00C27D26"/>
    <w:rsid w:val="00C3062F"/>
    <w:rsid w:val="00C30D8F"/>
    <w:rsid w:val="00C32E7A"/>
    <w:rsid w:val="00C404D9"/>
    <w:rsid w:val="00C404E6"/>
    <w:rsid w:val="00C408D9"/>
    <w:rsid w:val="00C42DB9"/>
    <w:rsid w:val="00C447FD"/>
    <w:rsid w:val="00C44A46"/>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48"/>
    <w:rsid w:val="00CA6058"/>
    <w:rsid w:val="00CA6AB0"/>
    <w:rsid w:val="00CA6BD1"/>
    <w:rsid w:val="00CB05A3"/>
    <w:rsid w:val="00CB1434"/>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E4A9F"/>
    <w:rsid w:val="00CE56FD"/>
    <w:rsid w:val="00CF0B65"/>
    <w:rsid w:val="00CF148C"/>
    <w:rsid w:val="00CF3D94"/>
    <w:rsid w:val="00CF48A3"/>
    <w:rsid w:val="00CF5081"/>
    <w:rsid w:val="00D058E4"/>
    <w:rsid w:val="00D060FE"/>
    <w:rsid w:val="00D07178"/>
    <w:rsid w:val="00D0751B"/>
    <w:rsid w:val="00D11C0B"/>
    <w:rsid w:val="00D11EE9"/>
    <w:rsid w:val="00D13F47"/>
    <w:rsid w:val="00D14E66"/>
    <w:rsid w:val="00D17631"/>
    <w:rsid w:val="00D17CD3"/>
    <w:rsid w:val="00D21B22"/>
    <w:rsid w:val="00D24AEB"/>
    <w:rsid w:val="00D24AFD"/>
    <w:rsid w:val="00D27902"/>
    <w:rsid w:val="00D27984"/>
    <w:rsid w:val="00D27FE9"/>
    <w:rsid w:val="00D31D50"/>
    <w:rsid w:val="00D323E9"/>
    <w:rsid w:val="00D34F5B"/>
    <w:rsid w:val="00D35023"/>
    <w:rsid w:val="00D403B8"/>
    <w:rsid w:val="00D45C1B"/>
    <w:rsid w:val="00D45E14"/>
    <w:rsid w:val="00D478FD"/>
    <w:rsid w:val="00D50555"/>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1F1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44EA"/>
    <w:rsid w:val="00E5519B"/>
    <w:rsid w:val="00E55FEE"/>
    <w:rsid w:val="00E57BD3"/>
    <w:rsid w:val="00E57D38"/>
    <w:rsid w:val="00E601FB"/>
    <w:rsid w:val="00E63EC0"/>
    <w:rsid w:val="00E65332"/>
    <w:rsid w:val="00E65F77"/>
    <w:rsid w:val="00E670CD"/>
    <w:rsid w:val="00E67EA9"/>
    <w:rsid w:val="00E73C99"/>
    <w:rsid w:val="00E7727F"/>
    <w:rsid w:val="00E83519"/>
    <w:rsid w:val="00E91889"/>
    <w:rsid w:val="00E91F0F"/>
    <w:rsid w:val="00E944E2"/>
    <w:rsid w:val="00E95C54"/>
    <w:rsid w:val="00E96103"/>
    <w:rsid w:val="00EA027D"/>
    <w:rsid w:val="00EA5ED0"/>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24EA"/>
    <w:rsid w:val="00ED7E71"/>
    <w:rsid w:val="00EE1C0B"/>
    <w:rsid w:val="00EE59D0"/>
    <w:rsid w:val="00EE7FF3"/>
    <w:rsid w:val="00EF1793"/>
    <w:rsid w:val="00EF26BF"/>
    <w:rsid w:val="00EF4861"/>
    <w:rsid w:val="00EF50C7"/>
    <w:rsid w:val="00EF5E19"/>
    <w:rsid w:val="00EF5EC7"/>
    <w:rsid w:val="00EF779D"/>
    <w:rsid w:val="00EF7E82"/>
    <w:rsid w:val="00F01970"/>
    <w:rsid w:val="00F01B91"/>
    <w:rsid w:val="00F05693"/>
    <w:rsid w:val="00F06001"/>
    <w:rsid w:val="00F06AF6"/>
    <w:rsid w:val="00F079A5"/>
    <w:rsid w:val="00F07F69"/>
    <w:rsid w:val="00F107F9"/>
    <w:rsid w:val="00F111E0"/>
    <w:rsid w:val="00F117D4"/>
    <w:rsid w:val="00F16475"/>
    <w:rsid w:val="00F21B03"/>
    <w:rsid w:val="00F22D55"/>
    <w:rsid w:val="00F24A9A"/>
    <w:rsid w:val="00F2592D"/>
    <w:rsid w:val="00F25C5F"/>
    <w:rsid w:val="00F3182D"/>
    <w:rsid w:val="00F331D4"/>
    <w:rsid w:val="00F34EF2"/>
    <w:rsid w:val="00F3580F"/>
    <w:rsid w:val="00F406BB"/>
    <w:rsid w:val="00F44AD0"/>
    <w:rsid w:val="00F50379"/>
    <w:rsid w:val="00F55102"/>
    <w:rsid w:val="00F56C18"/>
    <w:rsid w:val="00F57115"/>
    <w:rsid w:val="00F6298B"/>
    <w:rsid w:val="00F63B02"/>
    <w:rsid w:val="00F65350"/>
    <w:rsid w:val="00F65C21"/>
    <w:rsid w:val="00F700A6"/>
    <w:rsid w:val="00F72429"/>
    <w:rsid w:val="00F74FC5"/>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D77D6"/>
    <w:rsid w:val="00FE35E7"/>
    <w:rsid w:val="00FE44CF"/>
    <w:rsid w:val="00FF1239"/>
    <w:rsid w:val="00FF1AC1"/>
    <w:rsid w:val="00FF2898"/>
    <w:rsid w:val="00FF5DE3"/>
    <w:rsid w:val="00FF60F7"/>
    <w:rsid w:val="00FF62F7"/>
    <w:rsid w:val="00FF664B"/>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9926CE"/>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23378D"/>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Normal]"/>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18D7-FD54-4DDF-9B35-7741CF41DC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12645</Words>
  <Characters>13450</Characters>
  <Lines>108</Lines>
  <Paragraphs>30</Paragraphs>
  <TotalTime>1005</TotalTime>
  <ScaleCrop>false</ScaleCrop>
  <LinksUpToDate>false</LinksUpToDate>
  <CharactersWithSpaces>13608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兔兔</cp:lastModifiedBy>
  <cp:lastPrinted>2020-11-27T03:50:00Z</cp:lastPrinted>
  <dcterms:modified xsi:type="dcterms:W3CDTF">2025-05-12T03:18:33Z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eyJoZGlkIjoiNjI2MTExMmIxOWQ0MTZiNDNjNjJmZDI1OTJkZTIyZjUiLCJ1c2VySWQiOiIzNjU3MjI4ODIifQ==</vt:lpwstr>
  </property>
  <property fmtid="{D5CDD505-2E9C-101B-9397-08002B2CF9AE}" pid="4" name="ICV">
    <vt:lpwstr>BB8DB51C20CF4480B7FBC354DBFCD4B2_13</vt:lpwstr>
  </property>
</Properties>
</file>