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
      <w:pPr>
        <w:spacing w:before="0" w:after="0" w:line="240" w:lineRule="auto"/>
        <w:ind w:firstLine="0"/>
        <w:jc w:val="left"/>
        <w:outlineLvl w:val="9"/>
        <w:rPr>
          <w:rFonts w:cstheme="minorBidi"/>
        </w:rPr>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5</w:t>
      </w:r>
      <w:r>
        <w:fldChar w:fldCharType="end"/>
      </w:r>
    </w:p>
    <w:p>
      <w:pPr>
        <w:pStyle w:val="2"/>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7</w:t>
      </w:r>
      <w:r>
        <w:fldChar w:fldCharType="end"/>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1</w:t>
      </w:r>
    </w:p>
    <w:p>
      <w:pPr>
        <w:pStyle w:val="2"/>
        <w:tabs>
          <w:tab w:val="right" w:leader="dot" w:pos="14562"/>
        </w:tabs>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default"/>
          <w:lang w:val="en-US"/>
        </w:rPr>
        <w:t>3</w:t>
      </w:r>
      <w:r>
        <w:fldChar w:fldCharType="end"/>
      </w:r>
      <w:r>
        <w:fldChar w:fldCharType="end"/>
      </w:r>
    </w:p>
    <w:p>
      <w:pPr>
        <w:pStyle w:val="2"/>
        <w:tabs>
          <w:tab w:val="right" w:leader="dot" w:pos="14562"/>
        </w:tabs>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default"/>
          <w:lang w:val="en-US"/>
        </w:rPr>
        <w:t>4</w:t>
      </w:r>
      <w:r>
        <w:fldChar w:fldCharType="end"/>
      </w:r>
      <w:r>
        <w:fldChar w:fldCharType="end"/>
      </w:r>
    </w:p>
    <w:p>
      <w:pPr>
        <w:pStyle w:val="2"/>
        <w:tabs>
          <w:tab w:val="right" w:leader="dot" w:pos="14562"/>
        </w:tabs>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default"/>
          <w:lang w:val="en-US"/>
        </w:rPr>
        <w:t>5</w:t>
      </w:r>
      <w:r>
        <w:fldChar w:fldCharType="end"/>
      </w:r>
      <w:r>
        <w:fldChar w:fldCharType="end"/>
      </w:r>
    </w:p>
    <w:p>
      <w:pPr>
        <w:rPr>
          <w:rFonts w:cstheme="minorBidi"/>
        </w:rPr>
      </w:pPr>
      <w:r>
        <w:rPr>
          <w:rFonts w:cstheme="minorBidi"/>
        </w:rPr>
        <w:fldChar w:fldCharType="end"/>
      </w:r>
    </w:p>
    <w:p>
      <w:pPr>
        <w:spacing w:before="0" w:after="0" w:line="240" w:lineRule="auto"/>
        <w:ind w:firstLine="0"/>
        <w:jc w:val="left"/>
        <w:outlineLvl w:val="9"/>
        <w:rPr>
          <w:rFonts w:cstheme="minorBidi"/>
        </w:rPr>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w:t>
      </w:r>
      <w:r>
        <w:rPr>
          <w:rFonts w:hint="default"/>
          <w:lang w:val="en-US"/>
        </w:rPr>
        <w:t>6</w:t>
      </w:r>
      <w:r>
        <w:fldChar w:fldCharType="end"/>
      </w:r>
      <w:r>
        <w:fldChar w:fldCharType="end"/>
      </w:r>
    </w:p>
    <w:p>
      <w:pPr>
        <w:pStyle w:val="2"/>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w:t>
      </w:r>
      <w:r>
        <w:rPr>
          <w:rFonts w:hint="default"/>
          <w:lang w:val="en-US"/>
        </w:rPr>
        <w:t>7</w:t>
      </w:r>
      <w:r>
        <w:fldChar w:fldCharType="end"/>
      </w:r>
      <w:r>
        <w:fldChar w:fldCharType="end"/>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default"/>
          <w:lang w:val="en-US"/>
        </w:rPr>
        <w:t>8</w:t>
      </w:r>
      <w:r>
        <w:fldChar w:fldCharType="end"/>
      </w:r>
      <w:r>
        <w:fldChar w:fldCharType="end"/>
      </w:r>
    </w:p>
    <w:p>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default"/>
          <w:lang w:val="en-US"/>
        </w:rPr>
        <w:t>8</w:t>
      </w:r>
      <w:r>
        <w:fldChar w:fldCharType="end"/>
      </w:r>
      <w:r>
        <w:fldChar w:fldCharType="end"/>
      </w:r>
    </w:p>
    <w:p>
      <w:pPr>
        <w:pStyle w:val="2"/>
        <w:tabs>
          <w:tab w:val="right" w:leader="dot" w:pos="14562"/>
        </w:tabs>
        <w:rPr>
          <w:rFonts w:hint="default"/>
          <w:lang w:val="en-US"/>
        </w:rPr>
      </w:pPr>
      <w:r>
        <w:fldChar w:fldCharType="begin"/>
      </w:r>
      <w:r>
        <w:instrText xml:space="preserve"> HYPERLINK \l "_Toc_3_3_0000000016" </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default"/>
          <w:lang w:val="en-US"/>
        </w:rPr>
        <w:t>1</w:t>
      </w:r>
      <w:r>
        <w:fldChar w:fldCharType="end"/>
      </w:r>
      <w:r>
        <w:rPr>
          <w:rFonts w:hint="default"/>
          <w:lang w:val="en-US"/>
        </w:rPr>
        <w:t>8</w:t>
      </w:r>
    </w:p>
    <w:p>
      <w:pPr>
        <w:pStyle w:val="2"/>
        <w:tabs>
          <w:tab w:val="right" w:leader="dot" w:pos="14562"/>
        </w:tabs>
      </w:pPr>
      <w:r>
        <w:fldChar w:fldCharType="begin"/>
      </w:r>
      <w:r>
        <w:instrText xml:space="preserve"> HYPERLINK \l "_Toc_3_3_0000000017" </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t>3</w:t>
      </w:r>
      <w:r>
        <w:rPr>
          <w:rFonts w:hint="default"/>
          <w:lang w:val="en-US"/>
        </w:rPr>
        <w:t>3</w:t>
      </w:r>
      <w:r>
        <w:fldChar w:fldCharType="end"/>
      </w:r>
      <w:r>
        <w:fldChar w:fldCharType="end"/>
      </w:r>
    </w:p>
    <w:p>
      <w:pPr>
        <w:pStyle w:val="2"/>
        <w:tabs>
          <w:tab w:val="right" w:leader="dot" w:pos="14562"/>
        </w:tabs>
      </w:pPr>
      <w:r>
        <w:fldChar w:fldCharType="begin"/>
      </w:r>
      <w:r>
        <w:instrText xml:space="preserve"> HYPERLINK \l "_Toc_3_3_0000000018" </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3</w:t>
      </w:r>
      <w:r>
        <w:rPr>
          <w:rFonts w:hint="default"/>
          <w:lang w:val="en-US"/>
        </w:rPr>
        <w:t>3</w:t>
      </w:r>
      <w:r>
        <w:fldChar w:fldCharType="end"/>
      </w:r>
      <w:r>
        <w:fldChar w:fldCharType="end"/>
      </w:r>
    </w:p>
    <w:p>
      <w:pPr>
        <w:pStyle w:val="2"/>
        <w:tabs>
          <w:tab w:val="right" w:leader="dot" w:pos="14562"/>
        </w:tabs>
      </w:pPr>
      <w:r>
        <w:fldChar w:fldCharType="begin"/>
      </w:r>
      <w:r>
        <w:instrText xml:space="preserve"> HYPERLINK \l "_Toc_3_3_0000000019" </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3</w:t>
      </w:r>
      <w:r>
        <w:rPr>
          <w:rFonts w:hint="default"/>
          <w:lang w:val="en-US"/>
        </w:rPr>
        <w:t>4</w:t>
      </w:r>
      <w:r>
        <w:fldChar w:fldCharType="end"/>
      </w:r>
      <w:r>
        <w:fldChar w:fldCharType="end"/>
      </w:r>
    </w:p>
    <w:p>
      <w:pPr>
        <w:pStyle w:val="2"/>
        <w:tabs>
          <w:tab w:val="right" w:leader="dot" w:pos="14562"/>
        </w:tabs>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3</w:t>
      </w:r>
      <w:r>
        <w:rPr>
          <w:rFonts w:hint="default"/>
          <w:lang w:val="en-US"/>
        </w:rPr>
        <w:t>5</w:t>
      </w:r>
      <w:r>
        <w:fldChar w:fldCharType="end"/>
      </w:r>
      <w:r>
        <w:fldChar w:fldCharType="end"/>
      </w:r>
    </w:p>
    <w:p>
      <w:pPr>
        <w:sectPr>
          <w:pgSz w:w="16840" w:h="11900" w:orient="landscape"/>
          <w:pgMar w:top="1587" w:right="1134" w:bottom="1361" w:left="1134" w:header="720" w:footer="720" w:gutter="0"/>
          <w:pgNumType w:start="1"/>
          <w:cols w:space="720" w:num="1"/>
        </w:sectPr>
      </w:pPr>
      <w:r>
        <w:rPr>
          <w:rFonts w:cstheme="minorBidi"/>
        </w:rP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2314.59</w:t>
            </w:r>
          </w:p>
        </w:tc>
        <w:tc>
          <w:tcPr>
            <w:tcW w:w="4535" w:type="dxa"/>
            <w:vAlign w:val="center"/>
          </w:tcPr>
          <w:p>
            <w:pPr>
              <w:pStyle w:val="12"/>
            </w:pPr>
            <w:r>
              <w:t>一、一般公共服务支出</w:t>
            </w:r>
          </w:p>
        </w:tc>
        <w:tc>
          <w:tcPr>
            <w:tcW w:w="2126" w:type="dxa"/>
            <w:vAlign w:val="center"/>
          </w:tcPr>
          <w:p>
            <w:pPr>
              <w:pStyle w:val="11"/>
            </w:pPr>
            <w:r>
              <w:t>1756.57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368.87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55.70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133.45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2314.59</w:t>
            </w:r>
          </w:p>
        </w:tc>
        <w:tc>
          <w:tcPr>
            <w:tcW w:w="4535" w:type="dxa"/>
            <w:vAlign w:val="center"/>
          </w:tcPr>
          <w:p>
            <w:pPr>
              <w:pStyle w:val="14"/>
            </w:pPr>
            <w:r>
              <w:t>本年支出合计</w:t>
            </w:r>
          </w:p>
        </w:tc>
        <w:tc>
          <w:tcPr>
            <w:tcW w:w="2126" w:type="dxa"/>
            <w:vAlign w:val="center"/>
          </w:tcPr>
          <w:p>
            <w:pPr>
              <w:pStyle w:val="15"/>
            </w:pPr>
            <w:r>
              <w:t>2314.59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2314.59</w:t>
            </w:r>
          </w:p>
        </w:tc>
        <w:tc>
          <w:tcPr>
            <w:tcW w:w="4535" w:type="dxa"/>
            <w:vAlign w:val="center"/>
          </w:tcPr>
          <w:p>
            <w:pPr>
              <w:pStyle w:val="14"/>
            </w:pPr>
            <w:r>
              <w:t>支出总计</w:t>
            </w:r>
          </w:p>
        </w:tc>
        <w:tc>
          <w:tcPr>
            <w:tcW w:w="2126" w:type="dxa"/>
            <w:vAlign w:val="center"/>
          </w:tcPr>
          <w:p>
            <w:pPr>
              <w:pStyle w:val="15"/>
            </w:pPr>
            <w:r>
              <w:t>2314.59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2314.59</w:t>
            </w:r>
          </w:p>
        </w:tc>
        <w:tc>
          <w:tcPr>
            <w:tcW w:w="1134" w:type="dxa"/>
            <w:vAlign w:val="center"/>
          </w:tcPr>
          <w:p>
            <w:pPr>
              <w:pStyle w:val="15"/>
            </w:pPr>
            <w:r>
              <w:t>2314.59</w:t>
            </w:r>
          </w:p>
        </w:tc>
        <w:tc>
          <w:tcPr>
            <w:tcW w:w="1134" w:type="dxa"/>
            <w:vAlign w:val="center"/>
          </w:tcPr>
          <w:p>
            <w:pPr>
              <w:pStyle w:val="15"/>
            </w:pPr>
            <w:r>
              <w:t>2314.59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1756.57</w:t>
            </w:r>
          </w:p>
        </w:tc>
        <w:tc>
          <w:tcPr>
            <w:tcW w:w="1134" w:type="dxa"/>
            <w:vAlign w:val="center"/>
          </w:tcPr>
          <w:p>
            <w:pPr>
              <w:pStyle w:val="11"/>
            </w:pPr>
            <w:r>
              <w:t>1756.57</w:t>
            </w:r>
          </w:p>
        </w:tc>
        <w:tc>
          <w:tcPr>
            <w:tcW w:w="1134" w:type="dxa"/>
            <w:vAlign w:val="center"/>
          </w:tcPr>
          <w:p>
            <w:pPr>
              <w:pStyle w:val="11"/>
            </w:pPr>
            <w:r>
              <w:t>1756.57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1756.57</w:t>
            </w:r>
          </w:p>
        </w:tc>
        <w:tc>
          <w:tcPr>
            <w:tcW w:w="1134" w:type="dxa"/>
            <w:vAlign w:val="center"/>
          </w:tcPr>
          <w:p>
            <w:pPr>
              <w:pStyle w:val="11"/>
            </w:pPr>
            <w:r>
              <w:t>1756.57</w:t>
            </w:r>
          </w:p>
        </w:tc>
        <w:tc>
          <w:tcPr>
            <w:tcW w:w="1134" w:type="dxa"/>
            <w:vAlign w:val="center"/>
          </w:tcPr>
          <w:p>
            <w:pPr>
              <w:pStyle w:val="11"/>
            </w:pPr>
            <w:r>
              <w:t>1756.57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2011101</w:t>
            </w:r>
          </w:p>
        </w:tc>
        <w:tc>
          <w:tcPr>
            <w:tcW w:w="1559" w:type="dxa"/>
            <w:vAlign w:val="center"/>
          </w:tcPr>
          <w:p>
            <w:pPr>
              <w:pStyle w:val="12"/>
            </w:pPr>
            <w:r>
              <w:t>行政运行</w:t>
            </w:r>
          </w:p>
        </w:tc>
        <w:tc>
          <w:tcPr>
            <w:tcW w:w="1134" w:type="dxa"/>
            <w:vAlign w:val="center"/>
          </w:tcPr>
          <w:p>
            <w:pPr>
              <w:pStyle w:val="11"/>
            </w:pPr>
            <w:r>
              <w:t>1576.46</w:t>
            </w:r>
          </w:p>
        </w:tc>
        <w:tc>
          <w:tcPr>
            <w:tcW w:w="1134" w:type="dxa"/>
            <w:vAlign w:val="center"/>
          </w:tcPr>
          <w:p>
            <w:pPr>
              <w:pStyle w:val="11"/>
            </w:pPr>
            <w:r>
              <w:t>1576.46</w:t>
            </w:r>
          </w:p>
        </w:tc>
        <w:tc>
          <w:tcPr>
            <w:tcW w:w="1134" w:type="dxa"/>
            <w:vAlign w:val="center"/>
          </w:tcPr>
          <w:p>
            <w:pPr>
              <w:pStyle w:val="11"/>
            </w:pPr>
            <w:r>
              <w:t>1576.46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180.11</w:t>
            </w:r>
          </w:p>
        </w:tc>
        <w:tc>
          <w:tcPr>
            <w:tcW w:w="1134" w:type="dxa"/>
            <w:vAlign w:val="center"/>
          </w:tcPr>
          <w:p>
            <w:pPr>
              <w:pStyle w:val="11"/>
            </w:pPr>
            <w:r>
              <w:t>180.11</w:t>
            </w:r>
          </w:p>
        </w:tc>
        <w:tc>
          <w:tcPr>
            <w:tcW w:w="1134" w:type="dxa"/>
            <w:vAlign w:val="center"/>
          </w:tcPr>
          <w:p>
            <w:pPr>
              <w:pStyle w:val="11"/>
            </w:pPr>
            <w:r>
              <w:t>180.11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368.87</w:t>
            </w:r>
          </w:p>
        </w:tc>
        <w:tc>
          <w:tcPr>
            <w:tcW w:w="1134" w:type="dxa"/>
            <w:vAlign w:val="center"/>
          </w:tcPr>
          <w:p>
            <w:pPr>
              <w:pStyle w:val="11"/>
            </w:pPr>
            <w:r>
              <w:t>368.87</w:t>
            </w:r>
          </w:p>
        </w:tc>
        <w:tc>
          <w:tcPr>
            <w:tcW w:w="1134" w:type="dxa"/>
            <w:vAlign w:val="center"/>
          </w:tcPr>
          <w:p>
            <w:pPr>
              <w:pStyle w:val="11"/>
            </w:pPr>
            <w:r>
              <w:t>368.87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368.87</w:t>
            </w:r>
          </w:p>
        </w:tc>
        <w:tc>
          <w:tcPr>
            <w:tcW w:w="1134" w:type="dxa"/>
            <w:vAlign w:val="center"/>
          </w:tcPr>
          <w:p>
            <w:pPr>
              <w:pStyle w:val="11"/>
            </w:pPr>
            <w:r>
              <w:t>368.87</w:t>
            </w:r>
          </w:p>
        </w:tc>
        <w:tc>
          <w:tcPr>
            <w:tcW w:w="1134" w:type="dxa"/>
            <w:vAlign w:val="center"/>
          </w:tcPr>
          <w:p>
            <w:pPr>
              <w:pStyle w:val="11"/>
            </w:pPr>
            <w:r>
              <w:t>368.87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205.67</w:t>
            </w:r>
          </w:p>
        </w:tc>
        <w:tc>
          <w:tcPr>
            <w:tcW w:w="1134" w:type="dxa"/>
            <w:vAlign w:val="center"/>
          </w:tcPr>
          <w:p>
            <w:pPr>
              <w:pStyle w:val="11"/>
            </w:pPr>
            <w:r>
              <w:t>205.67</w:t>
            </w:r>
          </w:p>
        </w:tc>
        <w:tc>
          <w:tcPr>
            <w:tcW w:w="1134" w:type="dxa"/>
            <w:vAlign w:val="center"/>
          </w:tcPr>
          <w:p>
            <w:pPr>
              <w:pStyle w:val="11"/>
            </w:pPr>
            <w:r>
              <w:t>205.67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163.20</w:t>
            </w:r>
          </w:p>
        </w:tc>
        <w:tc>
          <w:tcPr>
            <w:tcW w:w="1134" w:type="dxa"/>
            <w:vAlign w:val="center"/>
          </w:tcPr>
          <w:p>
            <w:pPr>
              <w:pStyle w:val="11"/>
            </w:pPr>
            <w:r>
              <w:t>163.20</w:t>
            </w:r>
          </w:p>
        </w:tc>
        <w:tc>
          <w:tcPr>
            <w:tcW w:w="1134" w:type="dxa"/>
            <w:vAlign w:val="center"/>
          </w:tcPr>
          <w:p>
            <w:pPr>
              <w:pStyle w:val="11"/>
            </w:pPr>
            <w:r>
              <w:t>163.20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55.70</w:t>
            </w:r>
          </w:p>
        </w:tc>
        <w:tc>
          <w:tcPr>
            <w:tcW w:w="1134" w:type="dxa"/>
            <w:vAlign w:val="center"/>
          </w:tcPr>
          <w:p>
            <w:pPr>
              <w:pStyle w:val="11"/>
            </w:pPr>
            <w:r>
              <w:t>55.70</w:t>
            </w:r>
          </w:p>
        </w:tc>
        <w:tc>
          <w:tcPr>
            <w:tcW w:w="1134" w:type="dxa"/>
            <w:vAlign w:val="center"/>
          </w:tcPr>
          <w:p>
            <w:pPr>
              <w:pStyle w:val="11"/>
            </w:pPr>
            <w:r>
              <w:t>55.70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55.70</w:t>
            </w:r>
          </w:p>
        </w:tc>
        <w:tc>
          <w:tcPr>
            <w:tcW w:w="1134" w:type="dxa"/>
            <w:vAlign w:val="center"/>
          </w:tcPr>
          <w:p>
            <w:pPr>
              <w:pStyle w:val="11"/>
            </w:pPr>
            <w:r>
              <w:t>55.70</w:t>
            </w:r>
          </w:p>
        </w:tc>
        <w:tc>
          <w:tcPr>
            <w:tcW w:w="1134" w:type="dxa"/>
            <w:vAlign w:val="center"/>
          </w:tcPr>
          <w:p>
            <w:pPr>
              <w:pStyle w:val="11"/>
            </w:pPr>
            <w:r>
              <w:t>55.70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55.70</w:t>
            </w:r>
          </w:p>
        </w:tc>
        <w:tc>
          <w:tcPr>
            <w:tcW w:w="1134" w:type="dxa"/>
            <w:vAlign w:val="center"/>
          </w:tcPr>
          <w:p>
            <w:pPr>
              <w:pStyle w:val="11"/>
            </w:pPr>
            <w:r>
              <w:t>55.70</w:t>
            </w:r>
          </w:p>
        </w:tc>
        <w:tc>
          <w:tcPr>
            <w:tcW w:w="1134" w:type="dxa"/>
            <w:vAlign w:val="center"/>
          </w:tcPr>
          <w:p>
            <w:pPr>
              <w:pStyle w:val="11"/>
            </w:pPr>
            <w:r>
              <w:t>55.70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133.45</w:t>
            </w:r>
          </w:p>
        </w:tc>
        <w:tc>
          <w:tcPr>
            <w:tcW w:w="1134" w:type="dxa"/>
            <w:vAlign w:val="center"/>
          </w:tcPr>
          <w:p>
            <w:pPr>
              <w:pStyle w:val="11"/>
            </w:pPr>
            <w:r>
              <w:t>133.45</w:t>
            </w:r>
          </w:p>
        </w:tc>
        <w:tc>
          <w:tcPr>
            <w:tcW w:w="1134" w:type="dxa"/>
            <w:vAlign w:val="center"/>
          </w:tcPr>
          <w:p>
            <w:pPr>
              <w:pStyle w:val="11"/>
            </w:pPr>
            <w:r>
              <w:t>133.45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133.45</w:t>
            </w:r>
          </w:p>
        </w:tc>
        <w:tc>
          <w:tcPr>
            <w:tcW w:w="1134" w:type="dxa"/>
            <w:vAlign w:val="center"/>
          </w:tcPr>
          <w:p>
            <w:pPr>
              <w:pStyle w:val="11"/>
            </w:pPr>
            <w:r>
              <w:t>133.45</w:t>
            </w:r>
          </w:p>
        </w:tc>
        <w:tc>
          <w:tcPr>
            <w:tcW w:w="1134" w:type="dxa"/>
            <w:vAlign w:val="center"/>
          </w:tcPr>
          <w:p>
            <w:pPr>
              <w:pStyle w:val="11"/>
            </w:pPr>
            <w:r>
              <w:t>133.45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133.45</w:t>
            </w:r>
          </w:p>
        </w:tc>
        <w:tc>
          <w:tcPr>
            <w:tcW w:w="1134" w:type="dxa"/>
            <w:vAlign w:val="center"/>
          </w:tcPr>
          <w:p>
            <w:pPr>
              <w:pStyle w:val="11"/>
            </w:pPr>
            <w:r>
              <w:t>133.45</w:t>
            </w:r>
          </w:p>
        </w:tc>
        <w:tc>
          <w:tcPr>
            <w:tcW w:w="1134" w:type="dxa"/>
            <w:vAlign w:val="center"/>
          </w:tcPr>
          <w:p>
            <w:pPr>
              <w:pStyle w:val="11"/>
            </w:pPr>
            <w:r>
              <w:t>133.45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2314.59</w:t>
            </w:r>
          </w:p>
        </w:tc>
        <w:tc>
          <w:tcPr>
            <w:tcW w:w="1361" w:type="dxa"/>
            <w:vAlign w:val="center"/>
          </w:tcPr>
          <w:p>
            <w:pPr>
              <w:pStyle w:val="15"/>
            </w:pPr>
            <w:r>
              <w:t>2134.48</w:t>
            </w:r>
          </w:p>
        </w:tc>
        <w:tc>
          <w:tcPr>
            <w:tcW w:w="1361" w:type="dxa"/>
            <w:vAlign w:val="center"/>
          </w:tcPr>
          <w:p>
            <w:pPr>
              <w:pStyle w:val="15"/>
            </w:pPr>
            <w:r>
              <w:t>180.11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1756.57</w:t>
            </w:r>
          </w:p>
        </w:tc>
        <w:tc>
          <w:tcPr>
            <w:tcW w:w="1361" w:type="dxa"/>
            <w:vAlign w:val="center"/>
          </w:tcPr>
          <w:p>
            <w:pPr>
              <w:pStyle w:val="11"/>
            </w:pPr>
            <w:r>
              <w:t>1576.46</w:t>
            </w:r>
          </w:p>
        </w:tc>
        <w:tc>
          <w:tcPr>
            <w:tcW w:w="1361" w:type="dxa"/>
            <w:vAlign w:val="center"/>
          </w:tcPr>
          <w:p>
            <w:pPr>
              <w:pStyle w:val="11"/>
            </w:pPr>
            <w:r>
              <w:t>180.11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1756.57</w:t>
            </w:r>
          </w:p>
        </w:tc>
        <w:tc>
          <w:tcPr>
            <w:tcW w:w="1361" w:type="dxa"/>
            <w:vAlign w:val="center"/>
          </w:tcPr>
          <w:p>
            <w:pPr>
              <w:pStyle w:val="11"/>
            </w:pPr>
            <w:r>
              <w:t>1576.46</w:t>
            </w:r>
          </w:p>
        </w:tc>
        <w:tc>
          <w:tcPr>
            <w:tcW w:w="1361" w:type="dxa"/>
            <w:vAlign w:val="center"/>
          </w:tcPr>
          <w:p>
            <w:pPr>
              <w:pStyle w:val="11"/>
            </w:pPr>
            <w:r>
              <w:t>180.11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2011101</w:t>
            </w:r>
          </w:p>
        </w:tc>
        <w:tc>
          <w:tcPr>
            <w:tcW w:w="4535" w:type="dxa"/>
            <w:vAlign w:val="center"/>
          </w:tcPr>
          <w:p>
            <w:pPr>
              <w:pStyle w:val="12"/>
            </w:pPr>
            <w:r>
              <w:t>行政运行</w:t>
            </w:r>
          </w:p>
        </w:tc>
        <w:tc>
          <w:tcPr>
            <w:tcW w:w="1361" w:type="dxa"/>
            <w:vAlign w:val="center"/>
          </w:tcPr>
          <w:p>
            <w:pPr>
              <w:pStyle w:val="11"/>
            </w:pPr>
            <w:r>
              <w:t>1576.46</w:t>
            </w:r>
          </w:p>
        </w:tc>
        <w:tc>
          <w:tcPr>
            <w:tcW w:w="1361" w:type="dxa"/>
            <w:vAlign w:val="center"/>
          </w:tcPr>
          <w:p>
            <w:pPr>
              <w:pStyle w:val="11"/>
            </w:pPr>
            <w:r>
              <w:t>1576.46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180.11</w:t>
            </w:r>
          </w:p>
        </w:tc>
        <w:tc>
          <w:tcPr>
            <w:tcW w:w="1361" w:type="dxa"/>
            <w:vAlign w:val="center"/>
          </w:tcPr>
          <w:p>
            <w:pPr>
              <w:pStyle w:val="11"/>
            </w:pPr>
          </w:p>
        </w:tc>
        <w:tc>
          <w:tcPr>
            <w:tcW w:w="1361" w:type="dxa"/>
            <w:vAlign w:val="center"/>
          </w:tcPr>
          <w:p>
            <w:pPr>
              <w:pStyle w:val="11"/>
            </w:pPr>
            <w:r>
              <w:t>180.11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368.87</w:t>
            </w:r>
          </w:p>
        </w:tc>
        <w:tc>
          <w:tcPr>
            <w:tcW w:w="1361" w:type="dxa"/>
            <w:vAlign w:val="center"/>
          </w:tcPr>
          <w:p>
            <w:pPr>
              <w:pStyle w:val="11"/>
            </w:pPr>
            <w:r>
              <w:t>368.87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368.87</w:t>
            </w:r>
          </w:p>
        </w:tc>
        <w:tc>
          <w:tcPr>
            <w:tcW w:w="1361" w:type="dxa"/>
            <w:vAlign w:val="center"/>
          </w:tcPr>
          <w:p>
            <w:pPr>
              <w:pStyle w:val="11"/>
            </w:pPr>
            <w:r>
              <w:t>368.87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205.67</w:t>
            </w:r>
          </w:p>
        </w:tc>
        <w:tc>
          <w:tcPr>
            <w:tcW w:w="1361" w:type="dxa"/>
            <w:vAlign w:val="center"/>
          </w:tcPr>
          <w:p>
            <w:pPr>
              <w:pStyle w:val="11"/>
            </w:pPr>
            <w:r>
              <w:t>205.67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163.20</w:t>
            </w:r>
          </w:p>
        </w:tc>
        <w:tc>
          <w:tcPr>
            <w:tcW w:w="1361" w:type="dxa"/>
            <w:vAlign w:val="center"/>
          </w:tcPr>
          <w:p>
            <w:pPr>
              <w:pStyle w:val="11"/>
            </w:pPr>
            <w:r>
              <w:t>163.20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55.70</w:t>
            </w:r>
          </w:p>
        </w:tc>
        <w:tc>
          <w:tcPr>
            <w:tcW w:w="1361" w:type="dxa"/>
            <w:vAlign w:val="center"/>
          </w:tcPr>
          <w:p>
            <w:pPr>
              <w:pStyle w:val="11"/>
            </w:pPr>
            <w:r>
              <w:t>55.70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55.70</w:t>
            </w:r>
          </w:p>
        </w:tc>
        <w:tc>
          <w:tcPr>
            <w:tcW w:w="1361" w:type="dxa"/>
            <w:vAlign w:val="center"/>
          </w:tcPr>
          <w:p>
            <w:pPr>
              <w:pStyle w:val="11"/>
            </w:pPr>
            <w:r>
              <w:t>55.70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55.70</w:t>
            </w:r>
          </w:p>
        </w:tc>
        <w:tc>
          <w:tcPr>
            <w:tcW w:w="1361" w:type="dxa"/>
            <w:vAlign w:val="center"/>
          </w:tcPr>
          <w:p>
            <w:pPr>
              <w:pStyle w:val="11"/>
            </w:pPr>
            <w:r>
              <w:t>55.70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133.45</w:t>
            </w:r>
          </w:p>
        </w:tc>
        <w:tc>
          <w:tcPr>
            <w:tcW w:w="1361" w:type="dxa"/>
            <w:vAlign w:val="center"/>
          </w:tcPr>
          <w:p>
            <w:pPr>
              <w:pStyle w:val="11"/>
            </w:pPr>
            <w:r>
              <w:t>133.45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133.45</w:t>
            </w:r>
          </w:p>
        </w:tc>
        <w:tc>
          <w:tcPr>
            <w:tcW w:w="1361" w:type="dxa"/>
            <w:vAlign w:val="center"/>
          </w:tcPr>
          <w:p>
            <w:pPr>
              <w:pStyle w:val="11"/>
            </w:pPr>
            <w:r>
              <w:t>133.45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133.45</w:t>
            </w:r>
          </w:p>
        </w:tc>
        <w:tc>
          <w:tcPr>
            <w:tcW w:w="1361" w:type="dxa"/>
            <w:vAlign w:val="center"/>
          </w:tcPr>
          <w:p>
            <w:pPr>
              <w:pStyle w:val="11"/>
            </w:pPr>
            <w:r>
              <w:t>133.45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2314.59</w:t>
            </w:r>
          </w:p>
        </w:tc>
        <w:tc>
          <w:tcPr>
            <w:tcW w:w="3402" w:type="dxa"/>
            <w:vAlign w:val="center"/>
          </w:tcPr>
          <w:p>
            <w:pPr>
              <w:pStyle w:val="12"/>
            </w:pPr>
            <w:r>
              <w:t>一、一般公共服务支出</w:t>
            </w:r>
          </w:p>
        </w:tc>
        <w:tc>
          <w:tcPr>
            <w:tcW w:w="1474" w:type="dxa"/>
            <w:vAlign w:val="center"/>
          </w:tcPr>
          <w:p>
            <w:pPr>
              <w:pStyle w:val="11"/>
            </w:pPr>
            <w:r>
              <w:t>1756.57</w:t>
            </w:r>
          </w:p>
        </w:tc>
        <w:tc>
          <w:tcPr>
            <w:tcW w:w="1474" w:type="dxa"/>
            <w:vAlign w:val="center"/>
          </w:tcPr>
          <w:p>
            <w:pPr>
              <w:pStyle w:val="11"/>
            </w:pPr>
            <w:r>
              <w:t>1756.57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368.87</w:t>
            </w:r>
          </w:p>
        </w:tc>
        <w:tc>
          <w:tcPr>
            <w:tcW w:w="1474" w:type="dxa"/>
            <w:vAlign w:val="center"/>
          </w:tcPr>
          <w:p>
            <w:pPr>
              <w:pStyle w:val="11"/>
            </w:pPr>
            <w:r>
              <w:t>368.87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55.70</w:t>
            </w:r>
          </w:p>
        </w:tc>
        <w:tc>
          <w:tcPr>
            <w:tcW w:w="1474" w:type="dxa"/>
            <w:vAlign w:val="center"/>
          </w:tcPr>
          <w:p>
            <w:pPr>
              <w:pStyle w:val="11"/>
            </w:pPr>
            <w:r>
              <w:t>55.70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133.45</w:t>
            </w:r>
          </w:p>
        </w:tc>
        <w:tc>
          <w:tcPr>
            <w:tcW w:w="1474" w:type="dxa"/>
            <w:vAlign w:val="center"/>
          </w:tcPr>
          <w:p>
            <w:pPr>
              <w:pStyle w:val="11"/>
            </w:pPr>
            <w:r>
              <w:t>133.45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2314.59</w:t>
            </w:r>
          </w:p>
        </w:tc>
        <w:tc>
          <w:tcPr>
            <w:tcW w:w="3402" w:type="dxa"/>
            <w:vAlign w:val="center"/>
          </w:tcPr>
          <w:p>
            <w:pPr>
              <w:pStyle w:val="14"/>
            </w:pPr>
            <w:r>
              <w:t>本年支出合计</w:t>
            </w:r>
          </w:p>
        </w:tc>
        <w:tc>
          <w:tcPr>
            <w:tcW w:w="1474" w:type="dxa"/>
            <w:vAlign w:val="center"/>
          </w:tcPr>
          <w:p>
            <w:pPr>
              <w:pStyle w:val="15"/>
            </w:pPr>
            <w:r>
              <w:t>2314.59</w:t>
            </w:r>
          </w:p>
        </w:tc>
        <w:tc>
          <w:tcPr>
            <w:tcW w:w="1474" w:type="dxa"/>
            <w:vAlign w:val="center"/>
          </w:tcPr>
          <w:p>
            <w:pPr>
              <w:pStyle w:val="15"/>
            </w:pPr>
            <w:r>
              <w:t>2314.59</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2314.59</w:t>
            </w:r>
          </w:p>
        </w:tc>
        <w:tc>
          <w:tcPr>
            <w:tcW w:w="3402" w:type="dxa"/>
            <w:vAlign w:val="center"/>
          </w:tcPr>
          <w:p>
            <w:pPr>
              <w:pStyle w:val="14"/>
            </w:pPr>
            <w:r>
              <w:t>支出总计</w:t>
            </w:r>
          </w:p>
        </w:tc>
        <w:tc>
          <w:tcPr>
            <w:tcW w:w="1474" w:type="dxa"/>
            <w:vAlign w:val="center"/>
          </w:tcPr>
          <w:p>
            <w:pPr>
              <w:pStyle w:val="15"/>
            </w:pPr>
            <w:r>
              <w:t>2314.59</w:t>
            </w:r>
          </w:p>
        </w:tc>
        <w:tc>
          <w:tcPr>
            <w:tcW w:w="1474" w:type="dxa"/>
            <w:vAlign w:val="center"/>
          </w:tcPr>
          <w:p>
            <w:pPr>
              <w:pStyle w:val="15"/>
            </w:pPr>
            <w:r>
              <w:t>2314.59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2314.59</w:t>
            </w:r>
          </w:p>
        </w:tc>
        <w:tc>
          <w:tcPr>
            <w:tcW w:w="2551" w:type="dxa"/>
            <w:vAlign w:val="center"/>
          </w:tcPr>
          <w:p>
            <w:pPr>
              <w:pStyle w:val="15"/>
            </w:pPr>
            <w:r>
              <w:t>2134.48</w:t>
            </w:r>
          </w:p>
        </w:tc>
        <w:tc>
          <w:tcPr>
            <w:tcW w:w="2551" w:type="dxa"/>
            <w:vAlign w:val="center"/>
          </w:tcPr>
          <w:p>
            <w:pPr>
              <w:pStyle w:val="15"/>
            </w:pPr>
            <w:r>
              <w:t>180.11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1756.57</w:t>
            </w:r>
          </w:p>
        </w:tc>
        <w:tc>
          <w:tcPr>
            <w:tcW w:w="2551" w:type="dxa"/>
            <w:vAlign w:val="center"/>
          </w:tcPr>
          <w:p>
            <w:pPr>
              <w:pStyle w:val="11"/>
            </w:pPr>
            <w:r>
              <w:t>1576.46</w:t>
            </w:r>
          </w:p>
        </w:tc>
        <w:tc>
          <w:tcPr>
            <w:tcW w:w="2551" w:type="dxa"/>
            <w:vAlign w:val="center"/>
          </w:tcPr>
          <w:p>
            <w:pPr>
              <w:pStyle w:val="11"/>
            </w:pPr>
            <w:r>
              <w:t>180.11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1756.57</w:t>
            </w:r>
          </w:p>
        </w:tc>
        <w:tc>
          <w:tcPr>
            <w:tcW w:w="2551" w:type="dxa"/>
            <w:vAlign w:val="center"/>
          </w:tcPr>
          <w:p>
            <w:pPr>
              <w:pStyle w:val="11"/>
            </w:pPr>
            <w:r>
              <w:t>1576.46</w:t>
            </w:r>
          </w:p>
        </w:tc>
        <w:tc>
          <w:tcPr>
            <w:tcW w:w="2551" w:type="dxa"/>
            <w:vAlign w:val="center"/>
          </w:tcPr>
          <w:p>
            <w:pPr>
              <w:pStyle w:val="11"/>
            </w:pPr>
            <w:r>
              <w:t>180.11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2011101</w:t>
            </w:r>
          </w:p>
        </w:tc>
        <w:tc>
          <w:tcPr>
            <w:tcW w:w="4535" w:type="dxa"/>
            <w:vAlign w:val="center"/>
          </w:tcPr>
          <w:p>
            <w:pPr>
              <w:pStyle w:val="12"/>
            </w:pPr>
            <w:r>
              <w:t>行政运行</w:t>
            </w:r>
          </w:p>
        </w:tc>
        <w:tc>
          <w:tcPr>
            <w:tcW w:w="2551" w:type="dxa"/>
            <w:vAlign w:val="center"/>
          </w:tcPr>
          <w:p>
            <w:pPr>
              <w:pStyle w:val="11"/>
            </w:pPr>
            <w:r>
              <w:t>1576.46</w:t>
            </w:r>
          </w:p>
        </w:tc>
        <w:tc>
          <w:tcPr>
            <w:tcW w:w="2551" w:type="dxa"/>
            <w:vAlign w:val="center"/>
          </w:tcPr>
          <w:p>
            <w:pPr>
              <w:pStyle w:val="11"/>
            </w:pPr>
            <w:r>
              <w:t>1576.46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180.11</w:t>
            </w:r>
          </w:p>
        </w:tc>
        <w:tc>
          <w:tcPr>
            <w:tcW w:w="2551" w:type="dxa"/>
            <w:vAlign w:val="center"/>
          </w:tcPr>
          <w:p>
            <w:pPr>
              <w:pStyle w:val="11"/>
            </w:pPr>
          </w:p>
        </w:tc>
        <w:tc>
          <w:tcPr>
            <w:tcW w:w="2551" w:type="dxa"/>
            <w:vAlign w:val="center"/>
          </w:tcPr>
          <w:p>
            <w:pPr>
              <w:pStyle w:val="11"/>
            </w:pPr>
            <w:r>
              <w:t>180.11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368.87</w:t>
            </w:r>
          </w:p>
        </w:tc>
        <w:tc>
          <w:tcPr>
            <w:tcW w:w="2551" w:type="dxa"/>
            <w:vAlign w:val="center"/>
          </w:tcPr>
          <w:p>
            <w:pPr>
              <w:pStyle w:val="11"/>
            </w:pPr>
            <w:r>
              <w:t>368.87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368.87</w:t>
            </w:r>
          </w:p>
        </w:tc>
        <w:tc>
          <w:tcPr>
            <w:tcW w:w="2551" w:type="dxa"/>
            <w:vAlign w:val="center"/>
          </w:tcPr>
          <w:p>
            <w:pPr>
              <w:pStyle w:val="11"/>
            </w:pPr>
            <w:r>
              <w:t>368.87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205.67</w:t>
            </w:r>
          </w:p>
        </w:tc>
        <w:tc>
          <w:tcPr>
            <w:tcW w:w="2551" w:type="dxa"/>
            <w:vAlign w:val="center"/>
          </w:tcPr>
          <w:p>
            <w:pPr>
              <w:pStyle w:val="11"/>
            </w:pPr>
            <w:r>
              <w:t>205.67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163.20</w:t>
            </w:r>
          </w:p>
        </w:tc>
        <w:tc>
          <w:tcPr>
            <w:tcW w:w="2551" w:type="dxa"/>
            <w:vAlign w:val="center"/>
          </w:tcPr>
          <w:p>
            <w:pPr>
              <w:pStyle w:val="11"/>
            </w:pPr>
            <w:r>
              <w:t>163.20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55.70</w:t>
            </w:r>
          </w:p>
        </w:tc>
        <w:tc>
          <w:tcPr>
            <w:tcW w:w="2551" w:type="dxa"/>
            <w:vAlign w:val="center"/>
          </w:tcPr>
          <w:p>
            <w:pPr>
              <w:pStyle w:val="11"/>
            </w:pPr>
            <w:r>
              <w:t>55.70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55.70</w:t>
            </w:r>
          </w:p>
        </w:tc>
        <w:tc>
          <w:tcPr>
            <w:tcW w:w="2551" w:type="dxa"/>
            <w:vAlign w:val="center"/>
          </w:tcPr>
          <w:p>
            <w:pPr>
              <w:pStyle w:val="11"/>
            </w:pPr>
            <w:r>
              <w:t>55.70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55.70</w:t>
            </w:r>
          </w:p>
        </w:tc>
        <w:tc>
          <w:tcPr>
            <w:tcW w:w="2551" w:type="dxa"/>
            <w:vAlign w:val="center"/>
          </w:tcPr>
          <w:p>
            <w:pPr>
              <w:pStyle w:val="11"/>
            </w:pPr>
            <w:r>
              <w:t>55.70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133.45</w:t>
            </w:r>
          </w:p>
        </w:tc>
        <w:tc>
          <w:tcPr>
            <w:tcW w:w="2551" w:type="dxa"/>
            <w:vAlign w:val="center"/>
          </w:tcPr>
          <w:p>
            <w:pPr>
              <w:pStyle w:val="11"/>
            </w:pPr>
            <w:r>
              <w:t>133.45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133.45</w:t>
            </w:r>
          </w:p>
        </w:tc>
        <w:tc>
          <w:tcPr>
            <w:tcW w:w="2551" w:type="dxa"/>
            <w:vAlign w:val="center"/>
          </w:tcPr>
          <w:p>
            <w:pPr>
              <w:pStyle w:val="11"/>
            </w:pPr>
            <w:r>
              <w:t>133.45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133.45</w:t>
            </w:r>
          </w:p>
        </w:tc>
        <w:tc>
          <w:tcPr>
            <w:tcW w:w="2551" w:type="dxa"/>
            <w:vAlign w:val="center"/>
          </w:tcPr>
          <w:p>
            <w:pPr>
              <w:pStyle w:val="11"/>
            </w:pPr>
            <w:r>
              <w:t>133.45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2134.48</w:t>
            </w:r>
          </w:p>
        </w:tc>
        <w:tc>
          <w:tcPr>
            <w:tcW w:w="2551" w:type="dxa"/>
            <w:vAlign w:val="center"/>
          </w:tcPr>
          <w:p>
            <w:pPr>
              <w:pStyle w:val="15"/>
            </w:pPr>
            <w:r>
              <w:t>1929.71</w:t>
            </w:r>
          </w:p>
        </w:tc>
        <w:tc>
          <w:tcPr>
            <w:tcW w:w="2551" w:type="dxa"/>
            <w:vAlign w:val="center"/>
          </w:tcPr>
          <w:p>
            <w:pPr>
              <w:pStyle w:val="15"/>
            </w:pPr>
            <w:r>
              <w:t>204.77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1728.54</w:t>
            </w:r>
          </w:p>
        </w:tc>
        <w:tc>
          <w:tcPr>
            <w:tcW w:w="2551" w:type="dxa"/>
            <w:vAlign w:val="center"/>
          </w:tcPr>
          <w:p>
            <w:pPr>
              <w:pStyle w:val="11"/>
            </w:pPr>
            <w:r>
              <w:t>1728.54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611.79</w:t>
            </w:r>
          </w:p>
        </w:tc>
        <w:tc>
          <w:tcPr>
            <w:tcW w:w="2551" w:type="dxa"/>
            <w:vAlign w:val="center"/>
          </w:tcPr>
          <w:p>
            <w:pPr>
              <w:pStyle w:val="11"/>
            </w:pPr>
            <w:r>
              <w:t>611.79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435.59</w:t>
            </w:r>
          </w:p>
        </w:tc>
        <w:tc>
          <w:tcPr>
            <w:tcW w:w="2551" w:type="dxa"/>
            <w:vAlign w:val="center"/>
          </w:tcPr>
          <w:p>
            <w:pPr>
              <w:pStyle w:val="11"/>
            </w:pPr>
            <w:r>
              <w:t>435.59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324.67</w:t>
            </w:r>
          </w:p>
        </w:tc>
        <w:tc>
          <w:tcPr>
            <w:tcW w:w="2551" w:type="dxa"/>
            <w:vAlign w:val="center"/>
          </w:tcPr>
          <w:p>
            <w:pPr>
              <w:pStyle w:val="11"/>
            </w:pPr>
            <w:r>
              <w:t>324.67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163.20</w:t>
            </w:r>
          </w:p>
        </w:tc>
        <w:tc>
          <w:tcPr>
            <w:tcW w:w="2551" w:type="dxa"/>
            <w:vAlign w:val="center"/>
          </w:tcPr>
          <w:p>
            <w:pPr>
              <w:pStyle w:val="11"/>
            </w:pPr>
            <w:r>
              <w:t>163.20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55.70</w:t>
            </w:r>
          </w:p>
        </w:tc>
        <w:tc>
          <w:tcPr>
            <w:tcW w:w="2551" w:type="dxa"/>
            <w:vAlign w:val="center"/>
          </w:tcPr>
          <w:p>
            <w:pPr>
              <w:pStyle w:val="11"/>
            </w:pPr>
            <w:r>
              <w:t>55.70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4.13</w:t>
            </w:r>
          </w:p>
        </w:tc>
        <w:tc>
          <w:tcPr>
            <w:tcW w:w="2551" w:type="dxa"/>
            <w:vAlign w:val="center"/>
          </w:tcPr>
          <w:p>
            <w:pPr>
              <w:pStyle w:val="11"/>
            </w:pPr>
            <w:r>
              <w:t>4.13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133.45</w:t>
            </w:r>
          </w:p>
        </w:tc>
        <w:tc>
          <w:tcPr>
            <w:tcW w:w="2551" w:type="dxa"/>
            <w:vAlign w:val="center"/>
          </w:tcPr>
          <w:p>
            <w:pPr>
              <w:pStyle w:val="11"/>
            </w:pPr>
            <w:r>
              <w:t>133.45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204.77</w:t>
            </w:r>
          </w:p>
        </w:tc>
        <w:tc>
          <w:tcPr>
            <w:tcW w:w="2551" w:type="dxa"/>
            <w:vAlign w:val="center"/>
          </w:tcPr>
          <w:p>
            <w:pPr>
              <w:pStyle w:val="11"/>
            </w:pPr>
          </w:p>
        </w:tc>
        <w:tc>
          <w:tcPr>
            <w:tcW w:w="2551" w:type="dxa"/>
            <w:vAlign w:val="center"/>
          </w:tcPr>
          <w:p>
            <w:pPr>
              <w:pStyle w:val="11"/>
            </w:pPr>
            <w:r>
              <w:t>204.77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33.70</w:t>
            </w:r>
          </w:p>
        </w:tc>
        <w:tc>
          <w:tcPr>
            <w:tcW w:w="2551" w:type="dxa"/>
            <w:vAlign w:val="center"/>
          </w:tcPr>
          <w:p>
            <w:pPr>
              <w:pStyle w:val="11"/>
            </w:pPr>
          </w:p>
        </w:tc>
        <w:tc>
          <w:tcPr>
            <w:tcW w:w="2551" w:type="dxa"/>
            <w:vAlign w:val="center"/>
          </w:tcPr>
          <w:p>
            <w:pPr>
              <w:pStyle w:val="11"/>
            </w:pPr>
            <w:r>
              <w:t>33.70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42.66</w:t>
            </w:r>
          </w:p>
        </w:tc>
        <w:tc>
          <w:tcPr>
            <w:tcW w:w="2551" w:type="dxa"/>
            <w:vAlign w:val="center"/>
          </w:tcPr>
          <w:p>
            <w:pPr>
              <w:pStyle w:val="11"/>
            </w:pPr>
          </w:p>
        </w:tc>
        <w:tc>
          <w:tcPr>
            <w:tcW w:w="2551" w:type="dxa"/>
            <w:vAlign w:val="center"/>
          </w:tcPr>
          <w:p>
            <w:pPr>
              <w:pStyle w:val="11"/>
            </w:pPr>
            <w:r>
              <w:t>42.66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9.33</w:t>
            </w:r>
          </w:p>
        </w:tc>
        <w:tc>
          <w:tcPr>
            <w:tcW w:w="2551" w:type="dxa"/>
            <w:vAlign w:val="center"/>
          </w:tcPr>
          <w:p>
            <w:pPr>
              <w:pStyle w:val="11"/>
            </w:pPr>
          </w:p>
        </w:tc>
        <w:tc>
          <w:tcPr>
            <w:tcW w:w="2551" w:type="dxa"/>
            <w:vAlign w:val="center"/>
          </w:tcPr>
          <w:p>
            <w:pPr>
              <w:pStyle w:val="11"/>
            </w:pPr>
            <w:r>
              <w:t>9.33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16.51</w:t>
            </w:r>
          </w:p>
        </w:tc>
        <w:tc>
          <w:tcPr>
            <w:tcW w:w="2551" w:type="dxa"/>
            <w:vAlign w:val="center"/>
          </w:tcPr>
          <w:p>
            <w:pPr>
              <w:pStyle w:val="11"/>
            </w:pPr>
          </w:p>
        </w:tc>
        <w:tc>
          <w:tcPr>
            <w:tcW w:w="2551" w:type="dxa"/>
            <w:vAlign w:val="center"/>
          </w:tcPr>
          <w:p>
            <w:pPr>
              <w:pStyle w:val="11"/>
            </w:pPr>
            <w:r>
              <w:t>16.51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14.81</w:t>
            </w:r>
          </w:p>
        </w:tc>
        <w:tc>
          <w:tcPr>
            <w:tcW w:w="2551" w:type="dxa"/>
            <w:vAlign w:val="center"/>
          </w:tcPr>
          <w:p>
            <w:pPr>
              <w:pStyle w:val="11"/>
            </w:pPr>
          </w:p>
        </w:tc>
        <w:tc>
          <w:tcPr>
            <w:tcW w:w="2551" w:type="dxa"/>
            <w:vAlign w:val="center"/>
          </w:tcPr>
          <w:p>
            <w:pPr>
              <w:pStyle w:val="11"/>
            </w:pPr>
            <w:r>
              <w:t>14.81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71.76</w:t>
            </w:r>
          </w:p>
        </w:tc>
        <w:tc>
          <w:tcPr>
            <w:tcW w:w="2551" w:type="dxa"/>
            <w:vAlign w:val="center"/>
          </w:tcPr>
          <w:p>
            <w:pPr>
              <w:pStyle w:val="11"/>
            </w:pPr>
          </w:p>
        </w:tc>
        <w:tc>
          <w:tcPr>
            <w:tcW w:w="2551" w:type="dxa"/>
            <w:vAlign w:val="center"/>
          </w:tcPr>
          <w:p>
            <w:pPr>
              <w:pStyle w:val="11"/>
            </w:pPr>
            <w:r>
              <w:t>71.76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11.15</w:t>
            </w:r>
          </w:p>
        </w:tc>
        <w:tc>
          <w:tcPr>
            <w:tcW w:w="2551" w:type="dxa"/>
            <w:vAlign w:val="center"/>
          </w:tcPr>
          <w:p>
            <w:pPr>
              <w:pStyle w:val="11"/>
            </w:pPr>
          </w:p>
        </w:tc>
        <w:tc>
          <w:tcPr>
            <w:tcW w:w="2551" w:type="dxa"/>
            <w:vAlign w:val="center"/>
          </w:tcPr>
          <w:p>
            <w:pPr>
              <w:pStyle w:val="11"/>
            </w:pPr>
            <w:r>
              <w:t>11.15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201.17</w:t>
            </w:r>
          </w:p>
        </w:tc>
        <w:tc>
          <w:tcPr>
            <w:tcW w:w="2551" w:type="dxa"/>
            <w:vAlign w:val="center"/>
          </w:tcPr>
          <w:p>
            <w:pPr>
              <w:pStyle w:val="11"/>
            </w:pPr>
            <w:r>
              <w:t>201.17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200.45</w:t>
            </w:r>
          </w:p>
        </w:tc>
        <w:tc>
          <w:tcPr>
            <w:tcW w:w="2551" w:type="dxa"/>
            <w:vAlign w:val="center"/>
          </w:tcPr>
          <w:p>
            <w:pPr>
              <w:pStyle w:val="11"/>
            </w:pPr>
            <w:r>
              <w:t>200.45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0.73</w:t>
            </w:r>
          </w:p>
        </w:tc>
        <w:tc>
          <w:tcPr>
            <w:tcW w:w="2551" w:type="dxa"/>
            <w:vAlign w:val="center"/>
          </w:tcPr>
          <w:p>
            <w:pPr>
              <w:pStyle w:val="11"/>
            </w:pPr>
            <w:r>
              <w:t>0.73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34.55</w:t>
            </w:r>
          </w:p>
        </w:tc>
        <w:tc>
          <w:tcPr>
            <w:tcW w:w="2381" w:type="dxa"/>
            <w:vAlign w:val="center"/>
          </w:tcPr>
          <w:p>
            <w:pPr>
              <w:pStyle w:val="15"/>
            </w:pPr>
            <w:r>
              <w:t>34.55</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34.55</w:t>
            </w:r>
          </w:p>
        </w:tc>
        <w:tc>
          <w:tcPr>
            <w:tcW w:w="2381" w:type="dxa"/>
            <w:vAlign w:val="center"/>
          </w:tcPr>
          <w:p>
            <w:pPr>
              <w:pStyle w:val="11"/>
            </w:pPr>
            <w:r>
              <w:t>34.55</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26.73</w:t>
            </w:r>
          </w:p>
        </w:tc>
        <w:tc>
          <w:tcPr>
            <w:tcW w:w="2381" w:type="dxa"/>
            <w:vAlign w:val="center"/>
          </w:tcPr>
          <w:p>
            <w:pPr>
              <w:pStyle w:val="11"/>
            </w:pPr>
            <w:r>
              <w:t>26.73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26.73</w:t>
            </w:r>
          </w:p>
        </w:tc>
        <w:tc>
          <w:tcPr>
            <w:tcW w:w="2381" w:type="dxa"/>
            <w:vAlign w:val="center"/>
          </w:tcPr>
          <w:p>
            <w:pPr>
              <w:pStyle w:val="11"/>
            </w:pPr>
            <w:r>
              <w:t>26.73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7.82</w:t>
            </w:r>
          </w:p>
        </w:tc>
        <w:tc>
          <w:tcPr>
            <w:tcW w:w="2381" w:type="dxa"/>
            <w:vAlign w:val="center"/>
          </w:tcPr>
          <w:p>
            <w:pPr>
              <w:pStyle w:val="11"/>
            </w:pPr>
            <w:r>
              <w:t>7.82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中国共产党保定市徐水区纪律检查委员会本级2025年单位预算信息公开情况说明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按照《中华人民共和国预算法》、《地方预决算公开操作规程》和《关于进一步推进预算公开工作的实施意见》规定，现将中国共产党保定市徐水区纪律检查委员会本级2025年单位预算公开如下：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根据《中国共产党保定市徐水区纪律检查委员会职能配置、内设机构和人员编制规定》， 中国共产党保定市徐水区纪律检查委员会的主要职责是：</w:t>
      </w:r>
    </w:p>
    <w:p>
      <w:pPr>
        <w:pStyle w:val="17"/>
      </w:pPr>
      <w:r>
        <w:t>（一）负责全区党的纪律检查工作。贯彻落实党中央、省委、市委和区委关于纪律检查工作的决策部署，维护党的章程和其他党内法规，检查党的路线方针政策和决议的执行情况，协助区委推进全面从严治党、加强党风建设和组织协调反腐工作。</w:t>
      </w:r>
    </w:p>
    <w:p>
      <w:pPr>
        <w:pStyle w:val="17"/>
      </w:pPr>
      <w:r>
        <w:t>（二）依照党的章程和其他党内法规履行监督、执纪、问责职责。</w:t>
      </w:r>
    </w:p>
    <w:p>
      <w:pPr>
        <w:pStyle w:val="17"/>
      </w:pPr>
      <w:r>
        <w:t>（三）支持配合巡察工作。承担巡视巡察整改日常监督责任，做好巡视巡察整改督查督办工作，依规依纪依法处置巡视巡察移交的反映领导干部问题线索。</w:t>
      </w:r>
    </w:p>
    <w:p>
      <w:pPr>
        <w:pStyle w:val="17"/>
      </w:pPr>
      <w:r>
        <w:t>（四）负责全区监察工作。贯彻落实党中央、省委、市委和区委关于监察工作的决策部署，维护宪法法律，依法对区委管理的行使公权力的公职人员进行监察，调查职务违法和职务犯罪，开展廉政建设和反腐败工作。</w:t>
      </w:r>
    </w:p>
    <w:p>
      <w:pPr>
        <w:pStyle w:val="17"/>
      </w:pPr>
      <w:r>
        <w:t>（五）依照法律规定履行监督、调查、处置职责。</w:t>
      </w:r>
    </w:p>
    <w:p>
      <w:pPr>
        <w:pStyle w:val="17"/>
      </w:pPr>
      <w:r>
        <w:t>（六）负责组织协调全面从严治党、党风廉政建设和反腐败宣传教育工作。</w:t>
      </w:r>
    </w:p>
    <w:p>
      <w:pPr>
        <w:pStyle w:val="17"/>
      </w:pPr>
      <w:r>
        <w:t>（七）负责综合分析全面从严治党、党风廉政建设和反腐败工作情况。</w:t>
      </w:r>
    </w:p>
    <w:p>
      <w:pPr>
        <w:pStyle w:val="17"/>
      </w:pPr>
      <w:r>
        <w:t>（八）负责组织协调全区反腐败追逃追赃和防逃工作，督促有关单位做好相关工作。</w:t>
      </w:r>
    </w:p>
    <w:p>
      <w:pPr>
        <w:pStyle w:val="17"/>
      </w:pPr>
      <w:r>
        <w:t>（九）根据干部管理权限，负责全区纪检监察系统领导班子建设、干部队伍建设和组织建设的综合规划、政策研究和制度建设。</w:t>
      </w:r>
    </w:p>
    <w:p>
      <w:pPr>
        <w:pStyle w:val="17"/>
      </w:pPr>
      <w:r>
        <w:t>（十）完成上级纪委、监委和区委授权或交办的其他任务。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中国共产党保定市徐水区纪律检查委员会本级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2314.59万元，其中：一般公共预算收入2314.59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共产党保定市徐水区纪律检查委员会本级年度单位预算中支出预算的总体情况。2025年支出预算2314.59万元，其中基本支出2134.48万元，包括人员经费1929.71万元和日常公用经费204.77万元；项目支出180.11万元，主要为纪检办案业务费67.47万元，纪检保障经费36.04万元，区纪委监委后勤保障费用30万元，巡察业务经费39.6万元，办案专项补助经费（劳务费）7万元。</w:t>
      </w:r>
    </w:p>
    <w:p>
      <w:pPr>
        <w:pStyle w:val="18"/>
      </w:pPr>
      <w:r>
        <w:t>3、比上年增减情况</w:t>
      </w:r>
    </w:p>
    <w:p>
      <w:pPr>
        <w:pStyle w:val="18"/>
      </w:pPr>
      <w:r>
        <w:t>2025年预算收支安排2314.59万元，较2024年预算增加0.79万元，其中：基本支出增加158.79万元，主要为人员经费增加项目支出减少158.00万元，主要为减少了区纪委监委工作经费100万元、区纪委监委配置办公设备经费78万元以及提前下达2024年中央政法纪检监察转移支付资金10万元；2025年增加了年初预算项目区纪委监委后勤保障费用30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w:t>
      </w:r>
      <w:r>
        <w:rPr>
          <w:rFonts w:hint="default"/>
          <w:lang w:val="en-US"/>
        </w:rPr>
        <w:t>5</w:t>
      </w:r>
      <w:r>
        <w:t>年我</w:t>
      </w:r>
      <w:r>
        <w:rPr>
          <w:rFonts w:hint="eastAsia"/>
          <w:lang w:val="en-US" w:eastAsia="zh-CN"/>
        </w:rPr>
        <w:t>单位</w:t>
      </w:r>
      <w:r>
        <w:t>机关运行经费安排204.</w:t>
      </w:r>
      <w:r>
        <w:rPr>
          <w:rFonts w:hint="default"/>
          <w:lang w:val="en-US"/>
        </w:rPr>
        <w:t>77</w:t>
      </w:r>
      <w:r>
        <w:t>万元，其中办公费3</w:t>
      </w:r>
      <w:r>
        <w:rPr>
          <w:rFonts w:hint="default"/>
          <w:lang w:val="en-US"/>
        </w:rPr>
        <w:t>3.70</w:t>
      </w:r>
      <w:r>
        <w:t>万元，邮电费</w:t>
      </w:r>
      <w:r>
        <w:rPr>
          <w:rFonts w:hint="default"/>
          <w:lang w:val="en-US"/>
        </w:rPr>
        <w:t>42.66</w:t>
      </w:r>
      <w:r>
        <w:t>万元，取暖费9.33万元，工会经费1</w:t>
      </w:r>
      <w:r>
        <w:rPr>
          <w:rFonts w:hint="default"/>
          <w:lang w:val="en-US"/>
        </w:rPr>
        <w:t>6.51</w:t>
      </w:r>
      <w:r>
        <w:t>万元，福利费1</w:t>
      </w:r>
      <w:r>
        <w:rPr>
          <w:rFonts w:hint="default"/>
          <w:lang w:val="en-US"/>
        </w:rPr>
        <w:t>4.81</w:t>
      </w:r>
      <w:r>
        <w:t>万元，公务用车运行维护费4.86万元，其他交通费用</w:t>
      </w:r>
      <w:r>
        <w:rPr>
          <w:rFonts w:hint="default"/>
          <w:lang w:val="en-US"/>
        </w:rPr>
        <w:t>71.76</w:t>
      </w:r>
      <w:r>
        <w:t>万元，其他商品和服务支出</w:t>
      </w:r>
      <w:r>
        <w:rPr>
          <w:rFonts w:hint="default"/>
          <w:lang w:val="en-US"/>
        </w:rPr>
        <w:t>11.15</w:t>
      </w:r>
      <w:r>
        <w:t>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w:t>
      </w:r>
      <w:r>
        <w:rPr>
          <w:rFonts w:hint="default"/>
          <w:lang w:val="en-US"/>
        </w:rPr>
        <w:t>5</w:t>
      </w:r>
      <w:r>
        <w:t>年，我财政拨款“三公”经费预算安排</w:t>
      </w:r>
      <w:r>
        <w:rPr>
          <w:rFonts w:hint="default"/>
          <w:lang w:val="en-US"/>
        </w:rPr>
        <w:t>34.55</w:t>
      </w:r>
      <w:r>
        <w:t>万元，其中因公出国（境）费0万元；公务用车购置及运维费</w:t>
      </w:r>
      <w:r>
        <w:rPr>
          <w:rFonts w:hint="default"/>
          <w:lang w:val="en-US"/>
        </w:rPr>
        <w:t>26.73</w:t>
      </w:r>
      <w:r>
        <w:t>万元（其中：公务用车购置费为0万元，公务用车运维费</w:t>
      </w:r>
      <w:r>
        <w:rPr>
          <w:rFonts w:hint="default"/>
          <w:lang w:val="en-US"/>
        </w:rPr>
        <w:t>26.73</w:t>
      </w:r>
      <w:r>
        <w:t>万元)；公务接待费7.82万元。与 202</w:t>
      </w:r>
      <w:r>
        <w:rPr>
          <w:rFonts w:hint="default"/>
          <w:lang w:val="en-US"/>
        </w:rPr>
        <w:t>4</w:t>
      </w:r>
      <w:r>
        <w:t>年相比</w:t>
      </w:r>
      <w:r>
        <w:rPr>
          <w:rFonts w:hint="eastAsia"/>
          <w:lang w:eastAsia="zh-CN"/>
        </w:rPr>
        <w:t>，</w:t>
      </w:r>
      <w:r>
        <w:rPr>
          <w:rFonts w:hint="eastAsia"/>
          <w:lang w:val="en-US" w:eastAsia="zh-CN"/>
        </w:rPr>
        <w:t>增长了</w:t>
      </w:r>
      <w:r>
        <w:rPr>
          <w:rFonts w:hint="default"/>
          <w:lang w:val="en-US" w:eastAsia="zh-CN"/>
        </w:rPr>
        <w:t>4.86</w:t>
      </w:r>
      <w:r>
        <w:rPr>
          <w:rFonts w:hint="eastAsia"/>
          <w:lang w:val="en-US" w:eastAsia="zh-CN"/>
        </w:rPr>
        <w:t>万元，原因是</w:t>
      </w:r>
      <w:r>
        <w:rPr>
          <w:rFonts w:hint="default"/>
          <w:lang w:val="en-US" w:eastAsia="zh-CN"/>
        </w:rPr>
        <w:t>2024</w:t>
      </w:r>
      <w:r>
        <w:rPr>
          <w:rFonts w:hint="eastAsia"/>
          <w:lang w:val="en-US" w:eastAsia="zh-CN"/>
        </w:rPr>
        <w:t>年新购置了两辆公务用车</w:t>
      </w:r>
      <w:r>
        <w:t>。</w:t>
      </w:r>
    </w:p>
    <w:p>
      <w:pPr>
        <w:spacing w:before="10" w:after="10" w:line="240" w:lineRule="auto"/>
        <w:ind w:firstLine="640"/>
        <w:jc w:val="left"/>
        <w:outlineLvl w:val="5"/>
        <w:rPr>
          <w:rFonts w:hint="eastAsia" w:eastAsia="黑体"/>
          <w:lang w:val="en-US" w:eastAsia="zh-CN"/>
        </w:rPr>
        <w:sectPr>
          <w:pgSz w:w="16840" w:h="11900" w:orient="landscape"/>
          <w:pgMar w:top="1361" w:right="1020" w:bottom="1361" w:left="1020" w:header="720" w:footer="720" w:gutter="0"/>
          <w:cols w:space="720" w:num="1"/>
        </w:sectPr>
      </w:pPr>
    </w:p>
    <w:p>
      <w:pPr>
        <w:pStyle w:val="23"/>
        <w:ind w:left="0" w:leftChars="0" w:firstLine="640" w:firstLineChars="200"/>
      </w:pPr>
      <w:bookmarkStart w:id="0" w:name="_GoBack"/>
      <w:bookmarkEnd w:id="0"/>
      <w:r>
        <w:rPr>
          <w:rFonts w:ascii="黑体" w:hAnsi="黑体" w:eastAsia="黑体" w:cs="黑体"/>
          <w:color w:val="000000"/>
          <w:sz w:val="32"/>
        </w:rPr>
        <w:t>五、单位项目预算安排情况及绩效</w:t>
      </w:r>
      <w:r>
        <w:rPr>
          <w:rFonts w:hint="eastAsia" w:ascii="黑体" w:hAnsi="黑体" w:eastAsia="黑体" w:cs="黑体"/>
          <w:color w:val="000000"/>
          <w:sz w:val="32"/>
          <w:lang w:val="en-US" w:eastAsia="zh-CN"/>
        </w:rPr>
        <w:t>目标</w:t>
      </w:r>
    </w:p>
    <w:p>
      <w:pPr>
        <w:spacing w:before="0" w:after="0"/>
        <w:ind w:firstLine="560"/>
        <w:jc w:val="left"/>
        <w:outlineLvl w:val="9"/>
      </w:pPr>
      <w:r>
        <w:rPr>
          <w:rFonts w:ascii="方正仿宋_GBK" w:hAnsi="方正仿宋_GBK" w:eastAsia="方正仿宋_GBK" w:cs="方正仿宋_GBK"/>
          <w:b/>
          <w:color w:val="000000"/>
          <w:sz w:val="28"/>
        </w:rPr>
        <w:t>1、办案专项补助经费（劳务费）绩效目标表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13062525P000232100534</w:t>
            </w:r>
          </w:p>
        </w:tc>
        <w:tc>
          <w:tcPr>
            <w:tcW w:w="2835" w:type="dxa"/>
            <w:vAlign w:val="center"/>
          </w:tcPr>
          <w:p>
            <w:pPr>
              <w:pStyle w:val="10"/>
            </w:pPr>
            <w:r>
              <w:t>项目名称</w:t>
            </w:r>
          </w:p>
        </w:tc>
        <w:tc>
          <w:tcPr>
            <w:tcW w:w="6095" w:type="dxa"/>
            <w:gridSpan w:val="3"/>
            <w:vAlign w:val="center"/>
          </w:tcPr>
          <w:p>
            <w:pPr>
              <w:pStyle w:val="12"/>
            </w:pPr>
            <w:r>
              <w:t>办案专项补助经费（劳务费）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关于长期聘用人员王娟劳务费列入预算的请示》及王娟本人与我委签订的《劳动合同书》。我委录用长期聘用人员一名，其主要职责是在办公室进行文印、后勤管理等工作；该项目资金7万元，主要用于支付长期聘用人员工资及缴纳医疗保险、养老保险、住房公积金、工伤保险。</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1.通过聘用1名长期聘用人员，按月序时发放工资及各项保险费用，加强纪检监察机关办公效率，保障机关正常运行。</w:t>
            </w:r>
            <w:r>
              <w:tab/>
            </w:r>
            <w:r>
              <w:tab/>
            </w:r>
            <w:r>
              <w:tab/>
            </w:r>
            <w:r>
              <w:tab/>
            </w:r>
            <w:r>
              <w:tab/>
            </w:r>
          </w:p>
          <w:p>
            <w:pPr>
              <w:pStyle w:val="12"/>
            </w:pPr>
          </w:p>
          <w:p>
            <w:pPr>
              <w:pStyle w:val="12"/>
            </w:pPr>
            <w:r>
              <w:t>2.通过长期聘用人员的工作，保障机关食堂运行、档案管理等工作。</w:t>
            </w:r>
            <w:r>
              <w:tab/>
            </w:r>
            <w:r>
              <w:tab/>
            </w:r>
            <w:r>
              <w:tab/>
            </w:r>
            <w:r>
              <w:tab/>
            </w:r>
            <w:r>
              <w:tab/>
            </w:r>
          </w:p>
          <w:p>
            <w:pPr>
              <w:pStyle w:val="12"/>
            </w:pPr>
          </w:p>
          <w:p>
            <w:pPr>
              <w:pStyle w:val="12"/>
            </w:pPr>
            <w:r>
              <w:t>3.保证机关23个内设机构的文印工作的及时率及准确率。</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聘用人员数量</w:t>
            </w:r>
          </w:p>
        </w:tc>
        <w:tc>
          <w:tcPr>
            <w:tcW w:w="5386" w:type="dxa"/>
            <w:vAlign w:val="center"/>
          </w:tcPr>
          <w:p>
            <w:pPr>
              <w:pStyle w:val="12"/>
            </w:pPr>
            <w:r>
              <w:t>聘用人员数量</w:t>
            </w:r>
          </w:p>
        </w:tc>
        <w:tc>
          <w:tcPr>
            <w:tcW w:w="2268" w:type="dxa"/>
            <w:vAlign w:val="center"/>
          </w:tcPr>
          <w:p>
            <w:pPr>
              <w:pStyle w:val="12"/>
            </w:pPr>
            <w:r>
              <w:t>1人</w:t>
            </w:r>
          </w:p>
        </w:tc>
        <w:tc>
          <w:tcPr>
            <w:tcW w:w="1276" w:type="dxa"/>
            <w:vAlign w:val="center"/>
          </w:tcPr>
          <w:p>
            <w:pPr>
              <w:pStyle w:val="12"/>
            </w:pPr>
            <w:r>
              <w:t>《关于长期聘用人员王娟劳务费列入预算的请示项目实施计划》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交办给该人员的工作任务的完成率</w:t>
            </w:r>
          </w:p>
        </w:tc>
        <w:tc>
          <w:tcPr>
            <w:tcW w:w="2268" w:type="dxa"/>
            <w:vAlign w:val="center"/>
          </w:tcPr>
          <w:p>
            <w:pPr>
              <w:pStyle w:val="12"/>
            </w:pPr>
            <w:r>
              <w:t>≥95%</w:t>
            </w:r>
          </w:p>
        </w:tc>
        <w:tc>
          <w:tcPr>
            <w:tcW w:w="1276" w:type="dxa"/>
            <w:vAlign w:val="center"/>
          </w:tcPr>
          <w:p>
            <w:pPr>
              <w:pStyle w:val="12"/>
            </w:pPr>
            <w:r>
              <w:t>《关于将长期聘用人员王娟劳务费列入预算的请示》</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经费支出及时率</w:t>
            </w:r>
          </w:p>
        </w:tc>
        <w:tc>
          <w:tcPr>
            <w:tcW w:w="5386" w:type="dxa"/>
            <w:vAlign w:val="center"/>
          </w:tcPr>
          <w:p>
            <w:pPr>
              <w:pStyle w:val="12"/>
            </w:pPr>
            <w:r>
              <w:t>按照月进度支付聘用人员工资及缴纳保险的及时率</w:t>
            </w:r>
          </w:p>
        </w:tc>
        <w:tc>
          <w:tcPr>
            <w:tcW w:w="2268" w:type="dxa"/>
            <w:vAlign w:val="center"/>
          </w:tcPr>
          <w:p>
            <w:pPr>
              <w:pStyle w:val="12"/>
            </w:pPr>
            <w:r>
              <w:t>≥90%</w:t>
            </w:r>
          </w:p>
        </w:tc>
        <w:tc>
          <w:tcPr>
            <w:tcW w:w="1276" w:type="dxa"/>
            <w:vAlign w:val="center"/>
          </w:tcPr>
          <w:p>
            <w:pPr>
              <w:pStyle w:val="12"/>
            </w:pPr>
            <w:r>
              <w:t>《关于将长期聘用人员王娟劳务费列入预算的请示》</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长期聘用人员经费支出标准</w:t>
            </w:r>
          </w:p>
        </w:tc>
        <w:tc>
          <w:tcPr>
            <w:tcW w:w="5386" w:type="dxa"/>
            <w:vAlign w:val="center"/>
          </w:tcPr>
          <w:p>
            <w:pPr>
              <w:pStyle w:val="12"/>
            </w:pPr>
            <w:r>
              <w:t>每月支付的聘用人员工资及缴纳保险金额</w:t>
            </w:r>
          </w:p>
        </w:tc>
        <w:tc>
          <w:tcPr>
            <w:tcW w:w="2268" w:type="dxa"/>
            <w:vAlign w:val="center"/>
          </w:tcPr>
          <w:p>
            <w:pPr>
              <w:pStyle w:val="12"/>
            </w:pPr>
            <w:r>
              <w:t>5833.33元/月/人</w:t>
            </w:r>
          </w:p>
        </w:tc>
        <w:tc>
          <w:tcPr>
            <w:tcW w:w="1276" w:type="dxa"/>
            <w:vAlign w:val="center"/>
          </w:tcPr>
          <w:p>
            <w:pPr>
              <w:pStyle w:val="12"/>
            </w:pPr>
            <w:r>
              <w:t>《关于将长期聘用人员王娟劳务费列入预算的请示》</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提升单位办公及后勤管理水平</w:t>
            </w:r>
          </w:p>
        </w:tc>
        <w:tc>
          <w:tcPr>
            <w:tcW w:w="5386" w:type="dxa"/>
            <w:vAlign w:val="center"/>
          </w:tcPr>
          <w:p>
            <w:pPr>
              <w:pStyle w:val="12"/>
            </w:pPr>
            <w:r>
              <w:t>提升办公室及食堂等管理效率的水平</w:t>
            </w:r>
          </w:p>
        </w:tc>
        <w:tc>
          <w:tcPr>
            <w:tcW w:w="2268" w:type="dxa"/>
            <w:vAlign w:val="center"/>
          </w:tcPr>
          <w:p>
            <w:pPr>
              <w:pStyle w:val="12"/>
            </w:pPr>
            <w:r>
              <w:t>≥95%</w:t>
            </w:r>
          </w:p>
        </w:tc>
        <w:tc>
          <w:tcPr>
            <w:tcW w:w="1276" w:type="dxa"/>
            <w:vAlign w:val="center"/>
          </w:tcPr>
          <w:p>
            <w:pPr>
              <w:pStyle w:val="12"/>
            </w:pPr>
            <w:r>
              <w:t>《关于将长期聘用人员王娟劳务费列入预算的请示》</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领导对于长聘人员工作满意度</w:t>
            </w:r>
          </w:p>
        </w:tc>
        <w:tc>
          <w:tcPr>
            <w:tcW w:w="5386" w:type="dxa"/>
            <w:vAlign w:val="center"/>
          </w:tcPr>
          <w:p>
            <w:pPr>
              <w:pStyle w:val="12"/>
            </w:pPr>
            <w:r>
              <w:t>领导对于长聘人员工作效果的满意程度</w:t>
            </w:r>
          </w:p>
        </w:tc>
        <w:tc>
          <w:tcPr>
            <w:tcW w:w="2268" w:type="dxa"/>
            <w:vAlign w:val="center"/>
          </w:tcPr>
          <w:p>
            <w:pPr>
              <w:pStyle w:val="12"/>
            </w:pPr>
            <w:r>
              <w:t>≥90%</w:t>
            </w:r>
          </w:p>
        </w:tc>
        <w:tc>
          <w:tcPr>
            <w:tcW w:w="1276" w:type="dxa"/>
            <w:vAlign w:val="center"/>
          </w:tcPr>
          <w:p>
            <w:pPr>
              <w:pStyle w:val="12"/>
            </w:pPr>
            <w:r>
              <w:t>依据调查问卷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2、纪检办案业务费绩效目标表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13062525P000049100038</w:t>
            </w:r>
          </w:p>
        </w:tc>
        <w:tc>
          <w:tcPr>
            <w:tcW w:w="2835" w:type="dxa"/>
            <w:vAlign w:val="center"/>
          </w:tcPr>
          <w:p>
            <w:pPr>
              <w:pStyle w:val="10"/>
            </w:pPr>
            <w:r>
              <w:t>项目名称</w:t>
            </w:r>
          </w:p>
        </w:tc>
        <w:tc>
          <w:tcPr>
            <w:tcW w:w="6095" w:type="dxa"/>
            <w:gridSpan w:val="3"/>
            <w:vAlign w:val="center"/>
          </w:tcPr>
          <w:p>
            <w:pPr>
              <w:pStyle w:val="12"/>
            </w:pPr>
            <w:r>
              <w:t>纪检办案业务费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67.47</w:t>
            </w:r>
          </w:p>
        </w:tc>
        <w:tc>
          <w:tcPr>
            <w:tcW w:w="2835" w:type="dxa"/>
            <w:vAlign w:val="center"/>
          </w:tcPr>
          <w:p>
            <w:pPr>
              <w:pStyle w:val="10"/>
            </w:pPr>
            <w:r>
              <w:t>其中：财政    资金</w:t>
            </w:r>
          </w:p>
        </w:tc>
        <w:tc>
          <w:tcPr>
            <w:tcW w:w="2551" w:type="dxa"/>
            <w:vAlign w:val="center"/>
          </w:tcPr>
          <w:p>
            <w:pPr>
              <w:pStyle w:val="12"/>
            </w:pPr>
            <w:r>
              <w:t>67.47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关于全省县级纪检监察机关公用经费保障指导标准及有关事项的通知》（冀财行[2010]78号）文件，县级纪检监察机关人员、公用经费和纪检监察业务费全额纳入县级财政预算，确保纪检监察机关履行职能的需要。</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1.加强纪检监察机关行政保障工作，保证机关履职尽责，营造风清气正的政治生态。</w:t>
            </w:r>
            <w:r>
              <w:tab/>
            </w:r>
            <w:r>
              <w:tab/>
            </w:r>
            <w:r>
              <w:tab/>
            </w:r>
            <w:r>
              <w:tab/>
            </w:r>
            <w:r>
              <w:tab/>
            </w:r>
          </w:p>
          <w:p>
            <w:pPr>
              <w:pStyle w:val="12"/>
            </w:pPr>
          </w:p>
          <w:p>
            <w:pPr>
              <w:pStyle w:val="12"/>
            </w:pPr>
            <w:r>
              <w:t>2.确保办案办公经费、差旅费的支出及时全额保障，同时严把支出手续，保证经费支出合规率100%。</w:t>
            </w:r>
            <w:r>
              <w:tab/>
            </w:r>
            <w:r>
              <w:tab/>
            </w:r>
            <w:r>
              <w:tab/>
            </w:r>
            <w:r>
              <w:tab/>
            </w:r>
            <w:r>
              <w:tab/>
            </w:r>
          </w:p>
          <w:p>
            <w:pPr>
              <w:pStyle w:val="12"/>
            </w:pPr>
          </w:p>
          <w:p>
            <w:pPr>
              <w:pStyle w:val="12"/>
            </w:pPr>
            <w:r>
              <w:t>3.通过该项目保障机关运行办公经费支出，各项纪检业务工作完成率95%以上，成本控制在预算之内，遗留案件得到有效处理。</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年度差旅费支出金额</w:t>
            </w:r>
          </w:p>
        </w:tc>
        <w:tc>
          <w:tcPr>
            <w:tcW w:w="5386" w:type="dxa"/>
            <w:vAlign w:val="center"/>
          </w:tcPr>
          <w:p>
            <w:pPr>
              <w:pStyle w:val="12"/>
            </w:pPr>
            <w:r>
              <w:t>2025年度用于单位差旅费支出的金额</w:t>
            </w:r>
          </w:p>
        </w:tc>
        <w:tc>
          <w:tcPr>
            <w:tcW w:w="2268" w:type="dxa"/>
            <w:vAlign w:val="center"/>
          </w:tcPr>
          <w:p>
            <w:pPr>
              <w:pStyle w:val="12"/>
            </w:pPr>
            <w:r>
              <w:t>≤80000元</w:t>
            </w:r>
          </w:p>
        </w:tc>
        <w:tc>
          <w:tcPr>
            <w:tcW w:w="1276" w:type="dxa"/>
            <w:vAlign w:val="center"/>
          </w:tcPr>
          <w:p>
            <w:pPr>
              <w:pStyle w:val="12"/>
            </w:pPr>
            <w:r>
              <w:t>区纪委纪检办案业务费项目实施计划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监督检查次数</w:t>
            </w:r>
          </w:p>
        </w:tc>
        <w:tc>
          <w:tcPr>
            <w:tcW w:w="5386" w:type="dxa"/>
            <w:vAlign w:val="center"/>
          </w:tcPr>
          <w:p>
            <w:pPr>
              <w:pStyle w:val="12"/>
            </w:pPr>
            <w:r>
              <w:t>春节、清明、五一、端午、国庆、中秋等重要时间节点监督检查及违反中央八项规定精神及四风等方面专项监督检查次数</w:t>
            </w:r>
          </w:p>
        </w:tc>
        <w:tc>
          <w:tcPr>
            <w:tcW w:w="2268" w:type="dxa"/>
            <w:vAlign w:val="center"/>
          </w:tcPr>
          <w:p>
            <w:pPr>
              <w:pStyle w:val="12"/>
            </w:pPr>
            <w:r>
              <w:t>≥100次</w:t>
            </w:r>
          </w:p>
        </w:tc>
        <w:tc>
          <w:tcPr>
            <w:tcW w:w="1276" w:type="dxa"/>
            <w:vAlign w:val="center"/>
          </w:tcPr>
          <w:p>
            <w:pPr>
              <w:pStyle w:val="12"/>
            </w:pPr>
            <w:r>
              <w:t>区纪委纪检办案业务费项目实施计划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差旅费报销合规率</w:t>
            </w:r>
          </w:p>
        </w:tc>
        <w:tc>
          <w:tcPr>
            <w:tcW w:w="5386" w:type="dxa"/>
            <w:vAlign w:val="center"/>
          </w:tcPr>
          <w:p>
            <w:pPr>
              <w:pStyle w:val="12"/>
            </w:pPr>
            <w:r>
              <w:t>支付的差旅费审批流程合规的比例</w:t>
            </w:r>
          </w:p>
        </w:tc>
        <w:tc>
          <w:tcPr>
            <w:tcW w:w="2268" w:type="dxa"/>
            <w:vAlign w:val="center"/>
          </w:tcPr>
          <w:p>
            <w:pPr>
              <w:pStyle w:val="12"/>
            </w:pPr>
            <w:r>
              <w:t>100%</w:t>
            </w:r>
          </w:p>
        </w:tc>
        <w:tc>
          <w:tcPr>
            <w:tcW w:w="1276" w:type="dxa"/>
            <w:vAlign w:val="center"/>
          </w:tcPr>
          <w:p>
            <w:pPr>
              <w:pStyle w:val="12"/>
            </w:pPr>
            <w:r>
              <w:t>冀财行[2010]78号 《关于全省县级纪检</w:t>
            </w:r>
            <w:r>
              <w:rPr>
                <w:rFonts w:hint="eastAsia"/>
                <w:lang w:val="en-US" w:eastAsia="zh-CN"/>
              </w:rPr>
              <w:t>监察</w:t>
            </w:r>
            <w:r>
              <w:t>机关公用经费保障指导标准及有关事项的通知》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差旅费报销及时率</w:t>
            </w:r>
          </w:p>
        </w:tc>
        <w:tc>
          <w:tcPr>
            <w:tcW w:w="5386" w:type="dxa"/>
            <w:vAlign w:val="center"/>
          </w:tcPr>
          <w:p>
            <w:pPr>
              <w:pStyle w:val="12"/>
            </w:pPr>
            <w:r>
              <w:t>在公务卡还款时限内完成报销，以免影响公务卡使用</w:t>
            </w:r>
          </w:p>
        </w:tc>
        <w:tc>
          <w:tcPr>
            <w:tcW w:w="2268" w:type="dxa"/>
            <w:vAlign w:val="center"/>
          </w:tcPr>
          <w:p>
            <w:pPr>
              <w:pStyle w:val="12"/>
            </w:pPr>
            <w:r>
              <w:t>≥90%</w:t>
            </w:r>
          </w:p>
        </w:tc>
        <w:tc>
          <w:tcPr>
            <w:tcW w:w="1276" w:type="dxa"/>
            <w:vAlign w:val="center"/>
          </w:tcPr>
          <w:p>
            <w:pPr>
              <w:pStyle w:val="12"/>
            </w:pPr>
            <w:r>
              <w:t>区纪委纪检办案业务费项目实施计划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办公费成本控制数</w:t>
            </w:r>
          </w:p>
        </w:tc>
        <w:tc>
          <w:tcPr>
            <w:tcW w:w="5386" w:type="dxa"/>
            <w:vAlign w:val="center"/>
          </w:tcPr>
          <w:p>
            <w:pPr>
              <w:pStyle w:val="12"/>
            </w:pPr>
            <w:r>
              <w:t>2025年办公费支出费用</w:t>
            </w:r>
          </w:p>
        </w:tc>
        <w:tc>
          <w:tcPr>
            <w:tcW w:w="2268" w:type="dxa"/>
            <w:vAlign w:val="center"/>
          </w:tcPr>
          <w:p>
            <w:pPr>
              <w:pStyle w:val="12"/>
            </w:pPr>
            <w:r>
              <w:t>≤178918元</w:t>
            </w:r>
          </w:p>
        </w:tc>
        <w:tc>
          <w:tcPr>
            <w:tcW w:w="1276" w:type="dxa"/>
            <w:vAlign w:val="center"/>
          </w:tcPr>
          <w:p>
            <w:pPr>
              <w:pStyle w:val="12"/>
            </w:pPr>
            <w:r>
              <w:t>区纪委纪检办案业务费项目实施计划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车辆经费成本控制数</w:t>
            </w:r>
          </w:p>
        </w:tc>
        <w:tc>
          <w:tcPr>
            <w:tcW w:w="5386" w:type="dxa"/>
            <w:vAlign w:val="center"/>
          </w:tcPr>
          <w:p>
            <w:pPr>
              <w:pStyle w:val="12"/>
            </w:pPr>
            <w:r>
              <w:t>2025年车辆经费支出费用</w:t>
            </w:r>
          </w:p>
        </w:tc>
        <w:tc>
          <w:tcPr>
            <w:tcW w:w="2268" w:type="dxa"/>
            <w:vAlign w:val="center"/>
          </w:tcPr>
          <w:p>
            <w:pPr>
              <w:pStyle w:val="12"/>
            </w:pPr>
            <w:r>
              <w:t>≤145800元</w:t>
            </w:r>
          </w:p>
        </w:tc>
        <w:tc>
          <w:tcPr>
            <w:tcW w:w="1276" w:type="dxa"/>
            <w:vAlign w:val="center"/>
          </w:tcPr>
          <w:p>
            <w:pPr>
              <w:pStyle w:val="12"/>
            </w:pPr>
            <w:r>
              <w:t>区纪委纪检办案业务费项目实施计划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其他交通费用（租车）成本控制数</w:t>
            </w:r>
          </w:p>
        </w:tc>
        <w:tc>
          <w:tcPr>
            <w:tcW w:w="5386" w:type="dxa"/>
            <w:vAlign w:val="center"/>
          </w:tcPr>
          <w:p>
            <w:pPr>
              <w:pStyle w:val="12"/>
            </w:pPr>
            <w:r>
              <w:t>2025年纪检办案租车支出费用</w:t>
            </w:r>
          </w:p>
        </w:tc>
        <w:tc>
          <w:tcPr>
            <w:tcW w:w="2268" w:type="dxa"/>
            <w:vAlign w:val="center"/>
          </w:tcPr>
          <w:p>
            <w:pPr>
              <w:pStyle w:val="12"/>
            </w:pPr>
            <w:r>
              <w:t>≤60000元</w:t>
            </w:r>
          </w:p>
        </w:tc>
        <w:tc>
          <w:tcPr>
            <w:tcW w:w="1276" w:type="dxa"/>
            <w:vAlign w:val="center"/>
          </w:tcPr>
          <w:p>
            <w:pPr>
              <w:pStyle w:val="12"/>
            </w:pPr>
            <w:r>
              <w:t>区纪委纪检办案业务费项目实施计划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维修维护费成本控制数</w:t>
            </w:r>
          </w:p>
        </w:tc>
        <w:tc>
          <w:tcPr>
            <w:tcW w:w="5386" w:type="dxa"/>
            <w:vAlign w:val="center"/>
          </w:tcPr>
          <w:p>
            <w:pPr>
              <w:pStyle w:val="12"/>
            </w:pPr>
            <w:r>
              <w:t>2025年维修维护支出费用</w:t>
            </w:r>
          </w:p>
        </w:tc>
        <w:tc>
          <w:tcPr>
            <w:tcW w:w="2268" w:type="dxa"/>
            <w:vAlign w:val="center"/>
          </w:tcPr>
          <w:p>
            <w:pPr>
              <w:pStyle w:val="12"/>
            </w:pPr>
            <w:r>
              <w:t>≤210000元</w:t>
            </w:r>
          </w:p>
        </w:tc>
        <w:tc>
          <w:tcPr>
            <w:tcW w:w="1276" w:type="dxa"/>
            <w:vAlign w:val="center"/>
          </w:tcPr>
          <w:p>
            <w:pPr>
              <w:pStyle w:val="12"/>
            </w:pPr>
            <w:r>
              <w:t>区纪委纪检办案业务费项目实施计划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风清气正政治生态提升度</w:t>
            </w:r>
          </w:p>
        </w:tc>
        <w:tc>
          <w:tcPr>
            <w:tcW w:w="5386" w:type="dxa"/>
            <w:vAlign w:val="center"/>
          </w:tcPr>
          <w:p>
            <w:pPr>
              <w:pStyle w:val="12"/>
            </w:pPr>
            <w:r>
              <w:t>通过单位履职尽责，营造的政治生态风清气正的程度</w:t>
            </w:r>
          </w:p>
        </w:tc>
        <w:tc>
          <w:tcPr>
            <w:tcW w:w="2268" w:type="dxa"/>
            <w:vAlign w:val="center"/>
          </w:tcPr>
          <w:p>
            <w:pPr>
              <w:pStyle w:val="12"/>
            </w:pPr>
            <w:r>
              <w:t>≥90%</w:t>
            </w:r>
          </w:p>
        </w:tc>
        <w:tc>
          <w:tcPr>
            <w:tcW w:w="1276" w:type="dxa"/>
            <w:vAlign w:val="center"/>
          </w:tcPr>
          <w:p>
            <w:pPr>
              <w:pStyle w:val="12"/>
            </w:pPr>
            <w:r>
              <w:t>区纪委纪检办案业务费项目实施计划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一线办案人员对于办案经费保障满意率</w:t>
            </w:r>
          </w:p>
        </w:tc>
        <w:tc>
          <w:tcPr>
            <w:tcW w:w="5386" w:type="dxa"/>
            <w:vAlign w:val="center"/>
          </w:tcPr>
          <w:p>
            <w:pPr>
              <w:pStyle w:val="12"/>
            </w:pPr>
            <w:r>
              <w:t>一线办案人员对于日常公用经费保障及时性、准确性等满意程度</w:t>
            </w:r>
          </w:p>
        </w:tc>
        <w:tc>
          <w:tcPr>
            <w:tcW w:w="2268" w:type="dxa"/>
            <w:vAlign w:val="center"/>
          </w:tcPr>
          <w:p>
            <w:pPr>
              <w:pStyle w:val="12"/>
            </w:pPr>
            <w:r>
              <w:t>≥90%</w:t>
            </w:r>
          </w:p>
        </w:tc>
        <w:tc>
          <w:tcPr>
            <w:tcW w:w="1276" w:type="dxa"/>
            <w:vAlign w:val="center"/>
          </w:tcPr>
          <w:p>
            <w:pPr>
              <w:pStyle w:val="12"/>
            </w:pPr>
            <w:r>
              <w:t>依据满意度调查问卷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3、纪检保障经费绩效目标表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13062525P000049100011</w:t>
            </w:r>
          </w:p>
        </w:tc>
        <w:tc>
          <w:tcPr>
            <w:tcW w:w="2835" w:type="dxa"/>
            <w:vAlign w:val="center"/>
          </w:tcPr>
          <w:p>
            <w:pPr>
              <w:pStyle w:val="10"/>
            </w:pPr>
            <w:r>
              <w:t>项目名称</w:t>
            </w:r>
          </w:p>
        </w:tc>
        <w:tc>
          <w:tcPr>
            <w:tcW w:w="6095" w:type="dxa"/>
            <w:gridSpan w:val="3"/>
            <w:vAlign w:val="center"/>
          </w:tcPr>
          <w:p>
            <w:pPr>
              <w:pStyle w:val="12"/>
            </w:pPr>
            <w:r>
              <w:t>纪检保障经费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36.04</w:t>
            </w:r>
          </w:p>
        </w:tc>
        <w:tc>
          <w:tcPr>
            <w:tcW w:w="2835" w:type="dxa"/>
            <w:vAlign w:val="center"/>
          </w:tcPr>
          <w:p>
            <w:pPr>
              <w:pStyle w:val="10"/>
            </w:pPr>
            <w:r>
              <w:t>其中：财政    资金</w:t>
            </w:r>
          </w:p>
        </w:tc>
        <w:tc>
          <w:tcPr>
            <w:tcW w:w="2551" w:type="dxa"/>
            <w:vAlign w:val="center"/>
          </w:tcPr>
          <w:p>
            <w:pPr>
              <w:pStyle w:val="12"/>
            </w:pPr>
            <w:r>
              <w:t>36.04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根据关于全省县级纪检监察机关公共经费保障指导标准及有关事项的通知》（冀财行[2010]78号）文件，县级纪检监察机关的人员、公用经费和纪检监察业务费全额纳入县级财政预算，确保纪检监察机关履行职能的需要。</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1.通过劳务派遣公司聘用三名保安，保障办公秩序良好。发放12个月工资。</w:t>
            </w:r>
            <w:r>
              <w:tab/>
            </w:r>
            <w:r>
              <w:tab/>
            </w:r>
            <w:r>
              <w:tab/>
            </w:r>
            <w:r>
              <w:tab/>
            </w:r>
            <w:r>
              <w:tab/>
            </w:r>
          </w:p>
          <w:p>
            <w:pPr>
              <w:pStyle w:val="12"/>
            </w:pPr>
          </w:p>
          <w:p>
            <w:pPr>
              <w:pStyle w:val="12"/>
            </w:pPr>
            <w:r>
              <w:t>2.通过劳务派遣公司聘用两名保洁，保障办公环境良好。发放12个月工资。</w:t>
            </w:r>
            <w:r>
              <w:tab/>
            </w:r>
            <w:r>
              <w:tab/>
            </w:r>
            <w:r>
              <w:tab/>
            </w:r>
            <w:r>
              <w:tab/>
            </w:r>
            <w:r>
              <w:tab/>
            </w:r>
          </w:p>
          <w:p>
            <w:pPr>
              <w:pStyle w:val="12"/>
            </w:pPr>
          </w:p>
          <w:p>
            <w:pPr>
              <w:pStyle w:val="12"/>
            </w:pPr>
            <w:r>
              <w:t>3.保证机关日常办公费、维修维护、保安保洁等劳务费等公用支出， 加强纪检监察机关公用经费保障，保证机关履职尽责。</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保安人员数量</w:t>
            </w:r>
          </w:p>
        </w:tc>
        <w:tc>
          <w:tcPr>
            <w:tcW w:w="5386" w:type="dxa"/>
            <w:vAlign w:val="center"/>
          </w:tcPr>
          <w:p>
            <w:pPr>
              <w:pStyle w:val="12"/>
            </w:pPr>
            <w:r>
              <w:t>通过劳务派遣公司聘用的保安数量</w:t>
            </w:r>
          </w:p>
        </w:tc>
        <w:tc>
          <w:tcPr>
            <w:tcW w:w="2268" w:type="dxa"/>
            <w:vAlign w:val="center"/>
          </w:tcPr>
          <w:p>
            <w:pPr>
              <w:pStyle w:val="12"/>
            </w:pPr>
            <w:r>
              <w:t>3人</w:t>
            </w:r>
          </w:p>
        </w:tc>
        <w:tc>
          <w:tcPr>
            <w:tcW w:w="1276" w:type="dxa"/>
            <w:vAlign w:val="center"/>
          </w:tcPr>
          <w:p>
            <w:pPr>
              <w:pStyle w:val="12"/>
            </w:pPr>
            <w:r>
              <w:t>保安服务合同</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保洁人员数量</w:t>
            </w:r>
          </w:p>
        </w:tc>
        <w:tc>
          <w:tcPr>
            <w:tcW w:w="5386" w:type="dxa"/>
            <w:vAlign w:val="center"/>
          </w:tcPr>
          <w:p>
            <w:pPr>
              <w:pStyle w:val="12"/>
            </w:pPr>
            <w:r>
              <w:t>通过劳务派遣公司聘用的保洁数量</w:t>
            </w:r>
          </w:p>
        </w:tc>
        <w:tc>
          <w:tcPr>
            <w:tcW w:w="2268" w:type="dxa"/>
            <w:vAlign w:val="center"/>
          </w:tcPr>
          <w:p>
            <w:pPr>
              <w:pStyle w:val="12"/>
            </w:pPr>
            <w:r>
              <w:t>2人</w:t>
            </w:r>
          </w:p>
        </w:tc>
        <w:tc>
          <w:tcPr>
            <w:tcW w:w="1276" w:type="dxa"/>
            <w:vAlign w:val="center"/>
          </w:tcPr>
          <w:p>
            <w:pPr>
              <w:pStyle w:val="12"/>
            </w:pPr>
            <w:r>
              <w:t>保洁服务合同</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开展培训次数</w:t>
            </w:r>
          </w:p>
        </w:tc>
        <w:tc>
          <w:tcPr>
            <w:tcW w:w="5386" w:type="dxa"/>
            <w:vAlign w:val="center"/>
          </w:tcPr>
          <w:p>
            <w:pPr>
              <w:pStyle w:val="12"/>
            </w:pPr>
            <w:r>
              <w:t>年度内开展的集中培训次数</w:t>
            </w:r>
          </w:p>
        </w:tc>
        <w:tc>
          <w:tcPr>
            <w:tcW w:w="2268" w:type="dxa"/>
            <w:vAlign w:val="center"/>
          </w:tcPr>
          <w:p>
            <w:pPr>
              <w:pStyle w:val="12"/>
            </w:pPr>
            <w:r>
              <w:t>≥48次</w:t>
            </w:r>
          </w:p>
        </w:tc>
        <w:tc>
          <w:tcPr>
            <w:tcW w:w="1276" w:type="dxa"/>
            <w:vAlign w:val="center"/>
          </w:tcPr>
          <w:p>
            <w:pPr>
              <w:pStyle w:val="12"/>
            </w:pPr>
            <w:r>
              <w:t>纪检保障经费（日常定额）项目实施计划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办公场所环境整洁率</w:t>
            </w:r>
          </w:p>
        </w:tc>
        <w:tc>
          <w:tcPr>
            <w:tcW w:w="5386" w:type="dxa"/>
            <w:vAlign w:val="center"/>
          </w:tcPr>
          <w:p>
            <w:pPr>
              <w:pStyle w:val="12"/>
            </w:pPr>
            <w:r>
              <w:t>办公楼、院落等办公场所的整洁程度</w:t>
            </w:r>
          </w:p>
        </w:tc>
        <w:tc>
          <w:tcPr>
            <w:tcW w:w="2268" w:type="dxa"/>
            <w:vAlign w:val="center"/>
          </w:tcPr>
          <w:p>
            <w:pPr>
              <w:pStyle w:val="12"/>
            </w:pPr>
            <w:r>
              <w:t>≥95%</w:t>
            </w:r>
          </w:p>
        </w:tc>
        <w:tc>
          <w:tcPr>
            <w:tcW w:w="1276" w:type="dxa"/>
            <w:vAlign w:val="center"/>
          </w:tcPr>
          <w:p>
            <w:pPr>
              <w:pStyle w:val="12"/>
            </w:pPr>
            <w:r>
              <w:t>纪检保障经费（日常定额）项目实施计划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经费支出及时率</w:t>
            </w:r>
          </w:p>
        </w:tc>
        <w:tc>
          <w:tcPr>
            <w:tcW w:w="5386" w:type="dxa"/>
            <w:vAlign w:val="center"/>
          </w:tcPr>
          <w:p>
            <w:pPr>
              <w:pStyle w:val="12"/>
            </w:pPr>
            <w:r>
              <w:t>按进度支付劳务费的及时程度</w:t>
            </w:r>
          </w:p>
        </w:tc>
        <w:tc>
          <w:tcPr>
            <w:tcW w:w="2268" w:type="dxa"/>
            <w:vAlign w:val="center"/>
          </w:tcPr>
          <w:p>
            <w:pPr>
              <w:pStyle w:val="12"/>
            </w:pPr>
            <w:r>
              <w:t>≥90%</w:t>
            </w:r>
          </w:p>
        </w:tc>
        <w:tc>
          <w:tcPr>
            <w:tcW w:w="1276" w:type="dxa"/>
            <w:vAlign w:val="center"/>
          </w:tcPr>
          <w:p>
            <w:pPr>
              <w:pStyle w:val="12"/>
            </w:pPr>
            <w:r>
              <w:t>纪检保障经费（日常定额）项目实施计划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保洁劳务费月支出标准</w:t>
            </w:r>
          </w:p>
        </w:tc>
        <w:tc>
          <w:tcPr>
            <w:tcW w:w="5386" w:type="dxa"/>
            <w:vAlign w:val="center"/>
          </w:tcPr>
          <w:p>
            <w:pPr>
              <w:pStyle w:val="12"/>
            </w:pPr>
            <w:r>
              <w:t>每月按照合同规定支付的劳务费金额</w:t>
            </w:r>
          </w:p>
        </w:tc>
        <w:tc>
          <w:tcPr>
            <w:tcW w:w="2268" w:type="dxa"/>
            <w:vAlign w:val="center"/>
          </w:tcPr>
          <w:p>
            <w:pPr>
              <w:pStyle w:val="12"/>
            </w:pPr>
            <w:r>
              <w:t>≤6900元/月</w:t>
            </w:r>
          </w:p>
        </w:tc>
        <w:tc>
          <w:tcPr>
            <w:tcW w:w="1276" w:type="dxa"/>
            <w:vAlign w:val="center"/>
          </w:tcPr>
          <w:p>
            <w:pPr>
              <w:pStyle w:val="12"/>
            </w:pPr>
            <w:r>
              <w:t>保洁承包合同</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保安劳务费月支出标准</w:t>
            </w:r>
          </w:p>
        </w:tc>
        <w:tc>
          <w:tcPr>
            <w:tcW w:w="5386" w:type="dxa"/>
            <w:vAlign w:val="center"/>
          </w:tcPr>
          <w:p>
            <w:pPr>
              <w:pStyle w:val="12"/>
            </w:pPr>
            <w:r>
              <w:t>每月按照合同规定支付的劳务费金额</w:t>
            </w:r>
          </w:p>
        </w:tc>
        <w:tc>
          <w:tcPr>
            <w:tcW w:w="2268" w:type="dxa"/>
            <w:vAlign w:val="center"/>
          </w:tcPr>
          <w:p>
            <w:pPr>
              <w:pStyle w:val="12"/>
            </w:pPr>
            <w:r>
              <w:t>≤9000元/月</w:t>
            </w:r>
          </w:p>
        </w:tc>
        <w:tc>
          <w:tcPr>
            <w:tcW w:w="1276" w:type="dxa"/>
            <w:vAlign w:val="center"/>
          </w:tcPr>
          <w:p>
            <w:pPr>
              <w:pStyle w:val="12"/>
            </w:pPr>
            <w:r>
              <w:t>保安服务合同</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办公费用预算成本控制数</w:t>
            </w:r>
          </w:p>
        </w:tc>
        <w:tc>
          <w:tcPr>
            <w:tcW w:w="5386" w:type="dxa"/>
            <w:vAlign w:val="center"/>
          </w:tcPr>
          <w:p>
            <w:pPr>
              <w:pStyle w:val="12"/>
            </w:pPr>
            <w:r>
              <w:t>反映全年支付的办公费</w:t>
            </w:r>
          </w:p>
        </w:tc>
        <w:tc>
          <w:tcPr>
            <w:tcW w:w="2268" w:type="dxa"/>
            <w:vAlign w:val="center"/>
          </w:tcPr>
          <w:p>
            <w:pPr>
              <w:pStyle w:val="12"/>
            </w:pPr>
            <w:r>
              <w:t>≤169600元</w:t>
            </w:r>
          </w:p>
        </w:tc>
        <w:tc>
          <w:tcPr>
            <w:tcW w:w="1276" w:type="dxa"/>
            <w:vAlign w:val="center"/>
          </w:tcPr>
          <w:p>
            <w:pPr>
              <w:pStyle w:val="12"/>
            </w:pPr>
            <w:r>
              <w:t>纪检保障经费（日常定额）项目实施计划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环境提升度</w:t>
            </w:r>
          </w:p>
        </w:tc>
        <w:tc>
          <w:tcPr>
            <w:tcW w:w="5386" w:type="dxa"/>
            <w:vAlign w:val="center"/>
          </w:tcPr>
          <w:p>
            <w:pPr>
              <w:pStyle w:val="12"/>
            </w:pPr>
            <w:r>
              <w:t>通过对单位环境的提升与维护，提升所在城区环境整洁度的程度</w:t>
            </w:r>
          </w:p>
        </w:tc>
        <w:tc>
          <w:tcPr>
            <w:tcW w:w="2268" w:type="dxa"/>
            <w:vAlign w:val="center"/>
          </w:tcPr>
          <w:p>
            <w:pPr>
              <w:pStyle w:val="12"/>
            </w:pPr>
            <w:r>
              <w:t>≥90%</w:t>
            </w:r>
          </w:p>
        </w:tc>
        <w:tc>
          <w:tcPr>
            <w:tcW w:w="1276" w:type="dxa"/>
            <w:vAlign w:val="center"/>
          </w:tcPr>
          <w:p>
            <w:pPr>
              <w:pStyle w:val="12"/>
            </w:pPr>
            <w:r>
              <w:t>纪检保障经费（日常定额）项目实施计划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机关工作人员对于办公环境满意度</w:t>
            </w:r>
          </w:p>
        </w:tc>
        <w:tc>
          <w:tcPr>
            <w:tcW w:w="5386" w:type="dxa"/>
            <w:vAlign w:val="center"/>
          </w:tcPr>
          <w:p>
            <w:pPr>
              <w:pStyle w:val="12"/>
            </w:pPr>
            <w:r>
              <w:t>一线办案人员对于日常公用经费保障及时性、准确性等满意程度</w:t>
            </w:r>
          </w:p>
        </w:tc>
        <w:tc>
          <w:tcPr>
            <w:tcW w:w="2268" w:type="dxa"/>
            <w:vAlign w:val="center"/>
          </w:tcPr>
          <w:p>
            <w:pPr>
              <w:pStyle w:val="12"/>
            </w:pPr>
            <w:r>
              <w:t>≥90%</w:t>
            </w:r>
          </w:p>
        </w:tc>
        <w:tc>
          <w:tcPr>
            <w:tcW w:w="1276" w:type="dxa"/>
            <w:vAlign w:val="center"/>
          </w:tcPr>
          <w:p>
            <w:pPr>
              <w:pStyle w:val="12"/>
            </w:pPr>
            <w:r>
              <w:t>依据满意度问卷调查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4、区纪委监委后勤保障费用绩效目标表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13062525P00002410082Q</w:t>
            </w:r>
          </w:p>
        </w:tc>
        <w:tc>
          <w:tcPr>
            <w:tcW w:w="2835" w:type="dxa"/>
            <w:vAlign w:val="center"/>
          </w:tcPr>
          <w:p>
            <w:pPr>
              <w:pStyle w:val="10"/>
            </w:pPr>
            <w:r>
              <w:t>项目名称</w:t>
            </w:r>
          </w:p>
        </w:tc>
        <w:tc>
          <w:tcPr>
            <w:tcW w:w="6095" w:type="dxa"/>
            <w:gridSpan w:val="3"/>
            <w:vAlign w:val="center"/>
          </w:tcPr>
          <w:p>
            <w:pPr>
              <w:pStyle w:val="12"/>
            </w:pPr>
            <w:r>
              <w:t>区纪委监委后勤保障费用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进一步推动全区党风廉政建设和反腐败工作高质量发展，区纪委监委围绕区委决策部署跟进监督，一体推进“三不腐”提升案件办理质效，承办多起市纪委监委指定管辖案件，同时办理我区自办留置案件，日常工作日益繁重，为提高工作效率，保障纪检监察工作顺畅开展，参照《徐水区机关服务中心食堂管理实施办法》，特申请后勤保障费用30万元，并列入每年预算。</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1.深入学习贯彻党的二十大精神，在新征程上坚定不移推进全面从严治党，保障纪检监察工作顺利开展。</w:t>
            </w:r>
            <w:r>
              <w:tab/>
            </w:r>
            <w:r>
              <w:tab/>
            </w:r>
            <w:r>
              <w:tab/>
            </w:r>
            <w:r>
              <w:tab/>
            </w:r>
            <w:r>
              <w:tab/>
            </w:r>
          </w:p>
          <w:p>
            <w:pPr>
              <w:pStyle w:val="12"/>
            </w:pPr>
          </w:p>
          <w:p>
            <w:pPr>
              <w:pStyle w:val="12"/>
            </w:pPr>
            <w:r>
              <w:t>2.保障监督检查、审查调查及上级交办的指定管辖案件等工作的开展，提供后勤保障服务，食堂开放率100%。</w:t>
            </w:r>
            <w:r>
              <w:tab/>
            </w:r>
            <w:r>
              <w:tab/>
            </w:r>
            <w:r>
              <w:tab/>
            </w:r>
            <w:r>
              <w:tab/>
            </w:r>
            <w:r>
              <w:tab/>
            </w:r>
          </w:p>
          <w:p>
            <w:pPr>
              <w:pStyle w:val="12"/>
            </w:pPr>
          </w:p>
          <w:p>
            <w:pPr>
              <w:pStyle w:val="12"/>
            </w:pPr>
            <w:r>
              <w:t>3.该项目本年度实施，要按月支出，2025年11月底支出完毕。</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聘用厨师人数</w:t>
            </w:r>
          </w:p>
        </w:tc>
        <w:tc>
          <w:tcPr>
            <w:tcW w:w="5386" w:type="dxa"/>
            <w:vAlign w:val="center"/>
          </w:tcPr>
          <w:p>
            <w:pPr>
              <w:pStyle w:val="12"/>
            </w:pPr>
            <w:r>
              <w:t>通过劳务派遣公司聘用的厨师人数</w:t>
            </w:r>
          </w:p>
        </w:tc>
        <w:tc>
          <w:tcPr>
            <w:tcW w:w="2268" w:type="dxa"/>
            <w:vAlign w:val="center"/>
          </w:tcPr>
          <w:p>
            <w:pPr>
              <w:pStyle w:val="12"/>
            </w:pPr>
            <w:r>
              <w:t>2人</w:t>
            </w:r>
          </w:p>
        </w:tc>
        <w:tc>
          <w:tcPr>
            <w:tcW w:w="1276" w:type="dxa"/>
            <w:vAlign w:val="center"/>
          </w:tcPr>
          <w:p>
            <w:pPr>
              <w:pStyle w:val="12"/>
            </w:pPr>
            <w:r>
              <w:t>按照项目实施计划要求</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食堂采购食材质量合格率</w:t>
            </w:r>
          </w:p>
        </w:tc>
        <w:tc>
          <w:tcPr>
            <w:tcW w:w="5386" w:type="dxa"/>
            <w:vAlign w:val="center"/>
          </w:tcPr>
          <w:p>
            <w:pPr>
              <w:pStyle w:val="12"/>
            </w:pPr>
            <w:r>
              <w:t>食堂采购的蔬菜、米面等食材合格率</w:t>
            </w:r>
          </w:p>
        </w:tc>
        <w:tc>
          <w:tcPr>
            <w:tcW w:w="2268" w:type="dxa"/>
            <w:vAlign w:val="center"/>
          </w:tcPr>
          <w:p>
            <w:pPr>
              <w:pStyle w:val="12"/>
            </w:pPr>
            <w:r>
              <w:t>100%</w:t>
            </w:r>
          </w:p>
        </w:tc>
        <w:tc>
          <w:tcPr>
            <w:tcW w:w="1276" w:type="dxa"/>
            <w:vAlign w:val="center"/>
          </w:tcPr>
          <w:p>
            <w:pPr>
              <w:pStyle w:val="12"/>
            </w:pPr>
            <w:r>
              <w:t>按照项目实施计划要求</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厨师劳务费支付及时率</w:t>
            </w:r>
          </w:p>
        </w:tc>
        <w:tc>
          <w:tcPr>
            <w:tcW w:w="5386" w:type="dxa"/>
            <w:vAlign w:val="center"/>
          </w:tcPr>
          <w:p>
            <w:pPr>
              <w:pStyle w:val="12"/>
            </w:pPr>
            <w:r>
              <w:t>按照合同规定按时支付厨师劳务费的及时程度</w:t>
            </w:r>
          </w:p>
        </w:tc>
        <w:tc>
          <w:tcPr>
            <w:tcW w:w="2268" w:type="dxa"/>
            <w:vAlign w:val="center"/>
          </w:tcPr>
          <w:p>
            <w:pPr>
              <w:pStyle w:val="12"/>
            </w:pPr>
            <w:r>
              <w:t>≥90%</w:t>
            </w:r>
          </w:p>
        </w:tc>
        <w:tc>
          <w:tcPr>
            <w:tcW w:w="1276" w:type="dxa"/>
            <w:vAlign w:val="center"/>
          </w:tcPr>
          <w:p>
            <w:pPr>
              <w:pStyle w:val="12"/>
            </w:pPr>
            <w:r>
              <w:t>按照项目实施计划要求</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食堂月支出成本</w:t>
            </w:r>
          </w:p>
        </w:tc>
        <w:tc>
          <w:tcPr>
            <w:tcW w:w="5386" w:type="dxa"/>
            <w:vAlign w:val="center"/>
          </w:tcPr>
          <w:p>
            <w:pPr>
              <w:pStyle w:val="12"/>
            </w:pPr>
            <w:r>
              <w:t>每月食堂平均购买食材等的支出金额</w:t>
            </w:r>
          </w:p>
        </w:tc>
        <w:tc>
          <w:tcPr>
            <w:tcW w:w="2268" w:type="dxa"/>
            <w:vAlign w:val="center"/>
          </w:tcPr>
          <w:p>
            <w:pPr>
              <w:pStyle w:val="12"/>
            </w:pPr>
            <w:r>
              <w:t>2万元</w:t>
            </w:r>
          </w:p>
        </w:tc>
        <w:tc>
          <w:tcPr>
            <w:tcW w:w="1276" w:type="dxa"/>
            <w:vAlign w:val="center"/>
          </w:tcPr>
          <w:p>
            <w:pPr>
              <w:pStyle w:val="12"/>
            </w:pPr>
            <w:r>
              <w:t>按照项目实施计划要求</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年度内劳务费支出额</w:t>
            </w:r>
          </w:p>
        </w:tc>
        <w:tc>
          <w:tcPr>
            <w:tcW w:w="5386" w:type="dxa"/>
            <w:vAlign w:val="center"/>
          </w:tcPr>
          <w:p>
            <w:pPr>
              <w:pStyle w:val="12"/>
            </w:pPr>
            <w:r>
              <w:t>每年用于支付厨师劳务费的支出金额</w:t>
            </w:r>
          </w:p>
        </w:tc>
        <w:tc>
          <w:tcPr>
            <w:tcW w:w="2268" w:type="dxa"/>
            <w:vAlign w:val="center"/>
          </w:tcPr>
          <w:p>
            <w:pPr>
              <w:pStyle w:val="12"/>
            </w:pPr>
            <w:r>
              <w:t>6万元</w:t>
            </w:r>
          </w:p>
        </w:tc>
        <w:tc>
          <w:tcPr>
            <w:tcW w:w="1276" w:type="dxa"/>
            <w:vAlign w:val="center"/>
          </w:tcPr>
          <w:p>
            <w:pPr>
              <w:pStyle w:val="12"/>
            </w:pPr>
            <w:r>
              <w:t>按照项目实施计划要求</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提升纪检监察干部工作作风</w:t>
            </w:r>
          </w:p>
        </w:tc>
        <w:tc>
          <w:tcPr>
            <w:tcW w:w="5386" w:type="dxa"/>
            <w:vAlign w:val="center"/>
          </w:tcPr>
          <w:p>
            <w:pPr>
              <w:pStyle w:val="12"/>
            </w:pPr>
            <w:r>
              <w:t>提高后勤保障能力，改善纪检干部工作作风</w:t>
            </w:r>
          </w:p>
        </w:tc>
        <w:tc>
          <w:tcPr>
            <w:tcW w:w="2268" w:type="dxa"/>
            <w:vAlign w:val="center"/>
          </w:tcPr>
          <w:p>
            <w:pPr>
              <w:pStyle w:val="12"/>
            </w:pPr>
            <w:r>
              <w:t>≥95%</w:t>
            </w:r>
          </w:p>
        </w:tc>
        <w:tc>
          <w:tcPr>
            <w:tcW w:w="1276" w:type="dxa"/>
            <w:vAlign w:val="center"/>
          </w:tcPr>
          <w:p>
            <w:pPr>
              <w:pStyle w:val="12"/>
            </w:pPr>
            <w:r>
              <w:t>按照项目实施计划要求</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办案人员对于办公环境、食堂等后勤事项满意程度</w:t>
            </w:r>
          </w:p>
        </w:tc>
        <w:tc>
          <w:tcPr>
            <w:tcW w:w="2268" w:type="dxa"/>
            <w:vAlign w:val="center"/>
          </w:tcPr>
          <w:p>
            <w:pPr>
              <w:pStyle w:val="12"/>
            </w:pPr>
            <w:r>
              <w:t>≥95%</w:t>
            </w:r>
          </w:p>
        </w:tc>
        <w:tc>
          <w:tcPr>
            <w:tcW w:w="1276" w:type="dxa"/>
            <w:vAlign w:val="center"/>
          </w:tcPr>
          <w:p>
            <w:pPr>
              <w:pStyle w:val="12"/>
            </w:pPr>
            <w:r>
              <w:t>满意度调查问卷</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5、巡察业务经费绩效目标表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13062525P00004910002L</w:t>
            </w:r>
          </w:p>
        </w:tc>
        <w:tc>
          <w:tcPr>
            <w:tcW w:w="2835" w:type="dxa"/>
            <w:vAlign w:val="center"/>
          </w:tcPr>
          <w:p>
            <w:pPr>
              <w:pStyle w:val="10"/>
            </w:pPr>
            <w:r>
              <w:t>项目名称</w:t>
            </w:r>
          </w:p>
        </w:tc>
        <w:tc>
          <w:tcPr>
            <w:tcW w:w="6095" w:type="dxa"/>
            <w:gridSpan w:val="3"/>
            <w:vAlign w:val="center"/>
          </w:tcPr>
          <w:p>
            <w:pPr>
              <w:pStyle w:val="12"/>
            </w:pPr>
            <w:r>
              <w:t>巡察业务经费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39.60</w:t>
            </w:r>
          </w:p>
        </w:tc>
        <w:tc>
          <w:tcPr>
            <w:tcW w:w="2835" w:type="dxa"/>
            <w:vAlign w:val="center"/>
          </w:tcPr>
          <w:p>
            <w:pPr>
              <w:pStyle w:val="10"/>
            </w:pPr>
            <w:r>
              <w:t>其中：财政    资金</w:t>
            </w:r>
          </w:p>
        </w:tc>
        <w:tc>
          <w:tcPr>
            <w:tcW w:w="2551" w:type="dxa"/>
            <w:vAlign w:val="center"/>
          </w:tcPr>
          <w:p>
            <w:pPr>
              <w:pStyle w:val="12"/>
            </w:pPr>
            <w:r>
              <w:t>39.60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根据省委办《关于市县建立巡察制度的实施意见》文件要求，市县党委在机构、人员、经费、办公设施、车辆配备等方面提供保障，将巡察经费纳入统计财政预算。</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1.充分发挥巡视利剑作用，使得经济环境、社会风气、群众满意度得到改善。保障巡视巡察工作日常办公经费支出，利于巡视巡察工作开展。</w:t>
            </w:r>
            <w:r>
              <w:tab/>
            </w:r>
            <w:r>
              <w:tab/>
            </w:r>
            <w:r>
              <w:tab/>
            </w:r>
            <w:r>
              <w:tab/>
            </w:r>
            <w:r>
              <w:tab/>
            </w:r>
          </w:p>
          <w:p>
            <w:pPr>
              <w:pStyle w:val="12"/>
            </w:pPr>
          </w:p>
          <w:p>
            <w:pPr>
              <w:pStyle w:val="12"/>
            </w:pPr>
            <w:r>
              <w:t>2.为保障巡察工作正常开展，2025年度完成巡察50个单位，做到巡视巡察工作完成率95%以上，巡视巡察工作达标率100%。</w:t>
            </w:r>
            <w:r>
              <w:tab/>
            </w:r>
            <w:r>
              <w:tab/>
            </w:r>
            <w:r>
              <w:tab/>
            </w:r>
            <w:r>
              <w:tab/>
            </w:r>
            <w:r>
              <w:tab/>
            </w:r>
          </w:p>
          <w:p>
            <w:pPr>
              <w:pStyle w:val="12"/>
            </w:pPr>
          </w:p>
          <w:p>
            <w:pPr>
              <w:pStyle w:val="12"/>
            </w:pPr>
            <w:r>
              <w:t>3.保障巡视巡察工作日常办公经费支出，利于巡视巡察工作开展。</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巡察单位数量</w:t>
            </w:r>
          </w:p>
        </w:tc>
        <w:tc>
          <w:tcPr>
            <w:tcW w:w="5386" w:type="dxa"/>
            <w:vAlign w:val="center"/>
          </w:tcPr>
          <w:p>
            <w:pPr>
              <w:pStyle w:val="12"/>
            </w:pPr>
            <w:r>
              <w:t>2025年度完成巡察的单位的数量</w:t>
            </w:r>
          </w:p>
        </w:tc>
        <w:tc>
          <w:tcPr>
            <w:tcW w:w="2268" w:type="dxa"/>
            <w:vAlign w:val="center"/>
          </w:tcPr>
          <w:p>
            <w:pPr>
              <w:pStyle w:val="12"/>
            </w:pPr>
            <w:r>
              <w:t>≥50个</w:t>
            </w:r>
          </w:p>
        </w:tc>
        <w:tc>
          <w:tcPr>
            <w:tcW w:w="1276" w:type="dxa"/>
            <w:vAlign w:val="center"/>
          </w:tcPr>
          <w:p>
            <w:pPr>
              <w:pStyle w:val="12"/>
            </w:pPr>
            <w:r>
              <w:t>巡察业务经费项目实施计划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车辆经费支出金额</w:t>
            </w:r>
          </w:p>
        </w:tc>
        <w:tc>
          <w:tcPr>
            <w:tcW w:w="5386" w:type="dxa"/>
            <w:vAlign w:val="center"/>
          </w:tcPr>
          <w:p>
            <w:pPr>
              <w:pStyle w:val="12"/>
            </w:pPr>
            <w:r>
              <w:t>公车运行维护经费不超过标准限额</w:t>
            </w:r>
          </w:p>
        </w:tc>
        <w:tc>
          <w:tcPr>
            <w:tcW w:w="2268" w:type="dxa"/>
            <w:vAlign w:val="center"/>
          </w:tcPr>
          <w:p>
            <w:pPr>
              <w:pStyle w:val="12"/>
            </w:pPr>
            <w:r>
              <w:t>≤24300元</w:t>
            </w:r>
          </w:p>
        </w:tc>
        <w:tc>
          <w:tcPr>
            <w:tcW w:w="1276" w:type="dxa"/>
            <w:vAlign w:val="center"/>
          </w:tcPr>
          <w:p>
            <w:pPr>
              <w:pStyle w:val="12"/>
            </w:pPr>
            <w:r>
              <w:t>巡察业务经费项目实施计划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问题整改完成率</w:t>
            </w:r>
          </w:p>
        </w:tc>
        <w:tc>
          <w:tcPr>
            <w:tcW w:w="5386" w:type="dxa"/>
            <w:vAlign w:val="center"/>
          </w:tcPr>
          <w:p>
            <w:pPr>
              <w:pStyle w:val="12"/>
            </w:pPr>
            <w:r>
              <w:t>年度内巡视发现问题的整改完成比例</w:t>
            </w:r>
          </w:p>
        </w:tc>
        <w:tc>
          <w:tcPr>
            <w:tcW w:w="2268" w:type="dxa"/>
            <w:vAlign w:val="center"/>
          </w:tcPr>
          <w:p>
            <w:pPr>
              <w:pStyle w:val="12"/>
            </w:pPr>
            <w:r>
              <w:t>≥90%</w:t>
            </w:r>
          </w:p>
        </w:tc>
        <w:tc>
          <w:tcPr>
            <w:tcW w:w="1276" w:type="dxa"/>
            <w:vAlign w:val="center"/>
          </w:tcPr>
          <w:p>
            <w:pPr>
              <w:pStyle w:val="12"/>
            </w:pPr>
            <w:r>
              <w:t>巡察业务经费项目实施计划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差旅费报销及时率</w:t>
            </w:r>
          </w:p>
        </w:tc>
        <w:tc>
          <w:tcPr>
            <w:tcW w:w="5386" w:type="dxa"/>
            <w:vAlign w:val="center"/>
          </w:tcPr>
          <w:p>
            <w:pPr>
              <w:pStyle w:val="12"/>
            </w:pPr>
            <w:r>
              <w:t>在公务卡还款时限内完成报销，以免影响公务卡使用</w:t>
            </w:r>
          </w:p>
        </w:tc>
        <w:tc>
          <w:tcPr>
            <w:tcW w:w="2268" w:type="dxa"/>
            <w:vAlign w:val="center"/>
          </w:tcPr>
          <w:p>
            <w:pPr>
              <w:pStyle w:val="12"/>
            </w:pPr>
            <w:r>
              <w:t>≥80%</w:t>
            </w:r>
          </w:p>
        </w:tc>
        <w:tc>
          <w:tcPr>
            <w:tcW w:w="1276" w:type="dxa"/>
            <w:vAlign w:val="center"/>
          </w:tcPr>
          <w:p>
            <w:pPr>
              <w:pStyle w:val="12"/>
            </w:pPr>
            <w:r>
              <w:t>巡察业务经费项目实施计划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年度设备采购额</w:t>
            </w:r>
          </w:p>
        </w:tc>
        <w:tc>
          <w:tcPr>
            <w:tcW w:w="5386" w:type="dxa"/>
            <w:vAlign w:val="center"/>
          </w:tcPr>
          <w:p>
            <w:pPr>
              <w:pStyle w:val="12"/>
            </w:pPr>
            <w:r>
              <w:t>2025年度用于更新电脑、打印机等办公设备的支出金额</w:t>
            </w:r>
          </w:p>
        </w:tc>
        <w:tc>
          <w:tcPr>
            <w:tcW w:w="2268" w:type="dxa"/>
            <w:vAlign w:val="center"/>
          </w:tcPr>
          <w:p>
            <w:pPr>
              <w:pStyle w:val="12"/>
            </w:pPr>
            <w:r>
              <w:t>≤30000元</w:t>
            </w:r>
          </w:p>
        </w:tc>
        <w:tc>
          <w:tcPr>
            <w:tcW w:w="1276" w:type="dxa"/>
            <w:vAlign w:val="center"/>
          </w:tcPr>
          <w:p>
            <w:pPr>
              <w:pStyle w:val="12"/>
            </w:pPr>
            <w:r>
              <w:t>巡察业务经费项目实施计划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差旅费成本控制数</w:t>
            </w:r>
          </w:p>
        </w:tc>
        <w:tc>
          <w:tcPr>
            <w:tcW w:w="5386" w:type="dxa"/>
            <w:vAlign w:val="center"/>
          </w:tcPr>
          <w:p>
            <w:pPr>
              <w:pStyle w:val="12"/>
            </w:pPr>
            <w:r>
              <w:t>2025年差旅费支出金额</w:t>
            </w:r>
          </w:p>
        </w:tc>
        <w:tc>
          <w:tcPr>
            <w:tcW w:w="2268" w:type="dxa"/>
            <w:vAlign w:val="center"/>
          </w:tcPr>
          <w:p>
            <w:pPr>
              <w:pStyle w:val="12"/>
            </w:pPr>
            <w:r>
              <w:t>≤50000元</w:t>
            </w:r>
          </w:p>
        </w:tc>
        <w:tc>
          <w:tcPr>
            <w:tcW w:w="1276" w:type="dxa"/>
            <w:vAlign w:val="center"/>
          </w:tcPr>
          <w:p>
            <w:pPr>
              <w:pStyle w:val="12"/>
            </w:pPr>
            <w:r>
              <w:t>巡察业务经费项目实施计划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巡察租车费用成本控制数</w:t>
            </w:r>
          </w:p>
        </w:tc>
        <w:tc>
          <w:tcPr>
            <w:tcW w:w="5386" w:type="dxa"/>
            <w:vAlign w:val="center"/>
          </w:tcPr>
          <w:p>
            <w:pPr>
              <w:pStyle w:val="12"/>
            </w:pPr>
            <w:r>
              <w:t>2025年巡察租车费用支出金额</w:t>
            </w:r>
          </w:p>
        </w:tc>
        <w:tc>
          <w:tcPr>
            <w:tcW w:w="2268" w:type="dxa"/>
            <w:vAlign w:val="center"/>
          </w:tcPr>
          <w:p>
            <w:pPr>
              <w:pStyle w:val="12"/>
            </w:pPr>
            <w:r>
              <w:t>≤120000元</w:t>
            </w:r>
          </w:p>
        </w:tc>
        <w:tc>
          <w:tcPr>
            <w:tcW w:w="1276" w:type="dxa"/>
            <w:vAlign w:val="center"/>
          </w:tcPr>
          <w:p>
            <w:pPr>
              <w:pStyle w:val="12"/>
            </w:pPr>
            <w:r>
              <w:t>巡察业务经费项目实施计划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巡察办公费用预成本控制数</w:t>
            </w:r>
          </w:p>
        </w:tc>
        <w:tc>
          <w:tcPr>
            <w:tcW w:w="5386" w:type="dxa"/>
            <w:vAlign w:val="center"/>
          </w:tcPr>
          <w:p>
            <w:pPr>
              <w:pStyle w:val="12"/>
            </w:pPr>
            <w:r>
              <w:t>2025年巡察办公费用支出金额</w:t>
            </w:r>
          </w:p>
        </w:tc>
        <w:tc>
          <w:tcPr>
            <w:tcW w:w="2268" w:type="dxa"/>
            <w:vAlign w:val="center"/>
          </w:tcPr>
          <w:p>
            <w:pPr>
              <w:pStyle w:val="12"/>
            </w:pPr>
            <w:r>
              <w:t>≤171700元</w:t>
            </w:r>
          </w:p>
        </w:tc>
        <w:tc>
          <w:tcPr>
            <w:tcW w:w="1276" w:type="dxa"/>
            <w:vAlign w:val="center"/>
          </w:tcPr>
          <w:p>
            <w:pPr>
              <w:pStyle w:val="12"/>
            </w:pPr>
            <w:r>
              <w:t>巡察业务经费项目实施计划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成果对社会影响力</w:t>
            </w:r>
          </w:p>
        </w:tc>
        <w:tc>
          <w:tcPr>
            <w:tcW w:w="5386" w:type="dxa"/>
            <w:vAlign w:val="center"/>
          </w:tcPr>
          <w:p>
            <w:pPr>
              <w:pStyle w:val="12"/>
            </w:pPr>
            <w:r>
              <w:t>成果对社会影响力</w:t>
            </w:r>
          </w:p>
        </w:tc>
        <w:tc>
          <w:tcPr>
            <w:tcW w:w="2268" w:type="dxa"/>
            <w:vAlign w:val="center"/>
          </w:tcPr>
          <w:p>
            <w:pPr>
              <w:pStyle w:val="12"/>
            </w:pPr>
            <w:r>
              <w:t>≥90%</w:t>
            </w:r>
          </w:p>
        </w:tc>
        <w:tc>
          <w:tcPr>
            <w:tcW w:w="1276" w:type="dxa"/>
            <w:vAlign w:val="center"/>
          </w:tcPr>
          <w:p>
            <w:pPr>
              <w:pStyle w:val="12"/>
            </w:pPr>
            <w:r>
              <w:t>依据《关于市县建立巡察制度的实施意见》的通知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一线巡视巡察人员对于经费保障及时性、全面性等方面的满意度</w:t>
            </w:r>
          </w:p>
        </w:tc>
        <w:tc>
          <w:tcPr>
            <w:tcW w:w="2268" w:type="dxa"/>
            <w:vAlign w:val="center"/>
          </w:tcPr>
          <w:p>
            <w:pPr>
              <w:pStyle w:val="12"/>
            </w:pPr>
            <w:r>
              <w:t>≥90%</w:t>
            </w:r>
          </w:p>
        </w:tc>
        <w:tc>
          <w:tcPr>
            <w:tcW w:w="1276" w:type="dxa"/>
            <w:vAlign w:val="center"/>
          </w:tcPr>
          <w:p>
            <w:pPr>
              <w:pStyle w:val="12"/>
            </w:pPr>
            <w:r>
              <w:t>依据服务对象满意度调查问卷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中国共产党保定市徐水区纪律检查委员会本级上年末固定资产金额为734.00万元（详见下表）。本年度拟购置固定资产总额为50.00万元，已按要求列入政府采购预算，详见政府采购预算表。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222001中国共产党保定市徐水区纪律检查委员会本级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100</w:t>
            </w:r>
          </w:p>
        </w:tc>
        <w:tc>
          <w:tcPr>
            <w:tcW w:w="2835" w:type="dxa"/>
            <w:vAlign w:val="center"/>
          </w:tcPr>
          <w:p>
            <w:pPr>
              <w:pStyle w:val="11"/>
            </w:pPr>
            <w:r>
              <w:t>19.68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50</w:t>
            </w:r>
          </w:p>
        </w:tc>
        <w:tc>
          <w:tcPr>
            <w:tcW w:w="2835" w:type="dxa"/>
            <w:vAlign w:val="center"/>
          </w:tcPr>
          <w:p>
            <w:pPr>
              <w:pStyle w:val="11"/>
            </w:pPr>
            <w:r>
              <w:t>9.84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11</w:t>
            </w:r>
          </w:p>
        </w:tc>
        <w:tc>
          <w:tcPr>
            <w:tcW w:w="2835" w:type="dxa"/>
            <w:vAlign w:val="center"/>
          </w:tcPr>
          <w:p>
            <w:pPr>
              <w:pStyle w:val="11"/>
            </w:pPr>
            <w:r>
              <w:t>149.00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24.37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893</w:t>
            </w:r>
          </w:p>
        </w:tc>
        <w:tc>
          <w:tcPr>
            <w:tcW w:w="2835" w:type="dxa"/>
            <w:vAlign w:val="center"/>
          </w:tcPr>
          <w:p>
            <w:pPr>
              <w:pStyle w:val="11"/>
            </w:pPr>
            <w:r>
              <w:t>540.95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5D44C4"/>
    <w:rsid w:val="0F646402"/>
    <w:rsid w:val="0FB16972"/>
    <w:rsid w:val="11FF1046"/>
    <w:rsid w:val="180C2F0C"/>
    <w:rsid w:val="18201F19"/>
    <w:rsid w:val="1B974DCC"/>
    <w:rsid w:val="2E84375B"/>
    <w:rsid w:val="305D394B"/>
    <w:rsid w:val="44B5242A"/>
    <w:rsid w:val="44EE3EF3"/>
    <w:rsid w:val="4BEF25C6"/>
    <w:rsid w:val="4C2A7212"/>
    <w:rsid w:val="4CA20307"/>
    <w:rsid w:val="4DB416AA"/>
    <w:rsid w:val="58AB33FE"/>
    <w:rsid w:val="5A883519"/>
    <w:rsid w:val="658F5941"/>
    <w:rsid w:val="672134B9"/>
    <w:rsid w:val="6AC43D13"/>
    <w:rsid w:val="6CE62378"/>
    <w:rsid w:val="6E4901FE"/>
    <w:rsid w:val="6FA605E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2025-02-24T10:07:00Z</dcterms:created>
  <dc:creator>Administrator</dc:creator>
  <cp:lastModifiedBy>user</cp:lastModifiedBy>
  <dcterms:modified xsi:type="dcterms:W3CDTF">2025-03-18T09:15:24Z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BDE3AAB5C335440A99D628B7E6DCBE00</vt:lpwstr>
  </property>
</Properties>
</file>