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2314.59</w:t>
            </w:r>
          </w:p>
        </w:tc>
        <w:tc>
          <w:tcPr>
            <w:tcW w:w="4535" w:type="dxa"/>
            <w:vAlign w:val="center"/>
          </w:tcPr>
          <w:p>
            <w:pPr>
              <w:pStyle w:val="13"/>
            </w:pPr>
            <w:r>
              <w:t>一、一般公共服务支出</w:t>
            </w:r>
          </w:p>
        </w:tc>
        <w:tc>
          <w:tcPr>
            <w:tcW w:w="2126" w:type="dxa"/>
            <w:vAlign w:val="center"/>
          </w:tcPr>
          <w:p>
            <w:pPr>
              <w:pStyle w:val="12"/>
            </w:pPr>
            <w:r>
              <w:t>1756.57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368.87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55.70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133.45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2314.59</w:t>
            </w:r>
          </w:p>
        </w:tc>
        <w:tc>
          <w:tcPr>
            <w:tcW w:w="4535" w:type="dxa"/>
            <w:vAlign w:val="center"/>
          </w:tcPr>
          <w:p>
            <w:pPr>
              <w:pStyle w:val="15"/>
            </w:pPr>
            <w:r>
              <w:t>本年支出合计</w:t>
            </w:r>
          </w:p>
        </w:tc>
        <w:tc>
          <w:tcPr>
            <w:tcW w:w="2126" w:type="dxa"/>
            <w:vAlign w:val="center"/>
          </w:tcPr>
          <w:p>
            <w:pPr>
              <w:pStyle w:val="16"/>
            </w:pPr>
            <w:r>
              <w:t>2314.59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2314.59</w:t>
            </w:r>
          </w:p>
        </w:tc>
        <w:tc>
          <w:tcPr>
            <w:tcW w:w="4535" w:type="dxa"/>
            <w:vAlign w:val="center"/>
          </w:tcPr>
          <w:p>
            <w:pPr>
              <w:pStyle w:val="15"/>
            </w:pPr>
            <w:r>
              <w:t>支出总计</w:t>
            </w:r>
          </w:p>
        </w:tc>
        <w:tc>
          <w:tcPr>
            <w:tcW w:w="2126" w:type="dxa"/>
            <w:vAlign w:val="center"/>
          </w:tcPr>
          <w:p>
            <w:pPr>
              <w:pStyle w:val="16"/>
            </w:pPr>
            <w:r>
              <w:t>2314.59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2314.59</w:t>
            </w:r>
          </w:p>
        </w:tc>
        <w:tc>
          <w:tcPr>
            <w:tcW w:w="1134" w:type="dxa"/>
            <w:vAlign w:val="center"/>
          </w:tcPr>
          <w:p>
            <w:pPr>
              <w:pStyle w:val="16"/>
            </w:pPr>
            <w:r>
              <w:t>2314.59</w:t>
            </w:r>
          </w:p>
        </w:tc>
        <w:tc>
          <w:tcPr>
            <w:tcW w:w="1134" w:type="dxa"/>
            <w:vAlign w:val="center"/>
          </w:tcPr>
          <w:p>
            <w:pPr>
              <w:pStyle w:val="16"/>
            </w:pPr>
            <w:r>
              <w:t>2314.59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1756.57</w:t>
            </w:r>
          </w:p>
        </w:tc>
        <w:tc>
          <w:tcPr>
            <w:tcW w:w="1134" w:type="dxa"/>
            <w:vAlign w:val="center"/>
          </w:tcPr>
          <w:p>
            <w:pPr>
              <w:pStyle w:val="12"/>
            </w:pPr>
            <w:r>
              <w:t>1756.57</w:t>
            </w:r>
          </w:p>
        </w:tc>
        <w:tc>
          <w:tcPr>
            <w:tcW w:w="1134" w:type="dxa"/>
            <w:vAlign w:val="center"/>
          </w:tcPr>
          <w:p>
            <w:pPr>
              <w:pStyle w:val="12"/>
            </w:pPr>
            <w:r>
              <w:t>1756.57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1756.57</w:t>
            </w:r>
          </w:p>
        </w:tc>
        <w:tc>
          <w:tcPr>
            <w:tcW w:w="1134" w:type="dxa"/>
            <w:vAlign w:val="center"/>
          </w:tcPr>
          <w:p>
            <w:pPr>
              <w:pStyle w:val="12"/>
            </w:pPr>
            <w:r>
              <w:t>1756.57</w:t>
            </w:r>
          </w:p>
        </w:tc>
        <w:tc>
          <w:tcPr>
            <w:tcW w:w="1134" w:type="dxa"/>
            <w:vAlign w:val="center"/>
          </w:tcPr>
          <w:p>
            <w:pPr>
              <w:pStyle w:val="12"/>
            </w:pPr>
            <w:r>
              <w:t>1756.57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2011101</w:t>
            </w:r>
          </w:p>
        </w:tc>
        <w:tc>
          <w:tcPr>
            <w:tcW w:w="1559" w:type="dxa"/>
            <w:vAlign w:val="center"/>
          </w:tcPr>
          <w:p>
            <w:pPr>
              <w:pStyle w:val="13"/>
            </w:pPr>
            <w:r>
              <w:t>行政运行</w:t>
            </w:r>
          </w:p>
        </w:tc>
        <w:tc>
          <w:tcPr>
            <w:tcW w:w="1134" w:type="dxa"/>
            <w:vAlign w:val="center"/>
          </w:tcPr>
          <w:p>
            <w:pPr>
              <w:pStyle w:val="12"/>
            </w:pPr>
            <w:r>
              <w:t>1576.46</w:t>
            </w:r>
          </w:p>
        </w:tc>
        <w:tc>
          <w:tcPr>
            <w:tcW w:w="1134" w:type="dxa"/>
            <w:vAlign w:val="center"/>
          </w:tcPr>
          <w:p>
            <w:pPr>
              <w:pStyle w:val="12"/>
            </w:pPr>
            <w:r>
              <w:t>1576.46</w:t>
            </w:r>
          </w:p>
        </w:tc>
        <w:tc>
          <w:tcPr>
            <w:tcW w:w="1134" w:type="dxa"/>
            <w:vAlign w:val="center"/>
          </w:tcPr>
          <w:p>
            <w:pPr>
              <w:pStyle w:val="12"/>
            </w:pPr>
            <w:r>
              <w:t>1576.46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180.11</w:t>
            </w:r>
          </w:p>
        </w:tc>
        <w:tc>
          <w:tcPr>
            <w:tcW w:w="1134" w:type="dxa"/>
            <w:vAlign w:val="center"/>
          </w:tcPr>
          <w:p>
            <w:pPr>
              <w:pStyle w:val="12"/>
            </w:pPr>
            <w:r>
              <w:t>180.11</w:t>
            </w:r>
          </w:p>
        </w:tc>
        <w:tc>
          <w:tcPr>
            <w:tcW w:w="1134" w:type="dxa"/>
            <w:vAlign w:val="center"/>
          </w:tcPr>
          <w:p>
            <w:pPr>
              <w:pStyle w:val="12"/>
            </w:pPr>
            <w:r>
              <w:t>180.11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368.87</w:t>
            </w:r>
          </w:p>
        </w:tc>
        <w:tc>
          <w:tcPr>
            <w:tcW w:w="1134" w:type="dxa"/>
            <w:vAlign w:val="center"/>
          </w:tcPr>
          <w:p>
            <w:pPr>
              <w:pStyle w:val="12"/>
            </w:pPr>
            <w:r>
              <w:t>368.87</w:t>
            </w:r>
          </w:p>
        </w:tc>
        <w:tc>
          <w:tcPr>
            <w:tcW w:w="1134" w:type="dxa"/>
            <w:vAlign w:val="center"/>
          </w:tcPr>
          <w:p>
            <w:pPr>
              <w:pStyle w:val="12"/>
            </w:pPr>
            <w:r>
              <w:t>368.87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368.87</w:t>
            </w:r>
          </w:p>
        </w:tc>
        <w:tc>
          <w:tcPr>
            <w:tcW w:w="1134" w:type="dxa"/>
            <w:vAlign w:val="center"/>
          </w:tcPr>
          <w:p>
            <w:pPr>
              <w:pStyle w:val="12"/>
            </w:pPr>
            <w:r>
              <w:t>368.87</w:t>
            </w:r>
          </w:p>
        </w:tc>
        <w:tc>
          <w:tcPr>
            <w:tcW w:w="1134" w:type="dxa"/>
            <w:vAlign w:val="center"/>
          </w:tcPr>
          <w:p>
            <w:pPr>
              <w:pStyle w:val="12"/>
            </w:pPr>
            <w:r>
              <w:t>368.87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205.67</w:t>
            </w:r>
          </w:p>
        </w:tc>
        <w:tc>
          <w:tcPr>
            <w:tcW w:w="1134" w:type="dxa"/>
            <w:vAlign w:val="center"/>
          </w:tcPr>
          <w:p>
            <w:pPr>
              <w:pStyle w:val="12"/>
            </w:pPr>
            <w:r>
              <w:t>205.67</w:t>
            </w:r>
          </w:p>
        </w:tc>
        <w:tc>
          <w:tcPr>
            <w:tcW w:w="1134" w:type="dxa"/>
            <w:vAlign w:val="center"/>
          </w:tcPr>
          <w:p>
            <w:pPr>
              <w:pStyle w:val="12"/>
            </w:pPr>
            <w:r>
              <w:t>205.67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163.20</w:t>
            </w:r>
          </w:p>
        </w:tc>
        <w:tc>
          <w:tcPr>
            <w:tcW w:w="1134" w:type="dxa"/>
            <w:vAlign w:val="center"/>
          </w:tcPr>
          <w:p>
            <w:pPr>
              <w:pStyle w:val="12"/>
            </w:pPr>
            <w:r>
              <w:t>163.20</w:t>
            </w:r>
          </w:p>
        </w:tc>
        <w:tc>
          <w:tcPr>
            <w:tcW w:w="1134" w:type="dxa"/>
            <w:vAlign w:val="center"/>
          </w:tcPr>
          <w:p>
            <w:pPr>
              <w:pStyle w:val="12"/>
            </w:pPr>
            <w:r>
              <w:t>163.20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55.70</w:t>
            </w:r>
          </w:p>
        </w:tc>
        <w:tc>
          <w:tcPr>
            <w:tcW w:w="1134" w:type="dxa"/>
            <w:vAlign w:val="center"/>
          </w:tcPr>
          <w:p>
            <w:pPr>
              <w:pStyle w:val="12"/>
            </w:pPr>
            <w:r>
              <w:t>55.70</w:t>
            </w:r>
          </w:p>
        </w:tc>
        <w:tc>
          <w:tcPr>
            <w:tcW w:w="1134" w:type="dxa"/>
            <w:vAlign w:val="center"/>
          </w:tcPr>
          <w:p>
            <w:pPr>
              <w:pStyle w:val="12"/>
            </w:pPr>
            <w:r>
              <w:t>55.70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55.70</w:t>
            </w:r>
          </w:p>
        </w:tc>
        <w:tc>
          <w:tcPr>
            <w:tcW w:w="1134" w:type="dxa"/>
            <w:vAlign w:val="center"/>
          </w:tcPr>
          <w:p>
            <w:pPr>
              <w:pStyle w:val="12"/>
            </w:pPr>
            <w:r>
              <w:t>55.70</w:t>
            </w:r>
          </w:p>
        </w:tc>
        <w:tc>
          <w:tcPr>
            <w:tcW w:w="1134" w:type="dxa"/>
            <w:vAlign w:val="center"/>
          </w:tcPr>
          <w:p>
            <w:pPr>
              <w:pStyle w:val="12"/>
            </w:pPr>
            <w:r>
              <w:t>55.70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55.70</w:t>
            </w:r>
          </w:p>
        </w:tc>
        <w:tc>
          <w:tcPr>
            <w:tcW w:w="1134" w:type="dxa"/>
            <w:vAlign w:val="center"/>
          </w:tcPr>
          <w:p>
            <w:pPr>
              <w:pStyle w:val="12"/>
            </w:pPr>
            <w:r>
              <w:t>55.70</w:t>
            </w:r>
          </w:p>
        </w:tc>
        <w:tc>
          <w:tcPr>
            <w:tcW w:w="1134" w:type="dxa"/>
            <w:vAlign w:val="center"/>
          </w:tcPr>
          <w:p>
            <w:pPr>
              <w:pStyle w:val="12"/>
            </w:pPr>
            <w:r>
              <w:t>55.70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133.45</w:t>
            </w:r>
          </w:p>
        </w:tc>
        <w:tc>
          <w:tcPr>
            <w:tcW w:w="1134" w:type="dxa"/>
            <w:vAlign w:val="center"/>
          </w:tcPr>
          <w:p>
            <w:pPr>
              <w:pStyle w:val="12"/>
            </w:pPr>
            <w:r>
              <w:t>133.45</w:t>
            </w:r>
          </w:p>
        </w:tc>
        <w:tc>
          <w:tcPr>
            <w:tcW w:w="1134" w:type="dxa"/>
            <w:vAlign w:val="center"/>
          </w:tcPr>
          <w:p>
            <w:pPr>
              <w:pStyle w:val="12"/>
            </w:pPr>
            <w:r>
              <w:t>133.45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133.45</w:t>
            </w:r>
          </w:p>
        </w:tc>
        <w:tc>
          <w:tcPr>
            <w:tcW w:w="1134" w:type="dxa"/>
            <w:vAlign w:val="center"/>
          </w:tcPr>
          <w:p>
            <w:pPr>
              <w:pStyle w:val="12"/>
            </w:pPr>
            <w:r>
              <w:t>133.45</w:t>
            </w:r>
          </w:p>
        </w:tc>
        <w:tc>
          <w:tcPr>
            <w:tcW w:w="1134" w:type="dxa"/>
            <w:vAlign w:val="center"/>
          </w:tcPr>
          <w:p>
            <w:pPr>
              <w:pStyle w:val="12"/>
            </w:pPr>
            <w:r>
              <w:t>133.45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133.45</w:t>
            </w:r>
          </w:p>
        </w:tc>
        <w:tc>
          <w:tcPr>
            <w:tcW w:w="1134" w:type="dxa"/>
            <w:vAlign w:val="center"/>
          </w:tcPr>
          <w:p>
            <w:pPr>
              <w:pStyle w:val="12"/>
            </w:pPr>
            <w:r>
              <w:t>133.45</w:t>
            </w:r>
          </w:p>
        </w:tc>
        <w:tc>
          <w:tcPr>
            <w:tcW w:w="1134" w:type="dxa"/>
            <w:vAlign w:val="center"/>
          </w:tcPr>
          <w:p>
            <w:pPr>
              <w:pStyle w:val="12"/>
            </w:pPr>
            <w:r>
              <w:t>133.45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2314.59</w:t>
            </w:r>
          </w:p>
        </w:tc>
        <w:tc>
          <w:tcPr>
            <w:tcW w:w="1361" w:type="dxa"/>
            <w:vAlign w:val="center"/>
          </w:tcPr>
          <w:p>
            <w:pPr>
              <w:pStyle w:val="16"/>
            </w:pPr>
            <w:r>
              <w:t>2134.48</w:t>
            </w:r>
          </w:p>
        </w:tc>
        <w:tc>
          <w:tcPr>
            <w:tcW w:w="1361" w:type="dxa"/>
            <w:vAlign w:val="center"/>
          </w:tcPr>
          <w:p>
            <w:pPr>
              <w:pStyle w:val="16"/>
            </w:pPr>
            <w:r>
              <w:t>180.11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1756.57</w:t>
            </w:r>
          </w:p>
        </w:tc>
        <w:tc>
          <w:tcPr>
            <w:tcW w:w="1361" w:type="dxa"/>
            <w:vAlign w:val="center"/>
          </w:tcPr>
          <w:p>
            <w:pPr>
              <w:pStyle w:val="12"/>
            </w:pPr>
            <w:r>
              <w:t>1576.46</w:t>
            </w:r>
          </w:p>
        </w:tc>
        <w:tc>
          <w:tcPr>
            <w:tcW w:w="1361" w:type="dxa"/>
            <w:vAlign w:val="center"/>
          </w:tcPr>
          <w:p>
            <w:pPr>
              <w:pStyle w:val="12"/>
            </w:pPr>
            <w:r>
              <w:t>180.11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1756.57</w:t>
            </w:r>
          </w:p>
        </w:tc>
        <w:tc>
          <w:tcPr>
            <w:tcW w:w="1361" w:type="dxa"/>
            <w:vAlign w:val="center"/>
          </w:tcPr>
          <w:p>
            <w:pPr>
              <w:pStyle w:val="12"/>
            </w:pPr>
            <w:r>
              <w:t>1576.46</w:t>
            </w:r>
          </w:p>
        </w:tc>
        <w:tc>
          <w:tcPr>
            <w:tcW w:w="1361" w:type="dxa"/>
            <w:vAlign w:val="center"/>
          </w:tcPr>
          <w:p>
            <w:pPr>
              <w:pStyle w:val="12"/>
            </w:pPr>
            <w:r>
              <w:t>180.11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2011101</w:t>
            </w:r>
          </w:p>
        </w:tc>
        <w:tc>
          <w:tcPr>
            <w:tcW w:w="4535" w:type="dxa"/>
            <w:vAlign w:val="center"/>
          </w:tcPr>
          <w:p>
            <w:pPr>
              <w:pStyle w:val="13"/>
            </w:pPr>
            <w:r>
              <w:t>行政运行</w:t>
            </w:r>
          </w:p>
        </w:tc>
        <w:tc>
          <w:tcPr>
            <w:tcW w:w="1361" w:type="dxa"/>
            <w:vAlign w:val="center"/>
          </w:tcPr>
          <w:p>
            <w:pPr>
              <w:pStyle w:val="12"/>
            </w:pPr>
            <w:r>
              <w:t>1576.46</w:t>
            </w:r>
          </w:p>
        </w:tc>
        <w:tc>
          <w:tcPr>
            <w:tcW w:w="1361" w:type="dxa"/>
            <w:vAlign w:val="center"/>
          </w:tcPr>
          <w:p>
            <w:pPr>
              <w:pStyle w:val="12"/>
            </w:pPr>
            <w:r>
              <w:t>1576.46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180.11</w:t>
            </w:r>
          </w:p>
        </w:tc>
        <w:tc>
          <w:tcPr>
            <w:tcW w:w="1361" w:type="dxa"/>
            <w:vAlign w:val="center"/>
          </w:tcPr>
          <w:p>
            <w:pPr>
              <w:pStyle w:val="12"/>
            </w:pPr>
          </w:p>
        </w:tc>
        <w:tc>
          <w:tcPr>
            <w:tcW w:w="1361" w:type="dxa"/>
            <w:vAlign w:val="center"/>
          </w:tcPr>
          <w:p>
            <w:pPr>
              <w:pStyle w:val="12"/>
            </w:pPr>
            <w:r>
              <w:t>180.11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368.87</w:t>
            </w:r>
          </w:p>
        </w:tc>
        <w:tc>
          <w:tcPr>
            <w:tcW w:w="1361" w:type="dxa"/>
            <w:vAlign w:val="center"/>
          </w:tcPr>
          <w:p>
            <w:pPr>
              <w:pStyle w:val="12"/>
            </w:pPr>
            <w:r>
              <w:t>368.87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368.87</w:t>
            </w:r>
          </w:p>
        </w:tc>
        <w:tc>
          <w:tcPr>
            <w:tcW w:w="1361" w:type="dxa"/>
            <w:vAlign w:val="center"/>
          </w:tcPr>
          <w:p>
            <w:pPr>
              <w:pStyle w:val="12"/>
            </w:pPr>
            <w:r>
              <w:t>368.87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205.67</w:t>
            </w:r>
          </w:p>
        </w:tc>
        <w:tc>
          <w:tcPr>
            <w:tcW w:w="1361" w:type="dxa"/>
            <w:vAlign w:val="center"/>
          </w:tcPr>
          <w:p>
            <w:pPr>
              <w:pStyle w:val="12"/>
            </w:pPr>
            <w:r>
              <w:t>205.67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163.20</w:t>
            </w:r>
          </w:p>
        </w:tc>
        <w:tc>
          <w:tcPr>
            <w:tcW w:w="1361" w:type="dxa"/>
            <w:vAlign w:val="center"/>
          </w:tcPr>
          <w:p>
            <w:pPr>
              <w:pStyle w:val="12"/>
            </w:pPr>
            <w:r>
              <w:t>163.20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55.70</w:t>
            </w:r>
          </w:p>
        </w:tc>
        <w:tc>
          <w:tcPr>
            <w:tcW w:w="1361" w:type="dxa"/>
            <w:vAlign w:val="center"/>
          </w:tcPr>
          <w:p>
            <w:pPr>
              <w:pStyle w:val="12"/>
            </w:pPr>
            <w:r>
              <w:t>55.70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55.70</w:t>
            </w:r>
          </w:p>
        </w:tc>
        <w:tc>
          <w:tcPr>
            <w:tcW w:w="1361" w:type="dxa"/>
            <w:vAlign w:val="center"/>
          </w:tcPr>
          <w:p>
            <w:pPr>
              <w:pStyle w:val="12"/>
            </w:pPr>
            <w:r>
              <w:t>55.70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55.70</w:t>
            </w:r>
          </w:p>
        </w:tc>
        <w:tc>
          <w:tcPr>
            <w:tcW w:w="1361" w:type="dxa"/>
            <w:vAlign w:val="center"/>
          </w:tcPr>
          <w:p>
            <w:pPr>
              <w:pStyle w:val="12"/>
            </w:pPr>
            <w:r>
              <w:t>55.70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133.45</w:t>
            </w:r>
          </w:p>
        </w:tc>
        <w:tc>
          <w:tcPr>
            <w:tcW w:w="1361" w:type="dxa"/>
            <w:vAlign w:val="center"/>
          </w:tcPr>
          <w:p>
            <w:pPr>
              <w:pStyle w:val="12"/>
            </w:pPr>
            <w:r>
              <w:t>133.45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133.45</w:t>
            </w:r>
          </w:p>
        </w:tc>
        <w:tc>
          <w:tcPr>
            <w:tcW w:w="1361" w:type="dxa"/>
            <w:vAlign w:val="center"/>
          </w:tcPr>
          <w:p>
            <w:pPr>
              <w:pStyle w:val="12"/>
            </w:pPr>
            <w:r>
              <w:t>133.45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133.45</w:t>
            </w:r>
          </w:p>
        </w:tc>
        <w:tc>
          <w:tcPr>
            <w:tcW w:w="1361" w:type="dxa"/>
            <w:vAlign w:val="center"/>
          </w:tcPr>
          <w:p>
            <w:pPr>
              <w:pStyle w:val="12"/>
            </w:pPr>
            <w:r>
              <w:t>133.45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2314.59</w:t>
            </w:r>
          </w:p>
        </w:tc>
        <w:tc>
          <w:tcPr>
            <w:tcW w:w="3402" w:type="dxa"/>
            <w:vAlign w:val="center"/>
          </w:tcPr>
          <w:p>
            <w:pPr>
              <w:pStyle w:val="13"/>
            </w:pPr>
            <w:r>
              <w:t>一、一般公共服务支出</w:t>
            </w:r>
          </w:p>
        </w:tc>
        <w:tc>
          <w:tcPr>
            <w:tcW w:w="1474" w:type="dxa"/>
            <w:vAlign w:val="center"/>
          </w:tcPr>
          <w:p>
            <w:pPr>
              <w:pStyle w:val="12"/>
            </w:pPr>
            <w:r>
              <w:t>1756.57</w:t>
            </w:r>
          </w:p>
        </w:tc>
        <w:tc>
          <w:tcPr>
            <w:tcW w:w="1474" w:type="dxa"/>
            <w:vAlign w:val="center"/>
          </w:tcPr>
          <w:p>
            <w:pPr>
              <w:pStyle w:val="12"/>
            </w:pPr>
            <w:r>
              <w:t>1756.57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368.87</w:t>
            </w:r>
          </w:p>
        </w:tc>
        <w:tc>
          <w:tcPr>
            <w:tcW w:w="1474" w:type="dxa"/>
            <w:vAlign w:val="center"/>
          </w:tcPr>
          <w:p>
            <w:pPr>
              <w:pStyle w:val="12"/>
            </w:pPr>
            <w:r>
              <w:t>368.87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55.70</w:t>
            </w:r>
          </w:p>
        </w:tc>
        <w:tc>
          <w:tcPr>
            <w:tcW w:w="1474" w:type="dxa"/>
            <w:vAlign w:val="center"/>
          </w:tcPr>
          <w:p>
            <w:pPr>
              <w:pStyle w:val="12"/>
            </w:pPr>
            <w:r>
              <w:t>55.70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133.45</w:t>
            </w:r>
          </w:p>
        </w:tc>
        <w:tc>
          <w:tcPr>
            <w:tcW w:w="1474" w:type="dxa"/>
            <w:vAlign w:val="center"/>
          </w:tcPr>
          <w:p>
            <w:pPr>
              <w:pStyle w:val="12"/>
            </w:pPr>
            <w:r>
              <w:t>133.45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2314.59</w:t>
            </w:r>
          </w:p>
        </w:tc>
        <w:tc>
          <w:tcPr>
            <w:tcW w:w="3402" w:type="dxa"/>
            <w:vAlign w:val="center"/>
          </w:tcPr>
          <w:p>
            <w:pPr>
              <w:pStyle w:val="15"/>
            </w:pPr>
            <w:r>
              <w:t>本年支出合计</w:t>
            </w:r>
          </w:p>
        </w:tc>
        <w:tc>
          <w:tcPr>
            <w:tcW w:w="1474" w:type="dxa"/>
            <w:vAlign w:val="center"/>
          </w:tcPr>
          <w:p>
            <w:pPr>
              <w:pStyle w:val="16"/>
            </w:pPr>
            <w:r>
              <w:t>2314.59</w:t>
            </w:r>
          </w:p>
        </w:tc>
        <w:tc>
          <w:tcPr>
            <w:tcW w:w="1474" w:type="dxa"/>
            <w:vAlign w:val="center"/>
          </w:tcPr>
          <w:p>
            <w:pPr>
              <w:pStyle w:val="16"/>
            </w:pPr>
            <w:r>
              <w:t>2314.59</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2314.59</w:t>
            </w:r>
          </w:p>
        </w:tc>
        <w:tc>
          <w:tcPr>
            <w:tcW w:w="3402" w:type="dxa"/>
            <w:vAlign w:val="center"/>
          </w:tcPr>
          <w:p>
            <w:pPr>
              <w:pStyle w:val="15"/>
            </w:pPr>
            <w:r>
              <w:t>支出总计</w:t>
            </w:r>
          </w:p>
        </w:tc>
        <w:tc>
          <w:tcPr>
            <w:tcW w:w="1474" w:type="dxa"/>
            <w:vAlign w:val="center"/>
          </w:tcPr>
          <w:p>
            <w:pPr>
              <w:pStyle w:val="16"/>
            </w:pPr>
            <w:r>
              <w:t>2314.59</w:t>
            </w:r>
          </w:p>
        </w:tc>
        <w:tc>
          <w:tcPr>
            <w:tcW w:w="1474" w:type="dxa"/>
            <w:vAlign w:val="center"/>
          </w:tcPr>
          <w:p>
            <w:pPr>
              <w:pStyle w:val="16"/>
            </w:pPr>
            <w:r>
              <w:t>2314.59</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2314.59</w:t>
            </w:r>
          </w:p>
        </w:tc>
        <w:tc>
          <w:tcPr>
            <w:tcW w:w="2551" w:type="dxa"/>
            <w:vAlign w:val="center"/>
          </w:tcPr>
          <w:p>
            <w:pPr>
              <w:pStyle w:val="16"/>
            </w:pPr>
            <w:r>
              <w:t>2134.48</w:t>
            </w:r>
          </w:p>
        </w:tc>
        <w:tc>
          <w:tcPr>
            <w:tcW w:w="2551" w:type="dxa"/>
            <w:vAlign w:val="center"/>
          </w:tcPr>
          <w:p>
            <w:pPr>
              <w:pStyle w:val="16"/>
            </w:pPr>
            <w:r>
              <w:t>180.11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1756.57</w:t>
            </w:r>
          </w:p>
        </w:tc>
        <w:tc>
          <w:tcPr>
            <w:tcW w:w="2551" w:type="dxa"/>
            <w:vAlign w:val="center"/>
          </w:tcPr>
          <w:p>
            <w:pPr>
              <w:pStyle w:val="12"/>
            </w:pPr>
            <w:r>
              <w:t>1576.46</w:t>
            </w:r>
          </w:p>
        </w:tc>
        <w:tc>
          <w:tcPr>
            <w:tcW w:w="2551" w:type="dxa"/>
            <w:vAlign w:val="center"/>
          </w:tcPr>
          <w:p>
            <w:pPr>
              <w:pStyle w:val="12"/>
            </w:pPr>
            <w:r>
              <w:t>180.11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1756.57</w:t>
            </w:r>
          </w:p>
        </w:tc>
        <w:tc>
          <w:tcPr>
            <w:tcW w:w="2551" w:type="dxa"/>
            <w:vAlign w:val="center"/>
          </w:tcPr>
          <w:p>
            <w:pPr>
              <w:pStyle w:val="12"/>
            </w:pPr>
            <w:r>
              <w:t>1576.46</w:t>
            </w:r>
          </w:p>
        </w:tc>
        <w:tc>
          <w:tcPr>
            <w:tcW w:w="2551" w:type="dxa"/>
            <w:vAlign w:val="center"/>
          </w:tcPr>
          <w:p>
            <w:pPr>
              <w:pStyle w:val="12"/>
            </w:pPr>
            <w:r>
              <w:t>180.11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2011101</w:t>
            </w:r>
          </w:p>
        </w:tc>
        <w:tc>
          <w:tcPr>
            <w:tcW w:w="4535" w:type="dxa"/>
            <w:vAlign w:val="center"/>
          </w:tcPr>
          <w:p>
            <w:pPr>
              <w:pStyle w:val="13"/>
            </w:pPr>
            <w:r>
              <w:t>行政运行</w:t>
            </w:r>
          </w:p>
        </w:tc>
        <w:tc>
          <w:tcPr>
            <w:tcW w:w="2551" w:type="dxa"/>
            <w:vAlign w:val="center"/>
          </w:tcPr>
          <w:p>
            <w:pPr>
              <w:pStyle w:val="12"/>
            </w:pPr>
            <w:r>
              <w:t>1576.46</w:t>
            </w:r>
          </w:p>
        </w:tc>
        <w:tc>
          <w:tcPr>
            <w:tcW w:w="2551" w:type="dxa"/>
            <w:vAlign w:val="center"/>
          </w:tcPr>
          <w:p>
            <w:pPr>
              <w:pStyle w:val="12"/>
            </w:pPr>
            <w:r>
              <w:t>1576.46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180.11</w:t>
            </w:r>
          </w:p>
        </w:tc>
        <w:tc>
          <w:tcPr>
            <w:tcW w:w="2551" w:type="dxa"/>
            <w:vAlign w:val="center"/>
          </w:tcPr>
          <w:p>
            <w:pPr>
              <w:pStyle w:val="12"/>
            </w:pPr>
          </w:p>
        </w:tc>
        <w:tc>
          <w:tcPr>
            <w:tcW w:w="2551" w:type="dxa"/>
            <w:vAlign w:val="center"/>
          </w:tcPr>
          <w:p>
            <w:pPr>
              <w:pStyle w:val="12"/>
            </w:pPr>
            <w:r>
              <w:t>180.11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368.87</w:t>
            </w:r>
          </w:p>
        </w:tc>
        <w:tc>
          <w:tcPr>
            <w:tcW w:w="2551" w:type="dxa"/>
            <w:vAlign w:val="center"/>
          </w:tcPr>
          <w:p>
            <w:pPr>
              <w:pStyle w:val="12"/>
            </w:pPr>
            <w:r>
              <w:t>368.87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368.87</w:t>
            </w:r>
          </w:p>
        </w:tc>
        <w:tc>
          <w:tcPr>
            <w:tcW w:w="2551" w:type="dxa"/>
            <w:vAlign w:val="center"/>
          </w:tcPr>
          <w:p>
            <w:pPr>
              <w:pStyle w:val="12"/>
            </w:pPr>
            <w:r>
              <w:t>368.87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205.67</w:t>
            </w:r>
          </w:p>
        </w:tc>
        <w:tc>
          <w:tcPr>
            <w:tcW w:w="2551" w:type="dxa"/>
            <w:vAlign w:val="center"/>
          </w:tcPr>
          <w:p>
            <w:pPr>
              <w:pStyle w:val="12"/>
            </w:pPr>
            <w:r>
              <w:t>205.67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163.20</w:t>
            </w:r>
          </w:p>
        </w:tc>
        <w:tc>
          <w:tcPr>
            <w:tcW w:w="2551" w:type="dxa"/>
            <w:vAlign w:val="center"/>
          </w:tcPr>
          <w:p>
            <w:pPr>
              <w:pStyle w:val="12"/>
            </w:pPr>
            <w:r>
              <w:t>163.20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55.70</w:t>
            </w:r>
          </w:p>
        </w:tc>
        <w:tc>
          <w:tcPr>
            <w:tcW w:w="2551" w:type="dxa"/>
            <w:vAlign w:val="center"/>
          </w:tcPr>
          <w:p>
            <w:pPr>
              <w:pStyle w:val="12"/>
            </w:pPr>
            <w:r>
              <w:t>55.70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55.70</w:t>
            </w:r>
          </w:p>
        </w:tc>
        <w:tc>
          <w:tcPr>
            <w:tcW w:w="2551" w:type="dxa"/>
            <w:vAlign w:val="center"/>
          </w:tcPr>
          <w:p>
            <w:pPr>
              <w:pStyle w:val="12"/>
            </w:pPr>
            <w:r>
              <w:t>55.70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55.70</w:t>
            </w:r>
          </w:p>
        </w:tc>
        <w:tc>
          <w:tcPr>
            <w:tcW w:w="2551" w:type="dxa"/>
            <w:vAlign w:val="center"/>
          </w:tcPr>
          <w:p>
            <w:pPr>
              <w:pStyle w:val="12"/>
            </w:pPr>
            <w:r>
              <w:t>55.70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133.45</w:t>
            </w:r>
          </w:p>
        </w:tc>
        <w:tc>
          <w:tcPr>
            <w:tcW w:w="2551" w:type="dxa"/>
            <w:vAlign w:val="center"/>
          </w:tcPr>
          <w:p>
            <w:pPr>
              <w:pStyle w:val="12"/>
            </w:pPr>
            <w:r>
              <w:t>133.45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133.45</w:t>
            </w:r>
          </w:p>
        </w:tc>
        <w:tc>
          <w:tcPr>
            <w:tcW w:w="2551" w:type="dxa"/>
            <w:vAlign w:val="center"/>
          </w:tcPr>
          <w:p>
            <w:pPr>
              <w:pStyle w:val="12"/>
            </w:pPr>
            <w:r>
              <w:t>133.45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133.45</w:t>
            </w:r>
          </w:p>
        </w:tc>
        <w:tc>
          <w:tcPr>
            <w:tcW w:w="2551" w:type="dxa"/>
            <w:vAlign w:val="center"/>
          </w:tcPr>
          <w:p>
            <w:pPr>
              <w:pStyle w:val="12"/>
            </w:pPr>
            <w:r>
              <w:t>133.45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2134.48</w:t>
            </w:r>
          </w:p>
        </w:tc>
        <w:tc>
          <w:tcPr>
            <w:tcW w:w="2551" w:type="dxa"/>
            <w:vAlign w:val="center"/>
          </w:tcPr>
          <w:p>
            <w:pPr>
              <w:pStyle w:val="16"/>
            </w:pPr>
            <w:r>
              <w:t>1929.71</w:t>
            </w:r>
          </w:p>
        </w:tc>
        <w:tc>
          <w:tcPr>
            <w:tcW w:w="2551" w:type="dxa"/>
            <w:vAlign w:val="center"/>
          </w:tcPr>
          <w:p>
            <w:pPr>
              <w:pStyle w:val="16"/>
            </w:pPr>
            <w:r>
              <w:t>204.77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1728.54</w:t>
            </w:r>
          </w:p>
        </w:tc>
        <w:tc>
          <w:tcPr>
            <w:tcW w:w="2551" w:type="dxa"/>
            <w:vAlign w:val="center"/>
          </w:tcPr>
          <w:p>
            <w:pPr>
              <w:pStyle w:val="12"/>
            </w:pPr>
            <w:r>
              <w:t>1728.54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611.79</w:t>
            </w:r>
          </w:p>
        </w:tc>
        <w:tc>
          <w:tcPr>
            <w:tcW w:w="2551" w:type="dxa"/>
            <w:vAlign w:val="center"/>
          </w:tcPr>
          <w:p>
            <w:pPr>
              <w:pStyle w:val="12"/>
            </w:pPr>
            <w:r>
              <w:t>611.79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435.59</w:t>
            </w:r>
          </w:p>
        </w:tc>
        <w:tc>
          <w:tcPr>
            <w:tcW w:w="2551" w:type="dxa"/>
            <w:vAlign w:val="center"/>
          </w:tcPr>
          <w:p>
            <w:pPr>
              <w:pStyle w:val="12"/>
            </w:pPr>
            <w:r>
              <w:t>435.59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324.67</w:t>
            </w:r>
          </w:p>
        </w:tc>
        <w:tc>
          <w:tcPr>
            <w:tcW w:w="2551" w:type="dxa"/>
            <w:vAlign w:val="center"/>
          </w:tcPr>
          <w:p>
            <w:pPr>
              <w:pStyle w:val="12"/>
            </w:pPr>
            <w:r>
              <w:t>324.67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163.20</w:t>
            </w:r>
          </w:p>
        </w:tc>
        <w:tc>
          <w:tcPr>
            <w:tcW w:w="2551" w:type="dxa"/>
            <w:vAlign w:val="center"/>
          </w:tcPr>
          <w:p>
            <w:pPr>
              <w:pStyle w:val="12"/>
            </w:pPr>
            <w:r>
              <w:t>163.20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55.70</w:t>
            </w:r>
          </w:p>
        </w:tc>
        <w:tc>
          <w:tcPr>
            <w:tcW w:w="2551" w:type="dxa"/>
            <w:vAlign w:val="center"/>
          </w:tcPr>
          <w:p>
            <w:pPr>
              <w:pStyle w:val="12"/>
            </w:pPr>
            <w:r>
              <w:t>55.70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4.13</w:t>
            </w:r>
          </w:p>
        </w:tc>
        <w:tc>
          <w:tcPr>
            <w:tcW w:w="2551" w:type="dxa"/>
            <w:vAlign w:val="center"/>
          </w:tcPr>
          <w:p>
            <w:pPr>
              <w:pStyle w:val="12"/>
            </w:pPr>
            <w:r>
              <w:t>4.13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133.45</w:t>
            </w:r>
          </w:p>
        </w:tc>
        <w:tc>
          <w:tcPr>
            <w:tcW w:w="2551" w:type="dxa"/>
            <w:vAlign w:val="center"/>
          </w:tcPr>
          <w:p>
            <w:pPr>
              <w:pStyle w:val="12"/>
            </w:pPr>
            <w:r>
              <w:t>133.45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204.77</w:t>
            </w:r>
          </w:p>
        </w:tc>
        <w:tc>
          <w:tcPr>
            <w:tcW w:w="2551" w:type="dxa"/>
            <w:vAlign w:val="center"/>
          </w:tcPr>
          <w:p>
            <w:pPr>
              <w:pStyle w:val="12"/>
            </w:pPr>
          </w:p>
        </w:tc>
        <w:tc>
          <w:tcPr>
            <w:tcW w:w="2551" w:type="dxa"/>
            <w:vAlign w:val="center"/>
          </w:tcPr>
          <w:p>
            <w:pPr>
              <w:pStyle w:val="12"/>
            </w:pPr>
            <w:r>
              <w:t>204.77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33.70</w:t>
            </w:r>
          </w:p>
        </w:tc>
        <w:tc>
          <w:tcPr>
            <w:tcW w:w="2551" w:type="dxa"/>
            <w:vAlign w:val="center"/>
          </w:tcPr>
          <w:p>
            <w:pPr>
              <w:pStyle w:val="12"/>
            </w:pPr>
          </w:p>
        </w:tc>
        <w:tc>
          <w:tcPr>
            <w:tcW w:w="2551" w:type="dxa"/>
            <w:vAlign w:val="center"/>
          </w:tcPr>
          <w:p>
            <w:pPr>
              <w:pStyle w:val="12"/>
            </w:pPr>
            <w:r>
              <w:t>33.70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42.66</w:t>
            </w:r>
          </w:p>
        </w:tc>
        <w:tc>
          <w:tcPr>
            <w:tcW w:w="2551" w:type="dxa"/>
            <w:vAlign w:val="center"/>
          </w:tcPr>
          <w:p>
            <w:pPr>
              <w:pStyle w:val="12"/>
            </w:pPr>
          </w:p>
        </w:tc>
        <w:tc>
          <w:tcPr>
            <w:tcW w:w="2551" w:type="dxa"/>
            <w:vAlign w:val="center"/>
          </w:tcPr>
          <w:p>
            <w:pPr>
              <w:pStyle w:val="12"/>
            </w:pPr>
            <w:r>
              <w:t>42.66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9.33</w:t>
            </w:r>
          </w:p>
        </w:tc>
        <w:tc>
          <w:tcPr>
            <w:tcW w:w="2551" w:type="dxa"/>
            <w:vAlign w:val="center"/>
          </w:tcPr>
          <w:p>
            <w:pPr>
              <w:pStyle w:val="12"/>
            </w:pPr>
          </w:p>
        </w:tc>
        <w:tc>
          <w:tcPr>
            <w:tcW w:w="2551" w:type="dxa"/>
            <w:vAlign w:val="center"/>
          </w:tcPr>
          <w:p>
            <w:pPr>
              <w:pStyle w:val="12"/>
            </w:pPr>
            <w:r>
              <w:t>9.33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16.51</w:t>
            </w:r>
          </w:p>
        </w:tc>
        <w:tc>
          <w:tcPr>
            <w:tcW w:w="2551" w:type="dxa"/>
            <w:vAlign w:val="center"/>
          </w:tcPr>
          <w:p>
            <w:pPr>
              <w:pStyle w:val="12"/>
            </w:pPr>
          </w:p>
        </w:tc>
        <w:tc>
          <w:tcPr>
            <w:tcW w:w="2551" w:type="dxa"/>
            <w:vAlign w:val="center"/>
          </w:tcPr>
          <w:p>
            <w:pPr>
              <w:pStyle w:val="12"/>
            </w:pPr>
            <w:r>
              <w:t>16.51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14.81</w:t>
            </w:r>
          </w:p>
        </w:tc>
        <w:tc>
          <w:tcPr>
            <w:tcW w:w="2551" w:type="dxa"/>
            <w:vAlign w:val="center"/>
          </w:tcPr>
          <w:p>
            <w:pPr>
              <w:pStyle w:val="12"/>
            </w:pPr>
          </w:p>
        </w:tc>
        <w:tc>
          <w:tcPr>
            <w:tcW w:w="2551" w:type="dxa"/>
            <w:vAlign w:val="center"/>
          </w:tcPr>
          <w:p>
            <w:pPr>
              <w:pStyle w:val="12"/>
            </w:pPr>
            <w:r>
              <w:t>14.81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71.76</w:t>
            </w:r>
          </w:p>
        </w:tc>
        <w:tc>
          <w:tcPr>
            <w:tcW w:w="2551" w:type="dxa"/>
            <w:vAlign w:val="center"/>
          </w:tcPr>
          <w:p>
            <w:pPr>
              <w:pStyle w:val="12"/>
            </w:pPr>
          </w:p>
        </w:tc>
        <w:tc>
          <w:tcPr>
            <w:tcW w:w="2551" w:type="dxa"/>
            <w:vAlign w:val="center"/>
          </w:tcPr>
          <w:p>
            <w:pPr>
              <w:pStyle w:val="12"/>
            </w:pPr>
            <w:r>
              <w:t>71.76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11.15</w:t>
            </w:r>
          </w:p>
        </w:tc>
        <w:tc>
          <w:tcPr>
            <w:tcW w:w="2551" w:type="dxa"/>
            <w:vAlign w:val="center"/>
          </w:tcPr>
          <w:p>
            <w:pPr>
              <w:pStyle w:val="12"/>
            </w:pPr>
          </w:p>
        </w:tc>
        <w:tc>
          <w:tcPr>
            <w:tcW w:w="2551" w:type="dxa"/>
            <w:vAlign w:val="center"/>
          </w:tcPr>
          <w:p>
            <w:pPr>
              <w:pStyle w:val="12"/>
            </w:pPr>
            <w:r>
              <w:t>11.15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201.17</w:t>
            </w:r>
          </w:p>
        </w:tc>
        <w:tc>
          <w:tcPr>
            <w:tcW w:w="2551" w:type="dxa"/>
            <w:vAlign w:val="center"/>
          </w:tcPr>
          <w:p>
            <w:pPr>
              <w:pStyle w:val="12"/>
            </w:pPr>
            <w:r>
              <w:t>201.17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200.45</w:t>
            </w:r>
          </w:p>
        </w:tc>
        <w:tc>
          <w:tcPr>
            <w:tcW w:w="2551" w:type="dxa"/>
            <w:vAlign w:val="center"/>
          </w:tcPr>
          <w:p>
            <w:pPr>
              <w:pStyle w:val="12"/>
            </w:pPr>
            <w:r>
              <w:t>200.45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0.73</w:t>
            </w:r>
          </w:p>
        </w:tc>
        <w:tc>
          <w:tcPr>
            <w:tcW w:w="2551" w:type="dxa"/>
            <w:vAlign w:val="center"/>
          </w:tcPr>
          <w:p>
            <w:pPr>
              <w:pStyle w:val="12"/>
            </w:pPr>
            <w:r>
              <w:t>0.73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34.55</w:t>
            </w:r>
          </w:p>
        </w:tc>
        <w:tc>
          <w:tcPr>
            <w:tcW w:w="2381" w:type="dxa"/>
            <w:vAlign w:val="center"/>
          </w:tcPr>
          <w:p>
            <w:pPr>
              <w:pStyle w:val="16"/>
            </w:pPr>
            <w:r>
              <w:t>34.55</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34.55</w:t>
            </w:r>
          </w:p>
        </w:tc>
        <w:tc>
          <w:tcPr>
            <w:tcW w:w="2381" w:type="dxa"/>
            <w:vAlign w:val="center"/>
          </w:tcPr>
          <w:p>
            <w:pPr>
              <w:pStyle w:val="12"/>
            </w:pPr>
            <w:r>
              <w:t>34.55</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26.73</w:t>
            </w:r>
          </w:p>
        </w:tc>
        <w:tc>
          <w:tcPr>
            <w:tcW w:w="2381" w:type="dxa"/>
            <w:vAlign w:val="center"/>
          </w:tcPr>
          <w:p>
            <w:pPr>
              <w:pStyle w:val="12"/>
            </w:pPr>
            <w:r>
              <w:t>26.73</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26.73</w:t>
            </w:r>
          </w:p>
        </w:tc>
        <w:tc>
          <w:tcPr>
            <w:tcW w:w="2381" w:type="dxa"/>
            <w:vAlign w:val="center"/>
          </w:tcPr>
          <w:p>
            <w:pPr>
              <w:pStyle w:val="12"/>
            </w:pPr>
            <w:r>
              <w:t>26.73</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7.82</w:t>
            </w:r>
          </w:p>
        </w:tc>
        <w:tc>
          <w:tcPr>
            <w:tcW w:w="2381" w:type="dxa"/>
            <w:vAlign w:val="center"/>
          </w:tcPr>
          <w:p>
            <w:pPr>
              <w:pStyle w:val="12"/>
            </w:pPr>
            <w:r>
              <w:t>7.82</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中国共产党保定市徐水区纪律检查委员会2025年部门预算信息公开情况说明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中国共产党保定市徐水区纪律检查委员会2025年部门预算信息公开情况说明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按照《中华人民共和国预算法》、《地方预决算公开操作规程》和《关于进一步推进预算公开工作的实施意见》规定，现将中国共产党保定市徐水区纪律检查委员会2025年部门预算公开如下：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根据《中国共产党保定市徐水区纪律检查委员会职能配置、内设机构和人员编制规定》，中国共产党保定市徐水区纪律检查委员会的主要职责是：</w:t>
      </w:r>
    </w:p>
    <w:p>
      <w:pPr>
        <w:pStyle w:val="18"/>
      </w:pPr>
      <w:r>
        <w:t>（一）负责全区党的纪律检查工作。贯彻落实党中央、省委、市委和区委关于纪律检查工作的决策部署，维护党的章程和其他党内法规，检查党的路线方针政策和决议的执行情况，协助区委推进全面从严治党、加强党风建设和组织协调反腐工作。</w:t>
      </w:r>
    </w:p>
    <w:p>
      <w:pPr>
        <w:pStyle w:val="18"/>
      </w:pPr>
      <w:r>
        <w:t>（二）依照党的章程和其他党内法规履行监督、执纪、问责职责。</w:t>
      </w:r>
    </w:p>
    <w:p>
      <w:pPr>
        <w:pStyle w:val="18"/>
      </w:pPr>
      <w:r>
        <w:t>（三）支持配合巡察工作。承担巡视巡察整改日常监督责任，做好巡视巡察整改督查督办工作，依规依纪依法处置巡视巡察移交的反映领导干部问题线索。</w:t>
      </w:r>
    </w:p>
    <w:p>
      <w:pPr>
        <w:pStyle w:val="18"/>
      </w:pPr>
      <w:r>
        <w:t>（四）负责全区监察工作。贯彻落实党中央、省委、市委和区委关于监察工作的决策部署，维护宪法法律，依法对区委管理的行使公权力的公职人员进行监察，调查职务违法和职务犯罪，开展廉政建设和反腐败工作。</w:t>
      </w:r>
    </w:p>
    <w:p>
      <w:pPr>
        <w:pStyle w:val="18"/>
      </w:pPr>
      <w:r>
        <w:t>（五）依照法律规定履行监督、调查、处置职责。</w:t>
      </w:r>
    </w:p>
    <w:p>
      <w:pPr>
        <w:pStyle w:val="18"/>
      </w:pPr>
      <w:r>
        <w:t>（六）负责组织协调全面从严治党、党风廉政建设和反腐败宣传教育工作。</w:t>
      </w:r>
    </w:p>
    <w:p>
      <w:pPr>
        <w:pStyle w:val="18"/>
      </w:pPr>
      <w:r>
        <w:t>（七）负责综合分析全面从严治党、党风廉政建设和反腐败工作情况。</w:t>
      </w:r>
    </w:p>
    <w:p>
      <w:pPr>
        <w:pStyle w:val="18"/>
      </w:pPr>
      <w:r>
        <w:t>（八）负责组织协调全区反腐败追逃追赃和防逃工作，督促有关单位做好相关工作。</w:t>
      </w:r>
    </w:p>
    <w:p>
      <w:pPr>
        <w:pStyle w:val="18"/>
      </w:pPr>
      <w:r>
        <w:t>（九）根据干部管理权限，负责全区纪检监察系统领导班子建设、干部队伍建设和组织建设的综合规划、政策研究和制度建设。</w:t>
      </w:r>
    </w:p>
    <w:p>
      <w:pPr>
        <w:pStyle w:val="18"/>
      </w:pPr>
      <w:r>
        <w:t>（十）完成上级纪委、监委和区委授权或交办的其他任务。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中国共产党保定市徐水区纪律检查委员会本级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按照预算管理有关规定，目前部门预算的编制实行综合预算管理，即全部收入和支出都反映在预算中。中国共产党保定市徐水区纪律检查委员会机关及所属事业单位的收支包含在部门预算中。</w:t>
      </w:r>
    </w:p>
    <w:p>
      <w:pPr>
        <w:pStyle w:val="19"/>
      </w:pPr>
      <w:r>
        <w:t>1、收入说明</w:t>
      </w:r>
    </w:p>
    <w:p>
      <w:pPr>
        <w:pStyle w:val="19"/>
      </w:pPr>
      <w:r>
        <w:t>反映本部门当年全部收入。2025年预算收入2314.59万元，其中：一般公共预算收入2314.59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国共产党保定市徐水区纪律检查委员会年度部门预算中支出预算的总体情况。2025年支出预算2314.59万元，其中基本支出2134.48万元，包括人员经费1929.71万元和日常公用经费204.77万元；项目支出180.11万元，主要为纪检办案业务费67.47万元，纪检保障经费36.04万元，区纪委监委后勤保障费用30万元，巡察业务经费39.6万元，办案专项补助经费（劳务费）7万元。</w:t>
      </w:r>
    </w:p>
    <w:p>
      <w:pPr>
        <w:pStyle w:val="19"/>
      </w:pPr>
      <w:r>
        <w:t>3、比上年增减情况</w:t>
      </w:r>
    </w:p>
    <w:p>
      <w:pPr>
        <w:pStyle w:val="19"/>
      </w:pPr>
      <w:r>
        <w:t>2025年预算收支安排2314.59万元，较2024年预算增加0.79万元，其中：基本支出增加158.79万元，主要为人员经费增加项目支出减少158.00万元，主要为减少了区纪委监委工作经费100万元、区纪委监委配置办公设备经费78万元以及提前下达2024年中央政法纪检监察转移支付资金10万元；2025年增加了年初预算项目区纪委监委后勤保障费用30万元。</w:t>
      </w:r>
    </w:p>
    <w:p>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2"/>
      </w:pPr>
      <w:bookmarkStart w:id="11" w:name="_Toc_3_3_0000000012"/>
      <w:r>
        <w:rPr>
          <w:rFonts w:ascii="黑体" w:hAnsi="黑体" w:eastAsia="黑体" w:cs="黑体"/>
          <w:color w:val="000000"/>
          <w:sz w:val="32"/>
        </w:rPr>
        <w:t>三、机关运行经费安排情况</w:t>
      </w:r>
      <w:bookmarkEnd w:id="11"/>
    </w:p>
    <w:p>
      <w:pPr>
        <w:pStyle w:val="20"/>
      </w:pPr>
      <w:r>
        <w:t>202</w:t>
      </w:r>
      <w:r>
        <w:rPr>
          <w:rFonts w:hint="default"/>
          <w:lang w:val="en-US"/>
        </w:rPr>
        <w:t>5</w:t>
      </w:r>
      <w:r>
        <w:t>年我部门机关运行经费安排204.</w:t>
      </w:r>
      <w:r>
        <w:rPr>
          <w:rFonts w:hint="default"/>
          <w:lang w:val="en-US"/>
        </w:rPr>
        <w:t>77</w:t>
      </w:r>
      <w:r>
        <w:t>万元，其中办公费3</w:t>
      </w:r>
      <w:r>
        <w:rPr>
          <w:rFonts w:hint="default"/>
          <w:lang w:val="en-US"/>
        </w:rPr>
        <w:t>3.70</w:t>
      </w:r>
      <w:r>
        <w:t>万元，邮电费</w:t>
      </w:r>
      <w:r>
        <w:rPr>
          <w:rFonts w:hint="default"/>
          <w:lang w:val="en-US"/>
        </w:rPr>
        <w:t>42.66</w:t>
      </w:r>
      <w:r>
        <w:t>万元，取暖费9.33万元，工会经费1</w:t>
      </w:r>
      <w:r>
        <w:rPr>
          <w:rFonts w:hint="default"/>
          <w:lang w:val="en-US"/>
        </w:rPr>
        <w:t>6.51</w:t>
      </w:r>
      <w:r>
        <w:t>万元，福利费1</w:t>
      </w:r>
      <w:r>
        <w:rPr>
          <w:rFonts w:hint="default"/>
          <w:lang w:val="en-US"/>
        </w:rPr>
        <w:t>4.81</w:t>
      </w:r>
      <w:r>
        <w:t>万元，公务用车运行维护费4.86万元，其他交通费用</w:t>
      </w:r>
      <w:r>
        <w:rPr>
          <w:rFonts w:hint="default"/>
          <w:lang w:val="en-US"/>
        </w:rPr>
        <w:t>71.76</w:t>
      </w:r>
      <w:r>
        <w:t>万元，其他商品和服务支出</w:t>
      </w:r>
      <w:r>
        <w:rPr>
          <w:rFonts w:hint="default"/>
          <w:lang w:val="en-US"/>
        </w:rPr>
        <w:t>11.15</w:t>
      </w:r>
      <w:r>
        <w:t>万元。</w:t>
      </w:r>
    </w:p>
    <w:p>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w:t>
      </w:r>
      <w:r>
        <w:rPr>
          <w:rFonts w:hint="default"/>
          <w:lang w:val="en-US"/>
        </w:rPr>
        <w:t>5</w:t>
      </w:r>
      <w:r>
        <w:t>年，我部门财政拨款“三公”经费预算安排</w:t>
      </w:r>
      <w:r>
        <w:rPr>
          <w:rFonts w:hint="default"/>
          <w:lang w:val="en-US"/>
        </w:rPr>
        <w:t>34.55</w:t>
      </w:r>
      <w:r>
        <w:t>万元，其中因公出国（境）费0万元；公务用车购置及运维费</w:t>
      </w:r>
      <w:r>
        <w:rPr>
          <w:rFonts w:hint="default"/>
          <w:lang w:val="en-US"/>
        </w:rPr>
        <w:t>26.73</w:t>
      </w:r>
      <w:r>
        <w:t>万元（其中：公务用车购置费为0万元，公务用车运维费</w:t>
      </w:r>
      <w:r>
        <w:rPr>
          <w:rFonts w:hint="default"/>
          <w:lang w:val="en-US"/>
        </w:rPr>
        <w:t>26.73</w:t>
      </w:r>
      <w:r>
        <w:t>万元)；公务接待费7.82万元。与 202</w:t>
      </w:r>
      <w:r>
        <w:rPr>
          <w:rFonts w:hint="default"/>
          <w:lang w:val="en-US"/>
        </w:rPr>
        <w:t>4</w:t>
      </w:r>
      <w:r>
        <w:t>年相比</w:t>
      </w:r>
      <w:r>
        <w:rPr>
          <w:rFonts w:hint="eastAsia"/>
          <w:lang w:eastAsia="zh-CN"/>
        </w:rPr>
        <w:t>，</w:t>
      </w:r>
      <w:r>
        <w:rPr>
          <w:rFonts w:hint="eastAsia"/>
          <w:lang w:val="en-US" w:eastAsia="zh-CN"/>
        </w:rPr>
        <w:t>增长了</w:t>
      </w:r>
      <w:r>
        <w:rPr>
          <w:rFonts w:hint="default"/>
          <w:lang w:val="en-US" w:eastAsia="zh-CN"/>
        </w:rPr>
        <w:t>4.86</w:t>
      </w:r>
      <w:r>
        <w:rPr>
          <w:rFonts w:hint="eastAsia"/>
          <w:lang w:val="en-US" w:eastAsia="zh-CN"/>
        </w:rPr>
        <w:t>万元，原因是</w:t>
      </w:r>
      <w:r>
        <w:rPr>
          <w:rFonts w:hint="default"/>
          <w:lang w:val="en-US" w:eastAsia="zh-CN"/>
        </w:rPr>
        <w:t>2024</w:t>
      </w:r>
      <w:r>
        <w:rPr>
          <w:rFonts w:hint="eastAsia"/>
          <w:lang w:val="en-US" w:eastAsia="zh-CN"/>
        </w:rPr>
        <w:t>年新购置了两辆公务用车</w:t>
      </w:r>
      <w:r>
        <w:t>。</w:t>
      </w: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w:t>
      </w:r>
      <w:r>
        <w:rPr>
          <w:rFonts w:hint="eastAsia"/>
          <w:lang w:val="en-US" w:eastAsia="zh-CN"/>
        </w:rPr>
        <w:t>习</w:t>
      </w:r>
      <w:r>
        <w:t>近平新时代中国特色社会主义思想为指导，立足纪检监察机关职能定位，提高政治站位，强化责任担当，以严格的监督执纪问责抓好末端落实，扎实推动我区全面从严治党、党风廉政建设和反腐败工作向纵深发展，以实际行动推动党的二十大精神落地落实。2025年我部门总体发展规划目标是：深入学习贯彻党的二十大精神，以精准有力的政治监督推动“两个维护”落地见效；一体推进“三不腐”，坚决打赢反腐败斗争攻坚战，至少召开一次全区领导干部教育警示会议；坚持以严的基调强化正风肃纪，推动“四风”常态化长效化，做好元旦、春节、中秋等重要节点的监督；坚守政治定位，有力推动巡察工作规范高效，每轮组建4个巡察组，每轮巡察不超过2个月；勇于自我革命，全面锻造过硬纪检监察铁军。</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1.办案问责</w:t>
      </w:r>
    </w:p>
    <w:p>
      <w:pPr>
        <w:pStyle w:val="23"/>
      </w:pPr>
      <w:r>
        <w:t>绩效目标：2025年，徐水区纪委监委将持续加大审查调查工作力度，立足“不敢”，始终保持“惩”的有力威慑；立足“不能”，着力强化“治”的综合效能；立足“不想”，充分释放“警”的预防作用。</w:t>
      </w:r>
    </w:p>
    <w:p>
      <w:pPr>
        <w:pStyle w:val="23"/>
      </w:pPr>
      <w:r>
        <w:t>绩效指标：群众来信来访登记率达到100%，案件办结率达到90%以上，办案安全率100%，办案经费保障率100%。</w:t>
      </w:r>
    </w:p>
    <w:p>
      <w:pPr>
        <w:pStyle w:val="23"/>
      </w:pPr>
      <w:r>
        <w:t>2.党风廉政建设</w:t>
      </w:r>
    </w:p>
    <w:p>
      <w:pPr>
        <w:pStyle w:val="23"/>
      </w:pPr>
      <w:r>
        <w:t>绩效目标：通过多角度全方位的警示教育，进一步督促全区党员干部时刻绷紧“廉政弦”，筑牢拒腐防变的思想道德防线。绩效指标：召开全区领导干部警示教育会议1次，选取当年重大典型案件，拍摄录制警示教育专题片至少1部。</w:t>
      </w:r>
    </w:p>
    <w:p>
      <w:pPr>
        <w:pStyle w:val="23"/>
      </w:pPr>
      <w:r>
        <w:t>3.监督检查</w:t>
      </w:r>
    </w:p>
    <w:p>
      <w:pPr>
        <w:pStyle w:val="23"/>
      </w:pPr>
      <w:r>
        <w:t>绩效目标：保障监督检查党内法规政策、国家法律法规、党风廉政建设的贯彻落实，保障区委有关部署的贯彻落实，开展常态化全覆盖监督。</w:t>
      </w:r>
    </w:p>
    <w:p>
      <w:pPr>
        <w:pStyle w:val="23"/>
      </w:pPr>
      <w:r>
        <w:t>绩效指标：保证元旦、春节、中秋及其他重要时点的监督监察率100%，对失职失责干部问责率达到100%。</w:t>
      </w:r>
    </w:p>
    <w:p>
      <w:pPr>
        <w:pStyle w:val="23"/>
      </w:pPr>
      <w:r>
        <w:t>4.纪检事物管理</w:t>
      </w:r>
    </w:p>
    <w:p>
      <w:pPr>
        <w:pStyle w:val="23"/>
      </w:pPr>
      <w:r>
        <w:t>绩效目标：保证区纪委监委能够正常运转，能够正常开展各项工作。</w:t>
      </w:r>
    </w:p>
    <w:p>
      <w:pPr>
        <w:pStyle w:val="23"/>
      </w:pPr>
      <w:r>
        <w:t>绩效指标：全年至少组织4次培训，办公环境整洁率100%，网络安全度100%。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1.完善制度建设。制定徐水区纪委监委资产管理制度、财务收支管理制度、涉案财物管理制度等，加强单位内控制度建设，严守财经纪律。</w:t>
      </w:r>
    </w:p>
    <w:p>
      <w:pPr>
        <w:pStyle w:val="24"/>
      </w:pPr>
      <w:r>
        <w:t>2.加强支出管理。不断调整优化支出结构，根据本部门实际需要编细编实预算，提高预算编制的科学性。严格按照</w:t>
      </w:r>
      <w:r>
        <w:rPr>
          <w:rFonts w:hint="eastAsia"/>
        </w:rPr>
        <w:t>《中华人民共和国预算法》</w:t>
      </w:r>
      <w:bookmarkStart w:id="20" w:name="_GoBack"/>
      <w:bookmarkEnd w:id="20"/>
      <w:r>
        <w:t>的要求，强化预算执行的严肃性，杜绝预算管理的随意性，没有列入预算的项目不得列支，超预算范围、超预算额度的，一律不得开支。强化预算执行的合法合规意识和绩效意识，提高财政资金使用效益。</w:t>
      </w:r>
    </w:p>
    <w:p>
      <w:pPr>
        <w:pStyle w:val="24"/>
      </w:pPr>
      <w:r>
        <w:t>3.加强绩效运行监控。在预算执行全阶段，要严格执行支出承诺制度，根据年初资金支出计划，对本部门政策和项目执行进度开展月度监控，指导、督促本部门开展预算执行进度监控，确保财政资金按计划支出，提高资金使用效益。</w:t>
      </w:r>
    </w:p>
    <w:p>
      <w:pPr>
        <w:pStyle w:val="24"/>
      </w:pPr>
      <w:r>
        <w:t>4.做好绩效自评。办公室会同各科室根据年初确定的整体绩效目标，对本部门使用财政资金所实现的整体产出和效果开展年度自评，指导所属单位开展本单位整体绩效自评工作，对评价中发现的问题及时整改，不断优化支出结构，提高财政资金的使用效益。</w:t>
      </w:r>
    </w:p>
    <w:p>
      <w:pPr>
        <w:pStyle w:val="24"/>
      </w:pPr>
      <w:r>
        <w:t>5.规范财务资产管理。完善区纪委监委财务管理制度，严格审批程序，切实加强对项目经费开支的审核和控制，加强固定资产登记、使用和报废处置管理，做到支出合理，物尽其用。</w:t>
      </w:r>
    </w:p>
    <w:p>
      <w:pPr>
        <w:pStyle w:val="24"/>
      </w:pPr>
      <w:r>
        <w:t>6.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4"/>
      </w:pPr>
      <w:r>
        <w:t>7.加强宣传培训调研等。加强人员培训，提高本部门职工业务素质；加强调研，提出优化财政资金配置、提高资金使用效益的意见和建议；加大宣传力度，强化预算绩效管理意识，促进预算绩效管理水平进一步提升。</w:t>
      </w:r>
    </w:p>
    <w:p>
      <w:pPr>
        <w:pStyle w:val="24"/>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jc w:val="left"/>
        <w:outlineLvl w:val="2"/>
        <w:rPr>
          <w:rFonts w:hint="default" w:ascii="Times New Roman" w:hAnsi="Times New Roman" w:eastAsia="方正仿宋_GBK" w:cs="Times New Roman"/>
          <w:sz w:val="28"/>
          <w:szCs w:val="24"/>
          <w:lang w:val="en-US" w:eastAsia="zh-CN" w:bidi="ar-SA"/>
        </w:rPr>
      </w:pPr>
      <w:r>
        <w:rPr>
          <w:rFonts w:hint="default" w:ascii="黑体" w:hAnsi="黑体" w:eastAsia="黑体" w:cs="黑体"/>
          <w:color w:val="000000"/>
          <w:sz w:val="32"/>
          <w:lang w:val="en-US"/>
        </w:rPr>
        <w:t xml:space="preserve">    </w:t>
      </w:r>
      <w:r>
        <w:rPr>
          <w:rFonts w:hint="eastAsia" w:ascii="Times New Roman" w:hAnsi="Times New Roman" w:eastAsia="方正仿宋_GBK" w:cs="Times New Roman"/>
          <w:sz w:val="28"/>
          <w:szCs w:val="24"/>
          <w:lang w:val="en-US" w:eastAsia="zh-CN" w:bidi="ar-SA"/>
        </w:rPr>
        <w:t>我单位无主管专项资金预算安排及绩效目标。</w:t>
      </w:r>
    </w:p>
    <w:p>
      <w:pPr>
        <w:numPr>
          <w:ilvl w:val="0"/>
          <w:numId w:val="0"/>
        </w:numPr>
        <w:spacing w:before="10" w:after="10" w:line="360" w:lineRule="auto"/>
        <w:jc w:val="left"/>
        <w:outlineLvl w:val="2"/>
        <w:rPr>
          <w:rFonts w:hint="default" w:ascii="黑体" w:hAnsi="黑体" w:eastAsia="黑体" w:cs="黑体"/>
          <w:color w:val="000000"/>
          <w:sz w:val="32"/>
          <w:lang w:val="en-US"/>
        </w:rPr>
        <w:sectPr>
          <w:pgSz w:w="16840" w:h="11900" w:orient="landscape"/>
          <w:pgMar w:top="1361" w:right="1020" w:bottom="1134" w:left="1020" w:header="720" w:footer="720" w:gutter="0"/>
          <w:cols w:space="720" w:num="1"/>
        </w:sectPr>
      </w:pPr>
      <w:r>
        <w:rPr>
          <w:rFonts w:hint="default" w:ascii="黑体" w:hAnsi="黑体" w:eastAsia="黑体" w:cs="黑体"/>
          <w:color w:val="000000"/>
          <w:sz w:val="32"/>
          <w:lang w:val="en-US"/>
        </w:rPr>
        <w:t xml:space="preserve">    </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1、办案专项补助经费（劳务费）绩效目标表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13062525P000232100534</w:t>
            </w:r>
          </w:p>
        </w:tc>
        <w:tc>
          <w:tcPr>
            <w:tcW w:w="2835" w:type="dxa"/>
            <w:vAlign w:val="center"/>
          </w:tcPr>
          <w:p>
            <w:pPr>
              <w:pStyle w:val="11"/>
            </w:pPr>
            <w:r>
              <w:t>项目名称</w:t>
            </w:r>
          </w:p>
        </w:tc>
        <w:tc>
          <w:tcPr>
            <w:tcW w:w="6095" w:type="dxa"/>
            <w:gridSpan w:val="3"/>
            <w:vAlign w:val="center"/>
          </w:tcPr>
          <w:p>
            <w:pPr>
              <w:pStyle w:val="13"/>
            </w:pPr>
            <w:r>
              <w:t>办案专项补助经费（劳务费）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根据《关于长期聘用人员王娟劳务费列入预算的请示》及王娟本人与我委签订的《劳动合同书》。我委录用长期聘用人员一名，其主要职责是在办公室进行文印、后勤管理等工作；该项目资金7万元，主要用于支付长期聘用人员工资及缴纳医疗保险、养老保险、住房公积金、工伤保险。</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1.通过聘用1名长期聘用人员，按月序时发放工资及各项保险费用，加强纪检监察机关办公效率，保障机关正常运行。</w:t>
            </w:r>
            <w:r>
              <w:tab/>
            </w:r>
            <w:r>
              <w:tab/>
            </w:r>
            <w:r>
              <w:tab/>
            </w:r>
            <w:r>
              <w:tab/>
            </w:r>
            <w:r>
              <w:tab/>
            </w:r>
          </w:p>
          <w:p>
            <w:pPr>
              <w:pStyle w:val="13"/>
            </w:pPr>
          </w:p>
          <w:p>
            <w:pPr>
              <w:pStyle w:val="13"/>
            </w:pPr>
            <w:r>
              <w:t>2.通过长期聘用人员的工作，保障机关食堂运行、档案管理等工作。</w:t>
            </w:r>
            <w:r>
              <w:tab/>
            </w:r>
            <w:r>
              <w:tab/>
            </w:r>
            <w:r>
              <w:tab/>
            </w:r>
            <w:r>
              <w:tab/>
            </w:r>
            <w:r>
              <w:tab/>
            </w:r>
          </w:p>
          <w:p>
            <w:pPr>
              <w:pStyle w:val="13"/>
            </w:pPr>
          </w:p>
          <w:p>
            <w:pPr>
              <w:pStyle w:val="13"/>
            </w:pPr>
            <w:r>
              <w:t>3.保证机关23个内设机构的文印工作的及时率及准确率。</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聘用人员数量</w:t>
            </w:r>
          </w:p>
        </w:tc>
        <w:tc>
          <w:tcPr>
            <w:tcW w:w="5386" w:type="dxa"/>
            <w:vAlign w:val="center"/>
          </w:tcPr>
          <w:p>
            <w:pPr>
              <w:pStyle w:val="13"/>
            </w:pPr>
            <w:r>
              <w:t>聘用人员数量</w:t>
            </w:r>
          </w:p>
        </w:tc>
        <w:tc>
          <w:tcPr>
            <w:tcW w:w="2268" w:type="dxa"/>
            <w:vAlign w:val="center"/>
          </w:tcPr>
          <w:p>
            <w:pPr>
              <w:pStyle w:val="13"/>
            </w:pPr>
            <w:r>
              <w:t>1人</w:t>
            </w:r>
          </w:p>
        </w:tc>
        <w:tc>
          <w:tcPr>
            <w:tcW w:w="1276" w:type="dxa"/>
            <w:vAlign w:val="center"/>
          </w:tcPr>
          <w:p>
            <w:pPr>
              <w:pStyle w:val="13"/>
            </w:pPr>
            <w:r>
              <w:t>《关于长期聘用人员王娟劳务费列入预算的请示项目实施计划》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交办给该人员的工作任务的完成率</w:t>
            </w:r>
          </w:p>
        </w:tc>
        <w:tc>
          <w:tcPr>
            <w:tcW w:w="2268" w:type="dxa"/>
            <w:vAlign w:val="center"/>
          </w:tcPr>
          <w:p>
            <w:pPr>
              <w:pStyle w:val="13"/>
            </w:pPr>
            <w:r>
              <w:t>≥95%</w:t>
            </w:r>
          </w:p>
        </w:tc>
        <w:tc>
          <w:tcPr>
            <w:tcW w:w="1276" w:type="dxa"/>
            <w:vAlign w:val="center"/>
          </w:tcPr>
          <w:p>
            <w:pPr>
              <w:pStyle w:val="13"/>
            </w:pPr>
            <w:r>
              <w:t>《关于将长期聘用人员王娟劳务费列入预算的请示》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经费支出及时率</w:t>
            </w:r>
          </w:p>
        </w:tc>
        <w:tc>
          <w:tcPr>
            <w:tcW w:w="5386" w:type="dxa"/>
            <w:vAlign w:val="center"/>
          </w:tcPr>
          <w:p>
            <w:pPr>
              <w:pStyle w:val="13"/>
            </w:pPr>
            <w:r>
              <w:t>按照月进度支付聘用人员工资及缴纳保险的及时率</w:t>
            </w:r>
          </w:p>
        </w:tc>
        <w:tc>
          <w:tcPr>
            <w:tcW w:w="2268" w:type="dxa"/>
            <w:vAlign w:val="center"/>
          </w:tcPr>
          <w:p>
            <w:pPr>
              <w:pStyle w:val="13"/>
            </w:pPr>
            <w:r>
              <w:t>≥90%</w:t>
            </w:r>
          </w:p>
        </w:tc>
        <w:tc>
          <w:tcPr>
            <w:tcW w:w="1276" w:type="dxa"/>
            <w:vAlign w:val="center"/>
          </w:tcPr>
          <w:p>
            <w:pPr>
              <w:pStyle w:val="13"/>
            </w:pPr>
            <w:r>
              <w:t>《关于将长期聘用人员王娟劳务费列入预算的请示》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长期聘用人员经费支出标准</w:t>
            </w:r>
          </w:p>
        </w:tc>
        <w:tc>
          <w:tcPr>
            <w:tcW w:w="5386" w:type="dxa"/>
            <w:vAlign w:val="center"/>
          </w:tcPr>
          <w:p>
            <w:pPr>
              <w:pStyle w:val="13"/>
            </w:pPr>
            <w:r>
              <w:t>每月支付的聘用人员工资及缴纳保险金额</w:t>
            </w:r>
          </w:p>
        </w:tc>
        <w:tc>
          <w:tcPr>
            <w:tcW w:w="2268" w:type="dxa"/>
            <w:vAlign w:val="center"/>
          </w:tcPr>
          <w:p>
            <w:pPr>
              <w:pStyle w:val="13"/>
            </w:pPr>
            <w:r>
              <w:t>5833.33元/月/人</w:t>
            </w:r>
          </w:p>
        </w:tc>
        <w:tc>
          <w:tcPr>
            <w:tcW w:w="1276" w:type="dxa"/>
            <w:vAlign w:val="center"/>
          </w:tcPr>
          <w:p>
            <w:pPr>
              <w:pStyle w:val="13"/>
            </w:pPr>
            <w:r>
              <w:t>《关于将长期聘用人员王娟劳务费列入预算的请示》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提升单位办公及后勤管理水平</w:t>
            </w:r>
          </w:p>
        </w:tc>
        <w:tc>
          <w:tcPr>
            <w:tcW w:w="5386" w:type="dxa"/>
            <w:vAlign w:val="center"/>
          </w:tcPr>
          <w:p>
            <w:pPr>
              <w:pStyle w:val="13"/>
            </w:pPr>
            <w:r>
              <w:t>提升办公室及食堂等管理效率的水平</w:t>
            </w:r>
          </w:p>
        </w:tc>
        <w:tc>
          <w:tcPr>
            <w:tcW w:w="2268" w:type="dxa"/>
            <w:vAlign w:val="center"/>
          </w:tcPr>
          <w:p>
            <w:pPr>
              <w:pStyle w:val="13"/>
            </w:pPr>
            <w:r>
              <w:t>≥95%</w:t>
            </w:r>
          </w:p>
        </w:tc>
        <w:tc>
          <w:tcPr>
            <w:tcW w:w="1276" w:type="dxa"/>
            <w:vAlign w:val="center"/>
          </w:tcPr>
          <w:p>
            <w:pPr>
              <w:pStyle w:val="13"/>
            </w:pPr>
            <w:r>
              <w:t>《关于将长期聘用人员王娟劳务费列入预算的请示》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领导对于长聘人员工作满意度</w:t>
            </w:r>
          </w:p>
        </w:tc>
        <w:tc>
          <w:tcPr>
            <w:tcW w:w="5386" w:type="dxa"/>
            <w:vAlign w:val="center"/>
          </w:tcPr>
          <w:p>
            <w:pPr>
              <w:pStyle w:val="13"/>
            </w:pPr>
            <w:r>
              <w:t>领导对于长聘人员工作效果的满意程度</w:t>
            </w:r>
          </w:p>
        </w:tc>
        <w:tc>
          <w:tcPr>
            <w:tcW w:w="2268" w:type="dxa"/>
            <w:vAlign w:val="center"/>
          </w:tcPr>
          <w:p>
            <w:pPr>
              <w:pStyle w:val="13"/>
            </w:pPr>
            <w:r>
              <w:t>≥90%</w:t>
            </w:r>
          </w:p>
        </w:tc>
        <w:tc>
          <w:tcPr>
            <w:tcW w:w="1276" w:type="dxa"/>
            <w:vAlign w:val="center"/>
          </w:tcPr>
          <w:p>
            <w:pPr>
              <w:pStyle w:val="13"/>
            </w:pPr>
            <w:r>
              <w:t>依据调查问卷</w:t>
            </w:r>
          </w:p>
          <w:p>
            <w:pPr>
              <w:pStyle w:val="13"/>
            </w:pP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2、纪检办案业务费绩效目标表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13062525P000049100038</w:t>
            </w:r>
          </w:p>
        </w:tc>
        <w:tc>
          <w:tcPr>
            <w:tcW w:w="2835" w:type="dxa"/>
            <w:vAlign w:val="center"/>
          </w:tcPr>
          <w:p>
            <w:pPr>
              <w:pStyle w:val="11"/>
            </w:pPr>
            <w:r>
              <w:t>项目名称</w:t>
            </w:r>
          </w:p>
        </w:tc>
        <w:tc>
          <w:tcPr>
            <w:tcW w:w="6095" w:type="dxa"/>
            <w:gridSpan w:val="3"/>
            <w:vAlign w:val="center"/>
          </w:tcPr>
          <w:p>
            <w:pPr>
              <w:pStyle w:val="13"/>
            </w:pPr>
            <w:r>
              <w:t>纪检办案业务费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67.47</w:t>
            </w:r>
          </w:p>
        </w:tc>
        <w:tc>
          <w:tcPr>
            <w:tcW w:w="2835" w:type="dxa"/>
            <w:vAlign w:val="center"/>
          </w:tcPr>
          <w:p>
            <w:pPr>
              <w:pStyle w:val="11"/>
            </w:pPr>
            <w:r>
              <w:t>其中：财政    资金</w:t>
            </w:r>
          </w:p>
        </w:tc>
        <w:tc>
          <w:tcPr>
            <w:tcW w:w="2551" w:type="dxa"/>
            <w:vAlign w:val="center"/>
          </w:tcPr>
          <w:p>
            <w:pPr>
              <w:pStyle w:val="13"/>
            </w:pPr>
            <w:r>
              <w:t>67.47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根据《关于全省县级纪检监察机关公用经费保障指导标准及有关事项的通知》（冀财行[2010]78号）文件，县级纪检监察机关人员、公用经费和纪检监察业务费全额纳入县级财政预算，确保纪检监察机关履行职能的需要。</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1.加强纪检监察机关行政保障工作，保证机关履职尽责，营造风清气正的政治生态。</w:t>
            </w:r>
            <w:r>
              <w:tab/>
            </w:r>
            <w:r>
              <w:tab/>
            </w:r>
            <w:r>
              <w:tab/>
            </w:r>
            <w:r>
              <w:tab/>
            </w:r>
            <w:r>
              <w:tab/>
            </w:r>
          </w:p>
          <w:p>
            <w:pPr>
              <w:pStyle w:val="13"/>
            </w:pPr>
          </w:p>
          <w:p>
            <w:pPr>
              <w:pStyle w:val="13"/>
            </w:pPr>
            <w:r>
              <w:t>2.确保办案办公经费、差旅费的支出及时全额保障，同时严把支出手续，保证经费支出合规率100%。</w:t>
            </w:r>
            <w:r>
              <w:tab/>
            </w:r>
            <w:r>
              <w:tab/>
            </w:r>
            <w:r>
              <w:tab/>
            </w:r>
            <w:r>
              <w:tab/>
            </w:r>
            <w:r>
              <w:tab/>
            </w:r>
          </w:p>
          <w:p>
            <w:pPr>
              <w:pStyle w:val="13"/>
            </w:pPr>
          </w:p>
          <w:p>
            <w:pPr>
              <w:pStyle w:val="13"/>
            </w:pPr>
            <w:r>
              <w:t>3.通过该项目保障机关运行办公经费支出，各项纪检业务工作完成率95%以上，成本控制在预算之内，遗留案件得到有效处理。</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年度差旅费支出金额</w:t>
            </w:r>
          </w:p>
        </w:tc>
        <w:tc>
          <w:tcPr>
            <w:tcW w:w="5386" w:type="dxa"/>
            <w:vAlign w:val="center"/>
          </w:tcPr>
          <w:p>
            <w:pPr>
              <w:pStyle w:val="13"/>
            </w:pPr>
            <w:r>
              <w:t>2025年度用于单位差旅费支出的金额</w:t>
            </w:r>
          </w:p>
        </w:tc>
        <w:tc>
          <w:tcPr>
            <w:tcW w:w="2268" w:type="dxa"/>
            <w:vAlign w:val="center"/>
          </w:tcPr>
          <w:p>
            <w:pPr>
              <w:pStyle w:val="13"/>
            </w:pPr>
            <w:r>
              <w:t>≤80000元</w:t>
            </w:r>
          </w:p>
        </w:tc>
        <w:tc>
          <w:tcPr>
            <w:tcW w:w="1276" w:type="dxa"/>
            <w:vAlign w:val="center"/>
          </w:tcPr>
          <w:p>
            <w:pPr>
              <w:pStyle w:val="13"/>
            </w:pPr>
            <w:r>
              <w:t>区纪委纪检办案业务费项目实施计划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监督检查次数</w:t>
            </w:r>
          </w:p>
        </w:tc>
        <w:tc>
          <w:tcPr>
            <w:tcW w:w="5386" w:type="dxa"/>
            <w:vAlign w:val="center"/>
          </w:tcPr>
          <w:p>
            <w:pPr>
              <w:pStyle w:val="13"/>
            </w:pPr>
            <w:r>
              <w:t>春节、清明、五一、端午、国庆、中秋等重要时间节点监督检查及违反中央八项规定精神及四风等方面专项监督检查次数</w:t>
            </w:r>
          </w:p>
        </w:tc>
        <w:tc>
          <w:tcPr>
            <w:tcW w:w="2268" w:type="dxa"/>
            <w:vAlign w:val="center"/>
          </w:tcPr>
          <w:p>
            <w:pPr>
              <w:pStyle w:val="13"/>
            </w:pPr>
            <w:r>
              <w:t>≥100次</w:t>
            </w:r>
          </w:p>
        </w:tc>
        <w:tc>
          <w:tcPr>
            <w:tcW w:w="1276" w:type="dxa"/>
            <w:vAlign w:val="center"/>
          </w:tcPr>
          <w:p>
            <w:pPr>
              <w:pStyle w:val="13"/>
            </w:pPr>
            <w:r>
              <w:t>区纪委纪检办案业务费项目实施计划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差旅费报销合规率</w:t>
            </w:r>
          </w:p>
        </w:tc>
        <w:tc>
          <w:tcPr>
            <w:tcW w:w="5386" w:type="dxa"/>
            <w:vAlign w:val="center"/>
          </w:tcPr>
          <w:p>
            <w:pPr>
              <w:pStyle w:val="13"/>
            </w:pPr>
            <w:r>
              <w:t>支付的差旅费审批流程合规的比例</w:t>
            </w:r>
          </w:p>
        </w:tc>
        <w:tc>
          <w:tcPr>
            <w:tcW w:w="2268" w:type="dxa"/>
            <w:vAlign w:val="center"/>
          </w:tcPr>
          <w:p>
            <w:pPr>
              <w:pStyle w:val="13"/>
            </w:pPr>
            <w:r>
              <w:t>100%</w:t>
            </w:r>
          </w:p>
        </w:tc>
        <w:tc>
          <w:tcPr>
            <w:tcW w:w="1276" w:type="dxa"/>
            <w:vAlign w:val="center"/>
          </w:tcPr>
          <w:p>
            <w:pPr>
              <w:pStyle w:val="13"/>
            </w:pPr>
            <w:r>
              <w:t>冀财行[2010]78号 《关于全省县级纪检</w:t>
            </w:r>
            <w:r>
              <w:rPr>
                <w:rFonts w:hint="eastAsia"/>
                <w:lang w:val="en-US" w:eastAsia="zh-CN"/>
              </w:rPr>
              <w:t>监察</w:t>
            </w:r>
            <w:r>
              <w:t>机关公用经费保障指导标准及有关事项的通知》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差旅费报销及时率</w:t>
            </w:r>
          </w:p>
        </w:tc>
        <w:tc>
          <w:tcPr>
            <w:tcW w:w="5386" w:type="dxa"/>
            <w:vAlign w:val="center"/>
          </w:tcPr>
          <w:p>
            <w:pPr>
              <w:pStyle w:val="13"/>
            </w:pPr>
            <w:r>
              <w:t>在公务卡还款时限内完成报销，以免影响公务卡使用</w:t>
            </w:r>
          </w:p>
        </w:tc>
        <w:tc>
          <w:tcPr>
            <w:tcW w:w="2268" w:type="dxa"/>
            <w:vAlign w:val="center"/>
          </w:tcPr>
          <w:p>
            <w:pPr>
              <w:pStyle w:val="13"/>
            </w:pPr>
            <w:r>
              <w:t>≥90%</w:t>
            </w:r>
          </w:p>
        </w:tc>
        <w:tc>
          <w:tcPr>
            <w:tcW w:w="1276" w:type="dxa"/>
            <w:vAlign w:val="center"/>
          </w:tcPr>
          <w:p>
            <w:pPr>
              <w:pStyle w:val="13"/>
            </w:pPr>
            <w:r>
              <w:t>区纪委纪检办案业务费项目实施计划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办公费成本控制数</w:t>
            </w:r>
          </w:p>
        </w:tc>
        <w:tc>
          <w:tcPr>
            <w:tcW w:w="5386" w:type="dxa"/>
            <w:vAlign w:val="center"/>
          </w:tcPr>
          <w:p>
            <w:pPr>
              <w:pStyle w:val="13"/>
            </w:pPr>
            <w:r>
              <w:t>2025年办公费支出费用</w:t>
            </w:r>
          </w:p>
        </w:tc>
        <w:tc>
          <w:tcPr>
            <w:tcW w:w="2268" w:type="dxa"/>
            <w:vAlign w:val="center"/>
          </w:tcPr>
          <w:p>
            <w:pPr>
              <w:pStyle w:val="13"/>
            </w:pPr>
            <w:r>
              <w:t>≤178918元</w:t>
            </w:r>
          </w:p>
        </w:tc>
        <w:tc>
          <w:tcPr>
            <w:tcW w:w="1276" w:type="dxa"/>
            <w:vAlign w:val="center"/>
          </w:tcPr>
          <w:p>
            <w:pPr>
              <w:pStyle w:val="13"/>
            </w:pPr>
            <w:r>
              <w:t>区纪委纪检办案业务费项目实施计划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车辆经费成本控制数</w:t>
            </w:r>
          </w:p>
        </w:tc>
        <w:tc>
          <w:tcPr>
            <w:tcW w:w="5386" w:type="dxa"/>
            <w:vAlign w:val="center"/>
          </w:tcPr>
          <w:p>
            <w:pPr>
              <w:pStyle w:val="13"/>
            </w:pPr>
            <w:r>
              <w:t>2025年车辆经费支出费用</w:t>
            </w:r>
          </w:p>
        </w:tc>
        <w:tc>
          <w:tcPr>
            <w:tcW w:w="2268" w:type="dxa"/>
            <w:vAlign w:val="center"/>
          </w:tcPr>
          <w:p>
            <w:pPr>
              <w:pStyle w:val="13"/>
            </w:pPr>
            <w:r>
              <w:t>≤145800元</w:t>
            </w:r>
          </w:p>
        </w:tc>
        <w:tc>
          <w:tcPr>
            <w:tcW w:w="1276" w:type="dxa"/>
            <w:vAlign w:val="center"/>
          </w:tcPr>
          <w:p>
            <w:pPr>
              <w:pStyle w:val="13"/>
            </w:pPr>
            <w:r>
              <w:t>区纪委纪检办案业务费项目实施计划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其他交通费用（租车）成本控制数</w:t>
            </w:r>
          </w:p>
        </w:tc>
        <w:tc>
          <w:tcPr>
            <w:tcW w:w="5386" w:type="dxa"/>
            <w:vAlign w:val="center"/>
          </w:tcPr>
          <w:p>
            <w:pPr>
              <w:pStyle w:val="13"/>
            </w:pPr>
            <w:r>
              <w:t>2025年纪检办案租车支出费用</w:t>
            </w:r>
          </w:p>
        </w:tc>
        <w:tc>
          <w:tcPr>
            <w:tcW w:w="2268" w:type="dxa"/>
            <w:vAlign w:val="center"/>
          </w:tcPr>
          <w:p>
            <w:pPr>
              <w:pStyle w:val="13"/>
            </w:pPr>
            <w:r>
              <w:t>≤60000元</w:t>
            </w:r>
          </w:p>
        </w:tc>
        <w:tc>
          <w:tcPr>
            <w:tcW w:w="1276" w:type="dxa"/>
            <w:vAlign w:val="center"/>
          </w:tcPr>
          <w:p>
            <w:pPr>
              <w:pStyle w:val="13"/>
            </w:pPr>
            <w:r>
              <w:t>区纪委纪检办案业务费项目实施计划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维修维护费成本控制数</w:t>
            </w:r>
          </w:p>
        </w:tc>
        <w:tc>
          <w:tcPr>
            <w:tcW w:w="5386" w:type="dxa"/>
            <w:vAlign w:val="center"/>
          </w:tcPr>
          <w:p>
            <w:pPr>
              <w:pStyle w:val="13"/>
            </w:pPr>
            <w:r>
              <w:t>2025年维修维护支出费用</w:t>
            </w:r>
          </w:p>
        </w:tc>
        <w:tc>
          <w:tcPr>
            <w:tcW w:w="2268" w:type="dxa"/>
            <w:vAlign w:val="center"/>
          </w:tcPr>
          <w:p>
            <w:pPr>
              <w:pStyle w:val="13"/>
            </w:pPr>
            <w:r>
              <w:t>≤210000元</w:t>
            </w:r>
          </w:p>
        </w:tc>
        <w:tc>
          <w:tcPr>
            <w:tcW w:w="1276" w:type="dxa"/>
            <w:vAlign w:val="center"/>
          </w:tcPr>
          <w:p>
            <w:pPr>
              <w:pStyle w:val="13"/>
            </w:pPr>
            <w:r>
              <w:t>区纪委纪检办案业务费项目实施计划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风清气正政治生态提升度</w:t>
            </w:r>
          </w:p>
        </w:tc>
        <w:tc>
          <w:tcPr>
            <w:tcW w:w="5386" w:type="dxa"/>
            <w:vAlign w:val="center"/>
          </w:tcPr>
          <w:p>
            <w:pPr>
              <w:pStyle w:val="13"/>
            </w:pPr>
            <w:r>
              <w:t>通过单位履职尽责，营造的政治生态风清气正的程度</w:t>
            </w:r>
          </w:p>
        </w:tc>
        <w:tc>
          <w:tcPr>
            <w:tcW w:w="2268" w:type="dxa"/>
            <w:vAlign w:val="center"/>
          </w:tcPr>
          <w:p>
            <w:pPr>
              <w:pStyle w:val="13"/>
            </w:pPr>
            <w:r>
              <w:t>≥90%</w:t>
            </w:r>
          </w:p>
        </w:tc>
        <w:tc>
          <w:tcPr>
            <w:tcW w:w="1276" w:type="dxa"/>
            <w:vAlign w:val="center"/>
          </w:tcPr>
          <w:p>
            <w:pPr>
              <w:pStyle w:val="13"/>
            </w:pPr>
            <w:r>
              <w:t>区纪委纪检办案业务费项目实施计划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一线办案人员对于办案经费保障满意率</w:t>
            </w:r>
          </w:p>
        </w:tc>
        <w:tc>
          <w:tcPr>
            <w:tcW w:w="5386" w:type="dxa"/>
            <w:vAlign w:val="center"/>
          </w:tcPr>
          <w:p>
            <w:pPr>
              <w:pStyle w:val="13"/>
            </w:pPr>
            <w:r>
              <w:t>一线办案人员对于日常公用经费保障及时性、准确性等满意程度</w:t>
            </w:r>
          </w:p>
        </w:tc>
        <w:tc>
          <w:tcPr>
            <w:tcW w:w="2268" w:type="dxa"/>
            <w:vAlign w:val="center"/>
          </w:tcPr>
          <w:p>
            <w:pPr>
              <w:pStyle w:val="13"/>
            </w:pPr>
            <w:r>
              <w:t>≥90%</w:t>
            </w:r>
          </w:p>
        </w:tc>
        <w:tc>
          <w:tcPr>
            <w:tcW w:w="1276" w:type="dxa"/>
            <w:vAlign w:val="center"/>
          </w:tcPr>
          <w:p>
            <w:pPr>
              <w:pStyle w:val="13"/>
            </w:pPr>
            <w:r>
              <w:t>依据满意度调查问卷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3、纪检保障经费绩效目标表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13062525P000049100011</w:t>
            </w:r>
          </w:p>
        </w:tc>
        <w:tc>
          <w:tcPr>
            <w:tcW w:w="2835" w:type="dxa"/>
            <w:vAlign w:val="center"/>
          </w:tcPr>
          <w:p>
            <w:pPr>
              <w:pStyle w:val="11"/>
            </w:pPr>
            <w:r>
              <w:t>项目名称</w:t>
            </w:r>
          </w:p>
        </w:tc>
        <w:tc>
          <w:tcPr>
            <w:tcW w:w="6095" w:type="dxa"/>
            <w:gridSpan w:val="3"/>
            <w:vAlign w:val="center"/>
          </w:tcPr>
          <w:p>
            <w:pPr>
              <w:pStyle w:val="13"/>
            </w:pPr>
            <w:r>
              <w:t>纪检保障经费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36.04</w:t>
            </w:r>
          </w:p>
        </w:tc>
        <w:tc>
          <w:tcPr>
            <w:tcW w:w="2835" w:type="dxa"/>
            <w:vAlign w:val="center"/>
          </w:tcPr>
          <w:p>
            <w:pPr>
              <w:pStyle w:val="11"/>
            </w:pPr>
            <w:r>
              <w:t>其中：财政    资金</w:t>
            </w:r>
          </w:p>
        </w:tc>
        <w:tc>
          <w:tcPr>
            <w:tcW w:w="2551" w:type="dxa"/>
            <w:vAlign w:val="center"/>
          </w:tcPr>
          <w:p>
            <w:pPr>
              <w:pStyle w:val="13"/>
            </w:pPr>
            <w:r>
              <w:t>36.04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根据《根据关于全省县级纪检监察机关公共经费保障指导标准及有关事项的通知》（冀财行[2010]78号）文件，县级纪检监察机关的人员、公用经费和纪检监察业务费全额纳入县级财政预算，确保纪检监察机关履行职能的需要。</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1.通过劳务派遣公司聘用三名保安，保障办公秩序良好。发放12个月工资。</w:t>
            </w:r>
            <w:r>
              <w:tab/>
            </w:r>
            <w:r>
              <w:tab/>
            </w:r>
            <w:r>
              <w:tab/>
            </w:r>
            <w:r>
              <w:tab/>
            </w:r>
            <w:r>
              <w:tab/>
            </w:r>
          </w:p>
          <w:p>
            <w:pPr>
              <w:pStyle w:val="13"/>
            </w:pPr>
          </w:p>
          <w:p>
            <w:pPr>
              <w:pStyle w:val="13"/>
            </w:pPr>
            <w:r>
              <w:t>2.通过劳务派遣公司聘用两名保洁，保障办公环境良好。发放12个月工资。</w:t>
            </w:r>
            <w:r>
              <w:tab/>
            </w:r>
            <w:r>
              <w:tab/>
            </w:r>
            <w:r>
              <w:tab/>
            </w:r>
            <w:r>
              <w:tab/>
            </w:r>
            <w:r>
              <w:tab/>
            </w:r>
          </w:p>
          <w:p>
            <w:pPr>
              <w:pStyle w:val="13"/>
            </w:pPr>
          </w:p>
          <w:p>
            <w:pPr>
              <w:pStyle w:val="13"/>
            </w:pPr>
            <w:r>
              <w:t>3.保证机关日常办公费、维修维护、保安保洁等劳务费等公用支出， 加强纪检监察机关公用经费保障，保证机关履职尽责。</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保安人员数量</w:t>
            </w:r>
          </w:p>
        </w:tc>
        <w:tc>
          <w:tcPr>
            <w:tcW w:w="5386" w:type="dxa"/>
            <w:vAlign w:val="center"/>
          </w:tcPr>
          <w:p>
            <w:pPr>
              <w:pStyle w:val="13"/>
            </w:pPr>
            <w:r>
              <w:t>通过劳务派遣公司聘用的保安数量</w:t>
            </w:r>
          </w:p>
        </w:tc>
        <w:tc>
          <w:tcPr>
            <w:tcW w:w="2268" w:type="dxa"/>
            <w:vAlign w:val="center"/>
          </w:tcPr>
          <w:p>
            <w:pPr>
              <w:pStyle w:val="13"/>
            </w:pPr>
            <w:r>
              <w:t>3人</w:t>
            </w:r>
          </w:p>
        </w:tc>
        <w:tc>
          <w:tcPr>
            <w:tcW w:w="1276" w:type="dxa"/>
            <w:vAlign w:val="center"/>
          </w:tcPr>
          <w:p>
            <w:pPr>
              <w:pStyle w:val="13"/>
            </w:pPr>
            <w:r>
              <w:t>保安服务合同</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保洁人员数量</w:t>
            </w:r>
          </w:p>
        </w:tc>
        <w:tc>
          <w:tcPr>
            <w:tcW w:w="5386" w:type="dxa"/>
            <w:vAlign w:val="center"/>
          </w:tcPr>
          <w:p>
            <w:pPr>
              <w:pStyle w:val="13"/>
            </w:pPr>
            <w:r>
              <w:t>通过劳务派遣公司聘用的保洁数量</w:t>
            </w:r>
          </w:p>
        </w:tc>
        <w:tc>
          <w:tcPr>
            <w:tcW w:w="2268" w:type="dxa"/>
            <w:vAlign w:val="center"/>
          </w:tcPr>
          <w:p>
            <w:pPr>
              <w:pStyle w:val="13"/>
            </w:pPr>
            <w:r>
              <w:t>2人</w:t>
            </w:r>
          </w:p>
        </w:tc>
        <w:tc>
          <w:tcPr>
            <w:tcW w:w="1276" w:type="dxa"/>
            <w:vAlign w:val="center"/>
          </w:tcPr>
          <w:p>
            <w:pPr>
              <w:pStyle w:val="13"/>
            </w:pPr>
            <w:r>
              <w:t>保洁服务合同</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开展培训次数</w:t>
            </w:r>
          </w:p>
        </w:tc>
        <w:tc>
          <w:tcPr>
            <w:tcW w:w="5386" w:type="dxa"/>
            <w:vAlign w:val="center"/>
          </w:tcPr>
          <w:p>
            <w:pPr>
              <w:pStyle w:val="13"/>
            </w:pPr>
            <w:r>
              <w:t>年度内开展的集中培训次数</w:t>
            </w:r>
          </w:p>
        </w:tc>
        <w:tc>
          <w:tcPr>
            <w:tcW w:w="2268" w:type="dxa"/>
            <w:vAlign w:val="center"/>
          </w:tcPr>
          <w:p>
            <w:pPr>
              <w:pStyle w:val="13"/>
            </w:pPr>
            <w:r>
              <w:t>≥48次</w:t>
            </w:r>
          </w:p>
        </w:tc>
        <w:tc>
          <w:tcPr>
            <w:tcW w:w="1276" w:type="dxa"/>
            <w:vAlign w:val="center"/>
          </w:tcPr>
          <w:p>
            <w:pPr>
              <w:pStyle w:val="13"/>
            </w:pPr>
            <w:r>
              <w:t>纪检保障经费（日常定额）项目实施计划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办公场所环境整洁率</w:t>
            </w:r>
          </w:p>
        </w:tc>
        <w:tc>
          <w:tcPr>
            <w:tcW w:w="5386" w:type="dxa"/>
            <w:vAlign w:val="center"/>
          </w:tcPr>
          <w:p>
            <w:pPr>
              <w:pStyle w:val="13"/>
            </w:pPr>
            <w:r>
              <w:t>办公楼、院落等办公场所的整洁程度</w:t>
            </w:r>
          </w:p>
        </w:tc>
        <w:tc>
          <w:tcPr>
            <w:tcW w:w="2268" w:type="dxa"/>
            <w:vAlign w:val="center"/>
          </w:tcPr>
          <w:p>
            <w:pPr>
              <w:pStyle w:val="13"/>
            </w:pPr>
            <w:r>
              <w:t>≥95%</w:t>
            </w:r>
          </w:p>
        </w:tc>
        <w:tc>
          <w:tcPr>
            <w:tcW w:w="1276" w:type="dxa"/>
            <w:vAlign w:val="center"/>
          </w:tcPr>
          <w:p>
            <w:pPr>
              <w:pStyle w:val="13"/>
            </w:pPr>
            <w:r>
              <w:t>纪检保障经费（日常定额）项目实施计划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经费支出及时率</w:t>
            </w:r>
          </w:p>
        </w:tc>
        <w:tc>
          <w:tcPr>
            <w:tcW w:w="5386" w:type="dxa"/>
            <w:vAlign w:val="center"/>
          </w:tcPr>
          <w:p>
            <w:pPr>
              <w:pStyle w:val="13"/>
            </w:pPr>
            <w:r>
              <w:t>按进度支付劳务费的及时程度</w:t>
            </w:r>
          </w:p>
        </w:tc>
        <w:tc>
          <w:tcPr>
            <w:tcW w:w="2268" w:type="dxa"/>
            <w:vAlign w:val="center"/>
          </w:tcPr>
          <w:p>
            <w:pPr>
              <w:pStyle w:val="13"/>
            </w:pPr>
            <w:r>
              <w:t>≥90%</w:t>
            </w:r>
          </w:p>
        </w:tc>
        <w:tc>
          <w:tcPr>
            <w:tcW w:w="1276" w:type="dxa"/>
            <w:vAlign w:val="center"/>
          </w:tcPr>
          <w:p>
            <w:pPr>
              <w:pStyle w:val="13"/>
            </w:pPr>
            <w:r>
              <w:t>纪检保障经费（日常定额）项目实施计划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保洁劳务费月支出标准</w:t>
            </w:r>
          </w:p>
        </w:tc>
        <w:tc>
          <w:tcPr>
            <w:tcW w:w="5386" w:type="dxa"/>
            <w:vAlign w:val="center"/>
          </w:tcPr>
          <w:p>
            <w:pPr>
              <w:pStyle w:val="13"/>
            </w:pPr>
            <w:r>
              <w:t>每月按照合同规定支付的劳务费金额</w:t>
            </w:r>
          </w:p>
        </w:tc>
        <w:tc>
          <w:tcPr>
            <w:tcW w:w="2268" w:type="dxa"/>
            <w:vAlign w:val="center"/>
          </w:tcPr>
          <w:p>
            <w:pPr>
              <w:pStyle w:val="13"/>
            </w:pPr>
            <w:r>
              <w:t>≤6900元/月</w:t>
            </w:r>
          </w:p>
        </w:tc>
        <w:tc>
          <w:tcPr>
            <w:tcW w:w="1276" w:type="dxa"/>
            <w:vAlign w:val="center"/>
          </w:tcPr>
          <w:p>
            <w:pPr>
              <w:pStyle w:val="13"/>
            </w:pPr>
            <w:r>
              <w:t>保洁承包合同</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保安劳务费月支出标准</w:t>
            </w:r>
          </w:p>
        </w:tc>
        <w:tc>
          <w:tcPr>
            <w:tcW w:w="5386" w:type="dxa"/>
            <w:vAlign w:val="center"/>
          </w:tcPr>
          <w:p>
            <w:pPr>
              <w:pStyle w:val="13"/>
            </w:pPr>
            <w:r>
              <w:t>每月按照合同规定支付的劳务费金额</w:t>
            </w:r>
          </w:p>
        </w:tc>
        <w:tc>
          <w:tcPr>
            <w:tcW w:w="2268" w:type="dxa"/>
            <w:vAlign w:val="center"/>
          </w:tcPr>
          <w:p>
            <w:pPr>
              <w:pStyle w:val="13"/>
            </w:pPr>
            <w:r>
              <w:t>≤9000元/月</w:t>
            </w:r>
          </w:p>
        </w:tc>
        <w:tc>
          <w:tcPr>
            <w:tcW w:w="1276" w:type="dxa"/>
            <w:vAlign w:val="center"/>
          </w:tcPr>
          <w:p>
            <w:pPr>
              <w:pStyle w:val="13"/>
            </w:pPr>
            <w:r>
              <w:t>保安服务合同</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办公费用预算成本控制数</w:t>
            </w:r>
          </w:p>
        </w:tc>
        <w:tc>
          <w:tcPr>
            <w:tcW w:w="5386" w:type="dxa"/>
            <w:vAlign w:val="center"/>
          </w:tcPr>
          <w:p>
            <w:pPr>
              <w:pStyle w:val="13"/>
            </w:pPr>
            <w:r>
              <w:t>反映全年支付的办公费</w:t>
            </w:r>
          </w:p>
        </w:tc>
        <w:tc>
          <w:tcPr>
            <w:tcW w:w="2268" w:type="dxa"/>
            <w:vAlign w:val="center"/>
          </w:tcPr>
          <w:p>
            <w:pPr>
              <w:pStyle w:val="13"/>
            </w:pPr>
            <w:r>
              <w:t>≤169600元</w:t>
            </w:r>
          </w:p>
        </w:tc>
        <w:tc>
          <w:tcPr>
            <w:tcW w:w="1276" w:type="dxa"/>
            <w:vAlign w:val="center"/>
          </w:tcPr>
          <w:p>
            <w:pPr>
              <w:pStyle w:val="13"/>
            </w:pPr>
            <w:r>
              <w:t>纪检保障经费（日常定额）项目实施计划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环境提升度</w:t>
            </w:r>
          </w:p>
        </w:tc>
        <w:tc>
          <w:tcPr>
            <w:tcW w:w="5386" w:type="dxa"/>
            <w:vAlign w:val="center"/>
          </w:tcPr>
          <w:p>
            <w:pPr>
              <w:pStyle w:val="13"/>
            </w:pPr>
            <w:r>
              <w:t>通过对单位环境的提升与维护，提升所在城区环境整洁度的程度</w:t>
            </w:r>
          </w:p>
        </w:tc>
        <w:tc>
          <w:tcPr>
            <w:tcW w:w="2268" w:type="dxa"/>
            <w:vAlign w:val="center"/>
          </w:tcPr>
          <w:p>
            <w:pPr>
              <w:pStyle w:val="13"/>
            </w:pPr>
            <w:r>
              <w:t>≥90%</w:t>
            </w:r>
          </w:p>
        </w:tc>
        <w:tc>
          <w:tcPr>
            <w:tcW w:w="1276" w:type="dxa"/>
            <w:vAlign w:val="center"/>
          </w:tcPr>
          <w:p>
            <w:pPr>
              <w:pStyle w:val="13"/>
            </w:pPr>
            <w:r>
              <w:t>纪检保障经费（日常定额）项目实施计划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机关工作人员对于办公环境满意度</w:t>
            </w:r>
          </w:p>
        </w:tc>
        <w:tc>
          <w:tcPr>
            <w:tcW w:w="5386" w:type="dxa"/>
            <w:vAlign w:val="center"/>
          </w:tcPr>
          <w:p>
            <w:pPr>
              <w:pStyle w:val="13"/>
            </w:pPr>
            <w:r>
              <w:t>一线办案人员对于日常公用经费保障及时性、准确性等满意程度</w:t>
            </w:r>
          </w:p>
        </w:tc>
        <w:tc>
          <w:tcPr>
            <w:tcW w:w="2268" w:type="dxa"/>
            <w:vAlign w:val="center"/>
          </w:tcPr>
          <w:p>
            <w:pPr>
              <w:pStyle w:val="13"/>
            </w:pPr>
            <w:r>
              <w:t>≥90%</w:t>
            </w:r>
          </w:p>
        </w:tc>
        <w:tc>
          <w:tcPr>
            <w:tcW w:w="1276" w:type="dxa"/>
            <w:vAlign w:val="center"/>
          </w:tcPr>
          <w:p>
            <w:pPr>
              <w:pStyle w:val="13"/>
            </w:pPr>
            <w:r>
              <w:t>依据满意度问卷调查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4、区纪委监委后勤保障费用绩效目标表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13062525P00002410082Q</w:t>
            </w:r>
          </w:p>
        </w:tc>
        <w:tc>
          <w:tcPr>
            <w:tcW w:w="2835" w:type="dxa"/>
            <w:vAlign w:val="center"/>
          </w:tcPr>
          <w:p>
            <w:pPr>
              <w:pStyle w:val="11"/>
            </w:pPr>
            <w:r>
              <w:t>项目名称</w:t>
            </w:r>
          </w:p>
        </w:tc>
        <w:tc>
          <w:tcPr>
            <w:tcW w:w="6095" w:type="dxa"/>
            <w:gridSpan w:val="3"/>
            <w:vAlign w:val="center"/>
          </w:tcPr>
          <w:p>
            <w:pPr>
              <w:pStyle w:val="13"/>
            </w:pPr>
            <w:r>
              <w:t>区纪委监委后勤保障费用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进一步推动全区党风廉政建设和反腐败工作高质量发展，区纪委监委围绕区委决策部署跟进监督，一体推进“三不腐”提升案件办理质效，承办多起市纪委监委指定管辖案件，同时办理我区自办留置案件，日常工作日益繁重，为提高工作效率，保障纪检监察工作顺畅开展，参照《徐水区机关服务中心食堂管理实施办法》，特申请后勤保障费用30万元，并列入每年预算。</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1.深入学习贯彻党的二十大精神，在新征程上坚定不移推进全面从严治党，保障纪检监察工作顺利开展。</w:t>
            </w:r>
            <w:r>
              <w:tab/>
            </w:r>
            <w:r>
              <w:tab/>
            </w:r>
            <w:r>
              <w:tab/>
            </w:r>
            <w:r>
              <w:tab/>
            </w:r>
            <w:r>
              <w:tab/>
            </w:r>
          </w:p>
          <w:p>
            <w:pPr>
              <w:pStyle w:val="13"/>
            </w:pPr>
          </w:p>
          <w:p>
            <w:pPr>
              <w:pStyle w:val="13"/>
            </w:pPr>
            <w:r>
              <w:t>2.保障监督检查、审查调查及上级交办的指定管辖案件等工作的开展，提供后勤保障服务，食堂开放率100%。</w:t>
            </w:r>
            <w:r>
              <w:tab/>
            </w:r>
            <w:r>
              <w:tab/>
            </w:r>
            <w:r>
              <w:tab/>
            </w:r>
            <w:r>
              <w:tab/>
            </w:r>
            <w:r>
              <w:tab/>
            </w:r>
          </w:p>
          <w:p>
            <w:pPr>
              <w:pStyle w:val="13"/>
            </w:pPr>
          </w:p>
          <w:p>
            <w:pPr>
              <w:pStyle w:val="13"/>
            </w:pPr>
            <w:r>
              <w:t>3.该项目本年度实施，要按月支出，2025年11月底支出完毕。</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聘用厨师人数</w:t>
            </w:r>
          </w:p>
        </w:tc>
        <w:tc>
          <w:tcPr>
            <w:tcW w:w="5386" w:type="dxa"/>
            <w:vAlign w:val="center"/>
          </w:tcPr>
          <w:p>
            <w:pPr>
              <w:pStyle w:val="13"/>
            </w:pPr>
            <w:r>
              <w:t>通过劳务派遣公司聘用的厨师人数</w:t>
            </w:r>
          </w:p>
        </w:tc>
        <w:tc>
          <w:tcPr>
            <w:tcW w:w="2268" w:type="dxa"/>
            <w:vAlign w:val="center"/>
          </w:tcPr>
          <w:p>
            <w:pPr>
              <w:pStyle w:val="13"/>
            </w:pPr>
            <w:r>
              <w:t>2人</w:t>
            </w:r>
          </w:p>
        </w:tc>
        <w:tc>
          <w:tcPr>
            <w:tcW w:w="1276" w:type="dxa"/>
            <w:vAlign w:val="center"/>
          </w:tcPr>
          <w:p>
            <w:pPr>
              <w:pStyle w:val="13"/>
            </w:pPr>
            <w:r>
              <w:t>按照项目实施计划要求</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食堂采购食材质量合格率</w:t>
            </w:r>
          </w:p>
        </w:tc>
        <w:tc>
          <w:tcPr>
            <w:tcW w:w="5386" w:type="dxa"/>
            <w:vAlign w:val="center"/>
          </w:tcPr>
          <w:p>
            <w:pPr>
              <w:pStyle w:val="13"/>
            </w:pPr>
            <w:r>
              <w:t>食堂采购的蔬菜、米面等食材合格率</w:t>
            </w:r>
          </w:p>
        </w:tc>
        <w:tc>
          <w:tcPr>
            <w:tcW w:w="2268" w:type="dxa"/>
            <w:vAlign w:val="center"/>
          </w:tcPr>
          <w:p>
            <w:pPr>
              <w:pStyle w:val="13"/>
            </w:pPr>
            <w:r>
              <w:t>100%</w:t>
            </w:r>
          </w:p>
        </w:tc>
        <w:tc>
          <w:tcPr>
            <w:tcW w:w="1276" w:type="dxa"/>
            <w:vAlign w:val="center"/>
          </w:tcPr>
          <w:p>
            <w:pPr>
              <w:pStyle w:val="13"/>
            </w:pPr>
            <w:r>
              <w:t>按照项目实施计划要求</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厨师劳务费支付及时率</w:t>
            </w:r>
          </w:p>
        </w:tc>
        <w:tc>
          <w:tcPr>
            <w:tcW w:w="5386" w:type="dxa"/>
            <w:vAlign w:val="center"/>
          </w:tcPr>
          <w:p>
            <w:pPr>
              <w:pStyle w:val="13"/>
            </w:pPr>
            <w:r>
              <w:t>按照合同规定按时支付厨师劳务费的及时程度</w:t>
            </w:r>
          </w:p>
        </w:tc>
        <w:tc>
          <w:tcPr>
            <w:tcW w:w="2268" w:type="dxa"/>
            <w:vAlign w:val="center"/>
          </w:tcPr>
          <w:p>
            <w:pPr>
              <w:pStyle w:val="13"/>
            </w:pPr>
            <w:r>
              <w:t>≥90%</w:t>
            </w:r>
          </w:p>
        </w:tc>
        <w:tc>
          <w:tcPr>
            <w:tcW w:w="1276" w:type="dxa"/>
            <w:vAlign w:val="center"/>
          </w:tcPr>
          <w:p>
            <w:pPr>
              <w:pStyle w:val="13"/>
            </w:pPr>
            <w:r>
              <w:t>按照项目实施计划要求</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食堂月支出成本</w:t>
            </w:r>
          </w:p>
        </w:tc>
        <w:tc>
          <w:tcPr>
            <w:tcW w:w="5386" w:type="dxa"/>
            <w:vAlign w:val="center"/>
          </w:tcPr>
          <w:p>
            <w:pPr>
              <w:pStyle w:val="13"/>
            </w:pPr>
            <w:r>
              <w:t>每月食堂平均购买食材等的支出金额</w:t>
            </w:r>
          </w:p>
        </w:tc>
        <w:tc>
          <w:tcPr>
            <w:tcW w:w="2268" w:type="dxa"/>
            <w:vAlign w:val="center"/>
          </w:tcPr>
          <w:p>
            <w:pPr>
              <w:pStyle w:val="13"/>
            </w:pPr>
            <w:r>
              <w:t>2万元</w:t>
            </w:r>
          </w:p>
        </w:tc>
        <w:tc>
          <w:tcPr>
            <w:tcW w:w="1276" w:type="dxa"/>
            <w:vAlign w:val="center"/>
          </w:tcPr>
          <w:p>
            <w:pPr>
              <w:pStyle w:val="13"/>
            </w:pPr>
            <w:r>
              <w:t>按照项目实施计划要求</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年度内劳务费支出额</w:t>
            </w:r>
          </w:p>
        </w:tc>
        <w:tc>
          <w:tcPr>
            <w:tcW w:w="5386" w:type="dxa"/>
            <w:vAlign w:val="center"/>
          </w:tcPr>
          <w:p>
            <w:pPr>
              <w:pStyle w:val="13"/>
            </w:pPr>
            <w:r>
              <w:t>每年用于支付厨师劳务费的支出金额</w:t>
            </w:r>
          </w:p>
        </w:tc>
        <w:tc>
          <w:tcPr>
            <w:tcW w:w="2268" w:type="dxa"/>
            <w:vAlign w:val="center"/>
          </w:tcPr>
          <w:p>
            <w:pPr>
              <w:pStyle w:val="13"/>
            </w:pPr>
            <w:r>
              <w:t>6万元</w:t>
            </w:r>
          </w:p>
        </w:tc>
        <w:tc>
          <w:tcPr>
            <w:tcW w:w="1276" w:type="dxa"/>
            <w:vAlign w:val="center"/>
          </w:tcPr>
          <w:p>
            <w:pPr>
              <w:pStyle w:val="13"/>
            </w:pPr>
            <w:r>
              <w:t>按照项目实施计划要求</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提升纪检监察干部工作作风</w:t>
            </w:r>
          </w:p>
        </w:tc>
        <w:tc>
          <w:tcPr>
            <w:tcW w:w="5386" w:type="dxa"/>
            <w:vAlign w:val="center"/>
          </w:tcPr>
          <w:p>
            <w:pPr>
              <w:pStyle w:val="13"/>
            </w:pPr>
            <w:r>
              <w:t>提高后勤保障能力，改善纪检干部工作作风</w:t>
            </w:r>
          </w:p>
        </w:tc>
        <w:tc>
          <w:tcPr>
            <w:tcW w:w="2268" w:type="dxa"/>
            <w:vAlign w:val="center"/>
          </w:tcPr>
          <w:p>
            <w:pPr>
              <w:pStyle w:val="13"/>
            </w:pPr>
            <w:r>
              <w:t>≥95%</w:t>
            </w:r>
          </w:p>
        </w:tc>
        <w:tc>
          <w:tcPr>
            <w:tcW w:w="1276" w:type="dxa"/>
            <w:vAlign w:val="center"/>
          </w:tcPr>
          <w:p>
            <w:pPr>
              <w:pStyle w:val="13"/>
            </w:pPr>
            <w:r>
              <w:t>按照项目实施计划要求</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办案人员对于办公环境、食堂等后勤事项满意程度</w:t>
            </w:r>
          </w:p>
        </w:tc>
        <w:tc>
          <w:tcPr>
            <w:tcW w:w="2268" w:type="dxa"/>
            <w:vAlign w:val="center"/>
          </w:tcPr>
          <w:p>
            <w:pPr>
              <w:pStyle w:val="13"/>
            </w:pPr>
            <w:r>
              <w:t>≥95%</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5、巡察业务经费绩效目标表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13062525P00004910002L</w:t>
            </w:r>
          </w:p>
        </w:tc>
        <w:tc>
          <w:tcPr>
            <w:tcW w:w="2835" w:type="dxa"/>
            <w:vAlign w:val="center"/>
          </w:tcPr>
          <w:p>
            <w:pPr>
              <w:pStyle w:val="11"/>
            </w:pPr>
            <w:r>
              <w:t>项目名称</w:t>
            </w:r>
          </w:p>
        </w:tc>
        <w:tc>
          <w:tcPr>
            <w:tcW w:w="6095" w:type="dxa"/>
            <w:gridSpan w:val="3"/>
            <w:vAlign w:val="center"/>
          </w:tcPr>
          <w:p>
            <w:pPr>
              <w:pStyle w:val="13"/>
            </w:pPr>
            <w:r>
              <w:t>巡察业务经费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39.60</w:t>
            </w:r>
          </w:p>
        </w:tc>
        <w:tc>
          <w:tcPr>
            <w:tcW w:w="2835" w:type="dxa"/>
            <w:vAlign w:val="center"/>
          </w:tcPr>
          <w:p>
            <w:pPr>
              <w:pStyle w:val="11"/>
            </w:pPr>
            <w:r>
              <w:t>其中：财政    资金</w:t>
            </w:r>
          </w:p>
        </w:tc>
        <w:tc>
          <w:tcPr>
            <w:tcW w:w="2551" w:type="dxa"/>
            <w:vAlign w:val="center"/>
          </w:tcPr>
          <w:p>
            <w:pPr>
              <w:pStyle w:val="13"/>
            </w:pPr>
            <w:r>
              <w:t>39.60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根据省委办《关于市县建立巡察制度的实施意见》文件要求，市县党委在机构、人员、经费、办公设施、车辆配备等方面提供保障，将巡察经费纳入统计财政预算。</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1.充分发挥巡视利剑作用，使得经济环境、社会风气、群众满意度得到改善。保障巡视巡察工作日常办公经费支出，利于巡视巡察工作开展。</w:t>
            </w:r>
            <w:r>
              <w:tab/>
            </w:r>
            <w:r>
              <w:tab/>
            </w:r>
            <w:r>
              <w:tab/>
            </w:r>
            <w:r>
              <w:tab/>
            </w:r>
            <w:r>
              <w:tab/>
            </w:r>
          </w:p>
          <w:p>
            <w:pPr>
              <w:pStyle w:val="13"/>
            </w:pPr>
          </w:p>
          <w:p>
            <w:pPr>
              <w:pStyle w:val="13"/>
            </w:pPr>
            <w:r>
              <w:t>2.为保障巡察工作正常开展，2025年度完成巡察50个单位，做到巡视巡察工作完成率95%以上，巡视巡察工作达标率100%。</w:t>
            </w:r>
            <w:r>
              <w:tab/>
            </w:r>
            <w:r>
              <w:tab/>
            </w:r>
            <w:r>
              <w:tab/>
            </w:r>
            <w:r>
              <w:tab/>
            </w:r>
            <w:r>
              <w:tab/>
            </w:r>
          </w:p>
          <w:p>
            <w:pPr>
              <w:pStyle w:val="13"/>
            </w:pPr>
          </w:p>
          <w:p>
            <w:pPr>
              <w:pStyle w:val="13"/>
            </w:pPr>
            <w:r>
              <w:t>3.保障巡视巡察工作日常办公经费支出，利于巡视巡察工作开展。</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巡察单位数量</w:t>
            </w:r>
          </w:p>
        </w:tc>
        <w:tc>
          <w:tcPr>
            <w:tcW w:w="5386" w:type="dxa"/>
            <w:vAlign w:val="center"/>
          </w:tcPr>
          <w:p>
            <w:pPr>
              <w:pStyle w:val="13"/>
            </w:pPr>
            <w:r>
              <w:t>2025年度完成巡察的单位的数量</w:t>
            </w:r>
          </w:p>
        </w:tc>
        <w:tc>
          <w:tcPr>
            <w:tcW w:w="2268" w:type="dxa"/>
            <w:vAlign w:val="center"/>
          </w:tcPr>
          <w:p>
            <w:pPr>
              <w:pStyle w:val="13"/>
            </w:pPr>
            <w:r>
              <w:t>≥50个</w:t>
            </w:r>
          </w:p>
        </w:tc>
        <w:tc>
          <w:tcPr>
            <w:tcW w:w="1276" w:type="dxa"/>
            <w:vAlign w:val="center"/>
          </w:tcPr>
          <w:p>
            <w:pPr>
              <w:pStyle w:val="13"/>
            </w:pPr>
            <w:r>
              <w:t>巡察业务经费项目实施计划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车辆经费支出金额</w:t>
            </w:r>
          </w:p>
        </w:tc>
        <w:tc>
          <w:tcPr>
            <w:tcW w:w="5386" w:type="dxa"/>
            <w:vAlign w:val="center"/>
          </w:tcPr>
          <w:p>
            <w:pPr>
              <w:pStyle w:val="13"/>
            </w:pPr>
            <w:r>
              <w:t>公车运行维护经费不超过标准限额</w:t>
            </w:r>
          </w:p>
        </w:tc>
        <w:tc>
          <w:tcPr>
            <w:tcW w:w="2268" w:type="dxa"/>
            <w:vAlign w:val="center"/>
          </w:tcPr>
          <w:p>
            <w:pPr>
              <w:pStyle w:val="13"/>
            </w:pPr>
            <w:r>
              <w:t>≤24300元</w:t>
            </w:r>
          </w:p>
        </w:tc>
        <w:tc>
          <w:tcPr>
            <w:tcW w:w="1276" w:type="dxa"/>
            <w:vAlign w:val="center"/>
          </w:tcPr>
          <w:p>
            <w:pPr>
              <w:pStyle w:val="13"/>
            </w:pPr>
            <w:r>
              <w:t>巡察业务经费项目实施计划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问题整改完成率</w:t>
            </w:r>
          </w:p>
        </w:tc>
        <w:tc>
          <w:tcPr>
            <w:tcW w:w="5386" w:type="dxa"/>
            <w:vAlign w:val="center"/>
          </w:tcPr>
          <w:p>
            <w:pPr>
              <w:pStyle w:val="13"/>
            </w:pPr>
            <w:r>
              <w:t>年度内巡视发现问题的整改完成比例</w:t>
            </w:r>
          </w:p>
        </w:tc>
        <w:tc>
          <w:tcPr>
            <w:tcW w:w="2268" w:type="dxa"/>
            <w:vAlign w:val="center"/>
          </w:tcPr>
          <w:p>
            <w:pPr>
              <w:pStyle w:val="13"/>
            </w:pPr>
            <w:r>
              <w:t>≥90%</w:t>
            </w:r>
          </w:p>
        </w:tc>
        <w:tc>
          <w:tcPr>
            <w:tcW w:w="1276" w:type="dxa"/>
            <w:vAlign w:val="center"/>
          </w:tcPr>
          <w:p>
            <w:pPr>
              <w:pStyle w:val="13"/>
            </w:pPr>
            <w:r>
              <w:t>巡察业务经费项目实施计划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差旅费报销及时率</w:t>
            </w:r>
          </w:p>
        </w:tc>
        <w:tc>
          <w:tcPr>
            <w:tcW w:w="5386" w:type="dxa"/>
            <w:vAlign w:val="center"/>
          </w:tcPr>
          <w:p>
            <w:pPr>
              <w:pStyle w:val="13"/>
            </w:pPr>
            <w:r>
              <w:t>在公务卡还款时限内完成报销，以免影响公务卡使用</w:t>
            </w:r>
          </w:p>
        </w:tc>
        <w:tc>
          <w:tcPr>
            <w:tcW w:w="2268" w:type="dxa"/>
            <w:vAlign w:val="center"/>
          </w:tcPr>
          <w:p>
            <w:pPr>
              <w:pStyle w:val="13"/>
            </w:pPr>
            <w:r>
              <w:t>≥80%</w:t>
            </w:r>
          </w:p>
        </w:tc>
        <w:tc>
          <w:tcPr>
            <w:tcW w:w="1276" w:type="dxa"/>
            <w:vAlign w:val="center"/>
          </w:tcPr>
          <w:p>
            <w:pPr>
              <w:pStyle w:val="13"/>
            </w:pPr>
            <w:r>
              <w:t>巡察业务经费项目实施计划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年度设备采购额</w:t>
            </w:r>
          </w:p>
        </w:tc>
        <w:tc>
          <w:tcPr>
            <w:tcW w:w="5386" w:type="dxa"/>
            <w:vAlign w:val="center"/>
          </w:tcPr>
          <w:p>
            <w:pPr>
              <w:pStyle w:val="13"/>
            </w:pPr>
            <w:r>
              <w:t>2025年度用于更新电脑、打印机等办公设备的支出金额</w:t>
            </w:r>
          </w:p>
        </w:tc>
        <w:tc>
          <w:tcPr>
            <w:tcW w:w="2268" w:type="dxa"/>
            <w:vAlign w:val="center"/>
          </w:tcPr>
          <w:p>
            <w:pPr>
              <w:pStyle w:val="13"/>
            </w:pPr>
            <w:r>
              <w:t>≤30000元</w:t>
            </w:r>
          </w:p>
        </w:tc>
        <w:tc>
          <w:tcPr>
            <w:tcW w:w="1276" w:type="dxa"/>
            <w:vAlign w:val="center"/>
          </w:tcPr>
          <w:p>
            <w:pPr>
              <w:pStyle w:val="13"/>
            </w:pPr>
            <w:r>
              <w:t>巡察业务经费项目实施计划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差旅费成本控制数</w:t>
            </w:r>
          </w:p>
        </w:tc>
        <w:tc>
          <w:tcPr>
            <w:tcW w:w="5386" w:type="dxa"/>
            <w:vAlign w:val="center"/>
          </w:tcPr>
          <w:p>
            <w:pPr>
              <w:pStyle w:val="13"/>
            </w:pPr>
            <w:r>
              <w:t>2025年差旅费支出金额</w:t>
            </w:r>
          </w:p>
        </w:tc>
        <w:tc>
          <w:tcPr>
            <w:tcW w:w="2268" w:type="dxa"/>
            <w:vAlign w:val="center"/>
          </w:tcPr>
          <w:p>
            <w:pPr>
              <w:pStyle w:val="13"/>
            </w:pPr>
            <w:r>
              <w:t>≤50000元</w:t>
            </w:r>
          </w:p>
        </w:tc>
        <w:tc>
          <w:tcPr>
            <w:tcW w:w="1276" w:type="dxa"/>
            <w:vAlign w:val="center"/>
          </w:tcPr>
          <w:p>
            <w:pPr>
              <w:pStyle w:val="13"/>
            </w:pPr>
            <w:r>
              <w:t>巡察业务经费项目实施计划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巡察租车费用成本控制数</w:t>
            </w:r>
          </w:p>
        </w:tc>
        <w:tc>
          <w:tcPr>
            <w:tcW w:w="5386" w:type="dxa"/>
            <w:vAlign w:val="center"/>
          </w:tcPr>
          <w:p>
            <w:pPr>
              <w:pStyle w:val="13"/>
            </w:pPr>
            <w:r>
              <w:t>2025年巡察租车费用支出金额</w:t>
            </w:r>
          </w:p>
        </w:tc>
        <w:tc>
          <w:tcPr>
            <w:tcW w:w="2268" w:type="dxa"/>
            <w:vAlign w:val="center"/>
          </w:tcPr>
          <w:p>
            <w:pPr>
              <w:pStyle w:val="13"/>
            </w:pPr>
            <w:r>
              <w:t>≤120000元</w:t>
            </w:r>
          </w:p>
        </w:tc>
        <w:tc>
          <w:tcPr>
            <w:tcW w:w="1276" w:type="dxa"/>
            <w:vAlign w:val="center"/>
          </w:tcPr>
          <w:p>
            <w:pPr>
              <w:pStyle w:val="13"/>
            </w:pPr>
            <w:r>
              <w:t>巡察业务经费项目实施计划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巡察办公费用预成本控制数</w:t>
            </w:r>
          </w:p>
        </w:tc>
        <w:tc>
          <w:tcPr>
            <w:tcW w:w="5386" w:type="dxa"/>
            <w:vAlign w:val="center"/>
          </w:tcPr>
          <w:p>
            <w:pPr>
              <w:pStyle w:val="13"/>
            </w:pPr>
            <w:r>
              <w:t>2025年巡察办公费用支出金额</w:t>
            </w:r>
          </w:p>
        </w:tc>
        <w:tc>
          <w:tcPr>
            <w:tcW w:w="2268" w:type="dxa"/>
            <w:vAlign w:val="center"/>
          </w:tcPr>
          <w:p>
            <w:pPr>
              <w:pStyle w:val="13"/>
            </w:pPr>
            <w:r>
              <w:t>≤171700元</w:t>
            </w:r>
          </w:p>
        </w:tc>
        <w:tc>
          <w:tcPr>
            <w:tcW w:w="1276" w:type="dxa"/>
            <w:vAlign w:val="center"/>
          </w:tcPr>
          <w:p>
            <w:pPr>
              <w:pStyle w:val="13"/>
            </w:pPr>
            <w:r>
              <w:t>巡察业务经费项目实施计划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成果对社会影响力</w:t>
            </w:r>
          </w:p>
        </w:tc>
        <w:tc>
          <w:tcPr>
            <w:tcW w:w="5386" w:type="dxa"/>
            <w:vAlign w:val="center"/>
          </w:tcPr>
          <w:p>
            <w:pPr>
              <w:pStyle w:val="13"/>
            </w:pPr>
            <w:r>
              <w:t>成果对社会影响力</w:t>
            </w:r>
          </w:p>
        </w:tc>
        <w:tc>
          <w:tcPr>
            <w:tcW w:w="2268" w:type="dxa"/>
            <w:vAlign w:val="center"/>
          </w:tcPr>
          <w:p>
            <w:pPr>
              <w:pStyle w:val="13"/>
            </w:pPr>
            <w:r>
              <w:t>≥90%</w:t>
            </w:r>
          </w:p>
        </w:tc>
        <w:tc>
          <w:tcPr>
            <w:tcW w:w="1276" w:type="dxa"/>
            <w:vAlign w:val="center"/>
          </w:tcPr>
          <w:p>
            <w:pPr>
              <w:pStyle w:val="13"/>
            </w:pPr>
            <w:r>
              <w:t>依据《关于市县建立巡察制度的实施意见》的通知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一线巡视巡察人员对于经费保障及时性、全面性等方面的满意度</w:t>
            </w:r>
          </w:p>
        </w:tc>
        <w:tc>
          <w:tcPr>
            <w:tcW w:w="2268" w:type="dxa"/>
            <w:vAlign w:val="center"/>
          </w:tcPr>
          <w:p>
            <w:pPr>
              <w:pStyle w:val="13"/>
            </w:pPr>
            <w:r>
              <w:t>≥90%</w:t>
            </w:r>
          </w:p>
        </w:tc>
        <w:tc>
          <w:tcPr>
            <w:tcW w:w="1276" w:type="dxa"/>
            <w:vAlign w:val="center"/>
          </w:tcPr>
          <w:p>
            <w:pPr>
              <w:pStyle w:val="13"/>
            </w:pPr>
            <w:r>
              <w:t>依据服务对象满意度调查问卷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中国共产党保定市徐水区纪律检查委员会（含所属单位）上年末固定资产金额为734.00万元（详见下表）。本年度拟购置固定资产总额为50.00万元，已按要求列入政府采购预算，详见政府采购预算表。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222中国共产党保定市徐水区纪律检查委员会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734.00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100</w:t>
            </w:r>
          </w:p>
        </w:tc>
        <w:tc>
          <w:tcPr>
            <w:tcW w:w="2835" w:type="dxa"/>
            <w:vAlign w:val="center"/>
          </w:tcPr>
          <w:p>
            <w:pPr>
              <w:pStyle w:val="12"/>
            </w:pPr>
            <w:r>
              <w:t>19.68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50</w:t>
            </w:r>
          </w:p>
        </w:tc>
        <w:tc>
          <w:tcPr>
            <w:tcW w:w="2835" w:type="dxa"/>
            <w:vAlign w:val="center"/>
          </w:tcPr>
          <w:p>
            <w:pPr>
              <w:pStyle w:val="12"/>
            </w:pPr>
            <w:r>
              <w:t>9.84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11</w:t>
            </w:r>
          </w:p>
        </w:tc>
        <w:tc>
          <w:tcPr>
            <w:tcW w:w="2835" w:type="dxa"/>
            <w:vAlign w:val="center"/>
          </w:tcPr>
          <w:p>
            <w:pPr>
              <w:pStyle w:val="12"/>
            </w:pPr>
            <w:r>
              <w:t>149.00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1</w:t>
            </w:r>
          </w:p>
        </w:tc>
        <w:tc>
          <w:tcPr>
            <w:tcW w:w="2835" w:type="dxa"/>
            <w:vAlign w:val="center"/>
          </w:tcPr>
          <w:p>
            <w:pPr>
              <w:pStyle w:val="12"/>
            </w:pPr>
            <w:r>
              <w:t>24.37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893</w:t>
            </w:r>
          </w:p>
        </w:tc>
        <w:tc>
          <w:tcPr>
            <w:tcW w:w="2835" w:type="dxa"/>
            <w:vAlign w:val="center"/>
          </w:tcPr>
          <w:p>
            <w:pPr>
              <w:pStyle w:val="12"/>
            </w:pPr>
            <w:r>
              <w:t>540.95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5A9BE"/>
    <w:multiLevelType w:val="singleLevel"/>
    <w:tmpl w:val="6105A9B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786067E"/>
    <w:rsid w:val="0BB100C2"/>
    <w:rsid w:val="0F5E78E1"/>
    <w:rsid w:val="1A7F36CC"/>
    <w:rsid w:val="1CB66D86"/>
    <w:rsid w:val="223E0B31"/>
    <w:rsid w:val="2254142F"/>
    <w:rsid w:val="2644303A"/>
    <w:rsid w:val="2BAD5410"/>
    <w:rsid w:val="4DAA348A"/>
    <w:rsid w:val="50835CFD"/>
    <w:rsid w:val="57EF104A"/>
    <w:rsid w:val="6E6D3D18"/>
    <w:rsid w:val="73D2072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TotalTime>11</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2025-02-24T10:00:00Z</dcterms:created>
  <dc:creator>Administrator</dc:creator>
  <cp:lastModifiedBy>Administrator</cp:lastModifiedBy>
  <dcterms:modified xsi:type="dcterms:W3CDTF">2025-05-12T01:47:40Z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F4139CA5C1D14D6D8B89D5EB8D7B51B1</vt:lpwstr>
  </property>
</Properties>
</file>