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保定市徐水区教育和体育局</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6"/>
        <w:widowControl/>
        <w:spacing w:line="60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根据徐水县人民政府办公室《关于印发徐水县教育局主要职责、内设机构和人员编制规定的通知》（徐政办[2010]72号），现将我局部门职责说明如下：</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(一)研究制定全区教育工作的政策和规定,检查、监督教育方针、政策的贯彻执行情况。</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（二）研究制定全区各类教育的发展规划，合理调整学校布局，在省、市规定的审批权限内审批公办、民办各类学校的设置。</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（三）负责教育体制、办学体制、学校管理体制改革及城乡教育综合改革的统筹规划和协调指导。</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（四）负责全区各类教育的宏观指导、综合管理与服务，对全区教育工作状况及办学水平进行监督、检查、评估、验收。</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（五）按照干部管理权限，负责省级示范性高中、职教中心、教师发展中心校长的推荐、考察工作，配合区委组织部做好任免工作；负责其他中小学（幼儿园）校长（园长）领导班子的考核工作。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（六）负责教师聘用、培训、职称评定、评优评模、考核奖惩等项工作；负责实施教师资格制度工作。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（七）负责管理各级各类教育经费的拨付；负责全区中小学（幼儿园）基建项目规划、资金的审批，财务的管理、监督、审计工作；负责组织年度教育经费的预决算编制工作；负责各级助学政策和经费的落实。</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（八）指导各级各类学校的德育、智育、体育、卫生、艺术、国防教育工作；推动教育教学的理论研究和教育科研工作；负责教育系统党建、工会、共青团、妇女工作及计划生育工作。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（九）负责全区初、高中阶段招生考试工作。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（十）负责全区语言文字工作。</w:t>
      </w:r>
    </w:p>
    <w:p>
      <w:pPr>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（十一）承办区政府和上级教育行政部门交办的其他事项。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376"/>
        <w:gridCol w:w="1743"/>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37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743"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徐水区教育和体育局</w:t>
            </w:r>
          </w:p>
        </w:tc>
        <w:tc>
          <w:tcPr>
            <w:tcW w:w="1376"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行政</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大王店镇中心学</w:t>
            </w:r>
            <w:r>
              <w:rPr>
                <w:rFonts w:hint="eastAsia" w:ascii="宋体" w:hAnsi="宋体" w:eastAsia="宋体" w:cs="宋体"/>
                <w:bCs/>
                <w:sz w:val="24"/>
                <w:szCs w:val="24"/>
              </w:rPr>
              <w:t>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10</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漕河镇中心学校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高林村镇中心学校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户木乡中心学校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东釜山乡中心学校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义联庄乡中心学</w:t>
            </w:r>
            <w:r>
              <w:rPr>
                <w:rFonts w:hint="eastAsia" w:ascii="宋体" w:hAnsi="宋体" w:eastAsia="宋体" w:cs="宋体"/>
                <w:bCs/>
                <w:sz w:val="24"/>
                <w:szCs w:val="24"/>
              </w:rPr>
              <w:t>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瀑河乡中心学校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河北徐水</w:t>
            </w:r>
            <w:r>
              <w:rPr>
                <w:rFonts w:ascii="仿宋_GB2312" w:hAnsi="仿宋" w:eastAsia="仿宋_GB2312"/>
                <w:bCs/>
                <w:sz w:val="24"/>
                <w:szCs w:val="24"/>
              </w:rPr>
              <w:t>综合</w:t>
            </w:r>
            <w:r>
              <w:rPr>
                <w:rFonts w:hint="eastAsia" w:ascii="仿宋_GB2312" w:hAnsi="仿宋" w:eastAsia="仿宋_GB2312"/>
                <w:bCs/>
                <w:sz w:val="24"/>
                <w:szCs w:val="24"/>
              </w:rPr>
              <w:t>高级中学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徐水区第一中学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巩固庄中学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职业技术教育中心</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20</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徐水区第二中学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徐水小学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徐水区</w:t>
            </w:r>
            <w:r>
              <w:rPr>
                <w:rFonts w:ascii="仿宋_GB2312" w:hAnsi="仿宋" w:eastAsia="仿宋_GB2312"/>
                <w:bCs/>
                <w:sz w:val="24"/>
                <w:szCs w:val="24"/>
              </w:rPr>
              <w:t>幼儿</w:t>
            </w:r>
            <w:r>
              <w:rPr>
                <w:rFonts w:hint="eastAsia" w:ascii="仿宋_GB2312" w:hAnsi="仿宋" w:eastAsia="仿宋_GB2312"/>
                <w:bCs/>
                <w:sz w:val="24"/>
                <w:szCs w:val="24"/>
              </w:rPr>
              <w:t>园</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大王店中学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特</w:t>
            </w:r>
            <w:r>
              <w:rPr>
                <w:rFonts w:ascii="仿宋_GB2312" w:hAnsi="仿宋" w:eastAsia="仿宋_GB2312"/>
                <w:bCs/>
                <w:sz w:val="24"/>
                <w:szCs w:val="24"/>
              </w:rPr>
              <w:t>殊教育</w:t>
            </w:r>
            <w:r>
              <w:rPr>
                <w:rFonts w:hint="eastAsia" w:ascii="仿宋_GB2312" w:hAnsi="仿宋" w:eastAsia="仿宋_GB2312"/>
                <w:bCs/>
                <w:sz w:val="24"/>
                <w:szCs w:val="24"/>
              </w:rPr>
              <w:t>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师昌绪学校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教师发展中心</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青少年活动中心</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安</w:t>
            </w:r>
            <w:r>
              <w:rPr>
                <w:rFonts w:ascii="仿宋_GB2312" w:hAnsi="仿宋" w:eastAsia="仿宋_GB2312"/>
                <w:bCs/>
                <w:sz w:val="24"/>
                <w:szCs w:val="24"/>
              </w:rPr>
              <w:t>肃</w:t>
            </w:r>
            <w:r>
              <w:rPr>
                <w:rFonts w:hint="eastAsia" w:ascii="仿宋_GB2312" w:hAnsi="仿宋" w:eastAsia="仿宋_GB2312"/>
                <w:bCs/>
                <w:sz w:val="24"/>
                <w:szCs w:val="24"/>
              </w:rPr>
              <w:t>镇中学</w:t>
            </w:r>
          </w:p>
        </w:tc>
        <w:tc>
          <w:tcPr>
            <w:tcW w:w="1376" w:type="dxa"/>
          </w:tcPr>
          <w:p>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tcPr>
          <w:p>
            <w:pPr>
              <w:jc w:val="cente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张丰学校</w:t>
            </w:r>
          </w:p>
        </w:tc>
        <w:tc>
          <w:tcPr>
            <w:tcW w:w="1376" w:type="dxa"/>
          </w:tcPr>
          <w:p>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tcPr>
          <w:p>
            <w:pPr>
              <w:jc w:val="cente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30</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崔庄中学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东史</w:t>
            </w:r>
            <w:r>
              <w:rPr>
                <w:rFonts w:ascii="仿宋_GB2312" w:hAnsi="仿宋" w:eastAsia="仿宋_GB2312"/>
                <w:bCs/>
                <w:sz w:val="24"/>
                <w:szCs w:val="24"/>
              </w:rPr>
              <w:t>端</w:t>
            </w:r>
            <w:r>
              <w:rPr>
                <w:rFonts w:hint="eastAsia" w:ascii="仿宋_GB2312" w:hAnsi="仿宋" w:eastAsia="仿宋_GB2312"/>
                <w:bCs/>
                <w:sz w:val="24"/>
                <w:szCs w:val="24"/>
              </w:rPr>
              <w:t>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遂城中学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高林村中学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南留中学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留</w:t>
            </w:r>
            <w:r>
              <w:rPr>
                <w:rFonts w:hint="eastAsia" w:ascii="仿宋_GB2312" w:hAnsi="仿宋" w:eastAsia="仿宋_GB2312"/>
                <w:bCs/>
                <w:sz w:val="24"/>
                <w:szCs w:val="24"/>
              </w:rPr>
              <w:t>村中学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36</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正村中学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37</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户木中学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38</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南白塔中学</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w:t>
            </w:r>
            <w:r>
              <w:rPr>
                <w:rFonts w:ascii="仿宋_GB2312" w:hAnsi="仿宋" w:eastAsia="仿宋_GB2312"/>
                <w:bCs/>
                <w:sz w:val="24"/>
                <w:szCs w:val="24"/>
              </w:rPr>
              <w:t>额</w:t>
            </w:r>
            <w:r>
              <w:rPr>
                <w:rFonts w:hint="eastAsia"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39</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大因学校</w:t>
            </w:r>
          </w:p>
        </w:tc>
        <w:tc>
          <w:tcPr>
            <w:tcW w:w="1376"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全额</w:t>
            </w:r>
            <w:r>
              <w:rPr>
                <w:rFonts w:ascii="仿宋_GB2312" w:hAnsi="仿宋" w:eastAsia="仿宋_GB2312"/>
                <w:bCs/>
                <w:sz w:val="24"/>
                <w:szCs w:val="24"/>
              </w:rPr>
              <w:t>事业</w:t>
            </w:r>
          </w:p>
        </w:tc>
        <w:tc>
          <w:tcPr>
            <w:tcW w:w="1743"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未定</w:t>
            </w:r>
            <w:r>
              <w:rPr>
                <w:rFonts w:ascii="仿宋_GB2312" w:hAnsi="仿宋" w:eastAsia="仿宋_GB2312"/>
                <w:bCs/>
                <w:sz w:val="24"/>
                <w:szCs w:val="24"/>
              </w:rPr>
              <w:t>行政级别</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ind w:firstLine="640" w:firstLineChars="200"/>
        <w:rPr>
          <w:rFonts w:ascii="宋体" w:hAnsi="宋体" w:eastAsia="宋体" w:cs="宋体"/>
          <w:kern w:val="0"/>
          <w:sz w:val="18"/>
          <w:szCs w:val="18"/>
        </w:rPr>
      </w:pPr>
      <w:r>
        <w:rPr>
          <w:rFonts w:ascii="仿宋" w:hAnsi="仿宋" w:eastAsia="仿宋"/>
          <w:sz w:val="32"/>
          <w:szCs w:val="32"/>
        </w:rPr>
        <w:t>2019年预算收入为</w:t>
      </w:r>
      <w:r>
        <w:rPr>
          <w:rFonts w:hint="eastAsia" w:ascii="仿宋" w:hAnsi="仿宋" w:eastAsia="仿宋"/>
          <w:sz w:val="32"/>
          <w:szCs w:val="32"/>
        </w:rPr>
        <w:t>114354.84</w:t>
      </w:r>
      <w:r>
        <w:rPr>
          <w:rFonts w:ascii="仿宋" w:hAnsi="仿宋" w:eastAsia="仿宋"/>
          <w:sz w:val="32"/>
          <w:szCs w:val="32"/>
        </w:rPr>
        <w:t>万元,其中：一般公共预算收入</w:t>
      </w:r>
      <w:r>
        <w:rPr>
          <w:rFonts w:hint="eastAsia" w:ascii="仿宋" w:hAnsi="仿宋" w:eastAsia="仿宋"/>
          <w:sz w:val="32"/>
          <w:szCs w:val="32"/>
        </w:rPr>
        <w:t>112053.07</w:t>
      </w:r>
      <w:r>
        <w:rPr>
          <w:rFonts w:ascii="仿宋" w:hAnsi="仿宋" w:eastAsia="仿宋"/>
          <w:sz w:val="32"/>
          <w:szCs w:val="32"/>
        </w:rPr>
        <w:t>万元，基金预算收入</w:t>
      </w:r>
      <w:r>
        <w:rPr>
          <w:rFonts w:hint="eastAsia" w:ascii="仿宋" w:hAnsi="仿宋" w:eastAsia="仿宋"/>
          <w:sz w:val="32"/>
          <w:szCs w:val="32"/>
        </w:rPr>
        <w:t>17</w:t>
      </w:r>
      <w:r>
        <w:rPr>
          <w:rFonts w:ascii="仿宋" w:hAnsi="仿宋" w:eastAsia="仿宋"/>
          <w:sz w:val="32"/>
          <w:szCs w:val="32"/>
        </w:rPr>
        <w:t>万元，财政专户收入</w:t>
      </w:r>
      <w:r>
        <w:rPr>
          <w:rFonts w:hint="eastAsia" w:ascii="仿宋" w:hAnsi="仿宋" w:eastAsia="仿宋"/>
          <w:sz w:val="32"/>
          <w:szCs w:val="32"/>
        </w:rPr>
        <w:t>2186.98</w:t>
      </w:r>
      <w:r>
        <w:rPr>
          <w:rFonts w:ascii="仿宋" w:hAnsi="仿宋" w:eastAsia="仿宋"/>
          <w:sz w:val="32"/>
          <w:szCs w:val="32"/>
        </w:rPr>
        <w:t>万元，其他来源收入</w:t>
      </w:r>
      <w:r>
        <w:rPr>
          <w:rFonts w:hint="eastAsia" w:ascii="仿宋" w:hAnsi="仿宋" w:eastAsia="仿宋"/>
          <w:sz w:val="32"/>
          <w:szCs w:val="32"/>
        </w:rPr>
        <w:t>97.8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ind w:firstLine="640" w:firstLineChars="200"/>
        <w:rPr>
          <w:rFonts w:ascii="宋体" w:hAnsi="宋体" w:eastAsia="宋体" w:cs="宋体"/>
          <w:kern w:val="0"/>
          <w:sz w:val="18"/>
          <w:szCs w:val="18"/>
        </w:rPr>
      </w:pPr>
      <w:r>
        <w:rPr>
          <w:rFonts w:ascii="仿宋" w:hAnsi="仿宋" w:eastAsia="仿宋"/>
          <w:sz w:val="32"/>
          <w:szCs w:val="32"/>
        </w:rPr>
        <w:t>2019年部门支出预算：</w:t>
      </w:r>
      <w:r>
        <w:rPr>
          <w:rFonts w:hint="eastAsia" w:ascii="仿宋" w:hAnsi="仿宋" w:eastAsia="仿宋"/>
          <w:sz w:val="32"/>
          <w:szCs w:val="32"/>
        </w:rPr>
        <w:t>114354.84</w:t>
      </w:r>
      <w:r>
        <w:rPr>
          <w:rFonts w:ascii="仿宋" w:hAnsi="仿宋" w:eastAsia="仿宋"/>
          <w:sz w:val="32"/>
          <w:szCs w:val="32"/>
        </w:rPr>
        <w:t>万元</w:t>
      </w:r>
    </w:p>
    <w:p>
      <w:pPr>
        <w:rPr>
          <w:rFonts w:ascii="宋体" w:hAnsi="宋体" w:eastAsia="宋体" w:cs="宋体"/>
          <w:kern w:val="0"/>
          <w:sz w:val="18"/>
          <w:szCs w:val="18"/>
        </w:rPr>
      </w:pPr>
      <w:r>
        <w:rPr>
          <w:rFonts w:hint="eastAsia" w:ascii="仿宋" w:hAnsi="仿宋" w:eastAsia="仿宋"/>
          <w:sz w:val="32"/>
          <w:szCs w:val="32"/>
        </w:rPr>
        <w:t xml:space="preserve">    基本支出92360.14万元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其中：人员经费89545.38万元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日常公用经费2814.76万元</w:t>
      </w:r>
    </w:p>
    <w:p>
      <w:pPr>
        <w:rPr>
          <w:rFonts w:ascii="宋体" w:hAnsi="宋体" w:eastAsia="宋体" w:cs="宋体"/>
          <w:kern w:val="0"/>
          <w:sz w:val="18"/>
          <w:szCs w:val="18"/>
        </w:rPr>
      </w:pPr>
      <w:r>
        <w:rPr>
          <w:rFonts w:hint="eastAsia" w:ascii="仿宋" w:hAnsi="仿宋" w:eastAsia="仿宋"/>
          <w:sz w:val="32"/>
          <w:szCs w:val="32"/>
        </w:rPr>
        <w:t xml:space="preserve">    项目支出</w:t>
      </w:r>
      <w:r>
        <w:rPr>
          <w:rFonts w:ascii="仿宋" w:hAnsi="仿宋" w:eastAsia="仿宋"/>
          <w:sz w:val="32"/>
          <w:szCs w:val="32"/>
        </w:rPr>
        <w:t xml:space="preserve"> </w:t>
      </w:r>
      <w:r>
        <w:rPr>
          <w:rFonts w:hint="eastAsia" w:ascii="仿宋" w:hAnsi="仿宋" w:eastAsia="仿宋"/>
          <w:sz w:val="32"/>
          <w:szCs w:val="32"/>
        </w:rPr>
        <w:t>21994.70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其中：本级支出21994.70万元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114354.84</w:t>
      </w:r>
      <w:r>
        <w:rPr>
          <w:rFonts w:hint="eastAsia" w:ascii="仿宋" w:hAnsi="仿宋" w:eastAsia="仿宋"/>
          <w:sz w:val="32"/>
          <w:szCs w:val="32"/>
        </w:rPr>
        <w:t>万元，较上年增加25851.3</w:t>
      </w:r>
      <w:r>
        <w:rPr>
          <w:rFonts w:ascii="仿宋" w:hAnsi="仿宋" w:eastAsia="仿宋"/>
          <w:sz w:val="32"/>
          <w:szCs w:val="32"/>
        </w:rPr>
        <w:t>万元。其中:基本支出增加</w:t>
      </w:r>
      <w:r>
        <w:rPr>
          <w:rFonts w:hint="eastAsia" w:ascii="仿宋" w:hAnsi="仿宋" w:eastAsia="仿宋"/>
          <w:sz w:val="32"/>
          <w:szCs w:val="32"/>
        </w:rPr>
        <w:t>21719.54</w:t>
      </w:r>
      <w:r>
        <w:rPr>
          <w:rFonts w:ascii="仿宋" w:hAnsi="仿宋" w:eastAsia="仿宋"/>
          <w:sz w:val="32"/>
          <w:szCs w:val="32"/>
        </w:rPr>
        <w:t>万元，主要原因是</w:t>
      </w:r>
      <w:r>
        <w:rPr>
          <w:rFonts w:hint="eastAsia" w:ascii="仿宋" w:hAnsi="仿宋" w:eastAsia="仿宋"/>
          <w:sz w:val="32"/>
          <w:szCs w:val="32"/>
        </w:rPr>
        <w:t>人员经费增加</w:t>
      </w:r>
      <w:r>
        <w:rPr>
          <w:rFonts w:ascii="仿宋" w:hAnsi="仿宋" w:eastAsia="仿宋"/>
          <w:sz w:val="32"/>
          <w:szCs w:val="32"/>
        </w:rPr>
        <w:t>；项目支出增加</w:t>
      </w:r>
      <w:r>
        <w:rPr>
          <w:rFonts w:hint="eastAsia" w:ascii="仿宋" w:hAnsi="仿宋" w:eastAsia="仿宋"/>
          <w:sz w:val="32"/>
          <w:szCs w:val="32"/>
        </w:rPr>
        <w:t>4131.76</w:t>
      </w:r>
      <w:r>
        <w:rPr>
          <w:rFonts w:ascii="仿宋" w:hAnsi="仿宋" w:eastAsia="仿宋"/>
          <w:sz w:val="32"/>
          <w:szCs w:val="32"/>
        </w:rPr>
        <w:t>万元，主要原因是</w:t>
      </w:r>
      <w:r>
        <w:rPr>
          <w:rFonts w:hint="eastAsia" w:ascii="仿宋" w:hAnsi="仿宋" w:eastAsia="仿宋"/>
          <w:sz w:val="32"/>
          <w:szCs w:val="32"/>
        </w:rPr>
        <w:t>新增幼儿园公用经费项目及项目校建设手续费等项目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pStyle w:val="17"/>
        <w:adjustRightInd w:val="0"/>
        <w:snapToGrid w:val="0"/>
        <w:spacing w:line="600" w:lineRule="exact"/>
        <w:ind w:left="210" w:leftChars="100" w:firstLine="480" w:firstLineChars="150"/>
        <w:rPr>
          <w:rFonts w:ascii="仿宋" w:hAnsi="仿宋" w:eastAsia="仿宋" w:cs="仿宋"/>
          <w:sz w:val="32"/>
          <w:szCs w:val="32"/>
        </w:rPr>
      </w:pPr>
      <w:r>
        <w:rPr>
          <w:rFonts w:ascii="仿宋" w:hAnsi="仿宋" w:eastAsia="仿宋"/>
          <w:sz w:val="32"/>
          <w:szCs w:val="32"/>
        </w:rPr>
        <w:t>2019年我部门机关运行经费安排</w:t>
      </w:r>
      <w:r>
        <w:rPr>
          <w:rFonts w:hint="eastAsia" w:ascii="仿宋" w:hAnsi="仿宋" w:eastAsia="仿宋"/>
          <w:sz w:val="32"/>
          <w:szCs w:val="32"/>
        </w:rPr>
        <w:t>2814.76</w:t>
      </w:r>
      <w:r>
        <w:rPr>
          <w:rFonts w:ascii="仿宋" w:hAnsi="仿宋" w:eastAsia="仿宋"/>
          <w:sz w:val="32"/>
          <w:szCs w:val="32"/>
        </w:rPr>
        <w:t>万元，</w:t>
      </w:r>
      <w:r>
        <w:rPr>
          <w:rFonts w:hint="eastAsia" w:ascii="仿宋" w:hAnsi="仿宋" w:eastAsia="仿宋" w:cs="仿宋"/>
          <w:sz w:val="32"/>
          <w:szCs w:val="32"/>
        </w:rPr>
        <w:t>主要</w:t>
      </w:r>
      <w:r>
        <w:rPr>
          <w:rFonts w:ascii="仿宋" w:hAnsi="仿宋" w:eastAsia="仿宋" w:cs="仿宋"/>
          <w:sz w:val="32"/>
          <w:szCs w:val="32"/>
        </w:rPr>
        <w:t>用于</w:t>
      </w:r>
      <w:r>
        <w:rPr>
          <w:rFonts w:hint="eastAsia" w:ascii="仿宋" w:hAnsi="仿宋" w:eastAsia="仿宋" w:cs="仿宋"/>
          <w:sz w:val="32"/>
          <w:szCs w:val="32"/>
        </w:rPr>
        <w:t>日常</w:t>
      </w:r>
      <w:r>
        <w:rPr>
          <w:rFonts w:ascii="仿宋" w:hAnsi="仿宋" w:eastAsia="仿宋" w:cs="仿宋"/>
          <w:sz w:val="32"/>
          <w:szCs w:val="32"/>
        </w:rPr>
        <w:t>维修、办公用</w:t>
      </w:r>
      <w:r>
        <w:rPr>
          <w:rFonts w:hint="eastAsia" w:ascii="仿宋" w:hAnsi="仿宋" w:eastAsia="仿宋" w:cs="仿宋"/>
          <w:sz w:val="32"/>
          <w:szCs w:val="32"/>
        </w:rPr>
        <w:t>取暖</w:t>
      </w:r>
      <w:r>
        <w:rPr>
          <w:rFonts w:ascii="仿宋" w:hAnsi="仿宋" w:eastAsia="仿宋" w:cs="仿宋"/>
          <w:sz w:val="32"/>
          <w:szCs w:val="32"/>
        </w:rPr>
        <w:t>、办公费用</w:t>
      </w:r>
      <w:r>
        <w:rPr>
          <w:rFonts w:hint="eastAsia" w:ascii="仿宋" w:hAnsi="仿宋" w:eastAsia="仿宋" w:cs="仿宋"/>
          <w:sz w:val="32"/>
          <w:szCs w:val="32"/>
        </w:rPr>
        <w:t>等</w:t>
      </w:r>
      <w:r>
        <w:rPr>
          <w:rFonts w:ascii="仿宋" w:hAnsi="仿宋" w:eastAsia="仿宋" w:cs="仿宋"/>
          <w:sz w:val="32"/>
          <w:szCs w:val="32"/>
        </w:rPr>
        <w:t>日常运行支出。</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8"/>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8522" w:type="dxa"/>
            <w:tcBorders>
              <w:top w:val="nil"/>
              <w:left w:val="nil"/>
              <w:bottom w:val="nil"/>
              <w:right w:val="nil"/>
            </w:tcBorders>
            <w:shd w:val="clear" w:color="auto" w:fill="auto"/>
            <w:vAlign w:val="center"/>
          </w:tcPr>
          <w:p>
            <w:pPr>
              <w:widowControl/>
              <w:spacing w:line="520" w:lineRule="exact"/>
              <w:rPr>
                <w:rFonts w:ascii="黑体" w:hAnsi="黑体" w:eastAsia="黑体"/>
                <w:sz w:val="32"/>
                <w:szCs w:val="32"/>
              </w:rPr>
            </w:pPr>
          </w:p>
          <w:tbl>
            <w:tblPr>
              <w:tblStyle w:val="8"/>
              <w:tblW w:w="8090" w:type="dxa"/>
              <w:tblInd w:w="0" w:type="dxa"/>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927"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高举中国特色社会主义伟大旗帜，以习近平新时代中国特色社会主义思想为指导，深入学习贯彻党的十九大和全国、全省教育大会精神，继续落实教育部</w:t>
      </w:r>
      <w:r>
        <w:rPr>
          <w:rFonts w:ascii="仿宋" w:hAnsi="仿宋" w:eastAsia="仿宋" w:cs="Times New Roman"/>
          <w:sz w:val="32"/>
          <w:szCs w:val="32"/>
        </w:rPr>
        <w:t>“</w:t>
      </w:r>
      <w:r>
        <w:rPr>
          <w:rFonts w:hint="eastAsia" w:ascii="仿宋" w:hAnsi="仿宋" w:eastAsia="仿宋" w:cs="Times New Roman"/>
          <w:sz w:val="32"/>
          <w:szCs w:val="32"/>
        </w:rPr>
        <w:t>奋进之笔</w:t>
      </w:r>
      <w:r>
        <w:rPr>
          <w:rFonts w:ascii="仿宋" w:hAnsi="仿宋" w:eastAsia="仿宋" w:cs="Times New Roman"/>
          <w:sz w:val="32"/>
          <w:szCs w:val="32"/>
        </w:rPr>
        <w:t>”</w:t>
      </w:r>
      <w:r>
        <w:rPr>
          <w:rFonts w:hint="eastAsia" w:ascii="仿宋" w:hAnsi="仿宋" w:eastAsia="仿宋" w:cs="Times New Roman"/>
          <w:sz w:val="32"/>
          <w:szCs w:val="32"/>
        </w:rPr>
        <w:t>总要求，全面贯彻党的教育方针，用</w:t>
      </w:r>
      <w:r>
        <w:rPr>
          <w:rFonts w:ascii="仿宋" w:hAnsi="仿宋" w:eastAsia="仿宋" w:cs="Times New Roman"/>
          <w:sz w:val="32"/>
          <w:szCs w:val="32"/>
        </w:rPr>
        <w:t>“</w:t>
      </w:r>
      <w:r>
        <w:rPr>
          <w:rFonts w:hint="eastAsia" w:ascii="仿宋" w:hAnsi="仿宋" w:eastAsia="仿宋" w:cs="Times New Roman"/>
          <w:sz w:val="32"/>
          <w:szCs w:val="32"/>
        </w:rPr>
        <w:t>四个激活</w:t>
      </w:r>
      <w:r>
        <w:rPr>
          <w:rFonts w:ascii="仿宋" w:hAnsi="仿宋" w:eastAsia="仿宋" w:cs="Times New Roman"/>
          <w:sz w:val="32"/>
          <w:szCs w:val="32"/>
        </w:rPr>
        <w:t>”</w:t>
      </w:r>
      <w:r>
        <w:rPr>
          <w:rFonts w:hint="eastAsia" w:ascii="仿宋" w:hAnsi="仿宋" w:eastAsia="仿宋" w:cs="Times New Roman"/>
          <w:sz w:val="32"/>
          <w:szCs w:val="32"/>
        </w:rPr>
        <w:t>全面推动教育改革发展，坚持目标导向、问题导向，完善体制机制，推进综合改革，实施标准化提升，以加快推进全区教育现代化，办好人民满意的教育为目标，为全区经济社会发展提供服务和支撑。</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、推进学前教育普惠普及发展。落实《中共中央国务院关于学前教育深化改革规范发展的若干意见》，促进幼儿园树立科学保教观，以游戏为基本活动，坚决防止和纠正</w:t>
      </w:r>
      <w:r>
        <w:rPr>
          <w:rFonts w:ascii="仿宋" w:hAnsi="仿宋" w:eastAsia="仿宋" w:cs="Times New Roman"/>
          <w:sz w:val="32"/>
          <w:szCs w:val="32"/>
        </w:rPr>
        <w:t>“</w:t>
      </w:r>
      <w:r>
        <w:rPr>
          <w:rFonts w:hint="eastAsia" w:ascii="仿宋" w:hAnsi="仿宋" w:eastAsia="仿宋" w:cs="Times New Roman"/>
          <w:sz w:val="32"/>
          <w:szCs w:val="32"/>
        </w:rPr>
        <w:t>小学化</w:t>
      </w:r>
      <w:r>
        <w:rPr>
          <w:rFonts w:ascii="仿宋" w:hAnsi="仿宋" w:eastAsia="仿宋" w:cs="Times New Roman"/>
          <w:sz w:val="32"/>
          <w:szCs w:val="32"/>
        </w:rPr>
        <w:t>”</w:t>
      </w:r>
      <w:r>
        <w:rPr>
          <w:rFonts w:hint="eastAsia" w:ascii="仿宋" w:hAnsi="仿宋" w:eastAsia="仿宋" w:cs="Times New Roman"/>
          <w:sz w:val="32"/>
          <w:szCs w:val="32"/>
        </w:rPr>
        <w:t>倾向，切实提高幼儿园科学保教水平，促进幼儿身心健康发展。坚持公益普惠，积极引导和扶持民办园提供普惠性服务。规范管理民办园，解决无证办园及无序发展等问题。用购买服务的方式逐步缓解幼师师资短缺问题。</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推进义务教育优质均衡发展。落实《义务教育学校管理标准》，全面提升学校规范管理水平。深化初中、小学联动协调发展，以师昌绪学校、张丰学校、大因学校为重点探索联动发展模式。促进薄弱学校办学水平的整体提高，由</w:t>
      </w:r>
      <w:r>
        <w:rPr>
          <w:rFonts w:ascii="仿宋" w:hAnsi="仿宋" w:eastAsia="仿宋" w:cs="Times New Roman"/>
          <w:sz w:val="32"/>
          <w:szCs w:val="32"/>
        </w:rPr>
        <w:t>“</w:t>
      </w:r>
      <w:r>
        <w:rPr>
          <w:rFonts w:hint="eastAsia" w:ascii="仿宋" w:hAnsi="仿宋" w:eastAsia="仿宋" w:cs="Times New Roman"/>
          <w:sz w:val="32"/>
          <w:szCs w:val="32"/>
        </w:rPr>
        <w:t>基本</w:t>
      </w:r>
      <w:r>
        <w:rPr>
          <w:rFonts w:ascii="仿宋" w:hAnsi="仿宋" w:eastAsia="仿宋" w:cs="Times New Roman"/>
          <w:sz w:val="32"/>
          <w:szCs w:val="32"/>
        </w:rPr>
        <w:t>”</w:t>
      </w:r>
      <w:r>
        <w:rPr>
          <w:rFonts w:hint="eastAsia" w:ascii="仿宋" w:hAnsi="仿宋" w:eastAsia="仿宋" w:cs="Times New Roman"/>
          <w:sz w:val="32"/>
          <w:szCs w:val="32"/>
        </w:rPr>
        <w:t>均衡向</w:t>
      </w:r>
      <w:r>
        <w:rPr>
          <w:rFonts w:ascii="仿宋" w:hAnsi="仿宋" w:eastAsia="仿宋" w:cs="Times New Roman"/>
          <w:sz w:val="32"/>
          <w:szCs w:val="32"/>
        </w:rPr>
        <w:t>“</w:t>
      </w:r>
      <w:r>
        <w:rPr>
          <w:rFonts w:hint="eastAsia" w:ascii="仿宋" w:hAnsi="仿宋" w:eastAsia="仿宋" w:cs="Times New Roman"/>
          <w:sz w:val="32"/>
          <w:szCs w:val="32"/>
        </w:rPr>
        <w:t>优质</w:t>
      </w:r>
      <w:r>
        <w:rPr>
          <w:rFonts w:ascii="仿宋" w:hAnsi="仿宋" w:eastAsia="仿宋" w:cs="Times New Roman"/>
          <w:sz w:val="32"/>
          <w:szCs w:val="32"/>
        </w:rPr>
        <w:t>”</w:t>
      </w:r>
      <w:r>
        <w:rPr>
          <w:rFonts w:hint="eastAsia" w:ascii="仿宋" w:hAnsi="仿宋" w:eastAsia="仿宋" w:cs="Times New Roman"/>
          <w:sz w:val="32"/>
          <w:szCs w:val="32"/>
        </w:rPr>
        <w:t>均衡发展。着力解决</w:t>
      </w:r>
      <w:r>
        <w:rPr>
          <w:rFonts w:ascii="仿宋" w:hAnsi="仿宋" w:eastAsia="仿宋" w:cs="Times New Roman"/>
          <w:sz w:val="32"/>
          <w:szCs w:val="32"/>
        </w:rPr>
        <w:t>“</w:t>
      </w:r>
      <w:r>
        <w:rPr>
          <w:rFonts w:hint="eastAsia" w:ascii="仿宋" w:hAnsi="仿宋" w:eastAsia="仿宋" w:cs="Times New Roman"/>
          <w:sz w:val="32"/>
          <w:szCs w:val="32"/>
        </w:rPr>
        <w:t>大班额</w:t>
      </w:r>
      <w:r>
        <w:rPr>
          <w:rFonts w:ascii="仿宋" w:hAnsi="仿宋" w:eastAsia="仿宋" w:cs="Times New Roman"/>
          <w:sz w:val="32"/>
          <w:szCs w:val="32"/>
        </w:rPr>
        <w:t>”</w:t>
      </w:r>
      <w:r>
        <w:rPr>
          <w:rFonts w:hint="eastAsia" w:ascii="仿宋" w:hAnsi="仿宋" w:eastAsia="仿宋" w:cs="Times New Roman"/>
          <w:sz w:val="32"/>
          <w:szCs w:val="32"/>
        </w:rPr>
        <w:t>问题，严格实行控辍保学责任制，关心农村留守儿童教育和成长，保证进城农民工随迁子女免试就近入学，平等接受义务教育，提高普及水平。</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、推进高中教育多样特色发展。推进高中办学模式改革，明确高考制度改革要求，强化教学常规管理，落实课程方案，提升校长领导力，提升教师队伍建设。</w:t>
      </w:r>
      <w:r>
        <w:rPr>
          <w:rFonts w:ascii="仿宋" w:hAnsi="仿宋" w:eastAsia="仿宋" w:cs="Times New Roman"/>
          <w:sz w:val="32"/>
          <w:szCs w:val="32"/>
        </w:rPr>
        <w:t xml:space="preserve"> </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推进职成教育融合创新发展。巩固提升国家级农村职业成人教育示范县建设成果，建设好教育部职成教司国家级示范县徐水展示平台，坚持就业与升学并重，促进学生阳光体面高薪就业，提高职教对口招生升学层次和人数。</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、推进民办教育规范健康发展。落实国务院《关于鼓励社会力量兴办教育促进民办教育健康发展的若干意见》和《</w:t>
      </w:r>
      <w:r>
        <w:rPr>
          <w:rFonts w:hint="eastAsia" w:ascii="仿宋" w:hAnsi="仿宋" w:eastAsia="仿宋" w:cs="Times New Roman"/>
          <w:sz w:val="32"/>
          <w:szCs w:val="32"/>
          <w:lang w:eastAsia="zh-CN"/>
        </w:rPr>
        <w:t>中华人民共和国</w:t>
      </w:r>
      <w:r>
        <w:rPr>
          <w:rFonts w:hint="eastAsia" w:ascii="仿宋" w:hAnsi="仿宋" w:eastAsia="仿宋" w:cs="Times New Roman"/>
          <w:sz w:val="32"/>
          <w:szCs w:val="32"/>
        </w:rPr>
        <w:t>民办教育促进法》，强化对民办学校（幼儿园）的管理、指导和评估，提高民办教育规范化水平。</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spacing w:line="500" w:lineRule="exact"/>
        <w:ind w:firstLine="560"/>
        <w:rPr>
          <w:rFonts w:ascii="仿宋" w:hAnsi="仿宋"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保定市徐水区教育局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一、学前教育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3487.89</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实施学前教育重点项目，扩大学前教育资源，缓解当前存在的</w:t>
            </w:r>
            <w:r>
              <w:rPr>
                <w:rFonts w:hint="cs" w:ascii="方正书宋_GBK" w:eastAsia="方正书宋_GBK"/>
              </w:rPr>
              <w:t>“</w:t>
            </w:r>
            <w:r>
              <w:rPr>
                <w:rFonts w:hint="eastAsia" w:ascii="方正书宋_GBK" w:eastAsia="方正书宋_GBK"/>
              </w:rPr>
              <w:t>入园难</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入园贵</w:t>
            </w:r>
            <w:r>
              <w:rPr>
                <w:rFonts w:hint="cs" w:ascii="方正书宋_GBK" w:eastAsia="方正书宋_GBK"/>
              </w:rPr>
              <w:t>”</w:t>
            </w:r>
            <w:r>
              <w:rPr>
                <w:rFonts w:hint="eastAsia" w:ascii="方正书宋_GBK" w:eastAsia="方正书宋_GBK"/>
              </w:rPr>
              <w:t>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进一步完善财政支持政策，增强资金配置的科学性，提高幼儿园入园率和扩大在园幼儿数</w:t>
            </w:r>
            <w:r>
              <w:rPr>
                <w:rFonts w:ascii="方正书宋_GBK" w:eastAsia="方正书宋_GBK"/>
              </w:rPr>
              <w:t>,</w:t>
            </w:r>
            <w:r>
              <w:rPr>
                <w:rFonts w:hint="eastAsia" w:ascii="方正书宋_GBK" w:eastAsia="方正书宋_GBK"/>
              </w:rPr>
              <w:t>有效缓解</w:t>
            </w:r>
            <w:r>
              <w:rPr>
                <w:rFonts w:hint="cs" w:ascii="方正书宋_GBK" w:eastAsia="方正书宋_GBK"/>
              </w:rPr>
              <w:t>“</w:t>
            </w:r>
            <w:r>
              <w:rPr>
                <w:rFonts w:hint="eastAsia" w:ascii="方正书宋_GBK" w:eastAsia="方正书宋_GBK"/>
              </w:rPr>
              <w:t>入园难</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入园贵</w:t>
            </w:r>
            <w:r>
              <w:rPr>
                <w:rFonts w:hint="cs" w:ascii="方正书宋_GBK" w:eastAsia="方正书宋_GBK"/>
              </w:rPr>
              <w:t>”</w:t>
            </w:r>
            <w:r>
              <w:rPr>
                <w:rFonts w:hint="eastAsia" w:ascii="方正书宋_GBK" w:eastAsia="方正书宋_GBK"/>
              </w:rPr>
              <w:t>等问题。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、扩大学前教育资源</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3487.89</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改扩建公办幼儿园，改善办园条件，在乡村和城乡结合部新建幼儿园等；通过政府购买服务、奖励等方式支持普惠性民办幼儿园发展，由民办幼儿园统筹用于改善办园条件、购置玩教具、支付租金、改善教师待遇、开展教师培训等；对接受农民工随迁子女的幼儿园给予奖励性资助等。支持实施普惠性幼儿园在园幼儿资助项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开展扩大学前教育资源项目，支持扩建和新建公办幼儿园、利用社会力量举办普惠性幼儿园、改善办园条件，落实学前教育资助制度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幼儿资助比例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在园幼儿数量</w:t>
            </w:r>
            <w:r>
              <w:rPr>
                <w:rFonts w:ascii="方正书宋_GBK" w:eastAsia="方正书宋_GBK"/>
              </w:rPr>
              <w:t>(</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14000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二、义务教育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12528.94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以农村教育为重点，推进义务教育均衡发展，建立中小学校舍维修长效机制，改善贫困地区义务教育薄弱学校办学条件，促进公共教育资源向农村和经济欠发达地区倾斜。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城乡义务教育经费保障机制，提高贫困寄宿生资助面。加大资金投入力度，加快改善贫困地区义务教育薄弱学校基本办学条件。促进特殊教育和民族教育发展。推进教育扶贫工程，促进贫困地区教育事业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、发展城乡义务教育</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10586.94</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城乡义务教育经费保障机制，保障农村中小学正常运转，保证学校校舍安全，资助家庭经济困难寄宿学生，向农村义务教育学生和城市区家庭经济困难学生免费提供教科书；中小学公用经费保障水平逐年提高。推进教育扶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统一城乡义务教育年生均公用经费标准：小学</w:t>
            </w:r>
            <w:r>
              <w:rPr>
                <w:rFonts w:ascii="方正书宋_GBK" w:eastAsia="方正书宋_GBK"/>
              </w:rPr>
              <w:t>685</w:t>
            </w:r>
            <w:r>
              <w:rPr>
                <w:rFonts w:hint="eastAsia" w:ascii="方正书宋_GBK" w:eastAsia="方正书宋_GBK"/>
              </w:rPr>
              <w:t>元、初中</w:t>
            </w:r>
            <w:r>
              <w:rPr>
                <w:rFonts w:ascii="方正书宋_GBK" w:eastAsia="方正书宋_GBK"/>
              </w:rPr>
              <w:t>885</w:t>
            </w:r>
            <w:r>
              <w:rPr>
                <w:rFonts w:hint="eastAsia" w:ascii="方正书宋_GBK" w:eastAsia="方正书宋_GBK"/>
              </w:rPr>
              <w:t>元（均含取暖费</w:t>
            </w:r>
            <w:r>
              <w:rPr>
                <w:rFonts w:ascii="方正书宋_GBK" w:eastAsia="方正书宋_GBK"/>
              </w:rPr>
              <w:t>85</w:t>
            </w:r>
            <w:r>
              <w:rPr>
                <w:rFonts w:hint="eastAsia" w:ascii="方正书宋_GBK" w:eastAsia="方正书宋_GBK"/>
              </w:rPr>
              <w:t>元），特教</w:t>
            </w:r>
            <w:r>
              <w:rPr>
                <w:rFonts w:ascii="方正书宋_GBK" w:eastAsia="方正书宋_GBK"/>
              </w:rPr>
              <w:t>6000</w:t>
            </w:r>
            <w:r>
              <w:rPr>
                <w:rFonts w:hint="eastAsia" w:ascii="方正书宋_GBK" w:eastAsia="方正书宋_GBK"/>
              </w:rPr>
              <w:t>元。为农村义务教育学生和城市区家庭经济困难学生免费提供教科书。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教科书免费发放率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贫困寄宿生生活费补助覆盖率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新建、改扩建、维修校舍面积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补助贫困寄宿生生活费人数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、改善薄弱学校办学条件</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1942.00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保障义务教育阶段薄弱学校基本教学条件，改善学校生活设施，办好必要的教学点，解决城镇学校大班额问题，推进农村学校教育信息化。</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小学生均设备价值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初中生均校舍面积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初中生均设备价值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新建、改扩建中小学校舍面积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中小学教学设备、图书购置数量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三、普通高中教育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2211.30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健全普通高中国家助学金制度，改善普通高中办学件。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改善贫困地区普通高中办学条件，免除建档立卡的贫困高中学生的学费、住宿费、教课书费。</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、改善普通高中办学条件和学生资助</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2211.30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提高我区高中毛入学率。改善贫困地区普通高中办学条件，从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提高我区高中毛入学率。改善贫困地区普通高中办学条件，从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高中阶段毛入学率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建档立卡的公办高中贫困学生</w:t>
            </w:r>
            <w:r>
              <w:rPr>
                <w:rFonts w:hint="cs" w:ascii="方正书宋_GBK" w:eastAsia="方正书宋_GBK"/>
              </w:rPr>
              <w:t>“</w:t>
            </w:r>
            <w:r>
              <w:rPr>
                <w:rFonts w:hint="eastAsia" w:ascii="方正书宋_GBK" w:eastAsia="方正书宋_GBK"/>
              </w:rPr>
              <w:t>三免</w:t>
            </w:r>
            <w:r>
              <w:rPr>
                <w:rFonts w:hint="cs" w:ascii="方正书宋_GBK" w:eastAsia="方正书宋_GBK"/>
              </w:rPr>
              <w:t>”</w:t>
            </w:r>
            <w:r>
              <w:rPr>
                <w:rFonts w:hint="eastAsia" w:ascii="方正书宋_GBK" w:eastAsia="方正书宋_GBK"/>
              </w:rPr>
              <w:t>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99%</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在校高中生数量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三免</w:t>
            </w:r>
            <w:r>
              <w:rPr>
                <w:rFonts w:hint="cs" w:ascii="方正书宋_GBK" w:eastAsia="方正书宋_GBK"/>
              </w:rPr>
              <w:t>”</w:t>
            </w:r>
            <w:r>
              <w:rPr>
                <w:rFonts w:hint="eastAsia" w:ascii="方正书宋_GBK" w:eastAsia="方正书宋_GBK"/>
              </w:rPr>
              <w:t>的高中贫困学生数量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四、职业教育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1196.53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大力发展职业教育，坚持以就业为导向，深化职业教育教学改革，增强职业教育发展活力。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推进职业教育质量提升工程。认真贯彻落实上级中等职业学校各类专业教学标准，推进中等职业学校教学工作诊断与改进。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、提升中等职业教育质量</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1196.53</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实施重点中职学校质量提升计划，建设全省精品校，形成优势带动。改善职业学校办学条件；落实中等职业学校免学费、助学金政策和生均公用经费标准。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落实中等职业学校免学费、助学金政策和生均公用经费标准。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中职生均设备价值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家庭经济困难学生助学金覆盖率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新建、改扩建中职校舍面积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中职教学设备购置数量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家庭经济困难学生助学金补助人次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、提升中等职业教育办学水平</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扩大优质教育资源，深化教育教学改革，提升专业发展水平。提高中职院校生均拨款水平，增强学校经费保障能力。</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深化教育教学改革，进一步扩大中等职业教育优质教育资源，提高中职高专院校生均拨款水平，</w:t>
            </w:r>
            <w:r>
              <w:rPr>
                <w:rFonts w:ascii="方正书宋_GBK" w:eastAsia="方正书宋_GBK"/>
              </w:rPr>
              <w:t>2017</w:t>
            </w:r>
            <w:r>
              <w:rPr>
                <w:rFonts w:hint="eastAsia" w:ascii="方正书宋_GBK" w:eastAsia="方正书宋_GBK"/>
              </w:rPr>
              <w:t>年力争达到</w:t>
            </w:r>
            <w:r>
              <w:rPr>
                <w:rFonts w:ascii="方正书宋_GBK" w:eastAsia="方正书宋_GBK"/>
              </w:rPr>
              <w:t>3000</w:t>
            </w:r>
            <w:r>
              <w:rPr>
                <w:rFonts w:hint="eastAsia" w:ascii="方正书宋_GBK" w:eastAsia="方正书宋_GBK"/>
              </w:rPr>
              <w:t>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教学保障率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万元财政投入培养的学生数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教育政策落实到位率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五、教师队伍建设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1909.99</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主管全区教师工作，实施各类教师资格制度，实施各类学校教师和教育行政干部队伍建设工作，实施教育系统人事制度改革等工作。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完成中小学骨干、学科教师培训，高层次、优秀人才引进计划，提高特殊群体教师待遇。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、提升教师队伍素质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1909.99</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开展中小学、校长培训，完成中小学、幼儿园教师国家级培训计划。发放原民办代课教师教龄补助。落实集中连片特困地区边远乡村教师生活补助政策。开展三区支教。建立乡村教师荣誉制度、支持计划。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为原民办代课教师教龄发放补助。按照年人均</w:t>
            </w:r>
            <w:r>
              <w:rPr>
                <w:rFonts w:ascii="方正书宋_GBK" w:eastAsia="方正书宋_GBK"/>
              </w:rPr>
              <w:t>3000</w:t>
            </w:r>
            <w:r>
              <w:rPr>
                <w:rFonts w:hint="eastAsia" w:ascii="方正书宋_GBK" w:eastAsia="方正书宋_GBK"/>
              </w:rPr>
              <w:t>元标准，发放边远乡村教师生活补助。落实三区支教省级配套资金。对扎根乡村的教师进行表彰。落实乡村教师支持计划。</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三区</w:t>
            </w:r>
            <w:r>
              <w:rPr>
                <w:rFonts w:hint="cs" w:ascii="方正书宋_GBK" w:eastAsia="方正书宋_GBK"/>
              </w:rPr>
              <w:t>”</w:t>
            </w:r>
            <w:r>
              <w:rPr>
                <w:rFonts w:hint="eastAsia" w:ascii="方正书宋_GBK" w:eastAsia="方正书宋_GBK"/>
              </w:rPr>
              <w:t>支教学生、家长满意度情况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培训教师人数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选派</w:t>
            </w:r>
            <w:r>
              <w:rPr>
                <w:rFonts w:hint="cs" w:ascii="方正书宋_GBK" w:eastAsia="方正书宋_GBK"/>
              </w:rPr>
              <w:t>“</w:t>
            </w:r>
            <w:r>
              <w:rPr>
                <w:rFonts w:hint="eastAsia" w:ascii="方正书宋_GBK" w:eastAsia="方正书宋_GBK"/>
              </w:rPr>
              <w:t>三区</w:t>
            </w:r>
            <w:r>
              <w:rPr>
                <w:rFonts w:hint="cs" w:ascii="方正书宋_GBK" w:eastAsia="方正书宋_GBK"/>
              </w:rPr>
              <w:t>”</w:t>
            </w:r>
            <w:r>
              <w:rPr>
                <w:rFonts w:hint="eastAsia" w:ascii="方正书宋_GBK" w:eastAsia="方正书宋_GBK"/>
              </w:rPr>
              <w:t>支教教师人数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六、推进教育公平</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负责推进教育公平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对高校家庭经济困难学生进行资助，确保每一名家庭经济困难学生不因贫困而失学。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、资助贫困学生</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设立助学金用于资助家庭经济困难学生和品学兼优的学生。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每年资助高校贫困学生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资助经费发放到位率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贫困学生资助人数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七、教育政务管理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660.05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负责教育系统综合业务管理和机关综合事务管理。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依法行政，构建人民群众满意、勤政廉洁的政府部门；保障工作正常高效运行，相关工作顺利开展。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做好教育政策制定、教育改革、教育科研、教育信息化建设等工作。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做好各项教育管理工作。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机关业务对象满意度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660.05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做好会议培训组织，内部信息化建设与维护，财务和资产管理，标准化建设，基础设施维修，大型设备购置，人事、党务以及老干部管理等工作。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机关工作人员满意度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60" w:lineRule="auto"/>
        <w:ind w:firstLine="640" w:firstLineChars="200"/>
        <w:rPr>
          <w:rFonts w:ascii="仿宋" w:hAnsi="仿宋" w:eastAsia="仿宋"/>
          <w:sz w:val="32"/>
          <w:szCs w:val="32"/>
        </w:rPr>
        <w:sectPr>
          <w:pgSz w:w="16838" w:h="11906" w:orient="landscape"/>
          <w:pgMar w:top="1800" w:right="1440" w:bottom="1777" w:left="1440" w:header="851" w:footer="992" w:gutter="0"/>
          <w:cols w:space="425" w:num="1"/>
          <w:docGrid w:type="line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rPr>
          <w:rFonts w:ascii="仿宋" w:hAnsi="仿宋" w:eastAsia="仿宋" w:cs="Times New Roman"/>
          <w:sz w:val="32"/>
          <w:szCs w:val="32"/>
        </w:rPr>
      </w:pPr>
      <w:r>
        <w:rPr>
          <w:rFonts w:ascii="仿宋" w:hAnsi="仿宋" w:eastAsia="仿宋" w:cs="Times New Roman"/>
          <w:sz w:val="32"/>
          <w:szCs w:val="32"/>
        </w:rPr>
        <w:t>2019年，我部门安排政府采购预算3640.69万元，具体内容见下表：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pgSz w:w="11906" w:h="16838"/>
          <w:pgMar w:top="1440" w:right="1800" w:bottom="1440" w:left="1800" w:header="851" w:footer="992" w:gutter="0"/>
          <w:cols w:space="425" w:num="1"/>
          <w:docGrid w:type="lines" w:linePitch="312" w:charSpace="0"/>
        </w:sectPr>
      </w:pPr>
    </w:p>
    <w:tbl>
      <w:tblPr>
        <w:tblStyle w:val="8"/>
        <w:tblW w:w="142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998"/>
        <w:gridCol w:w="835"/>
        <w:gridCol w:w="1371"/>
        <w:gridCol w:w="676"/>
        <w:gridCol w:w="846"/>
        <w:gridCol w:w="846"/>
        <w:gridCol w:w="957"/>
        <w:gridCol w:w="957"/>
        <w:gridCol w:w="957"/>
        <w:gridCol w:w="835"/>
        <w:gridCol w:w="957"/>
        <w:gridCol w:w="835"/>
        <w:gridCol w:w="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3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保定市徐水区教育局</w:t>
            </w:r>
          </w:p>
        </w:tc>
        <w:tc>
          <w:tcPr>
            <w:tcW w:w="633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5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83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7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84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34"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835"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67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95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41"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59" w:type="dxa"/>
            <w:vMerge w:val="continue"/>
            <w:shd w:val="clear" w:color="auto" w:fill="auto"/>
            <w:vAlign w:val="center"/>
          </w:tcPr>
          <w:p>
            <w:pPr>
              <w:spacing w:line="300" w:lineRule="exact"/>
              <w:jc w:val="left"/>
              <w:outlineLvl w:val="0"/>
            </w:pPr>
          </w:p>
        </w:tc>
        <w:tc>
          <w:tcPr>
            <w:tcW w:w="998" w:type="dxa"/>
            <w:vMerge w:val="continue"/>
            <w:shd w:val="clear" w:color="auto" w:fill="auto"/>
            <w:vAlign w:val="center"/>
          </w:tcPr>
          <w:p>
            <w:pPr>
              <w:spacing w:line="300" w:lineRule="exact"/>
              <w:jc w:val="left"/>
              <w:outlineLvl w:val="0"/>
            </w:pPr>
          </w:p>
        </w:tc>
        <w:tc>
          <w:tcPr>
            <w:tcW w:w="835"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67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846" w:type="dxa"/>
            <w:vMerge w:val="continue"/>
            <w:shd w:val="clear" w:color="auto" w:fill="auto"/>
            <w:vAlign w:val="center"/>
          </w:tcPr>
          <w:p>
            <w:pPr>
              <w:spacing w:line="300" w:lineRule="exact"/>
              <w:jc w:val="left"/>
              <w:outlineLvl w:val="0"/>
            </w:pPr>
          </w:p>
        </w:tc>
        <w:tc>
          <w:tcPr>
            <w:tcW w:w="957" w:type="dxa"/>
            <w:vMerge w:val="continue"/>
            <w:shd w:val="clear" w:color="auto" w:fill="auto"/>
            <w:vAlign w:val="center"/>
          </w:tcPr>
          <w:p>
            <w:pPr>
              <w:spacing w:line="300" w:lineRule="exact"/>
              <w:jc w:val="left"/>
              <w:outlineLvl w:val="0"/>
            </w:pP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36"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3640.69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3640.69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2493.99</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1146.10</w:t>
            </w:r>
          </w:p>
        </w:tc>
        <w:tc>
          <w:tcPr>
            <w:tcW w:w="835"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教育局（行政）小计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年城乡义务教育经费保障机制改革市级资金（校舍维修改造）</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205.00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年城乡义务教育中央补助经费（校舍维修）</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931.00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年城乡义务教育省级补助经费（校舍维修）</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322.00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校舍维修改造</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900.00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129.00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支出目标绩效挂钩经费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153.68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局机关综合事务活动开展项目经费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133.07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局机关综合事务活动开展项目经费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133.07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教育局（事业）小计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徐水区教育局招办考试考务费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151.66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徐水区教育局招办考试考务费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151.66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青少年活动中心小计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r>
              <w:rPr>
                <w:rFonts w:ascii="方正书宋_GBK" w:eastAsia="方正书宋_GBK"/>
                <w:b/>
              </w:rPr>
              <w:t>0.60</w:t>
            </w: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青少年活动中心日常运转项目经费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97.80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综合高中小计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501.00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501.00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501.00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建筑物清洁服务</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C0811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594.00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286.20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综合高中教育教学事务活动经费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630.88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第一中学小计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445.00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445.00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445.00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徐水区第一中学日常运转经费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583.00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电力工业专用设备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A0305</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徐水区第一中学日常运转经费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583.00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徐水区第一中学日常运转经费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583.00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355.00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巩固庄中学小计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130.00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130.00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130.00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巩中教育教学活动经费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420.00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32.50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职教中心小计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588.00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588.00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588.00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年学生资助（中等职业学校免学费）中央补助经费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215.00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178.00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职业教育免学费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99.39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年现代职业教育质量提升计划中央补助资金预算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年现代职业教育质量提升计划中央补助资金预算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其他专用汽车</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A02030799</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年现代职业教育质量提升计划中央补助资金预算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教学专用仪器</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A033412</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年中等职业学校国家免学费市级配套资金</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56.13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232.95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232.95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第二中学小计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264.44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徐水小学小计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21.90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85.67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85.67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义务教育公用经费区级配套</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85.67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区幼儿园小计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426.80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教师发展中心小计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69.10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69.10</w:t>
            </w: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69.10</w:t>
            </w: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服务器</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徐水区教师发展中心教育教学活动经费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290.96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平米</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安肃镇中心学校（幼儿园）小计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7.31</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广播、电视、电影设备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安肃镇幼儿园教育教学活动经费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194.60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大王店镇中心学校（小学）小计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180.84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大王店镇中心学校（幼儿园）小计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11.05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大王店镇幼儿园教育教学活动经费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172.11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40.68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大王店镇幼儿园教育教学活动经费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172.11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10.12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大王店镇幼儿园教育教学活动经费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172.11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东釜山乡中心学校（小学）小计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7.20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7.20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7.20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76.94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76.94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76.94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东釜山乡中心学校（幼儿园）小计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4.30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4.30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4.30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东釜山乡幼儿园教育教学活动经费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54.81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东釜山乡幼儿园教育教学活动经费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54.81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东釜山乡幼儿园教育教学活动经费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54.81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义联庄乡中心学校（小学）小计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1.78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1.78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1.78</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46.37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义联庄乡中心学校（幼儿园）小计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0.84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0.84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0.84</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遂城镇中心学校（小学）小计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221.60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221.60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遂城镇中心学校（幼儿园）小计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7.10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遂城镇幼儿园教育教学活动经费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96.88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遂城镇幼儿园教育教学活动经费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96.88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遂城镇幼儿园教育教学活动经费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96.88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东史端镇中心学校（小学）小计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13.95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171.52</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11.70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171.52</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171.52</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东史端镇中心学校（幼儿园）小计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史端乡幼儿园教育教学活动经费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155.86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史端乡幼儿园教育教学活动经费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155.86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留村镇中心学校（小学）小计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0.51</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102.20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留村镇中心学校（幼儿园）小计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4.50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留村乡幼儿园教育教学活动经费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41.55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10.76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瀑河乡中心学校（小学）小计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6.31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6.31</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64.36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64.36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0.31</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瀑河乡中心学校（幼儿园）小计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3.47</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3.47</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3.47</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瀑河乡幼儿园教育教学活动经费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瀑河乡幼儿园教育教学活动经费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瀑河乡幼儿园教育教学活动经费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37.25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户木乡中心学校（幼儿园）小计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10.65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10.65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10.65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户木乡幼儿园教育教学活动经费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122.68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正村镇中心学校（小学）小计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2.10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100.83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正村中心校</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正村镇中心学校（幼儿园）小计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2.44</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正村中心校</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正村乡幼儿园教育教学活动经费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88.86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正村中心校</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大因镇中心学校（小学）小计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18.81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18.81</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18.81</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2.31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2.31</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195.60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大因镇中心学校（幼儿园）小计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6.85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6.85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6.85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大因镇幼儿园教育教学活动经费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217.04</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52.40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崔庄镇中心学校（小学）小计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24.79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24.79</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24.79</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6.66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353.53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崔庄镇中心学校（幼儿园）小计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10.98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10.98</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10.98</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崔庄镇幼儿园教育教学活动经费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157.26</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漕河镇中心学校（小学）小计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162.55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162.55</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漕河镇中心学校（幼儿园）小计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漕河镇幼儿园教育教学活动经费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80.80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公办幼儿园生均公用经费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19.00</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高林村镇中心学校（小学）小计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5.60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5.60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5.60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年城乡义务教育中央补助经费（公用经费）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161.93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高林村镇中心学校（幼儿园）小计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3.46</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3.46</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3.46</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0.76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高林村镇幼儿园教育教学活动经费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121.88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安肃镇中学小计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151.07</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张丰中学小计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99.28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南白塔中学小计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0.25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0.25</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0.25</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69.38</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高林村中学小计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65.49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东史端中学小计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64.61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1.66</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64.61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南留中学小计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88.39</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正村中学小计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2.80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2.80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2.80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34.43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年城乡义务教育省级补助经费（公用经费）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34.43</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师昌绪学校小计</w:t>
            </w:r>
          </w:p>
        </w:tc>
        <w:tc>
          <w:tcPr>
            <w:tcW w:w="998"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676" w:type="dxa"/>
            <w:shd w:val="clear" w:color="auto" w:fill="auto"/>
            <w:vAlign w:val="center"/>
          </w:tcPr>
          <w:p>
            <w:pPr>
              <w:spacing w:line="300" w:lineRule="exact"/>
              <w:jc w:val="lef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846"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835"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p>
        </w:tc>
        <w:tc>
          <w:tcPr>
            <w:tcW w:w="835" w:type="dxa"/>
            <w:shd w:val="clear" w:color="auto" w:fill="auto"/>
            <w:vAlign w:val="center"/>
          </w:tcPr>
          <w:p>
            <w:pPr>
              <w:spacing w:line="300" w:lineRule="exact"/>
              <w:jc w:val="right"/>
              <w:rPr>
                <w:rFonts w:ascii="方正书宋_GBK" w:eastAsia="方正书宋_GBK"/>
                <w:b/>
              </w:rPr>
            </w:pPr>
          </w:p>
        </w:tc>
        <w:tc>
          <w:tcPr>
            <w:tcW w:w="83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年城乡义务教育经费保障机制改革市级资金（公用经费）</w:t>
            </w:r>
          </w:p>
        </w:tc>
        <w:tc>
          <w:tcPr>
            <w:tcW w:w="998" w:type="dxa"/>
            <w:shd w:val="clear" w:color="auto" w:fill="auto"/>
            <w:vAlign w:val="center"/>
          </w:tcPr>
          <w:p>
            <w:pPr>
              <w:spacing w:line="300" w:lineRule="exact"/>
              <w:jc w:val="right"/>
              <w:rPr>
                <w:rFonts w:ascii="方正书宋_GBK" w:eastAsia="方正书宋_GBK"/>
              </w:rPr>
            </w:pPr>
            <w:r>
              <w:rPr>
                <w:rFonts w:ascii="方正书宋_GBK" w:eastAsia="方正书宋_GBK"/>
              </w:rPr>
              <w:t>46.71</w:t>
            </w:r>
          </w:p>
        </w:tc>
        <w:tc>
          <w:tcPr>
            <w:tcW w:w="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6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846"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35" w:type="dxa"/>
            <w:shd w:val="clear" w:color="auto" w:fill="auto"/>
            <w:vAlign w:val="center"/>
          </w:tcPr>
          <w:p>
            <w:pPr>
              <w:spacing w:line="300" w:lineRule="exact"/>
              <w:jc w:val="right"/>
              <w:rPr>
                <w:rFonts w:ascii="方正书宋_GBK" w:eastAsia="方正书宋_GBK"/>
              </w:rPr>
            </w:pPr>
          </w:p>
        </w:tc>
        <w:tc>
          <w:tcPr>
            <w:tcW w:w="957" w:type="dxa"/>
            <w:shd w:val="clear" w:color="auto" w:fill="auto"/>
            <w:vAlign w:val="center"/>
          </w:tcPr>
          <w:p>
            <w:pPr>
              <w:spacing w:line="300" w:lineRule="exact"/>
              <w:jc w:val="right"/>
              <w:rPr>
                <w:rFonts w:ascii="方正书宋_GBK" w:eastAsia="方正书宋_GBK"/>
              </w:rPr>
            </w:pPr>
          </w:p>
        </w:tc>
        <w:tc>
          <w:tcPr>
            <w:tcW w:w="835" w:type="dxa"/>
            <w:shd w:val="clear" w:color="auto" w:fill="auto"/>
            <w:vAlign w:val="center"/>
          </w:tcPr>
          <w:p>
            <w:pPr>
              <w:spacing w:line="300" w:lineRule="exact"/>
              <w:jc w:val="right"/>
              <w:rPr>
                <w:rFonts w:ascii="方正书宋_GBK" w:eastAsia="方正书宋_GBK"/>
              </w:rPr>
            </w:pPr>
          </w:p>
        </w:tc>
        <w:tc>
          <w:tcPr>
            <w:tcW w:w="836"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上年末我部门固定资产总金额为68164.62万元（详见下表）。</w:t>
      </w:r>
      <w:r>
        <w:rPr>
          <w:rFonts w:ascii="仿宋" w:hAnsi="仿宋" w:eastAsia="仿宋"/>
          <w:sz w:val="32"/>
          <w:szCs w:val="32"/>
        </w:rPr>
        <w:t xml:space="preserve"> 本年度拟购置固定资产总额为</w:t>
      </w:r>
      <w:r>
        <w:rPr>
          <w:rFonts w:hint="eastAsia" w:ascii="仿宋" w:hAnsi="仿宋" w:eastAsia="仿宋"/>
          <w:sz w:val="32"/>
          <w:szCs w:val="32"/>
        </w:rPr>
        <w:t>1455.85</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p>
    <w:tbl>
      <w:tblPr>
        <w:tblStyle w:val="8"/>
        <w:tblW w:w="9820" w:type="dxa"/>
        <w:jc w:val="center"/>
        <w:tblLayout w:type="fixed"/>
        <w:tblCellMar>
          <w:top w:w="0" w:type="dxa"/>
          <w:left w:w="108" w:type="dxa"/>
          <w:bottom w:w="0" w:type="dxa"/>
          <w:right w:w="108" w:type="dxa"/>
        </w:tblCellMar>
      </w:tblPr>
      <w:tblGrid>
        <w:gridCol w:w="4788"/>
        <w:gridCol w:w="1346"/>
        <w:gridCol w:w="3686"/>
      </w:tblGrid>
      <w:tr>
        <w:tblPrEx>
          <w:tblCellMar>
            <w:top w:w="0" w:type="dxa"/>
            <w:left w:w="108" w:type="dxa"/>
            <w:bottom w:w="0" w:type="dxa"/>
            <w:right w:w="108" w:type="dxa"/>
          </w:tblCellMar>
        </w:tblPrEx>
        <w:trPr>
          <w:trHeight w:val="510" w:hRule="atLeast"/>
          <w:jc w:val="center"/>
        </w:trPr>
        <w:tc>
          <w:tcPr>
            <w:tcW w:w="9820"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9820"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68164.62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747904.56</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43,648.06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3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451436.98</w:t>
            </w:r>
          </w:p>
        </w:tc>
        <w:tc>
          <w:tcPr>
            <w:tcW w:w="36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34,954.48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255.34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318.13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318.13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3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36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23943.</w:t>
            </w:r>
            <w:r>
              <w:rPr>
                <w:rFonts w:hint="eastAsia" w:ascii="仿宋_GB2312" w:hAnsi="仿宋" w:eastAsia="仿宋_GB2312" w:cs="宋体"/>
                <w:kern w:val="0"/>
                <w:sz w:val="24"/>
                <w:szCs w:val="24"/>
              </w:rPr>
              <w:t>09</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26699"/>
    <w:rsid w:val="00036271"/>
    <w:rsid w:val="00044FBC"/>
    <w:rsid w:val="00046906"/>
    <w:rsid w:val="00055F1F"/>
    <w:rsid w:val="00057F18"/>
    <w:rsid w:val="000A445D"/>
    <w:rsid w:val="000E2ED6"/>
    <w:rsid w:val="00120FD0"/>
    <w:rsid w:val="00131DEC"/>
    <w:rsid w:val="001439FE"/>
    <w:rsid w:val="001462BD"/>
    <w:rsid w:val="00152380"/>
    <w:rsid w:val="001638BE"/>
    <w:rsid w:val="00181777"/>
    <w:rsid w:val="001B4688"/>
    <w:rsid w:val="001E23CA"/>
    <w:rsid w:val="001F4875"/>
    <w:rsid w:val="00260677"/>
    <w:rsid w:val="00283198"/>
    <w:rsid w:val="002918C6"/>
    <w:rsid w:val="00296524"/>
    <w:rsid w:val="002A4F31"/>
    <w:rsid w:val="002E01F6"/>
    <w:rsid w:val="002F530F"/>
    <w:rsid w:val="00305E97"/>
    <w:rsid w:val="0032782B"/>
    <w:rsid w:val="00337C40"/>
    <w:rsid w:val="00340B3D"/>
    <w:rsid w:val="00355ACC"/>
    <w:rsid w:val="00365E3D"/>
    <w:rsid w:val="00367A30"/>
    <w:rsid w:val="003A06D2"/>
    <w:rsid w:val="003C2317"/>
    <w:rsid w:val="003C442E"/>
    <w:rsid w:val="003D1092"/>
    <w:rsid w:val="003D3486"/>
    <w:rsid w:val="003D37CD"/>
    <w:rsid w:val="003D7035"/>
    <w:rsid w:val="003E5531"/>
    <w:rsid w:val="003F521F"/>
    <w:rsid w:val="00400610"/>
    <w:rsid w:val="004015F7"/>
    <w:rsid w:val="0040243C"/>
    <w:rsid w:val="00403251"/>
    <w:rsid w:val="00406BD1"/>
    <w:rsid w:val="00426C19"/>
    <w:rsid w:val="00431EA0"/>
    <w:rsid w:val="0045015F"/>
    <w:rsid w:val="00450FD9"/>
    <w:rsid w:val="00453CE0"/>
    <w:rsid w:val="00470BBB"/>
    <w:rsid w:val="0048611E"/>
    <w:rsid w:val="00495A00"/>
    <w:rsid w:val="00495F49"/>
    <w:rsid w:val="004B6929"/>
    <w:rsid w:val="004E7E6C"/>
    <w:rsid w:val="004F3C52"/>
    <w:rsid w:val="004F52DE"/>
    <w:rsid w:val="00510A1E"/>
    <w:rsid w:val="00542396"/>
    <w:rsid w:val="00570142"/>
    <w:rsid w:val="005B1B6F"/>
    <w:rsid w:val="005B6CCB"/>
    <w:rsid w:val="005C54AA"/>
    <w:rsid w:val="005C7B89"/>
    <w:rsid w:val="005F1EA8"/>
    <w:rsid w:val="0062788A"/>
    <w:rsid w:val="00641F8A"/>
    <w:rsid w:val="006A41A9"/>
    <w:rsid w:val="006C62DF"/>
    <w:rsid w:val="006F06BC"/>
    <w:rsid w:val="006F5104"/>
    <w:rsid w:val="0070016C"/>
    <w:rsid w:val="00721714"/>
    <w:rsid w:val="00735B02"/>
    <w:rsid w:val="0075429F"/>
    <w:rsid w:val="00757747"/>
    <w:rsid w:val="007657C8"/>
    <w:rsid w:val="00771E49"/>
    <w:rsid w:val="00782208"/>
    <w:rsid w:val="007A69E4"/>
    <w:rsid w:val="007C7FD7"/>
    <w:rsid w:val="007F3746"/>
    <w:rsid w:val="00833132"/>
    <w:rsid w:val="008672EA"/>
    <w:rsid w:val="00891680"/>
    <w:rsid w:val="008A0B5F"/>
    <w:rsid w:val="008B0A84"/>
    <w:rsid w:val="008B5402"/>
    <w:rsid w:val="008E77F7"/>
    <w:rsid w:val="008F0637"/>
    <w:rsid w:val="0090527E"/>
    <w:rsid w:val="00905BB7"/>
    <w:rsid w:val="00912DA4"/>
    <w:rsid w:val="009302B8"/>
    <w:rsid w:val="009305C6"/>
    <w:rsid w:val="00946CC4"/>
    <w:rsid w:val="00982F3D"/>
    <w:rsid w:val="009D1C7C"/>
    <w:rsid w:val="009D293E"/>
    <w:rsid w:val="00A12ED8"/>
    <w:rsid w:val="00A35167"/>
    <w:rsid w:val="00A409FC"/>
    <w:rsid w:val="00A628F5"/>
    <w:rsid w:val="00A8079E"/>
    <w:rsid w:val="00A87EB2"/>
    <w:rsid w:val="00A92D66"/>
    <w:rsid w:val="00AA34EF"/>
    <w:rsid w:val="00AA4262"/>
    <w:rsid w:val="00AB5A90"/>
    <w:rsid w:val="00AE2062"/>
    <w:rsid w:val="00AE4AA5"/>
    <w:rsid w:val="00AE7FA9"/>
    <w:rsid w:val="00B121E6"/>
    <w:rsid w:val="00B147EB"/>
    <w:rsid w:val="00B36DD4"/>
    <w:rsid w:val="00B42F45"/>
    <w:rsid w:val="00B80FAB"/>
    <w:rsid w:val="00B81C88"/>
    <w:rsid w:val="00B97AB8"/>
    <w:rsid w:val="00BA5C83"/>
    <w:rsid w:val="00BC6A7D"/>
    <w:rsid w:val="00BD719F"/>
    <w:rsid w:val="00BE0412"/>
    <w:rsid w:val="00C01BCF"/>
    <w:rsid w:val="00C177A5"/>
    <w:rsid w:val="00C4230E"/>
    <w:rsid w:val="00C475DA"/>
    <w:rsid w:val="00C6153C"/>
    <w:rsid w:val="00CC47F0"/>
    <w:rsid w:val="00CC7D74"/>
    <w:rsid w:val="00CF5338"/>
    <w:rsid w:val="00CF72B9"/>
    <w:rsid w:val="00D02F97"/>
    <w:rsid w:val="00D149FA"/>
    <w:rsid w:val="00D45530"/>
    <w:rsid w:val="00DA5DA7"/>
    <w:rsid w:val="00DE3935"/>
    <w:rsid w:val="00E206C0"/>
    <w:rsid w:val="00E2325B"/>
    <w:rsid w:val="00E24075"/>
    <w:rsid w:val="00E35F38"/>
    <w:rsid w:val="00E46F27"/>
    <w:rsid w:val="00E509CC"/>
    <w:rsid w:val="00E51678"/>
    <w:rsid w:val="00E71A04"/>
    <w:rsid w:val="00E96342"/>
    <w:rsid w:val="00ED1653"/>
    <w:rsid w:val="00ED1D99"/>
    <w:rsid w:val="00EF109A"/>
    <w:rsid w:val="00F000B1"/>
    <w:rsid w:val="00F012D3"/>
    <w:rsid w:val="00F10D04"/>
    <w:rsid w:val="00F572CB"/>
    <w:rsid w:val="00F621AF"/>
    <w:rsid w:val="00F82005"/>
    <w:rsid w:val="00F82447"/>
    <w:rsid w:val="00FB2F32"/>
    <w:rsid w:val="00FD3AD1"/>
    <w:rsid w:val="00FE0F1F"/>
    <w:rsid w:val="00FE4A63"/>
    <w:rsid w:val="00FF61F3"/>
    <w:rsid w:val="00FF6605"/>
    <w:rsid w:val="096B4CBC"/>
    <w:rsid w:val="1CC44A00"/>
    <w:rsid w:val="49E94E18"/>
    <w:rsid w:val="6035782C"/>
    <w:rsid w:val="63731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rFonts w:ascii="Calibri" w:hAnsi="Calibri" w:eastAsia="宋体" w:cs="Times New Roman"/>
    </w:rPr>
  </w:style>
  <w:style w:type="paragraph" w:styleId="6">
    <w:name w:val="footnote text"/>
    <w:basedOn w:val="1"/>
    <w:link w:val="18"/>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nhideWhenUsed/>
    <w:qFormat/>
    <w:uiPriority w:val="39"/>
    <w:pPr>
      <w:ind w:left="420" w:leftChars="200"/>
    </w:pPr>
    <w:rPr>
      <w:rFonts w:ascii="Calibri" w:hAnsi="Calibri" w:eastAsia="宋体" w:cs="Times New Roman"/>
    </w:rPr>
  </w:style>
  <w:style w:type="character" w:styleId="10">
    <w:name w:val="page number"/>
    <w:semiHidden/>
    <w:unhideWhenUsed/>
    <w:qFormat/>
    <w:uiPriority w:val="99"/>
  </w:style>
  <w:style w:type="character" w:styleId="11">
    <w:name w:val="Hyperlink"/>
    <w:unhideWhenUsed/>
    <w:qFormat/>
    <w:uiPriority w:val="99"/>
    <w:rPr>
      <w:color w:val="0563C1"/>
      <w:u w:val="single"/>
    </w:rPr>
  </w:style>
  <w:style w:type="character" w:styleId="12">
    <w:name w:val="footnote reference"/>
    <w:semiHidden/>
    <w:unhideWhenUsed/>
    <w:qFormat/>
    <w:uiPriority w:val="99"/>
    <w:rPr>
      <w:vertAlign w:val="superscript"/>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character" w:customStyle="1" w:styleId="15">
    <w:name w:val="批注框文本 字符"/>
    <w:basedOn w:val="9"/>
    <w:link w:val="2"/>
    <w:semiHidden/>
    <w:qFormat/>
    <w:uiPriority w:val="99"/>
    <w:rPr>
      <w:sz w:val="18"/>
      <w:szCs w:val="18"/>
    </w:rPr>
  </w:style>
  <w:style w:type="paragraph" w:customStyle="1" w:styleId="16">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7">
    <w:name w:val="列出段落1"/>
    <w:basedOn w:val="1"/>
    <w:qFormat/>
    <w:uiPriority w:val="34"/>
    <w:pPr>
      <w:ind w:firstLine="420" w:firstLineChars="200"/>
    </w:pPr>
    <w:rPr>
      <w:rFonts w:ascii="Calibri" w:hAnsi="Calibri" w:eastAsia="宋体" w:cs="Times New Roman"/>
    </w:rPr>
  </w:style>
  <w:style w:type="character" w:customStyle="1" w:styleId="18">
    <w:name w:val="脚注文本 字符"/>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BE745-9527-4990-86E8-06A39E33AB17}">
  <ds:schemaRefs/>
</ds:datastoreItem>
</file>

<file path=docProps/app.xml><?xml version="1.0" encoding="utf-8"?>
<Properties xmlns="http://schemas.openxmlformats.org/officeDocument/2006/extended-properties" xmlns:vt="http://schemas.openxmlformats.org/officeDocument/2006/docPropsVTypes">
  <Template>Normal</Template>
  <Pages>41</Pages>
  <Words>3191</Words>
  <Characters>18191</Characters>
  <Lines>151</Lines>
  <Paragraphs>42</Paragraphs>
  <TotalTime>24</TotalTime>
  <ScaleCrop>false</ScaleCrop>
  <LinksUpToDate>false</LinksUpToDate>
  <CharactersWithSpaces>21340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user</cp:lastModifiedBy>
  <cp:lastPrinted>2019-02-19T07:03:00Z</cp:lastPrinted>
  <dcterms:modified xsi:type="dcterms:W3CDTF">2025-05-12T01:46:37Z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E89027A1DAC9491AAA7C3BE40C38C15F</vt:lpwstr>
  </property>
</Properties>
</file>