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76D3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第一部分保定市徐水区公安交通警察大队部门概况</w:t>
      </w:r>
    </w:p>
    <w:p w14:paraId="38F5317D">
      <w:pPr>
        <w:ind w:firstLine="560" w:firstLineChars="200"/>
        <w:jc w:val="left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一、部门职责</w:t>
      </w:r>
    </w:p>
    <w:p w14:paraId="604DE852">
      <w:pPr>
        <w:widowControl/>
        <w:spacing w:line="560" w:lineRule="exact"/>
        <w:ind w:left="943" w:leftChars="449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（一）根据《中华人民共和国道路交通安全法》有关规定，依法对交通参与的主体机动车和驾驶人实施有效监管，确保人民群众安全出行和社会生活安定。</w:t>
      </w:r>
    </w:p>
    <w:p w14:paraId="1F67AA73">
      <w:pPr>
        <w:widowControl/>
        <w:spacing w:line="560" w:lineRule="exact"/>
        <w:ind w:left="958" w:leftChars="380" w:hanging="160" w:hangingChars="5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（二）对国区道、区乡道路实行统一科学管理，确保道路交通安全畅通、高效便捷。</w:t>
      </w:r>
    </w:p>
    <w:p w14:paraId="47805A04">
      <w:pPr>
        <w:widowControl/>
        <w:spacing w:line="560" w:lineRule="exact"/>
        <w:ind w:left="958" w:leftChars="380" w:hanging="160" w:hangingChars="50"/>
        <w:jc w:val="left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三）开展交通法制建设与安全宣传、交警系统行政性收费和经费保障工作、队伍建设工作指导和调研工作，组织、规划交通管理信息化建设与应用、通讯网建设和交通管理信息系统建设推广，开展新技术推广应用工作；做好道路交通事故社会救助基金的统筹、使用、管理、发放和垫付追偿工作。</w:t>
      </w:r>
    </w:p>
    <w:p w14:paraId="5F06B3A8">
      <w:pPr>
        <w:ind w:firstLine="560" w:firstLineChars="200"/>
        <w:jc w:val="left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二、部门决算单位构成</w:t>
      </w:r>
    </w:p>
    <w:p w14:paraId="17C0F5BB"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我部门独立核算机构</w:t>
      </w: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个，年末实有人数</w:t>
      </w:r>
      <w:r>
        <w:rPr>
          <w:snapToGrid w:val="0"/>
          <w:kern w:val="0"/>
          <w:sz w:val="28"/>
          <w:szCs w:val="28"/>
        </w:rPr>
        <w:t>22</w:t>
      </w:r>
      <w:r>
        <w:rPr>
          <w:rFonts w:hint="eastAsia"/>
          <w:snapToGrid w:val="0"/>
          <w:kern w:val="0"/>
          <w:sz w:val="28"/>
          <w:szCs w:val="28"/>
        </w:rPr>
        <w:t>人，其中在职人员</w:t>
      </w:r>
      <w:r>
        <w:rPr>
          <w:snapToGrid w:val="0"/>
          <w:kern w:val="0"/>
          <w:sz w:val="28"/>
          <w:szCs w:val="28"/>
        </w:rPr>
        <w:t>10</w:t>
      </w:r>
      <w:r>
        <w:rPr>
          <w:rFonts w:hint="eastAsia"/>
          <w:snapToGrid w:val="0"/>
          <w:kern w:val="0"/>
          <w:sz w:val="28"/>
          <w:szCs w:val="28"/>
        </w:rPr>
        <w:t>人，退休人员</w:t>
      </w:r>
      <w:r>
        <w:rPr>
          <w:snapToGrid w:val="0"/>
          <w:kern w:val="0"/>
          <w:sz w:val="28"/>
          <w:szCs w:val="28"/>
        </w:rPr>
        <w:t>11</w:t>
      </w:r>
      <w:r>
        <w:rPr>
          <w:rFonts w:hint="eastAsia"/>
          <w:snapToGrid w:val="0"/>
          <w:kern w:val="0"/>
          <w:sz w:val="28"/>
          <w:szCs w:val="28"/>
        </w:rPr>
        <w:t>人</w:t>
      </w:r>
      <w:r>
        <w:rPr>
          <w:snapToGrid w:val="0"/>
          <w:kern w:val="0"/>
          <w:sz w:val="28"/>
          <w:szCs w:val="28"/>
        </w:rPr>
        <w:t>,</w:t>
      </w:r>
      <w:r>
        <w:rPr>
          <w:rFonts w:hint="eastAsia"/>
          <w:snapToGrid w:val="0"/>
          <w:kern w:val="0"/>
          <w:sz w:val="28"/>
          <w:szCs w:val="28"/>
        </w:rPr>
        <w:t>死亡</w:t>
      </w: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人。</w:t>
      </w:r>
    </w:p>
    <w:p w14:paraId="189D60E2"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我部门内设机构9个</w:t>
      </w:r>
      <w:r>
        <w:rPr>
          <w:snapToGrid w:val="0"/>
          <w:kern w:val="0"/>
          <w:sz w:val="28"/>
          <w:szCs w:val="28"/>
        </w:rPr>
        <w:t>：</w:t>
      </w:r>
      <w:r>
        <w:rPr>
          <w:rFonts w:hint="eastAsia"/>
          <w:snapToGrid w:val="0"/>
          <w:kern w:val="0"/>
          <w:sz w:val="28"/>
          <w:szCs w:val="28"/>
        </w:rPr>
        <w:t>办公室、车辆管理所、事故科、法制秩序中队、高林营中队、大王店中队、西市场中队、徐安中队、徐津中队。</w:t>
      </w:r>
    </w:p>
    <w:p w14:paraId="16E7EF81"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</w:p>
    <w:p w14:paraId="7A31907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第二部分保定市徐水区公安交通警察大队</w:t>
      </w:r>
      <w:r>
        <w:rPr>
          <w:b/>
          <w:sz w:val="44"/>
          <w:szCs w:val="44"/>
        </w:rPr>
        <w:t>2016</w:t>
      </w:r>
      <w:r>
        <w:rPr>
          <w:rFonts w:hint="eastAsia"/>
          <w:b/>
          <w:sz w:val="44"/>
          <w:szCs w:val="44"/>
        </w:rPr>
        <w:t>年部门决算</w:t>
      </w:r>
    </w:p>
    <w:p w14:paraId="7ACD14B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情况说明</w:t>
      </w:r>
    </w:p>
    <w:p w14:paraId="65AC88F8"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一、收入支出决算总体情况说明</w:t>
      </w:r>
    </w:p>
    <w:p w14:paraId="3F9DC7B9"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年本年收入总计</w:t>
      </w:r>
      <w:r>
        <w:rPr>
          <w:snapToGrid w:val="0"/>
          <w:kern w:val="0"/>
          <w:sz w:val="28"/>
          <w:szCs w:val="28"/>
        </w:rPr>
        <w:t>1057.15</w:t>
      </w:r>
      <w:r>
        <w:rPr>
          <w:rFonts w:hint="eastAsia"/>
          <w:snapToGrid w:val="0"/>
          <w:kern w:val="0"/>
          <w:sz w:val="28"/>
          <w:szCs w:val="28"/>
        </w:rPr>
        <w:t>万元，增加</w:t>
      </w:r>
      <w:r>
        <w:rPr>
          <w:snapToGrid w:val="0"/>
          <w:kern w:val="0"/>
          <w:sz w:val="28"/>
          <w:szCs w:val="28"/>
        </w:rPr>
        <w:t>106.04</w:t>
      </w:r>
      <w:r>
        <w:rPr>
          <w:rFonts w:hint="eastAsia"/>
          <w:snapToGrid w:val="0"/>
          <w:kern w:val="0"/>
          <w:sz w:val="28"/>
          <w:szCs w:val="28"/>
        </w:rPr>
        <w:t>万元；本年支出总计</w:t>
      </w:r>
      <w:r>
        <w:rPr>
          <w:snapToGrid w:val="0"/>
          <w:kern w:val="0"/>
          <w:sz w:val="28"/>
          <w:szCs w:val="28"/>
        </w:rPr>
        <w:t>1028.85</w:t>
      </w:r>
      <w:r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snapToGrid w:val="0"/>
          <w:kern w:val="0"/>
          <w:sz w:val="28"/>
          <w:szCs w:val="28"/>
        </w:rPr>
        <w:t>79.65</w:t>
      </w:r>
      <w:r>
        <w:rPr>
          <w:rFonts w:hint="eastAsia"/>
          <w:snapToGrid w:val="0"/>
          <w:kern w:val="0"/>
          <w:sz w:val="28"/>
          <w:szCs w:val="28"/>
        </w:rPr>
        <w:t>万元，年末结转结余</w:t>
      </w:r>
      <w:r>
        <w:rPr>
          <w:snapToGrid w:val="0"/>
          <w:kern w:val="0"/>
          <w:sz w:val="28"/>
          <w:szCs w:val="28"/>
        </w:rPr>
        <w:t>28.3</w:t>
      </w:r>
      <w:r>
        <w:rPr>
          <w:rFonts w:hint="eastAsia"/>
          <w:snapToGrid w:val="0"/>
          <w:kern w:val="0"/>
          <w:sz w:val="28"/>
          <w:szCs w:val="28"/>
        </w:rPr>
        <w:t>万元。原因：本年度项目安排减少，支出减少。</w:t>
      </w:r>
    </w:p>
    <w:p w14:paraId="6AFAA9AF"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二、收入决算情况说明</w:t>
      </w:r>
    </w:p>
    <w:p w14:paraId="55C63707"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年度收入总计</w:t>
      </w:r>
      <w:r>
        <w:rPr>
          <w:snapToGrid w:val="0"/>
          <w:kern w:val="0"/>
          <w:sz w:val="28"/>
          <w:szCs w:val="28"/>
        </w:rPr>
        <w:t xml:space="preserve">  1057.15</w:t>
      </w:r>
      <w:r>
        <w:rPr>
          <w:rFonts w:hint="eastAsia"/>
          <w:snapToGrid w:val="0"/>
          <w:kern w:val="0"/>
          <w:sz w:val="28"/>
          <w:szCs w:val="28"/>
        </w:rPr>
        <w:t>万元，其中财政拨款收入</w:t>
      </w:r>
      <w:r>
        <w:rPr>
          <w:snapToGrid w:val="0"/>
          <w:kern w:val="0"/>
          <w:sz w:val="28"/>
          <w:szCs w:val="28"/>
        </w:rPr>
        <w:t>1057.15</w:t>
      </w:r>
      <w:r>
        <w:rPr>
          <w:rFonts w:hint="eastAsia"/>
          <w:snapToGrid w:val="0"/>
          <w:kern w:val="0"/>
          <w:sz w:val="28"/>
          <w:szCs w:val="28"/>
        </w:rPr>
        <w:t>万元，增加</w:t>
      </w:r>
      <w:r>
        <w:rPr>
          <w:snapToGrid w:val="0"/>
          <w:kern w:val="0"/>
          <w:sz w:val="28"/>
          <w:szCs w:val="28"/>
        </w:rPr>
        <w:t>106.04</w:t>
      </w:r>
      <w:r>
        <w:rPr>
          <w:rFonts w:hint="eastAsia"/>
          <w:snapToGrid w:val="0"/>
          <w:kern w:val="0"/>
          <w:sz w:val="28"/>
          <w:szCs w:val="28"/>
        </w:rPr>
        <w:t>万元，主要原因人员经费上涨；</w:t>
      </w:r>
    </w:p>
    <w:p w14:paraId="395D7C66"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三、支出决算情况说明</w:t>
      </w:r>
    </w:p>
    <w:p w14:paraId="74FAD1C9"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年度支出总计</w:t>
      </w:r>
      <w:r>
        <w:rPr>
          <w:snapToGrid w:val="0"/>
          <w:kern w:val="0"/>
          <w:sz w:val="28"/>
          <w:szCs w:val="28"/>
        </w:rPr>
        <w:t>1028.85</w:t>
      </w:r>
      <w:r>
        <w:rPr>
          <w:rFonts w:hint="eastAsia"/>
          <w:snapToGrid w:val="0"/>
          <w:kern w:val="0"/>
          <w:sz w:val="28"/>
          <w:szCs w:val="28"/>
        </w:rPr>
        <w:t>万元，其中基本支出</w:t>
      </w:r>
      <w:r>
        <w:rPr>
          <w:snapToGrid w:val="0"/>
          <w:kern w:val="0"/>
          <w:sz w:val="28"/>
          <w:szCs w:val="28"/>
        </w:rPr>
        <w:t>206.05</w:t>
      </w:r>
      <w:r>
        <w:rPr>
          <w:rFonts w:hint="eastAsia"/>
          <w:snapToGrid w:val="0"/>
          <w:kern w:val="0"/>
          <w:sz w:val="28"/>
          <w:szCs w:val="28"/>
        </w:rPr>
        <w:t>万元，占总支出</w:t>
      </w:r>
      <w:r>
        <w:rPr>
          <w:snapToGrid w:val="0"/>
          <w:kern w:val="0"/>
          <w:sz w:val="28"/>
          <w:szCs w:val="28"/>
        </w:rPr>
        <w:t xml:space="preserve"> 20%</w:t>
      </w:r>
      <w:r>
        <w:rPr>
          <w:rFonts w:hint="eastAsia"/>
          <w:snapToGrid w:val="0"/>
          <w:kern w:val="0"/>
          <w:sz w:val="28"/>
          <w:szCs w:val="28"/>
        </w:rPr>
        <w:t>；项目支出</w:t>
      </w:r>
      <w:r>
        <w:rPr>
          <w:snapToGrid w:val="0"/>
          <w:kern w:val="0"/>
          <w:sz w:val="28"/>
          <w:szCs w:val="28"/>
        </w:rPr>
        <w:t>822.8</w:t>
      </w:r>
      <w:r>
        <w:rPr>
          <w:rFonts w:hint="eastAsia"/>
          <w:snapToGrid w:val="0"/>
          <w:kern w:val="0"/>
          <w:sz w:val="28"/>
          <w:szCs w:val="28"/>
        </w:rPr>
        <w:t>万元，占总支出</w:t>
      </w:r>
      <w:r>
        <w:rPr>
          <w:snapToGrid w:val="0"/>
          <w:kern w:val="0"/>
          <w:sz w:val="28"/>
          <w:szCs w:val="28"/>
        </w:rPr>
        <w:t xml:space="preserve">  80%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14:paraId="286FB3D1"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四、财政拨款收入支出决算总体情况说明</w:t>
      </w:r>
    </w:p>
    <w:p w14:paraId="64310220"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年度财政拨款收入总计</w:t>
      </w:r>
      <w:r>
        <w:rPr>
          <w:snapToGrid w:val="0"/>
          <w:kern w:val="0"/>
          <w:sz w:val="28"/>
          <w:szCs w:val="28"/>
        </w:rPr>
        <w:t>1057.15</w:t>
      </w:r>
      <w:r>
        <w:rPr>
          <w:rFonts w:hint="eastAsia"/>
          <w:snapToGrid w:val="0"/>
          <w:kern w:val="0"/>
          <w:sz w:val="28"/>
          <w:szCs w:val="28"/>
        </w:rPr>
        <w:t>万元，增收</w:t>
      </w:r>
      <w:r>
        <w:rPr>
          <w:snapToGrid w:val="0"/>
          <w:kern w:val="0"/>
          <w:sz w:val="28"/>
          <w:szCs w:val="28"/>
        </w:rPr>
        <w:t>106.04</w:t>
      </w:r>
      <w:r>
        <w:rPr>
          <w:rFonts w:hint="eastAsia"/>
          <w:snapToGrid w:val="0"/>
          <w:kern w:val="0"/>
          <w:sz w:val="28"/>
          <w:szCs w:val="28"/>
        </w:rPr>
        <w:t>万元；财政拨款支出总计</w:t>
      </w:r>
      <w:r>
        <w:rPr>
          <w:snapToGrid w:val="0"/>
          <w:kern w:val="0"/>
          <w:sz w:val="28"/>
          <w:szCs w:val="28"/>
        </w:rPr>
        <w:t>1028.85</w:t>
      </w:r>
      <w:r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snapToGrid w:val="0"/>
          <w:kern w:val="0"/>
          <w:sz w:val="28"/>
          <w:szCs w:val="28"/>
        </w:rPr>
        <w:t>79.65</w:t>
      </w:r>
      <w:r>
        <w:rPr>
          <w:rFonts w:hint="eastAsia"/>
          <w:snapToGrid w:val="0"/>
          <w:kern w:val="0"/>
          <w:sz w:val="28"/>
          <w:szCs w:val="28"/>
        </w:rPr>
        <w:t>万元，年末财政拨款结转结余</w:t>
      </w:r>
      <w:r>
        <w:rPr>
          <w:snapToGrid w:val="0"/>
          <w:kern w:val="0"/>
          <w:sz w:val="28"/>
          <w:szCs w:val="28"/>
        </w:rPr>
        <w:t>28.3</w:t>
      </w:r>
      <w:r>
        <w:rPr>
          <w:rFonts w:hint="eastAsia"/>
          <w:snapToGrid w:val="0"/>
          <w:kern w:val="0"/>
          <w:sz w:val="28"/>
          <w:szCs w:val="28"/>
        </w:rPr>
        <w:t>万元。主要原因是：2016年人员经费增涨及项目经费增加 。</w:t>
      </w:r>
    </w:p>
    <w:p w14:paraId="32F02D7A"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2016年财政拨款支出年初预算数为592.34万元，本年支出决算数为1028.85万元，占年初预算数的173.69%，主要原因：本年度项目安排减少，支出减少。</w:t>
      </w:r>
    </w:p>
    <w:p w14:paraId="5D995051"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五、一般公共预算财政拨款“三公”经费支出决算情况说明</w:t>
      </w:r>
    </w:p>
    <w:p w14:paraId="0A3AAB76"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2016年，在做好各项工作的前提下，节省各项开支，尤其严格控制"三公"经费的支出，全年一般公共预算财政拨款"三公"经费支出合计</w:t>
      </w:r>
      <w:r>
        <w:rPr>
          <w:snapToGrid w:val="0"/>
          <w:kern w:val="0"/>
          <w:sz w:val="28"/>
          <w:szCs w:val="28"/>
        </w:rPr>
        <w:t>7.28</w:t>
      </w:r>
      <w:r>
        <w:rPr>
          <w:rFonts w:hint="eastAsia"/>
          <w:snapToGrid w:val="0"/>
          <w:kern w:val="0"/>
          <w:sz w:val="28"/>
          <w:szCs w:val="28"/>
        </w:rPr>
        <w:t>万元，较2015年增加</w:t>
      </w:r>
      <w:r>
        <w:rPr>
          <w:snapToGrid w:val="0"/>
          <w:kern w:val="0"/>
          <w:sz w:val="28"/>
          <w:szCs w:val="28"/>
        </w:rPr>
        <w:t>4.46</w:t>
      </w:r>
      <w:r>
        <w:rPr>
          <w:rFonts w:hint="eastAsia"/>
          <w:snapToGrid w:val="0"/>
          <w:kern w:val="0"/>
          <w:sz w:val="28"/>
          <w:szCs w:val="28"/>
        </w:rPr>
        <w:t>万元，增加158.83%。</w:t>
      </w:r>
    </w:p>
    <w:p w14:paraId="3BA11904"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1、</w:t>
      </w:r>
      <w:r>
        <w:rPr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2016年因公出国（境）费本年支出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预算</w:t>
      </w:r>
      <w:r>
        <w:rPr>
          <w:rFonts w:hint="eastAsia"/>
          <w:snapToGrid w:val="0"/>
          <w:kern w:val="0"/>
          <w:sz w:val="28"/>
          <w:szCs w:val="28"/>
        </w:rPr>
        <w:t>压减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，减少0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，较2015年增加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 xml:space="preserve">万元，增加0 </w:t>
      </w:r>
      <w:r>
        <w:rPr>
          <w:snapToGrid w:val="0"/>
          <w:kern w:val="0"/>
          <w:sz w:val="28"/>
          <w:szCs w:val="28"/>
        </w:rPr>
        <w:t>%。主要原因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</w:t>
      </w:r>
      <w:r>
        <w:rPr>
          <w:rFonts w:hint="eastAsia"/>
          <w:snapToGrid w:val="0"/>
          <w:kern w:val="0"/>
          <w:sz w:val="28"/>
          <w:szCs w:val="28"/>
        </w:rPr>
        <w:t>未</w:t>
      </w:r>
      <w:r>
        <w:rPr>
          <w:snapToGrid w:val="0"/>
          <w:kern w:val="0"/>
          <w:sz w:val="28"/>
          <w:szCs w:val="28"/>
        </w:rPr>
        <w:t>发生因公出国（</w:t>
      </w:r>
      <w:r>
        <w:rPr>
          <w:rFonts w:hint="eastAsia"/>
          <w:snapToGrid w:val="0"/>
          <w:kern w:val="0"/>
          <w:sz w:val="28"/>
          <w:szCs w:val="28"/>
        </w:rPr>
        <w:t>境</w:t>
      </w:r>
      <w:r>
        <w:rPr>
          <w:snapToGrid w:val="0"/>
          <w:kern w:val="0"/>
          <w:sz w:val="28"/>
          <w:szCs w:val="28"/>
        </w:rPr>
        <w:t>）</w:t>
      </w:r>
      <w:r>
        <w:rPr>
          <w:rFonts w:hint="eastAsia"/>
          <w:snapToGrid w:val="0"/>
          <w:kern w:val="0"/>
          <w:sz w:val="28"/>
          <w:szCs w:val="28"/>
        </w:rPr>
        <w:t>费。因公出国（境）团组</w:t>
      </w:r>
      <w:r>
        <w:rPr>
          <w:snapToGrid w:val="0"/>
          <w:kern w:val="0"/>
          <w:sz w:val="28"/>
          <w:szCs w:val="28"/>
        </w:rPr>
        <w:t xml:space="preserve">    </w:t>
      </w:r>
      <w:r>
        <w:rPr>
          <w:rFonts w:hint="eastAsia"/>
          <w:snapToGrid w:val="0"/>
          <w:kern w:val="0"/>
          <w:sz w:val="28"/>
          <w:szCs w:val="28"/>
        </w:rPr>
        <w:t xml:space="preserve">                 </w:t>
      </w:r>
      <w:r>
        <w:rPr>
          <w:snapToGrid w:val="0"/>
          <w:kern w:val="0"/>
          <w:sz w:val="28"/>
          <w:szCs w:val="28"/>
        </w:rPr>
        <w:t xml:space="preserve">                                             </w:t>
      </w:r>
      <w:r>
        <w:rPr>
          <w:rFonts w:hint="eastAsia"/>
          <w:snapToGrid w:val="0"/>
          <w:kern w:val="0"/>
          <w:sz w:val="28"/>
          <w:szCs w:val="28"/>
        </w:rPr>
        <w:t xml:space="preserve">  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个，因公出国（境）人次0人。</w:t>
      </w:r>
    </w:p>
    <w:p w14:paraId="7D4A640C"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及运行维护费本年</w:t>
      </w:r>
      <w:r>
        <w:rPr>
          <w:snapToGrid w:val="0"/>
          <w:kern w:val="0"/>
          <w:sz w:val="28"/>
          <w:szCs w:val="28"/>
        </w:rPr>
        <w:t>支出6.93</w:t>
      </w:r>
      <w:r>
        <w:rPr>
          <w:rFonts w:hint="eastAsia"/>
          <w:snapToGrid w:val="0"/>
          <w:kern w:val="0"/>
          <w:sz w:val="28"/>
          <w:szCs w:val="28"/>
        </w:rPr>
        <w:t>万元。（2016年</w:t>
      </w:r>
      <w:r>
        <w:rPr>
          <w:snapToGrid w:val="0"/>
          <w:kern w:val="0"/>
          <w:sz w:val="28"/>
          <w:szCs w:val="28"/>
        </w:rPr>
        <w:t>度未</w:t>
      </w:r>
      <w:r>
        <w:rPr>
          <w:rFonts w:hint="eastAsia"/>
          <w:snapToGrid w:val="0"/>
          <w:kern w:val="0"/>
          <w:sz w:val="28"/>
          <w:szCs w:val="28"/>
        </w:rPr>
        <w:t>购置</w:t>
      </w:r>
      <w:r>
        <w:rPr>
          <w:snapToGrid w:val="0"/>
          <w:kern w:val="0"/>
          <w:sz w:val="28"/>
          <w:szCs w:val="28"/>
        </w:rPr>
        <w:t>公务用车，</w:t>
      </w:r>
      <w:r>
        <w:rPr>
          <w:rFonts w:hint="eastAsia"/>
          <w:snapToGrid w:val="0"/>
          <w:kern w:val="0"/>
          <w:sz w:val="28"/>
          <w:szCs w:val="28"/>
        </w:rPr>
        <w:t>年末</w:t>
      </w:r>
      <w:r>
        <w:rPr>
          <w:snapToGrid w:val="0"/>
          <w:kern w:val="0"/>
          <w:sz w:val="28"/>
          <w:szCs w:val="28"/>
        </w:rPr>
        <w:t>公务用车保有量36</w:t>
      </w:r>
      <w:r>
        <w:rPr>
          <w:rFonts w:hint="eastAsia"/>
          <w:snapToGrid w:val="0"/>
          <w:kern w:val="0"/>
          <w:sz w:val="28"/>
          <w:szCs w:val="28"/>
        </w:rPr>
        <w:t>辆。）</w:t>
      </w:r>
    </w:p>
    <w:p w14:paraId="12C12D1B"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公务用车购置费本年支出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预算压减</w:t>
      </w:r>
      <w:r>
        <w:rPr>
          <w:rFonts w:hint="eastAsia"/>
          <w:snapToGrid w:val="0"/>
          <w:kern w:val="0"/>
          <w:sz w:val="28"/>
          <w:szCs w:val="28"/>
        </w:rPr>
        <w:t>0万元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减少0</w:t>
      </w:r>
      <w:r>
        <w:rPr>
          <w:snapToGrid w:val="0"/>
          <w:kern w:val="0"/>
          <w:sz w:val="28"/>
          <w:szCs w:val="28"/>
        </w:rPr>
        <w:t>%；</w:t>
      </w:r>
      <w:r>
        <w:rPr>
          <w:rFonts w:hint="eastAsia"/>
          <w:snapToGrid w:val="0"/>
          <w:kern w:val="0"/>
          <w:sz w:val="28"/>
          <w:szCs w:val="28"/>
        </w:rPr>
        <w:t xml:space="preserve">较2015年增加0万元，增加0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。主要原因是未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公务用车。</w:t>
      </w:r>
    </w:p>
    <w:p w14:paraId="33F5F8E5"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公务用车运行维护费本年支出</w:t>
      </w:r>
      <w:r>
        <w:rPr>
          <w:snapToGrid w:val="0"/>
          <w:kern w:val="0"/>
          <w:sz w:val="28"/>
          <w:szCs w:val="28"/>
        </w:rPr>
        <w:t>6.93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预算压减0.07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，减少1%；</w:t>
      </w:r>
      <w:r>
        <w:rPr>
          <w:rFonts w:hint="eastAsia"/>
          <w:snapToGrid w:val="0"/>
          <w:kern w:val="0"/>
          <w:sz w:val="28"/>
          <w:szCs w:val="28"/>
        </w:rPr>
        <w:t>2015年增加</w:t>
      </w:r>
      <w:r>
        <w:rPr>
          <w:snapToGrid w:val="0"/>
          <w:kern w:val="0"/>
          <w:sz w:val="28"/>
          <w:szCs w:val="28"/>
        </w:rPr>
        <w:t>4.12</w:t>
      </w:r>
      <w:r>
        <w:rPr>
          <w:rFonts w:hint="eastAsia"/>
          <w:snapToGrid w:val="0"/>
          <w:kern w:val="0"/>
          <w:sz w:val="28"/>
          <w:szCs w:val="28"/>
        </w:rPr>
        <w:t>万元，增长146.55</w:t>
      </w:r>
      <w:r>
        <w:rPr>
          <w:snapToGrid w:val="0"/>
          <w:kern w:val="0"/>
          <w:sz w:val="28"/>
          <w:szCs w:val="28"/>
        </w:rPr>
        <w:t>%。</w:t>
      </w:r>
      <w:r>
        <w:rPr>
          <w:rFonts w:hint="eastAsia"/>
          <w:snapToGrid w:val="0"/>
          <w:kern w:val="0"/>
          <w:sz w:val="28"/>
          <w:szCs w:val="28"/>
        </w:rPr>
        <w:t>主要原因多次警卫任务，燃油量加大，执法执勤用车维修维护费用增大。</w:t>
      </w:r>
    </w:p>
    <w:p w14:paraId="51D1DFDF"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2016年公务接待费全年支出</w:t>
      </w:r>
      <w:r>
        <w:rPr>
          <w:snapToGrid w:val="0"/>
          <w:kern w:val="0"/>
          <w:sz w:val="28"/>
          <w:szCs w:val="28"/>
        </w:rPr>
        <w:t>0.35</w:t>
      </w:r>
      <w:r>
        <w:rPr>
          <w:rFonts w:hint="eastAsia"/>
          <w:snapToGrid w:val="0"/>
          <w:kern w:val="0"/>
          <w:sz w:val="28"/>
          <w:szCs w:val="28"/>
        </w:rPr>
        <w:t>万元，较</w:t>
      </w:r>
      <w:r>
        <w:rPr>
          <w:snapToGrid w:val="0"/>
          <w:kern w:val="0"/>
          <w:sz w:val="28"/>
          <w:szCs w:val="28"/>
        </w:rPr>
        <w:t>预算</w:t>
      </w:r>
      <w:r>
        <w:rPr>
          <w:rFonts w:hint="eastAsia"/>
          <w:snapToGrid w:val="0"/>
          <w:kern w:val="0"/>
          <w:sz w:val="28"/>
          <w:szCs w:val="28"/>
        </w:rPr>
        <w:t>增加0.35万元，</w:t>
      </w:r>
      <w:r>
        <w:rPr>
          <w:snapToGrid w:val="0"/>
          <w:kern w:val="0"/>
          <w:sz w:val="28"/>
          <w:szCs w:val="28"/>
        </w:rPr>
        <w:t>增</w:t>
      </w:r>
      <w:r>
        <w:rPr>
          <w:rFonts w:hint="eastAsia"/>
          <w:snapToGrid w:val="0"/>
          <w:kern w:val="0"/>
          <w:sz w:val="28"/>
          <w:szCs w:val="28"/>
        </w:rPr>
        <w:t>加100%</w:t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较2015年增加</w:t>
      </w:r>
      <w:r>
        <w:rPr>
          <w:snapToGrid w:val="0"/>
          <w:kern w:val="0"/>
          <w:sz w:val="28"/>
          <w:szCs w:val="28"/>
        </w:rPr>
        <w:t>0.35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增加</w:t>
      </w:r>
      <w:r>
        <w:rPr>
          <w:rFonts w:hint="eastAsia"/>
          <w:snapToGrid w:val="0"/>
          <w:kern w:val="0"/>
          <w:sz w:val="28"/>
          <w:szCs w:val="28"/>
        </w:rPr>
        <w:t>100%。主要原因大型警卫任务，上级领导实地指挥调度。</w:t>
      </w:r>
    </w:p>
    <w:p w14:paraId="7408F72B"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国内公务接待</w:t>
      </w: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批次，国内公务接待</w:t>
      </w:r>
      <w:r>
        <w:rPr>
          <w:snapToGrid w:val="0"/>
          <w:kern w:val="0"/>
          <w:sz w:val="28"/>
          <w:szCs w:val="28"/>
        </w:rPr>
        <w:t>8</w:t>
      </w:r>
      <w:r>
        <w:rPr>
          <w:rFonts w:hint="eastAsia"/>
          <w:snapToGrid w:val="0"/>
          <w:kern w:val="0"/>
          <w:sz w:val="28"/>
          <w:szCs w:val="28"/>
        </w:rPr>
        <w:t>人次；国外公务接待0批次，国外公务接待0人次。</w:t>
      </w:r>
    </w:p>
    <w:p w14:paraId="6B9AB1EF"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六、预算绩效管理工作开展情况说明</w:t>
      </w:r>
    </w:p>
    <w:p w14:paraId="6386DED7">
      <w:pPr>
        <w:outlineLvl w:val="1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/>
          <w:snapToGrid w:val="0"/>
          <w:kern w:val="0"/>
          <w:sz w:val="28"/>
          <w:szCs w:val="28"/>
        </w:rPr>
        <w:t>我单位依托河北省政府财政管理信息系统，确定部门预算项目和预算额度，清晰描述预算项目开支范围和内容，确定预算项目的绩效目标。如我单位的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巨力路两路口信号灯改造项目</w:t>
      </w:r>
      <w:r>
        <w:rPr>
          <w:rFonts w:hint="eastAsia"/>
          <w:snapToGrid w:val="0"/>
          <w:kern w:val="0"/>
          <w:sz w:val="28"/>
          <w:szCs w:val="28"/>
        </w:rPr>
        <w:t>，该项目年初预算安排</w:t>
      </w:r>
      <w:r>
        <w:rPr>
          <w:snapToGrid w:val="0"/>
          <w:kern w:val="0"/>
          <w:sz w:val="28"/>
          <w:szCs w:val="28"/>
        </w:rPr>
        <w:t>9.62</w:t>
      </w:r>
      <w:r>
        <w:rPr>
          <w:rFonts w:hint="eastAsia"/>
          <w:snapToGrid w:val="0"/>
          <w:kern w:val="0"/>
          <w:sz w:val="28"/>
          <w:szCs w:val="28"/>
        </w:rPr>
        <w:t>万元，截至年末实际支出</w:t>
      </w:r>
      <w:r>
        <w:rPr>
          <w:snapToGrid w:val="0"/>
          <w:kern w:val="0"/>
          <w:sz w:val="28"/>
          <w:szCs w:val="28"/>
        </w:rPr>
        <w:t xml:space="preserve"> 9.62</w:t>
      </w:r>
      <w:r>
        <w:rPr>
          <w:rFonts w:hint="eastAsia"/>
          <w:snapToGrid w:val="0"/>
          <w:kern w:val="0"/>
          <w:sz w:val="28"/>
          <w:szCs w:val="28"/>
        </w:rPr>
        <w:t>万元。取得了良好的成果，较好的实现了预算项目绩效目标。</w:t>
      </w:r>
    </w:p>
    <w:p w14:paraId="4599D58D"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七、其他重要事项的说明</w:t>
      </w:r>
    </w:p>
    <w:p w14:paraId="31327B1A"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、机关运行经费支出情况说</w:t>
      </w:r>
      <w:bookmarkStart w:id="0" w:name="_GoBack"/>
      <w:bookmarkEnd w:id="0"/>
      <w:r>
        <w:rPr>
          <w:rFonts w:hint="eastAsia"/>
          <w:snapToGrid w:val="0"/>
          <w:kern w:val="0"/>
          <w:sz w:val="28"/>
          <w:szCs w:val="28"/>
        </w:rPr>
        <w:t>明</w:t>
      </w:r>
    </w:p>
    <w:p w14:paraId="7598F751">
      <w:pPr>
        <w:pStyle w:val="7"/>
        <w:adjustRightInd w:val="0"/>
        <w:snapToGrid w:val="0"/>
        <w:spacing w:line="600" w:lineRule="exact"/>
        <w:ind w:left="210" w:leftChars="100" w:firstLineChars="15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14:paraId="1A0F2CFA">
      <w:pPr>
        <w:pStyle w:val="7"/>
        <w:adjustRightInd w:val="0"/>
        <w:snapToGrid w:val="0"/>
        <w:spacing w:line="600" w:lineRule="exact"/>
        <w:ind w:left="210" w:leftChars="10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2016年度公用经费总支出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万元，其中办公费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 xml:space="preserve">万元、印刷费    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万元、水费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万元、电费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万元、邮电费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 xml:space="preserve">万元、取暖费 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  差旅费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万元、维修（护）费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万元、会议费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万元、培训费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 xml:space="preserve">万元、公务接待费 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万元、工会经费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万元、福利费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万元、公务用车运行维护费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万元、其他交通费用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万元等。</w:t>
      </w:r>
    </w:p>
    <w:p w14:paraId="2EB6EE68"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、政府采购情况说明</w:t>
      </w:r>
    </w:p>
    <w:p w14:paraId="3D60785C"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2016年政府采购预算总额为0万元，主要包括政府采购货物    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万元，工程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万元及服务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14:paraId="42AC77EF"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万元、政府采购工程支出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万元、政府采购服务支出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14:paraId="76A15A64"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、国有资产占用情况</w:t>
      </w:r>
    </w:p>
    <w:p w14:paraId="194DA08E">
      <w:pPr>
        <w:pStyle w:val="7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我单位2016年末固定资产总额为 1102.03 万元，主要包括房屋   2676平方米，车辆 36辆价值570.75 万元，单价在50万元以上的设备 0 万元，及其他固定资产502.98万元。 </w:t>
      </w:r>
    </w:p>
    <w:p w14:paraId="0F7C3A3E">
      <w:pPr>
        <w:pStyle w:val="7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2016年资产变动情况：固定资产增加66.02万元，包括房屋无增加（减少）万元,车辆增加2.85万元，单价在50万元以上的设备无增加（减少），其他固定资产增加63.17 万元。</w:t>
      </w:r>
    </w:p>
    <w:p w14:paraId="5C603AEF"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、其他需要说明的情况：无</w:t>
      </w:r>
    </w:p>
    <w:p w14:paraId="5AF96FC9">
      <w:pPr>
        <w:pStyle w:val="7"/>
        <w:adjustRightInd w:val="0"/>
        <w:snapToGrid w:val="0"/>
        <w:spacing w:line="600" w:lineRule="exact"/>
        <w:ind w:left="105" w:leftChars="50" w:firstLine="640"/>
        <w:rPr>
          <w:sz w:val="32"/>
          <w:szCs w:val="32"/>
        </w:rPr>
      </w:pPr>
    </w:p>
    <w:p w14:paraId="3936D3B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第三部分名词解释</w:t>
      </w:r>
    </w:p>
    <w:p w14:paraId="3CAD8B6B">
      <w:pPr>
        <w:pStyle w:val="4"/>
        <w:spacing w:before="0" w:beforeAutospacing="0" w:after="0" w:afterAutospacing="0" w:line="384" w:lineRule="atLeast"/>
        <w:ind w:firstLine="560"/>
        <w:rPr>
          <w:rFonts w:ascii="Calibri" w:hAnsi="Calibri" w:cs="Times New Roman"/>
          <w:snapToGrid w:val="0"/>
          <w:sz w:val="28"/>
          <w:szCs w:val="28"/>
        </w:rPr>
      </w:pPr>
      <w:r>
        <w:rPr>
          <w:rFonts w:hint="eastAsia" w:ascii="Calibri" w:hAnsi="Calibri" w:cs="Times New Roman"/>
          <w:snapToGrid w:val="0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 w14:paraId="08EB4359">
      <w:pPr>
        <w:pStyle w:val="4"/>
        <w:spacing w:before="0" w:beforeAutospacing="0" w:after="0" w:afterAutospacing="0" w:line="384" w:lineRule="atLeast"/>
        <w:ind w:firstLine="645"/>
        <w:rPr>
          <w:rFonts w:ascii="Calibri" w:hAnsi="Calibri" w:cs="Times New Roman"/>
          <w:snapToGrid w:val="0"/>
          <w:sz w:val="28"/>
          <w:szCs w:val="28"/>
        </w:rPr>
      </w:pPr>
      <w:r>
        <w:rPr>
          <w:rFonts w:hint="eastAsia" w:ascii="Calibri" w:hAnsi="Calibri" w:cs="Times New Roman"/>
          <w:snapToGrid w:val="0"/>
          <w:sz w:val="28"/>
          <w:szCs w:val="28"/>
        </w:rPr>
        <w:t>（二）其他收入：指除上述“财政拨款收入”、“事业收入”、“经营收入”等以外的收入。</w:t>
      </w:r>
    </w:p>
    <w:p w14:paraId="1699DEA5">
      <w:pPr>
        <w:pStyle w:val="4"/>
        <w:spacing w:before="0" w:beforeAutospacing="0" w:after="0" w:afterAutospacing="0" w:line="384" w:lineRule="atLeast"/>
        <w:ind w:firstLine="645"/>
        <w:rPr>
          <w:rFonts w:ascii="Calibri" w:hAnsi="Calibri" w:cs="Times New Roman"/>
          <w:snapToGrid w:val="0"/>
          <w:sz w:val="28"/>
          <w:szCs w:val="28"/>
        </w:rPr>
      </w:pPr>
      <w:r>
        <w:rPr>
          <w:rFonts w:hint="eastAsia" w:ascii="Calibri" w:hAnsi="Calibri" w:cs="Times New Roman"/>
          <w:snapToGrid w:val="0"/>
          <w:sz w:val="28"/>
          <w:szCs w:val="28"/>
        </w:rPr>
        <w:t>（三）年初结转和结余：指以前年度尚未完成、结转到本年仍按原规定用途继续使用的资金，或项目已完成等产生的结余资金。</w:t>
      </w:r>
    </w:p>
    <w:p w14:paraId="693A5939">
      <w:pPr>
        <w:pStyle w:val="4"/>
        <w:spacing w:before="0" w:beforeAutospacing="0" w:after="0" w:afterAutospacing="0" w:line="384" w:lineRule="atLeast"/>
        <w:ind w:firstLine="645"/>
        <w:rPr>
          <w:rFonts w:ascii="Calibri" w:hAnsi="Calibri" w:cs="Times New Roman"/>
          <w:snapToGrid w:val="0"/>
          <w:sz w:val="28"/>
          <w:szCs w:val="28"/>
        </w:rPr>
      </w:pPr>
      <w:r>
        <w:rPr>
          <w:rFonts w:hint="eastAsia" w:ascii="Calibri" w:hAnsi="Calibri" w:cs="Times New Roman"/>
          <w:snapToGrid w:val="0"/>
          <w:sz w:val="28"/>
          <w:szCs w:val="28"/>
        </w:rPr>
        <w:t>（四）年末结转和结余：指单位按有关规定结转到下年或以后年度继续使用的资金，或项目已完成等产生的结余资金。</w:t>
      </w:r>
    </w:p>
    <w:p w14:paraId="7EDF3919">
      <w:pPr>
        <w:pStyle w:val="4"/>
        <w:spacing w:before="0" w:beforeAutospacing="0" w:after="0" w:afterAutospacing="0" w:line="384" w:lineRule="atLeast"/>
        <w:ind w:firstLine="645"/>
        <w:rPr>
          <w:rFonts w:ascii="Calibri" w:hAnsi="Calibri" w:cs="Times New Roman"/>
          <w:snapToGrid w:val="0"/>
          <w:sz w:val="28"/>
          <w:szCs w:val="28"/>
        </w:rPr>
      </w:pPr>
      <w:r>
        <w:rPr>
          <w:rFonts w:hint="eastAsia" w:ascii="Calibri" w:hAnsi="Calibri" w:cs="Times New Roman"/>
          <w:snapToGrid w:val="0"/>
          <w:sz w:val="28"/>
          <w:szCs w:val="28"/>
        </w:rPr>
        <w:t>（五）基本支出：填列单位为保障机构正常运转、完成日常工作任务而发生的各项支出。</w:t>
      </w:r>
    </w:p>
    <w:p w14:paraId="4424FFAD">
      <w:pPr>
        <w:pStyle w:val="4"/>
        <w:spacing w:before="0" w:beforeAutospacing="0" w:after="0" w:afterAutospacing="0" w:line="384" w:lineRule="atLeast"/>
        <w:ind w:firstLine="645"/>
        <w:rPr>
          <w:rFonts w:ascii="Calibri" w:hAnsi="Calibri" w:cs="Times New Roman"/>
          <w:snapToGrid w:val="0"/>
          <w:sz w:val="28"/>
          <w:szCs w:val="28"/>
        </w:rPr>
      </w:pPr>
      <w:r>
        <w:rPr>
          <w:rFonts w:hint="eastAsia" w:ascii="Calibri" w:hAnsi="Calibri" w:cs="Times New Roman"/>
          <w:snapToGrid w:val="0"/>
          <w:sz w:val="28"/>
          <w:szCs w:val="28"/>
        </w:rPr>
        <w:t>（六）项目支出：填列单位为完成特定的行政工作任务或事业发展目标，在基本支出之外发生的各项支出。</w:t>
      </w:r>
    </w:p>
    <w:p w14:paraId="26819173">
      <w:pPr>
        <w:pStyle w:val="4"/>
        <w:spacing w:before="0" w:beforeAutospacing="0" w:after="0" w:afterAutospacing="0" w:line="384" w:lineRule="atLeast"/>
        <w:ind w:firstLine="645"/>
        <w:rPr>
          <w:rFonts w:ascii="Calibri" w:hAnsi="Calibri" w:cs="Times New Roman"/>
          <w:snapToGrid w:val="0"/>
          <w:sz w:val="28"/>
          <w:szCs w:val="28"/>
        </w:rPr>
      </w:pPr>
      <w:r>
        <w:rPr>
          <w:rFonts w:hint="eastAsia" w:ascii="Calibri" w:hAnsi="Calibri" w:cs="Times New Roman"/>
          <w:snapToGrid w:val="0"/>
          <w:sz w:val="28"/>
          <w:szCs w:val="28"/>
        </w:rPr>
        <w:t>（七）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14:paraId="7BEB32DF">
      <w:pPr>
        <w:pStyle w:val="4"/>
        <w:spacing w:before="0" w:beforeAutospacing="0" w:after="0" w:afterAutospacing="0" w:line="384" w:lineRule="atLeast"/>
        <w:ind w:firstLine="560"/>
        <w:rPr>
          <w:rFonts w:ascii="Calibri" w:hAnsi="Calibri" w:cs="Times New Roman"/>
          <w:snapToGrid w:val="0"/>
          <w:sz w:val="28"/>
          <w:szCs w:val="28"/>
        </w:rPr>
      </w:pPr>
      <w:r>
        <w:rPr>
          <w:rFonts w:hint="eastAsia"/>
          <w:snapToGrid w:val="0"/>
        </w:rPr>
        <w:t>（八）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ZWE1MTc1NDE5Nzc4NjkwNzYyODdhZTdkM2IyZGUifQ=="/>
  </w:docVars>
  <w:rsids>
    <w:rsidRoot w:val="008423F5"/>
    <w:rsid w:val="00066CCD"/>
    <w:rsid w:val="001041EE"/>
    <w:rsid w:val="0015089B"/>
    <w:rsid w:val="00152908"/>
    <w:rsid w:val="00177069"/>
    <w:rsid w:val="001C673D"/>
    <w:rsid w:val="001E68F2"/>
    <w:rsid w:val="00262304"/>
    <w:rsid w:val="0028346A"/>
    <w:rsid w:val="003277A3"/>
    <w:rsid w:val="00372DF7"/>
    <w:rsid w:val="003E7796"/>
    <w:rsid w:val="003F0B48"/>
    <w:rsid w:val="003F3B34"/>
    <w:rsid w:val="00471A6A"/>
    <w:rsid w:val="00486AD2"/>
    <w:rsid w:val="004C07ED"/>
    <w:rsid w:val="00511DEE"/>
    <w:rsid w:val="00563194"/>
    <w:rsid w:val="00574231"/>
    <w:rsid w:val="0058572E"/>
    <w:rsid w:val="005B3169"/>
    <w:rsid w:val="005D450E"/>
    <w:rsid w:val="0060361A"/>
    <w:rsid w:val="006B564B"/>
    <w:rsid w:val="006C2614"/>
    <w:rsid w:val="006E71D0"/>
    <w:rsid w:val="00762B15"/>
    <w:rsid w:val="00771225"/>
    <w:rsid w:val="00791B38"/>
    <w:rsid w:val="007E01E4"/>
    <w:rsid w:val="008026BF"/>
    <w:rsid w:val="0082704B"/>
    <w:rsid w:val="008423F5"/>
    <w:rsid w:val="00842CBB"/>
    <w:rsid w:val="00851DB9"/>
    <w:rsid w:val="0086112E"/>
    <w:rsid w:val="008E39A7"/>
    <w:rsid w:val="009205CE"/>
    <w:rsid w:val="00945D0B"/>
    <w:rsid w:val="009570EF"/>
    <w:rsid w:val="00985214"/>
    <w:rsid w:val="009B74FB"/>
    <w:rsid w:val="009E01E9"/>
    <w:rsid w:val="00A372C2"/>
    <w:rsid w:val="00AA21A2"/>
    <w:rsid w:val="00AA73FC"/>
    <w:rsid w:val="00B005DA"/>
    <w:rsid w:val="00B17297"/>
    <w:rsid w:val="00B40ED6"/>
    <w:rsid w:val="00B616DD"/>
    <w:rsid w:val="00C222CB"/>
    <w:rsid w:val="00C2249E"/>
    <w:rsid w:val="00C72016"/>
    <w:rsid w:val="00C82568"/>
    <w:rsid w:val="00C92FFC"/>
    <w:rsid w:val="00CA2480"/>
    <w:rsid w:val="00CB45AA"/>
    <w:rsid w:val="00CE1258"/>
    <w:rsid w:val="00D257AB"/>
    <w:rsid w:val="00D5724A"/>
    <w:rsid w:val="00D6325B"/>
    <w:rsid w:val="00D9008B"/>
    <w:rsid w:val="00DB6F33"/>
    <w:rsid w:val="00DB7E7C"/>
    <w:rsid w:val="00DC5EA2"/>
    <w:rsid w:val="00E71A30"/>
    <w:rsid w:val="00EA0D61"/>
    <w:rsid w:val="00ED72E6"/>
    <w:rsid w:val="00F00F83"/>
    <w:rsid w:val="00F7078F"/>
    <w:rsid w:val="00FC20F0"/>
    <w:rsid w:val="058E73D5"/>
    <w:rsid w:val="064A3FAD"/>
    <w:rsid w:val="0B6A15E4"/>
    <w:rsid w:val="0D6054DA"/>
    <w:rsid w:val="1AF90D88"/>
    <w:rsid w:val="1F545778"/>
    <w:rsid w:val="62A02981"/>
    <w:rsid w:val="6731741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出段落1"/>
    <w:basedOn w:val="1"/>
    <w:uiPriority w:val="99"/>
    <w:pPr>
      <w:ind w:firstLine="420" w:firstLineChars="200"/>
    </w:p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link w:val="3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2452</Words>
  <Characters>2712</Characters>
  <Lines>20</Lines>
  <Paragraphs>5</Paragraphs>
  <TotalTime>3</TotalTime>
  <ScaleCrop>false</ScaleCrop>
  <LinksUpToDate>false</LinksUpToDate>
  <CharactersWithSpaces>2814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2017-11-10T11:28:00Z</dcterms:created>
  <dc:creator>yuanxiaowei</dc:creator>
  <cp:lastModifiedBy>zzzz……</cp:lastModifiedBy>
  <cp:lastPrinted>2017-08-29T03:35:00Z</cp:lastPrinted>
  <dcterms:modified xsi:type="dcterms:W3CDTF">2025-05-12T02:59:17Z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1596B1AAF61B4BB38C21A75FD27A4AEA_13</vt:lpwstr>
  </property>
</Properties>
</file>