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pacing w:after="0" w:line="540" w:lineRule="exact"/>
        <w:ind w:firstLine="1440"/>
        <w:jc w:val="both"/>
        <w:rPr>
          <w:rFonts w:ascii="Times New Roman" w:hAnsi="Times New Roman" w:eastAsia="宋体" w:cs="Times New Roman"/>
          <w:bCs/>
          <w:sz w:val="72"/>
          <w:szCs w:val="24"/>
        </w:rPr>
      </w:pPr>
      <w:bookmarkStart w:id="79" w:name="_GoBack"/>
      <w:bookmarkEnd w:id="79"/>
    </w:p>
    <w:p>
      <w:pPr>
        <w:keepNext w:val="0"/>
        <w:keepLines w:val="0"/>
        <w:pageBreakBefore w:val="0"/>
        <w:widowControl w:val="0"/>
        <w:spacing w:after="0" w:line="580" w:lineRule="exact"/>
        <w:jc w:val="center"/>
        <w:rPr>
          <w:rFonts w:hint="eastAsia" w:asciiTheme="majorEastAsia" w:hAnsiTheme="majorEastAsia" w:eastAsiaTheme="majorEastAsia" w:cstheme="majorEastAsia"/>
          <w:b/>
          <w:bCs w:val="0"/>
          <w:sz w:val="44"/>
          <w:szCs w:val="44"/>
        </w:rPr>
      </w:pPr>
    </w:p>
    <w:p>
      <w:pPr>
        <w:keepNext w:val="0"/>
        <w:keepLines w:val="0"/>
        <w:pageBreakBefore w:val="0"/>
        <w:widowControl w:val="0"/>
        <w:spacing w:after="0" w:line="580" w:lineRule="exact"/>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保定市徐水区</w:t>
      </w:r>
      <w:r>
        <w:rPr>
          <w:rFonts w:hint="eastAsia" w:asciiTheme="majorEastAsia" w:hAnsiTheme="majorEastAsia" w:eastAsiaTheme="majorEastAsia" w:cstheme="majorEastAsia"/>
          <w:b/>
          <w:bCs w:val="0"/>
          <w:sz w:val="44"/>
          <w:szCs w:val="44"/>
          <w:lang w:val="en-US" w:eastAsia="zh-CN"/>
        </w:rPr>
        <w:t>退役军人事务局</w:t>
      </w:r>
      <w:r>
        <w:rPr>
          <w:rFonts w:hint="eastAsia" w:asciiTheme="majorEastAsia" w:hAnsiTheme="majorEastAsia" w:eastAsiaTheme="majorEastAsia" w:cstheme="majorEastAsia"/>
          <w:b/>
          <w:bCs w:val="0"/>
          <w:sz w:val="44"/>
          <w:szCs w:val="44"/>
        </w:rPr>
        <w:t>202</w:t>
      </w:r>
      <w:r>
        <w:rPr>
          <w:rFonts w:hint="default" w:asciiTheme="majorEastAsia" w:hAnsiTheme="majorEastAsia" w:eastAsiaTheme="majorEastAsia" w:cstheme="majorEastAsia"/>
          <w:b/>
          <w:bCs w:val="0"/>
          <w:sz w:val="44"/>
          <w:szCs w:val="44"/>
          <w:lang w:val="en-US"/>
        </w:rPr>
        <w:t>2</w:t>
      </w:r>
      <w:r>
        <w:rPr>
          <w:rFonts w:hint="eastAsia" w:asciiTheme="majorEastAsia" w:hAnsiTheme="majorEastAsia" w:eastAsiaTheme="majorEastAsia" w:cstheme="majorEastAsia"/>
          <w:b/>
          <w:bCs w:val="0"/>
          <w:sz w:val="44"/>
          <w:szCs w:val="44"/>
        </w:rPr>
        <w:t>年部门</w:t>
      </w:r>
    </w:p>
    <w:p>
      <w:pPr>
        <w:keepNext w:val="0"/>
        <w:keepLines w:val="0"/>
        <w:pageBreakBefore w:val="0"/>
        <w:widowControl w:val="0"/>
        <w:spacing w:after="0" w:line="580" w:lineRule="exact"/>
        <w:jc w:val="center"/>
        <w:rPr>
          <w:rFonts w:ascii="黑体" w:hAnsi="黑体" w:eastAsia="黑体" w:cs="Times New Roman"/>
          <w:bCs/>
          <w:sz w:val="48"/>
          <w:szCs w:val="48"/>
        </w:rPr>
      </w:pPr>
      <w:r>
        <w:rPr>
          <w:rFonts w:hint="eastAsia" w:asciiTheme="majorEastAsia" w:hAnsiTheme="majorEastAsia" w:eastAsiaTheme="majorEastAsia" w:cstheme="majorEastAsia"/>
          <w:b/>
          <w:bCs w:val="0"/>
          <w:sz w:val="44"/>
          <w:szCs w:val="44"/>
        </w:rPr>
        <w:t>整体支出绩效评价自评报告</w:t>
      </w: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720"/>
        <w:jc w:val="center"/>
        <w:rPr>
          <w:rFonts w:cs="Times New Roman" w:asciiTheme="minorEastAsia" w:hAnsiTheme="minorEastAsia" w:eastAsiaTheme="minorEastAsia"/>
          <w:bCs/>
          <w:sz w:val="36"/>
          <w:szCs w:val="36"/>
        </w:rPr>
      </w:pPr>
      <w:r>
        <w:rPr>
          <w:rFonts w:hint="eastAsia" w:cs="Times New Roman" w:asciiTheme="minorEastAsia" w:hAnsiTheme="minorEastAsia" w:eastAsiaTheme="minorEastAsia"/>
          <w:bCs/>
          <w:sz w:val="36"/>
          <w:szCs w:val="36"/>
        </w:rPr>
        <w:t>20</w:t>
      </w:r>
      <w:r>
        <w:rPr>
          <w:rFonts w:cs="Times New Roman" w:asciiTheme="minorEastAsia" w:hAnsiTheme="minorEastAsia" w:eastAsiaTheme="minorEastAsia"/>
          <w:bCs/>
          <w:sz w:val="36"/>
          <w:szCs w:val="36"/>
        </w:rPr>
        <w:t>2</w:t>
      </w:r>
      <w:r>
        <w:rPr>
          <w:rFonts w:hint="default" w:cs="Times New Roman" w:asciiTheme="minorEastAsia" w:hAnsiTheme="minorEastAsia" w:eastAsiaTheme="minorEastAsia"/>
          <w:bCs/>
          <w:sz w:val="36"/>
          <w:szCs w:val="36"/>
          <w:lang w:val="en-US"/>
        </w:rPr>
        <w:t>3</w:t>
      </w:r>
      <w:r>
        <w:rPr>
          <w:rFonts w:hint="eastAsia" w:cs="Times New Roman" w:asciiTheme="minorEastAsia" w:hAnsiTheme="minorEastAsia" w:eastAsiaTheme="minorEastAsia"/>
          <w:bCs/>
          <w:sz w:val="36"/>
          <w:szCs w:val="36"/>
        </w:rPr>
        <w:t>年</w:t>
      </w:r>
      <w:r>
        <w:rPr>
          <w:rFonts w:hint="default" w:cs="Times New Roman" w:asciiTheme="minorEastAsia" w:hAnsiTheme="minorEastAsia" w:eastAsiaTheme="minorEastAsia"/>
          <w:bCs/>
          <w:sz w:val="36"/>
          <w:szCs w:val="36"/>
          <w:lang w:val="en-US"/>
        </w:rPr>
        <w:t>8</w:t>
      </w:r>
      <w:r>
        <w:rPr>
          <w:rFonts w:hint="eastAsia" w:cs="Times New Roman" w:asciiTheme="minorEastAsia" w:hAnsiTheme="minorEastAsia" w:eastAsiaTheme="minorEastAsia"/>
          <w:bCs/>
          <w:sz w:val="36"/>
          <w:szCs w:val="36"/>
        </w:rPr>
        <w:t>月</w:t>
      </w: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p>
      <w:pPr>
        <w:widowControl w:val="0"/>
        <w:spacing w:after="0" w:line="540" w:lineRule="exact"/>
        <w:ind w:firstLine="1440"/>
        <w:jc w:val="both"/>
        <w:rPr>
          <w:rFonts w:ascii="Times New Roman" w:hAnsi="Times New Roman" w:eastAsia="宋体" w:cs="Times New Roman"/>
          <w:bCs/>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zh-CN"/>
        </w:rPr>
      </w:sdtEndPr>
      <w:sdtContent>
        <w:p>
          <w:pPr>
            <w:pStyle w:val="233"/>
            <w:ind w:firstLine="440"/>
            <w:jc w:val="center"/>
            <w:rPr>
              <w:rFonts w:ascii="Tahoma" w:hAnsi="Tahoma" w:eastAsia="微软雅黑" w:cstheme="minorBidi"/>
              <w:b w:val="0"/>
              <w:bCs w:val="0"/>
              <w:color w:val="auto"/>
              <w:sz w:val="22"/>
              <w:szCs w:val="22"/>
              <w:lang w:val="zh-CN"/>
            </w:rPr>
          </w:pPr>
        </w:p>
        <w:p>
          <w:pPr>
            <w:pStyle w:val="233"/>
            <w:ind w:firstLine="883"/>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30"/>
            <w:tabs>
              <w:tab w:val="right" w:leader="dot" w:pos="8312"/>
            </w:tabs>
            <w:spacing w:line="312" w:lineRule="auto"/>
            <w:ind w:left="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30"/>
            <w:tabs>
              <w:tab w:val="right" w:leader="dot" w:pos="8312"/>
            </w:tabs>
            <w:spacing w:line="312" w:lineRule="auto"/>
            <w:ind w:left="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30"/>
            <w:tabs>
              <w:tab w:val="right" w:leader="dot" w:pos="8312"/>
            </w:tabs>
            <w:spacing w:line="312" w:lineRule="auto"/>
            <w:ind w:left="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val="en-US" w:eastAsia="zh-CN"/>
            </w:rPr>
            <w:t>退役军人事务局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30"/>
            <w:tabs>
              <w:tab w:val="right" w:leader="dot" w:pos="8312"/>
            </w:tabs>
            <w:spacing w:line="312" w:lineRule="auto"/>
            <w:ind w:left="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30"/>
            <w:tabs>
              <w:tab w:val="right" w:leader="dot" w:pos="8312"/>
            </w:tabs>
            <w:spacing w:line="312" w:lineRule="auto"/>
            <w:ind w:left="0" w:firstLine="3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30"/>
            <w:tabs>
              <w:tab w:val="right" w:leader="dot" w:pos="8312"/>
            </w:tabs>
            <w:spacing w:line="312" w:lineRule="auto"/>
            <w:ind w:left="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30"/>
            <w:tabs>
              <w:tab w:val="right" w:leader="dot" w:pos="8312"/>
            </w:tabs>
            <w:spacing w:line="312" w:lineRule="auto"/>
            <w:ind w:left="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7"/>
            <w:tabs>
              <w:tab w:val="right" w:leader="dot" w:pos="8312"/>
            </w:tabs>
            <w:spacing w:line="312" w:lineRule="auto"/>
            <w:ind w:left="0" w:firstLine="28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30"/>
            <w:tabs>
              <w:tab w:val="right" w:leader="dot" w:pos="8312"/>
            </w:tabs>
            <w:spacing w:line="312" w:lineRule="auto"/>
            <w:ind w:left="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30"/>
            <w:tabs>
              <w:tab w:val="right" w:leader="dot" w:pos="8312"/>
            </w:tabs>
            <w:spacing w:line="312" w:lineRule="auto"/>
            <w:ind w:left="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jc w:val="both"/>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年部门整体支出情况开展了绩效自评价工作。</w:t>
      </w:r>
    </w:p>
    <w:p>
      <w:pPr>
        <w:keepNext w:val="0"/>
        <w:keepLines w:val="0"/>
        <w:pageBreakBefore w:val="0"/>
        <w:widowControl/>
        <w:suppressLineNumbers w:val="0"/>
        <w:spacing w:before="0" w:beforeAutospacing="0" w:after="0" w:afterAutospacing="0" w:line="360" w:lineRule="auto"/>
        <w:ind w:left="0" w:right="0" w:firstLine="640"/>
        <w:jc w:val="left"/>
        <w:rPr>
          <w:rFonts w:hint="eastAsia" w:ascii="仿宋_GB2312" w:eastAsia="仿宋_GB2312" w:cs="DengXian-Regular"/>
          <w:sz w:val="32"/>
          <w:szCs w:val="32"/>
          <w:lang w:eastAsia="zh-CN"/>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为正科级行政单位，经费保障形式为财政拨款，下设</w:t>
      </w:r>
      <w:r>
        <w:rPr>
          <w:rFonts w:hint="default" w:ascii="仿宋_GB2312" w:eastAsia="仿宋_GB2312" w:cs="DengXian-Regular"/>
          <w:sz w:val="32"/>
          <w:szCs w:val="32"/>
          <w:lang w:val="en-US"/>
        </w:rPr>
        <w:t>2</w:t>
      </w:r>
      <w:r>
        <w:rPr>
          <w:rFonts w:hint="eastAsia" w:ascii="仿宋_GB2312" w:eastAsia="仿宋_GB2312" w:cs="DengXian-Regular"/>
          <w:sz w:val="32"/>
          <w:szCs w:val="32"/>
        </w:rPr>
        <w:t>个股室，分别为</w:t>
      </w:r>
      <w:r>
        <w:rPr>
          <w:rFonts w:hint="eastAsia" w:ascii="仿宋_GB2312" w:eastAsia="仿宋_GB2312" w:cs="DengXian-Regular"/>
          <w:sz w:val="32"/>
          <w:szCs w:val="32"/>
          <w:lang w:val="en-US" w:eastAsia="zh-CN"/>
        </w:rPr>
        <w:t>办公室</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综合业务</w:t>
      </w:r>
      <w:r>
        <w:rPr>
          <w:rFonts w:hint="eastAsia" w:ascii="仿宋_GB2312" w:eastAsia="仿宋_GB2312" w:cs="DengXian-Regular"/>
          <w:sz w:val="32"/>
          <w:szCs w:val="32"/>
        </w:rPr>
        <w:t>股，主要职责有</w:t>
      </w:r>
      <w:r>
        <w:rPr>
          <w:rFonts w:hint="eastAsia" w:ascii="仿宋_GB2312" w:eastAsia="仿宋_GB2312" w:cs="DengXian-Regular"/>
          <w:sz w:val="32"/>
          <w:szCs w:val="32"/>
          <w:lang w:eastAsia="zh-CN"/>
        </w:rPr>
        <w:t>：</w:t>
      </w:r>
    </w:p>
    <w:p>
      <w:pPr>
        <w:keepNext w:val="0"/>
        <w:keepLines w:val="0"/>
        <w:pageBreakBefore w:val="0"/>
        <w:widowControl/>
        <w:suppressLineNumbers w:val="0"/>
        <w:spacing w:before="0" w:beforeAutospacing="0" w:after="0" w:afterAutospacing="0" w:line="360" w:lineRule="auto"/>
        <w:ind w:right="0" w:firstLine="32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sz w:val="32"/>
          <w:szCs w:val="32"/>
          <w:lang w:eastAsia="zh-CN"/>
        </w:rPr>
        <w:t>（</w:t>
      </w:r>
      <w:r>
        <w:rPr>
          <w:rFonts w:hint="eastAsia" w:ascii="仿宋" w:hAnsi="仿宋" w:eastAsia="仿宋" w:cs="仿宋"/>
          <w:b w:val="0"/>
          <w:bCs w:val="0"/>
          <w:i w:val="0"/>
          <w:iCs w:val="0"/>
          <w:caps w:val="0"/>
          <w:color w:val="000000"/>
          <w:spacing w:val="0"/>
          <w:sz w:val="32"/>
          <w:szCs w:val="32"/>
          <w:lang w:val="en-US" w:eastAsia="zh-CN" w:bidi="ar"/>
        </w:rPr>
        <w:t>一）贯彻执行国家、省、市退役军人思想政治、管理保障和安置优抚等工作政策法规，褒扬彰显退役军人为党、国家和人民牺牲奉献的精神风范和价值导向。</w:t>
      </w:r>
    </w:p>
    <w:p>
      <w:pPr>
        <w:keepNext w:val="0"/>
        <w:keepLines w:val="0"/>
        <w:pageBreakBefore w:val="0"/>
        <w:widowControl/>
        <w:suppressLineNumbers w:val="0"/>
        <w:spacing w:before="0" w:beforeAutospacing="0" w:after="0" w:afterAutospacing="0" w:line="360" w:lineRule="auto"/>
        <w:ind w:right="0" w:firstLine="32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bidi="ar"/>
        </w:rPr>
        <w:t>（二）负责军队转业干部、复员干部、离退休干部、退役士兵、符合条件消防员和无军籍退休退职职工的移交安置工作和自主择业、就业退役军人服务管理工作。</w:t>
      </w:r>
    </w:p>
    <w:p>
      <w:pPr>
        <w:keepNext w:val="0"/>
        <w:keepLines w:val="0"/>
        <w:pageBreakBefore w:val="0"/>
        <w:widowControl/>
        <w:suppressLineNumbers w:val="0"/>
        <w:spacing w:before="0" w:beforeAutospacing="0" w:after="0" w:afterAutospacing="0" w:line="360" w:lineRule="auto"/>
        <w:ind w:left="0" w:right="0" w:firstLine="32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bidi="ar"/>
        </w:rPr>
        <w:t>（三）组织指导退役军人教育培训工作，协调扶持退役军人随调家属就业创业。</w:t>
      </w:r>
    </w:p>
    <w:p>
      <w:pPr>
        <w:keepNext w:val="0"/>
        <w:keepLines w:val="0"/>
        <w:pageBreakBefore w:val="0"/>
        <w:widowControl/>
        <w:suppressLineNumbers w:val="0"/>
        <w:spacing w:before="0" w:beforeAutospacing="0" w:after="0" w:afterAutospacing="0" w:line="360" w:lineRule="auto"/>
        <w:ind w:left="0" w:right="0" w:firstLine="32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bidi="ar"/>
        </w:rPr>
        <w:t>（四）会同有关部门贯彻落实退役军人特殊保障政策并组织实施；贯彻落实省、市关于部分企业军队转业干部解困政策。</w:t>
      </w:r>
    </w:p>
    <w:p>
      <w:pPr>
        <w:keepNext w:val="0"/>
        <w:keepLines w:val="0"/>
        <w:pageBreakBefore w:val="0"/>
        <w:widowControl/>
        <w:suppressLineNumbers w:val="0"/>
        <w:spacing w:before="0" w:beforeAutospacing="0" w:after="0" w:afterAutospacing="0" w:line="360" w:lineRule="auto"/>
        <w:ind w:left="0" w:right="0" w:firstLine="32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bidi="ar"/>
        </w:rPr>
        <w:t>（五）组织协调落实移交地方的离休退休军人、符合条件的其他退役军人和无军籍退休退职职工的住房保障工作，以及退役军人医疗保障、社会保险等待遇保障工作。</w:t>
      </w:r>
    </w:p>
    <w:p>
      <w:pPr>
        <w:keepNext w:val="0"/>
        <w:keepLines w:val="0"/>
        <w:pageBreakBefore w:val="0"/>
        <w:widowControl/>
        <w:suppressLineNumbers w:val="0"/>
        <w:spacing w:before="0" w:beforeAutospacing="0" w:after="0" w:afterAutospacing="0" w:line="360" w:lineRule="auto"/>
        <w:ind w:left="0" w:right="0" w:firstLine="32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bidi="ar"/>
        </w:rPr>
        <w:t>（六）组织指导伤病残退役军人服务管理和抚恤工作，贯彻落实有关退役军人医疗、疗养、养老等机构的规划政策；承担不适宜继续服役的伤病残军人相关工作；组织指导军供服务保障工作。</w:t>
      </w:r>
    </w:p>
    <w:p>
      <w:pPr>
        <w:keepNext w:val="0"/>
        <w:keepLines w:val="0"/>
        <w:pageBreakBefore w:val="0"/>
        <w:widowControl/>
        <w:suppressLineNumbers w:val="0"/>
        <w:spacing w:before="0" w:beforeAutospacing="0" w:after="0" w:afterAutospacing="0" w:line="360" w:lineRule="auto"/>
        <w:ind w:left="0" w:right="0" w:firstLine="32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bidi="ar"/>
        </w:rPr>
        <w:t>（七）组织指导全区拥军优属工作。负责现役军人、退役军人、军队文职人员、军属和符合条件消防员的优待、抚恤等工作，贯彻落实国民党抗战老兵等有关人员优待政策。</w:t>
      </w:r>
    </w:p>
    <w:p>
      <w:pPr>
        <w:keepNext w:val="0"/>
        <w:keepLines w:val="0"/>
        <w:pageBreakBefore w:val="0"/>
        <w:widowControl/>
        <w:suppressLineNumbers w:val="0"/>
        <w:spacing w:before="0" w:beforeAutospacing="0" w:after="0" w:afterAutospacing="0" w:line="360" w:lineRule="auto"/>
        <w:ind w:left="0" w:right="0" w:firstLine="640"/>
        <w:jc w:val="left"/>
        <w:rPr>
          <w:rFonts w:hint="eastAsia" w:ascii="仿宋" w:hAnsi="仿宋" w:eastAsia="仿宋" w:cs="仿宋"/>
          <w:b w:val="0"/>
          <w:bCs w:val="0"/>
          <w:i w:val="0"/>
          <w:iCs w:val="0"/>
          <w:caps w:val="0"/>
          <w:color w:val="000000"/>
          <w:spacing w:val="0"/>
          <w:sz w:val="32"/>
          <w:szCs w:val="32"/>
          <w:lang w:val="en-US" w:eastAsia="zh-CN" w:bidi="ar"/>
        </w:rPr>
      </w:pPr>
      <w:r>
        <w:rPr>
          <w:rFonts w:hint="eastAsia" w:ascii="仿宋" w:hAnsi="仿宋" w:eastAsia="仿宋" w:cs="仿宋"/>
          <w:b w:val="0"/>
          <w:bCs w:val="0"/>
          <w:i w:val="0"/>
          <w:iCs w:val="0"/>
          <w:caps w:val="0"/>
          <w:color w:val="000000"/>
          <w:spacing w:val="0"/>
          <w:sz w:val="32"/>
          <w:szCs w:val="32"/>
          <w:lang w:val="en-US" w:eastAsia="zh-CN" w:bidi="ar"/>
        </w:rPr>
        <w:t>（八）负责烈士及退役军人荣誉奖励、军人公墓管理</w:t>
      </w:r>
    </w:p>
    <w:p>
      <w:pPr>
        <w:keepNext w:val="0"/>
        <w:keepLines w:val="0"/>
        <w:pageBreakBefore w:val="0"/>
        <w:widowControl/>
        <w:suppressLineNumbers w:val="0"/>
        <w:spacing w:before="0" w:beforeAutospacing="0" w:after="0" w:afterAutospacing="0" w:line="360" w:lineRule="auto"/>
        <w:ind w:right="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bidi="ar"/>
        </w:rPr>
        <w:t>维护、纪念活动等工作，依法承担英雄烈士保护相关工作，审核拟列入全国、省级、市级和区级重点保护单位的烈士纪念建筑物名录，总结表彰和宣扬退役军人、退役军人工作单位和个人先进典型事迹。</w:t>
      </w:r>
    </w:p>
    <w:p>
      <w:pPr>
        <w:keepNext w:val="0"/>
        <w:keepLines w:val="0"/>
        <w:pageBreakBefore w:val="0"/>
        <w:widowControl/>
        <w:suppressLineNumbers w:val="0"/>
        <w:spacing w:before="0" w:beforeAutospacing="0" w:after="0" w:afterAutospacing="0" w:line="360" w:lineRule="auto"/>
        <w:ind w:left="0" w:right="0" w:firstLine="640"/>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bidi="ar"/>
        </w:rPr>
        <w:t>（九）指导并监督检查退役军人相关法律法规和政策措施的落实，组织开展退役军人权益维护和有关人员的帮扶援助工作。</w:t>
      </w:r>
    </w:p>
    <w:p>
      <w:pPr>
        <w:keepNext w:val="0"/>
        <w:keepLines w:val="0"/>
        <w:pageBreakBefore w:val="0"/>
        <w:widowControl/>
        <w:spacing w:after="0" w:line="360" w:lineRule="auto"/>
        <w:ind w:firstLine="3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十）完成区委、区政府交办的其他任务</w:t>
      </w:r>
      <w:r>
        <w:rPr>
          <w:rFonts w:hint="eastAsia" w:ascii="仿宋" w:hAnsi="仿宋" w:eastAsia="仿宋" w:cs="仿宋"/>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年部门整体支出绩效评价工作。</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退役军人事务局单位</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年部门整体支出绩效评价指标体系共设置4个一级指标、</w:t>
      </w:r>
      <w:r>
        <w:rPr>
          <w:rFonts w:hint="default" w:ascii="仿宋_GB2312" w:eastAsia="仿宋_GB2312" w:cs="DengXian-Regular"/>
          <w:sz w:val="32"/>
          <w:szCs w:val="32"/>
          <w:lang w:val="en-US"/>
        </w:rPr>
        <w:t>6</w:t>
      </w:r>
      <w:r>
        <w:rPr>
          <w:rFonts w:hint="eastAsia" w:ascii="仿宋_GB2312" w:eastAsia="仿宋_GB2312" w:cs="DengXian-Regular"/>
          <w:sz w:val="32"/>
          <w:szCs w:val="32"/>
        </w:rPr>
        <w:t>个二级指标、</w:t>
      </w:r>
      <w:r>
        <w:rPr>
          <w:rFonts w:hint="default" w:ascii="仿宋_GB2312" w:eastAsia="仿宋_GB2312" w:cs="DengXian-Regular"/>
          <w:sz w:val="32"/>
          <w:szCs w:val="32"/>
          <w:lang w:val="en-US"/>
        </w:rPr>
        <w:t>6</w:t>
      </w:r>
      <w:r>
        <w:rPr>
          <w:rFonts w:hint="eastAsia" w:ascii="仿宋_GB2312" w:eastAsia="仿宋_GB2312" w:cs="DengXian-Regular"/>
          <w:sz w:val="32"/>
          <w:szCs w:val="32"/>
        </w:rPr>
        <w:t>个三级指标，从</w:t>
      </w:r>
      <w:r>
        <w:rPr>
          <w:rFonts w:hint="eastAsia" w:ascii="仿宋_GB2312" w:eastAsia="仿宋_GB2312" w:cs="DengXian-Regular"/>
          <w:sz w:val="32"/>
          <w:szCs w:val="32"/>
          <w:lang w:val="en-US" w:eastAsia="zh-CN"/>
        </w:rPr>
        <w:t>满意度指标</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预算执行率</w:t>
      </w:r>
      <w:r>
        <w:rPr>
          <w:rFonts w:hint="eastAsia" w:ascii="仿宋_GB2312" w:eastAsia="仿宋_GB2312" w:cs="DengXian-Regular"/>
          <w:sz w:val="32"/>
          <w:szCs w:val="32"/>
        </w:rPr>
        <w:t>、产出、</w:t>
      </w:r>
      <w:r>
        <w:rPr>
          <w:rFonts w:hint="eastAsia" w:ascii="仿宋_GB2312" w:eastAsia="仿宋_GB2312" w:cs="DengXian-Regular"/>
          <w:sz w:val="32"/>
          <w:szCs w:val="32"/>
          <w:lang w:val="en-US" w:eastAsia="zh-CN"/>
        </w:rPr>
        <w:t>效益指标</w:t>
      </w:r>
      <w:r>
        <w:rPr>
          <w:rFonts w:hint="eastAsia" w:ascii="仿宋_GB2312" w:eastAsia="仿宋_GB2312" w:cs="DengXian-Regular"/>
          <w:sz w:val="32"/>
          <w:szCs w:val="32"/>
        </w:rPr>
        <w:t>四个方面对区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lang w:val="en-US"/>
        </w:rPr>
        <w:t>95</w:t>
      </w:r>
      <w:r>
        <w:rPr>
          <w:rFonts w:hint="eastAsia" w:ascii="仿宋_GB2312" w:eastAsia="仿宋_GB2312" w:cs="DengXian-Regular"/>
          <w:sz w:val="32"/>
          <w:szCs w:val="32"/>
        </w:rPr>
        <w:t>分，评价等级为“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jc w:val="both"/>
        <w:rPr>
          <w:rFonts w:hint="default" w:ascii="仿宋_GB2312" w:eastAsia="仿宋_GB2312" w:cs="DengXian-Regular"/>
          <w:sz w:val="32"/>
          <w:szCs w:val="32"/>
          <w:lang w:val="en-US" w:eastAsia="zh-CN"/>
        </w:rPr>
      </w:pPr>
      <w:r>
        <w:rPr>
          <w:rFonts w:hint="eastAsia" w:ascii="仿宋_GB2312" w:eastAsia="仿宋_GB2312" w:cs="DengXian-Regular"/>
          <w:sz w:val="32"/>
          <w:szCs w:val="32"/>
        </w:rPr>
        <w:t>1.绩效指标方面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年初绩效指标设定职责覆盖面不够广泛，绩效指标量化设定不够全面。</w:t>
      </w:r>
    </w:p>
    <w:p>
      <w:pPr>
        <w:spacing w:after="0" w:line="360" w:lineRule="auto"/>
        <w:ind w:firstLine="640"/>
        <w:jc w:val="both"/>
        <w:rPr>
          <w:rFonts w:hint="default" w:ascii="仿宋_GB2312" w:eastAsia="仿宋_GB2312" w:cs="DengXian-Regular"/>
          <w:sz w:val="32"/>
          <w:szCs w:val="32"/>
          <w:lang w:val="en-US" w:eastAsia="zh-CN"/>
        </w:rPr>
      </w:pPr>
      <w:r>
        <w:rPr>
          <w:rFonts w:hint="eastAsia" w:ascii="仿宋_GB2312" w:eastAsia="仿宋_GB2312" w:cs="DengXian-Regular"/>
          <w:sz w:val="32"/>
          <w:szCs w:val="32"/>
        </w:rPr>
        <w:t>2.预算决算比较</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由于是新成立单位，各项操作处在探索中，年中有优抚资金退回财政，年初预算数和决算数存在差异。</w:t>
      </w:r>
    </w:p>
    <w:p>
      <w:pPr>
        <w:spacing w:after="0" w:line="360" w:lineRule="auto"/>
        <w:ind w:firstLine="640"/>
        <w:jc w:val="both"/>
        <w:rPr>
          <w:rFonts w:hint="default" w:ascii="仿宋_GB2312" w:eastAsia="仿宋_GB2312" w:cs="DengXian-Regular"/>
          <w:sz w:val="32"/>
          <w:szCs w:val="32"/>
          <w:lang w:val="en-US" w:eastAsia="zh-CN"/>
        </w:rPr>
      </w:pPr>
      <w:r>
        <w:rPr>
          <w:rFonts w:hint="eastAsia" w:ascii="仿宋_GB2312" w:eastAsia="仿宋_GB2312" w:cs="DengXian-Regular"/>
          <w:sz w:val="32"/>
          <w:szCs w:val="32"/>
        </w:rPr>
        <w:t>3.预算追加方面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优抚资金每年有标准提高，上级资金不足时会追加本级预算。</w:t>
      </w:r>
    </w:p>
    <w:p>
      <w:pPr>
        <w:spacing w:after="0" w:line="360" w:lineRule="auto"/>
        <w:ind w:firstLine="640"/>
        <w:jc w:val="both"/>
        <w:rPr>
          <w:rFonts w:hint="default" w:ascii="仿宋_GB2312" w:eastAsia="仿宋_GB2312" w:cs="DengXian-Regular"/>
          <w:sz w:val="32"/>
          <w:szCs w:val="32"/>
          <w:lang w:val="en-US" w:eastAsia="zh-CN"/>
        </w:rPr>
      </w:pPr>
      <w:r>
        <w:rPr>
          <w:rFonts w:hint="eastAsia" w:ascii="仿宋_GB2312" w:eastAsia="仿宋_GB2312" w:cs="DengXian-Regular"/>
          <w:sz w:val="32"/>
          <w:szCs w:val="32"/>
        </w:rPr>
        <w:t>4.政府采购方面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缺乏相关经验，一部分资产为年中追加购买，未列年初政府采购计划。</w:t>
      </w:r>
    </w:p>
    <w:p>
      <w:pPr>
        <w:spacing w:after="0" w:line="360" w:lineRule="auto"/>
        <w:ind w:firstLine="640"/>
        <w:jc w:val="both"/>
        <w:rPr>
          <w:rFonts w:hint="default" w:ascii="仿宋_GB2312" w:eastAsia="仿宋_GB2312" w:cs="DengXian-Regular"/>
          <w:sz w:val="32"/>
          <w:szCs w:val="32"/>
          <w:lang w:val="en-US" w:eastAsia="zh-CN"/>
        </w:rPr>
      </w:pPr>
      <w:r>
        <w:rPr>
          <w:rFonts w:hint="eastAsia" w:ascii="仿宋_GB2312" w:eastAsia="仿宋_GB2312" w:cs="DengXian-Regular"/>
          <w:sz w:val="32"/>
          <w:szCs w:val="32"/>
        </w:rPr>
        <w:t>5.项目资金使用率</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项目资金使用率不足，因业务人员对预算项目了解不全面，资金使用量上有待修改。</w:t>
      </w:r>
    </w:p>
    <w:p>
      <w:pPr>
        <w:spacing w:after="0" w:line="360" w:lineRule="auto"/>
        <w:ind w:firstLine="640"/>
        <w:jc w:val="both"/>
        <w:rPr>
          <w:rFonts w:hint="default" w:ascii="仿宋_GB2312" w:eastAsia="仿宋_GB2312" w:cs="DengXian-Regular"/>
          <w:sz w:val="32"/>
          <w:szCs w:val="32"/>
          <w:lang w:val="en-US" w:eastAsia="zh-CN"/>
        </w:rPr>
      </w:pPr>
      <w:r>
        <w:rPr>
          <w:rFonts w:hint="eastAsia" w:ascii="仿宋_GB2312" w:eastAsia="仿宋_GB2312" w:cs="DengXian-Regular"/>
          <w:sz w:val="32"/>
          <w:szCs w:val="32"/>
        </w:rPr>
        <w:t>6.部分基础数据信息方面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基础数据信息不全，认真核查后补充。</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建议区</w:t>
      </w:r>
      <w:r>
        <w:rPr>
          <w:rFonts w:hint="eastAsia" w:ascii="仿宋_GB2312" w:eastAsia="仿宋_GB2312" w:cs="Times New Roman" w:hAnsiTheme="minorEastAsia"/>
          <w:sz w:val="32"/>
          <w:szCs w:val="32"/>
          <w:lang w:val="en-US" w:eastAsia="zh-CN"/>
        </w:rPr>
        <w:t>退役军人事务局</w:t>
      </w:r>
      <w:r>
        <w:rPr>
          <w:rFonts w:hint="eastAsia" w:ascii="仿宋_GB2312" w:eastAsia="仿宋_GB2312" w:cs="Times New Roman" w:hAnsiTheme="minorEastAsia"/>
          <w:sz w:val="32"/>
          <w:szCs w:val="32"/>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jc w:val="both"/>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年基本支出决算数较预算数增加比例较大，主要原因为招录</w:t>
      </w:r>
      <w:r>
        <w:rPr>
          <w:rFonts w:hint="eastAsia" w:ascii="仿宋_GB2312" w:eastAsia="仿宋_GB2312" w:cs="DengXian-Regular"/>
          <w:sz w:val="32"/>
          <w:szCs w:val="32"/>
          <w:lang w:val="en-US" w:eastAsia="zh-CN"/>
        </w:rPr>
        <w:t>转业士官</w:t>
      </w:r>
      <w:r>
        <w:rPr>
          <w:rFonts w:hint="default" w:ascii="仿宋_GB2312" w:eastAsia="仿宋_GB2312" w:cs="DengXian-Regular"/>
          <w:sz w:val="32"/>
          <w:szCs w:val="32"/>
          <w:lang w:val="en-US"/>
        </w:rPr>
        <w:t>3</w:t>
      </w:r>
      <w:r>
        <w:rPr>
          <w:rFonts w:hint="eastAsia" w:ascii="仿宋_GB2312" w:eastAsia="仿宋_GB2312" w:cs="DengXian-Regular"/>
          <w:sz w:val="32"/>
          <w:szCs w:val="32"/>
          <w:lang w:val="en-US" w:eastAsia="zh-CN"/>
        </w:rPr>
        <w:t>人</w:t>
      </w:r>
      <w:r>
        <w:rPr>
          <w:rFonts w:ascii="仿宋_GB2312" w:eastAsia="仿宋_GB2312" w:cs="DengXian-Regular"/>
          <w:sz w:val="32"/>
          <w:szCs w:val="32"/>
        </w:rPr>
        <w:t>增加人员经费支出，建议202</w:t>
      </w:r>
      <w:r>
        <w:rPr>
          <w:rFonts w:hint="default" w:ascii="仿宋_GB2312" w:eastAsia="仿宋_GB2312" w:cs="DengXian-Regular"/>
          <w:sz w:val="32"/>
          <w:szCs w:val="32"/>
          <w:lang w:val="en-US"/>
        </w:rPr>
        <w:t>3</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年实际发生人员经费支出、人员数量和工资标准适当安排人员经费预算。</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default" w:ascii="仿宋_GB2312" w:eastAsia="仿宋_GB2312" w:cs="DengXian-Regular"/>
          <w:sz w:val="32"/>
          <w:szCs w:val="32"/>
          <w:lang w:val="en-US"/>
        </w:rPr>
        <w:t>3</w:t>
      </w:r>
      <w:r>
        <w:rPr>
          <w:rFonts w:ascii="仿宋_GB2312" w:eastAsia="仿宋_GB2312" w:cs="DengXian-Regular"/>
          <w:sz w:val="32"/>
          <w:szCs w:val="32"/>
        </w:rPr>
        <w:t>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val="en-US" w:eastAsia="zh-CN"/>
        </w:rPr>
        <w:t>退役军人事务局</w:t>
      </w:r>
      <w:r>
        <w:rPr>
          <w:rFonts w:hint="eastAsia" w:ascii="楷体" w:hAnsi="楷体" w:eastAsia="楷体" w:cs="楷体"/>
        </w:rPr>
        <w:t>单位基本情况</w:t>
      </w:r>
      <w:bookmarkEnd w:id="2"/>
      <w:bookmarkEnd w:id="3"/>
      <w:bookmarkStart w:id="4" w:name="_Toc492652764"/>
    </w:p>
    <w:p>
      <w:pPr>
        <w:pStyle w:val="4"/>
        <w:spacing w:before="0" w:after="0"/>
        <w:ind w:firstLine="643"/>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单位职能配置内设机构和人员编制规定》的通知，区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为区政府工作部门，正科级单位，下设</w:t>
      </w:r>
      <w:r>
        <w:rPr>
          <w:rFonts w:hint="default" w:ascii="仿宋_GB2312" w:eastAsia="仿宋_GB2312" w:cs="DengXian-Regular"/>
          <w:sz w:val="32"/>
          <w:szCs w:val="32"/>
          <w:lang w:val="en-US"/>
        </w:rPr>
        <w:t>2</w:t>
      </w:r>
      <w:r>
        <w:rPr>
          <w:rFonts w:hint="eastAsia" w:ascii="仿宋_GB2312" w:eastAsia="仿宋_GB2312" w:cs="DengXian-Regular"/>
          <w:sz w:val="32"/>
          <w:szCs w:val="32"/>
        </w:rPr>
        <w:t>个股室。</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单位根据绩效预算管理改革的相关要求，按照“部门职责—工作活动绩效目标”的层级设立了绩效预算架构，职责活动包括</w:t>
      </w:r>
      <w:r>
        <w:rPr>
          <w:rFonts w:hint="eastAsia" w:ascii="仿宋_GB2312" w:eastAsia="仿宋_GB2312" w:cs="DengXian-Regular"/>
          <w:sz w:val="32"/>
          <w:szCs w:val="32"/>
          <w:lang w:val="en-US" w:eastAsia="zh-CN"/>
        </w:rPr>
        <w:t>双拥优抚褒扬、移交安置、就业创业、思想政治和权益维护、退役军人事务政务管理共五部分</w:t>
      </w:r>
      <w:r>
        <w:rPr>
          <w:rFonts w:hint="eastAsia" w:ascii="仿宋_GB2312" w:eastAsia="仿宋_GB2312" w:cs="DengXian-Regular"/>
          <w:sz w:val="32"/>
          <w:szCs w:val="32"/>
        </w:rPr>
        <w:t>。</w:t>
      </w:r>
      <w:bookmarkStart w:id="6" w:name="_Toc465149499"/>
      <w:bookmarkStart w:id="7" w:name="_Toc492652765"/>
    </w:p>
    <w:p>
      <w:pPr>
        <w:pStyle w:val="4"/>
        <w:spacing w:before="0" w:after="0"/>
        <w:ind w:firstLine="643"/>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val="en-US" w:eastAsia="zh-CN"/>
        </w:rPr>
        <w:t>区退役军人事务局</w:t>
      </w:r>
      <w:r>
        <w:rPr>
          <w:rFonts w:hint="eastAsia" w:ascii="仿宋_GB2312" w:eastAsia="仿宋_GB2312" w:cs="DengXian-Regular"/>
          <w:sz w:val="32"/>
          <w:szCs w:val="32"/>
        </w:rPr>
        <w:t>设置的年度发展规划总体目标为：</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val="en-US" w:eastAsia="zh-CN"/>
        </w:rPr>
        <w:t>安置优抚</w:t>
      </w:r>
      <w:r>
        <w:rPr>
          <w:rFonts w:hint="eastAsia" w:ascii="仿宋_GB2312" w:eastAsia="仿宋_GB2312" w:cs="DengXian-Regular"/>
          <w:sz w:val="32"/>
          <w:szCs w:val="32"/>
        </w:rPr>
        <w:t>工作要点，并监督实施。指导全区</w:t>
      </w:r>
      <w:r>
        <w:rPr>
          <w:rFonts w:hint="eastAsia" w:ascii="仿宋_GB2312" w:eastAsia="仿宋_GB2312" w:cs="DengXian-Regular"/>
          <w:sz w:val="32"/>
          <w:szCs w:val="32"/>
          <w:lang w:val="en-US" w:eastAsia="zh-CN"/>
        </w:rPr>
        <w:t>拥军优属工</w:t>
      </w:r>
      <w:r>
        <w:rPr>
          <w:rFonts w:hint="eastAsia" w:ascii="仿宋_GB2312" w:eastAsia="仿宋_GB2312" w:cs="DengXian-Regular"/>
          <w:sz w:val="32"/>
          <w:szCs w:val="32"/>
        </w:rPr>
        <w:t>作。制定</w:t>
      </w:r>
      <w:r>
        <w:rPr>
          <w:rFonts w:hint="eastAsia" w:ascii="仿宋_GB2312" w:eastAsia="仿宋_GB2312" w:cs="DengXian-Regular"/>
          <w:sz w:val="32"/>
          <w:szCs w:val="32"/>
          <w:lang w:val="en-US" w:eastAsia="zh-CN"/>
        </w:rPr>
        <w:t>退役军人事业发展</w:t>
      </w:r>
      <w:r>
        <w:rPr>
          <w:rFonts w:hint="eastAsia" w:ascii="仿宋_GB2312" w:eastAsia="仿宋_GB2312" w:cs="DengXian-Regular"/>
          <w:sz w:val="32"/>
          <w:szCs w:val="32"/>
        </w:rPr>
        <w:t>规划并组织实施，指导检查全区</w:t>
      </w:r>
      <w:r>
        <w:rPr>
          <w:rFonts w:hint="eastAsia" w:ascii="仿宋_GB2312" w:eastAsia="仿宋_GB2312" w:cs="DengXian-Regular"/>
          <w:sz w:val="32"/>
          <w:szCs w:val="32"/>
          <w:lang w:val="en-US" w:eastAsia="zh-CN"/>
        </w:rPr>
        <w:t>纪念设施管理保护</w:t>
      </w:r>
      <w:r>
        <w:rPr>
          <w:rFonts w:hint="eastAsia" w:ascii="仿宋_GB2312" w:eastAsia="仿宋_GB2312" w:cs="DengXian-Regular"/>
          <w:sz w:val="32"/>
          <w:szCs w:val="32"/>
        </w:rPr>
        <w:t>工作。负责全区</w:t>
      </w:r>
      <w:r>
        <w:rPr>
          <w:rFonts w:hint="eastAsia" w:ascii="仿宋_GB2312" w:eastAsia="仿宋_GB2312" w:cs="DengXian-Regular"/>
          <w:sz w:val="32"/>
          <w:szCs w:val="32"/>
          <w:lang w:val="en-US" w:eastAsia="zh-CN"/>
        </w:rPr>
        <w:t>军队离退休干部服务管理机构</w:t>
      </w:r>
      <w:r>
        <w:rPr>
          <w:rFonts w:hint="eastAsia" w:ascii="仿宋_GB2312" w:eastAsia="仿宋_GB2312" w:cs="DengXian-Regular"/>
          <w:sz w:val="32"/>
          <w:szCs w:val="32"/>
        </w:rPr>
        <w:t>工作，负责全区</w:t>
      </w:r>
      <w:r>
        <w:rPr>
          <w:rFonts w:hint="eastAsia" w:ascii="仿宋_GB2312" w:eastAsia="仿宋_GB2312" w:cs="DengXian-Regular"/>
          <w:sz w:val="32"/>
          <w:szCs w:val="32"/>
          <w:lang w:val="en-US" w:eastAsia="zh-CN"/>
        </w:rPr>
        <w:t>军队移交本区的离休退休干部、退役士官和军队退休职工的接受安置和服务管理、检查指导军队离退休干部政治待遇和生活待遇的落实</w:t>
      </w:r>
      <w:r>
        <w:rPr>
          <w:rFonts w:hint="eastAsia" w:ascii="仿宋_GB2312" w:eastAsia="仿宋_GB2312" w:cs="DengXian-Regular"/>
          <w:sz w:val="32"/>
          <w:szCs w:val="32"/>
        </w:rPr>
        <w:t>工作。</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1.开展</w:t>
      </w:r>
      <w:r>
        <w:rPr>
          <w:rFonts w:hint="eastAsia" w:ascii="仿宋_GB2312" w:eastAsia="仿宋_GB2312" w:cs="DengXian-Regular"/>
          <w:sz w:val="32"/>
          <w:szCs w:val="32"/>
          <w:lang w:val="en-US" w:eastAsia="zh-CN"/>
        </w:rPr>
        <w:t>优待抚恤</w:t>
      </w:r>
      <w:r>
        <w:rPr>
          <w:rFonts w:hint="eastAsia" w:ascii="仿宋_GB2312" w:eastAsia="仿宋_GB2312" w:cs="DengXian-Regular"/>
          <w:sz w:val="32"/>
          <w:szCs w:val="32"/>
        </w:rPr>
        <w:t>工作。</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2.开展</w:t>
      </w:r>
      <w:r>
        <w:rPr>
          <w:rFonts w:hint="eastAsia" w:ascii="仿宋_GB2312" w:eastAsia="仿宋_GB2312" w:cs="DengXian-Regular"/>
          <w:sz w:val="32"/>
          <w:szCs w:val="32"/>
          <w:lang w:val="en-US" w:eastAsia="zh-CN"/>
        </w:rPr>
        <w:t>优抚事业单位能力建设</w:t>
      </w:r>
      <w:r>
        <w:rPr>
          <w:rFonts w:hint="eastAsia" w:ascii="仿宋_GB2312" w:eastAsia="仿宋_GB2312" w:cs="DengXian-Regular"/>
          <w:sz w:val="32"/>
          <w:szCs w:val="32"/>
        </w:rPr>
        <w:t>工作。</w:t>
      </w:r>
    </w:p>
    <w:p>
      <w:pPr>
        <w:spacing w:after="0" w:line="360" w:lineRule="auto"/>
        <w:ind w:firstLine="640"/>
        <w:jc w:val="both"/>
        <w:rPr>
          <w:rFonts w:hint="eastAsia" w:ascii="仿宋_GB2312" w:eastAsia="仿宋_GB2312" w:cs="DengXian-Regular"/>
          <w:sz w:val="32"/>
          <w:szCs w:val="32"/>
        </w:rPr>
      </w:pPr>
      <w:r>
        <w:rPr>
          <w:rFonts w:hint="eastAsia" w:ascii="仿宋_GB2312" w:eastAsia="仿宋_GB2312" w:cs="DengXian-Regular"/>
          <w:sz w:val="32"/>
          <w:szCs w:val="32"/>
        </w:rPr>
        <w:t>3.开展</w:t>
      </w:r>
      <w:r>
        <w:rPr>
          <w:rFonts w:hint="eastAsia" w:ascii="仿宋_GB2312" w:eastAsia="仿宋_GB2312" w:cs="DengXian-Regular"/>
          <w:sz w:val="32"/>
          <w:szCs w:val="32"/>
          <w:lang w:val="en-US" w:eastAsia="zh-CN"/>
        </w:rPr>
        <w:t>拥军优属慰问及双拥活动</w:t>
      </w:r>
      <w:r>
        <w:rPr>
          <w:rFonts w:hint="eastAsia" w:ascii="仿宋_GB2312" w:eastAsia="仿宋_GB2312" w:cs="DengXian-Regular"/>
          <w:sz w:val="32"/>
          <w:szCs w:val="32"/>
        </w:rPr>
        <w:t>工作。</w:t>
      </w:r>
      <w:bookmarkStart w:id="9" w:name="_Toc1678"/>
      <w:bookmarkStart w:id="10" w:name="_Toc492652766"/>
      <w:bookmarkStart w:id="11" w:name="_Toc465149500"/>
    </w:p>
    <w:p>
      <w:pPr>
        <w:spacing w:after="0" w:line="360" w:lineRule="auto"/>
        <w:ind w:firstLine="640"/>
        <w:jc w:val="both"/>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4.复员退伍军人和军转干部安置工作。</w:t>
      </w:r>
    </w:p>
    <w:p>
      <w:pPr>
        <w:spacing w:after="0" w:line="360" w:lineRule="auto"/>
        <w:ind w:firstLine="640"/>
        <w:jc w:val="both"/>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5.军休安置工作。</w:t>
      </w:r>
    </w:p>
    <w:p>
      <w:pPr>
        <w:spacing w:after="0" w:line="360" w:lineRule="auto"/>
        <w:ind w:firstLine="640"/>
        <w:jc w:val="both"/>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6.就业创业和教育培训工作。</w:t>
      </w:r>
    </w:p>
    <w:p>
      <w:pPr>
        <w:spacing w:after="0" w:line="360" w:lineRule="auto"/>
        <w:ind w:firstLine="640"/>
        <w:jc w:val="both"/>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7.思想政治和权益维护工作。</w:t>
      </w:r>
    </w:p>
    <w:p>
      <w:pPr>
        <w:spacing w:after="0" w:line="360" w:lineRule="auto"/>
        <w:ind w:firstLine="640"/>
        <w:jc w:val="both"/>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8.综合业务管理工作。</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5701.74</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5701.94</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万元。预算收入按功能分类包含：公共安全支出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5627.92</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54.7</w:t>
      </w:r>
      <w:r>
        <w:rPr>
          <w:rFonts w:hint="eastAsia" w:ascii="仿宋_GB2312" w:eastAsia="仿宋_GB2312" w:cs="DengXian-Regular"/>
          <w:sz w:val="32"/>
          <w:szCs w:val="32"/>
        </w:rPr>
        <w:t>万元，住房保障支出</w:t>
      </w:r>
      <w:r>
        <w:rPr>
          <w:rFonts w:hint="eastAsia" w:ascii="仿宋_GB2312" w:eastAsia="仿宋_GB2312" w:cs="DengXian-Regular"/>
          <w:sz w:val="32"/>
          <w:szCs w:val="32"/>
          <w:lang w:val="en-US" w:eastAsia="zh-CN"/>
        </w:rPr>
        <w:t>19.12</w:t>
      </w:r>
      <w:r>
        <w:rPr>
          <w:rFonts w:hint="eastAsia" w:ascii="仿宋_GB2312" w:eastAsia="仿宋_GB2312" w:cs="DengXian-Regular"/>
          <w:sz w:val="32"/>
          <w:szCs w:val="32"/>
        </w:rPr>
        <w:t>万元。具体预算收入详见附件2。</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7023.85</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7023.71</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0.14</w:t>
      </w:r>
      <w:r>
        <w:rPr>
          <w:rFonts w:hint="eastAsia" w:ascii="仿宋_GB2312" w:eastAsia="仿宋_GB2312" w:cs="DengXian-Regular"/>
          <w:sz w:val="32"/>
          <w:szCs w:val="32"/>
        </w:rPr>
        <w:t>万元（全部为利息收入）。决算收入按功能分类包含：公共安全支出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6861.39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97.69</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143.36</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2.04</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19.1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0.27</w:t>
      </w:r>
      <w:r>
        <w:rPr>
          <w:rFonts w:hint="eastAsia" w:ascii="仿宋_GB2312" w:eastAsia="仿宋_GB2312" w:cs="DengXian-Regular"/>
          <w:sz w:val="32"/>
          <w:szCs w:val="32"/>
        </w:rPr>
        <w:t>%。具体决算收入详见附件</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2</w:t>
      </w:r>
      <w:r>
        <w:rPr>
          <w:rFonts w:hint="eastAsia" w:asciiTheme="minorEastAsia" w:hAnsiTheme="minorEastAsia" w:eastAsiaTheme="minorEastAsia" w:cstheme="minorEastAsia"/>
          <w:b/>
          <w:bCs/>
          <w:sz w:val="32"/>
          <w:szCs w:val="32"/>
        </w:rPr>
        <w:t>年度区</w:t>
      </w:r>
      <w:r>
        <w:rPr>
          <w:rFonts w:hint="eastAsia" w:ascii="仿宋_GB2312" w:eastAsia="仿宋_GB2312" w:cs="DengXian-Regular"/>
          <w:sz w:val="32"/>
          <w:szCs w:val="32"/>
          <w:lang w:val="en-US" w:eastAsia="zh-CN"/>
        </w:rPr>
        <w:t>退役军人事务局</w:t>
      </w:r>
      <w:r>
        <w:rPr>
          <w:rFonts w:hint="eastAsia" w:asciiTheme="minorEastAsia" w:hAnsiTheme="minorEastAsia" w:eastAsiaTheme="minorEastAsia" w:cstheme="minorEastAsia"/>
          <w:b/>
          <w:bCs/>
          <w:sz w:val="32"/>
          <w:szCs w:val="32"/>
        </w:rPr>
        <w:t>决算收入结构图</w:t>
      </w:r>
    </w:p>
    <w:p>
      <w:pPr>
        <w:spacing w:after="0" w:line="540" w:lineRule="exact"/>
        <w:ind w:firstLine="440"/>
        <w:jc w:val="both"/>
        <w:rPr>
          <w:rFonts w:ascii="仿宋_GB2312" w:eastAsia="仿宋_GB2312" w:cs="Times New Roman" w:hAnsiTheme="minorEastAsia"/>
          <w:sz w:val="32"/>
          <w:szCs w:val="32"/>
        </w:rPr>
      </w:pPr>
      <w:r>
        <w:drawing>
          <wp:anchor distT="0" distB="0" distL="114300" distR="114300" simplePos="0" relativeHeight="251659264" behindDoc="0" locked="0" layoutInCell="1" allowOverlap="1">
            <wp:simplePos x="0" y="0"/>
            <wp:positionH relativeFrom="column">
              <wp:posOffset>394970</wp:posOffset>
            </wp:positionH>
            <wp:positionV relativeFrom="paragraph">
              <wp:posOffset>56515</wp:posOffset>
            </wp:positionV>
            <wp:extent cx="4562475" cy="2866390"/>
            <wp:effectExtent l="0" t="0" r="0" b="0"/>
            <wp:wrapSquare wrapText="bothSides"/>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after="0" w:line="540" w:lineRule="exact"/>
        <w:ind w:firstLine="640"/>
        <w:jc w:val="both"/>
        <w:rPr>
          <w:rFonts w:ascii="仿宋_GB2312" w:eastAsia="仿宋_GB2312" w:cs="Times New Roman" w:hAnsiTheme="minorEastAsia"/>
          <w:sz w:val="32"/>
          <w:szCs w:val="32"/>
        </w:rPr>
      </w:pPr>
    </w:p>
    <w:p>
      <w:pPr>
        <w:spacing w:after="0" w:line="540" w:lineRule="exact"/>
        <w:ind w:firstLine="640"/>
        <w:jc w:val="both"/>
        <w:rPr>
          <w:rFonts w:ascii="仿宋_GB2312" w:eastAsia="仿宋_GB2312" w:cs="DengXian-Regular"/>
          <w:sz w:val="32"/>
          <w:szCs w:val="32"/>
        </w:rPr>
      </w:pPr>
    </w:p>
    <w:p>
      <w:pPr>
        <w:spacing w:after="0" w:line="540" w:lineRule="exact"/>
        <w:ind w:firstLine="640"/>
        <w:jc w:val="both"/>
        <w:rPr>
          <w:rFonts w:ascii="仿宋_GB2312" w:eastAsia="仿宋_GB2312" w:cs="DengXian-Regular"/>
          <w:sz w:val="32"/>
          <w:szCs w:val="32"/>
        </w:rPr>
      </w:pPr>
    </w:p>
    <w:p>
      <w:pPr>
        <w:spacing w:after="0" w:line="540" w:lineRule="exact"/>
        <w:ind w:firstLine="640"/>
        <w:jc w:val="both"/>
        <w:rPr>
          <w:rFonts w:ascii="仿宋_GB2312" w:eastAsia="仿宋_GB2312" w:cs="DengXian-Regular"/>
          <w:sz w:val="32"/>
          <w:szCs w:val="32"/>
        </w:rPr>
      </w:pPr>
    </w:p>
    <w:p>
      <w:pPr>
        <w:spacing w:after="0" w:line="540" w:lineRule="exact"/>
        <w:ind w:firstLine="640"/>
        <w:jc w:val="both"/>
        <w:rPr>
          <w:rFonts w:ascii="仿宋_GB2312" w:eastAsia="仿宋_GB2312" w:cs="DengXian-Regular"/>
          <w:sz w:val="32"/>
          <w:szCs w:val="32"/>
        </w:rPr>
      </w:pPr>
    </w:p>
    <w:p>
      <w:pPr>
        <w:spacing w:after="0" w:line="540" w:lineRule="exact"/>
        <w:ind w:firstLine="640"/>
        <w:jc w:val="both"/>
        <w:rPr>
          <w:rFonts w:ascii="仿宋_GB2312" w:eastAsia="仿宋_GB2312" w:cs="DengXian-Regular"/>
          <w:sz w:val="32"/>
          <w:szCs w:val="32"/>
        </w:rPr>
      </w:pPr>
    </w:p>
    <w:p>
      <w:pPr>
        <w:spacing w:after="0" w:line="540" w:lineRule="exact"/>
        <w:ind w:firstLine="640"/>
        <w:jc w:val="both"/>
        <w:rPr>
          <w:rFonts w:ascii="仿宋_GB2312" w:eastAsia="仿宋_GB2312" w:cs="DengXian-Regular"/>
          <w:sz w:val="32"/>
          <w:szCs w:val="32"/>
        </w:rPr>
      </w:pP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lang w:val="en-US" w:eastAsia="zh-CN"/>
        </w:rPr>
        <w:t>区退役军人事务局</w:t>
      </w:r>
      <w:r>
        <w:rPr>
          <w:rFonts w:hint="eastAsia" w:ascii="仿宋_GB2312" w:eastAsia="仿宋_GB2312" w:cs="DengXian-Regular"/>
          <w:sz w:val="32"/>
          <w:szCs w:val="32"/>
        </w:rPr>
        <w:t>一般公共预算财政拨款决算收入比年初预算增加</w:t>
      </w:r>
      <w:r>
        <w:rPr>
          <w:rFonts w:hint="eastAsia" w:ascii="仿宋_GB2312" w:eastAsia="仿宋_GB2312" w:cs="DengXian-Regular"/>
          <w:sz w:val="32"/>
          <w:szCs w:val="32"/>
          <w:lang w:val="en-US" w:eastAsia="zh-CN"/>
        </w:rPr>
        <w:t>1322.11</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23.19</w:t>
      </w:r>
      <w:r>
        <w:rPr>
          <w:rFonts w:hint="eastAsia" w:ascii="仿宋_GB2312" w:eastAsia="仿宋_GB2312" w:cs="DengXian-Regular"/>
          <w:sz w:val="32"/>
          <w:szCs w:val="32"/>
        </w:rPr>
        <w:t>%。决算收入大于预算收入的主要原因为202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w:t>
      </w:r>
      <w:r>
        <w:rPr>
          <w:rFonts w:hint="eastAsia" w:ascii="仿宋_GB2312" w:eastAsia="仿宋_GB2312" w:cs="DengXian-Regular"/>
          <w:sz w:val="32"/>
          <w:szCs w:val="32"/>
          <w:lang w:val="en-US" w:eastAsia="zh-CN"/>
        </w:rPr>
        <w:t>追加信访问题资金及解决部分退役士兵岗位待遇资金、军队退役人员公益性岗位补助项目经费、优抚补助资金等项目预算。</w:t>
      </w: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2"/>
          <w:szCs w:val="32"/>
        </w:rPr>
      </w:pPr>
      <w:r>
        <w:rPr>
          <w:rFonts w:hint="eastAsia" w:asciiTheme="minorEastAsia" w:hAnsiTheme="minorEastAsia" w:eastAsiaTheme="minorEastAsia" w:cstheme="minorEastAsia"/>
          <w:b/>
          <w:sz w:val="32"/>
          <w:szCs w:val="32"/>
        </w:rPr>
        <w:t>图2  202</w:t>
      </w:r>
      <w:r>
        <w:rPr>
          <w:rFonts w:hint="eastAsia" w:asciiTheme="minorEastAsia" w:hAnsiTheme="minorEastAsia" w:eastAsiaTheme="minorEastAsia" w:cstheme="minorEastAsia"/>
          <w:b/>
          <w:sz w:val="32"/>
          <w:szCs w:val="32"/>
          <w:lang w:val="en-US" w:eastAsia="zh-CN"/>
        </w:rPr>
        <w:t>2</w:t>
      </w:r>
      <w:r>
        <w:rPr>
          <w:rFonts w:hint="eastAsia" w:asciiTheme="minorEastAsia" w:hAnsiTheme="minorEastAsia" w:eastAsiaTheme="minorEastAsia" w:cstheme="minorEastAsia"/>
          <w:b/>
          <w:sz w:val="32"/>
          <w:szCs w:val="32"/>
        </w:rPr>
        <w:t>年度区</w:t>
      </w:r>
      <w:r>
        <w:rPr>
          <w:rFonts w:hint="eastAsia" w:ascii="仿宋_GB2312" w:eastAsia="仿宋_GB2312" w:cs="DengXian-Regular"/>
          <w:sz w:val="32"/>
          <w:szCs w:val="32"/>
          <w:lang w:val="en-US" w:eastAsia="zh-CN"/>
        </w:rPr>
        <w:t>退役军人事务局</w:t>
      </w:r>
      <w:r>
        <w:rPr>
          <w:rFonts w:hint="eastAsia" w:asciiTheme="minorEastAsia" w:hAnsiTheme="minorEastAsia" w:eastAsiaTheme="minorEastAsia" w:cstheme="minorEastAsia"/>
          <w:b/>
          <w:sz w:val="32"/>
          <w:szCs w:val="32"/>
        </w:rPr>
        <w:t>预算收入与决算收入对比图</w:t>
      </w:r>
    </w:p>
    <w:p>
      <w:pPr>
        <w:pStyle w:val="4"/>
        <w:spacing w:before="0" w:after="0"/>
        <w:ind w:firstLine="643"/>
        <w:jc w:val="both"/>
        <w:rPr>
          <w:rFonts w:ascii="仿宋_GB2312" w:hAnsiTheme="minorEastAsia"/>
          <w:sz w:val="32"/>
        </w:rPr>
      </w:pPr>
      <w:bookmarkStart w:id="12" w:name="_Toc18197"/>
      <w:r>
        <w:rPr>
          <w:rFonts w:hint="eastAsia" w:ascii="仿宋_GB2312" w:hAnsiTheme="minorEastAsia"/>
          <w:sz w:val="32"/>
        </w:rPr>
        <w:drawing>
          <wp:anchor distT="0" distB="0" distL="114300" distR="114300" simplePos="0" relativeHeight="251660288" behindDoc="0" locked="0" layoutInCell="1" allowOverlap="1">
            <wp:simplePos x="0" y="0"/>
            <wp:positionH relativeFrom="column">
              <wp:posOffset>77470</wp:posOffset>
            </wp:positionH>
            <wp:positionV relativeFrom="paragraph">
              <wp:posOffset>126365</wp:posOffset>
            </wp:positionV>
            <wp:extent cx="5122545" cy="2747010"/>
            <wp:effectExtent l="0" t="0" r="0" b="0"/>
            <wp:wrapSquare wrapText="bothSides"/>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rPr>
        <w:t>预算支出安排</w:t>
      </w:r>
      <w:r>
        <w:rPr>
          <w:rFonts w:hint="eastAsia" w:ascii="仿宋_GB2312" w:eastAsia="仿宋_GB2312" w:cs="Times New Roman" w:hAnsiTheme="minorEastAsia"/>
          <w:sz w:val="32"/>
          <w:szCs w:val="32"/>
          <w:lang w:val="en-US" w:eastAsia="zh-CN"/>
        </w:rPr>
        <w:t>5701.74</w:t>
      </w:r>
      <w:r>
        <w:rPr>
          <w:rFonts w:hint="eastAsia" w:ascii="仿宋_GB2312" w:eastAsia="仿宋_GB2312" w:cs="Times New Roman" w:hAnsiTheme="minorEastAsia"/>
          <w:sz w:val="32"/>
          <w:szCs w:val="32"/>
        </w:rPr>
        <w:t>万元，其中：基本支出</w:t>
      </w:r>
      <w:r>
        <w:rPr>
          <w:rFonts w:hint="eastAsia" w:ascii="仿宋_GB2312" w:eastAsia="仿宋_GB2312" w:cs="Times New Roman" w:hAnsiTheme="minorEastAsia"/>
          <w:sz w:val="32"/>
          <w:szCs w:val="32"/>
          <w:lang w:val="en-US" w:eastAsia="zh-CN"/>
        </w:rPr>
        <w:t>500.08</w:t>
      </w:r>
      <w:r>
        <w:rPr>
          <w:rFonts w:hint="eastAsia" w:ascii="仿宋_GB2312" w:eastAsia="仿宋_GB2312" w:cs="Times New Roman" w:hAnsiTheme="minorEastAsia"/>
          <w:sz w:val="32"/>
          <w:szCs w:val="32"/>
        </w:rPr>
        <w:t>万元，项目支出</w:t>
      </w:r>
      <w:r>
        <w:rPr>
          <w:rFonts w:hint="eastAsia" w:ascii="仿宋_GB2312" w:eastAsia="仿宋_GB2312" w:cs="Times New Roman" w:hAnsiTheme="minorEastAsia"/>
          <w:sz w:val="32"/>
          <w:szCs w:val="32"/>
          <w:lang w:val="en-US" w:eastAsia="zh-CN"/>
        </w:rPr>
        <w:t>5201.66</w:t>
      </w:r>
      <w:r>
        <w:rPr>
          <w:rFonts w:hint="eastAsia" w:ascii="仿宋_GB2312" w:eastAsia="仿宋_GB2312" w:cs="Times New Roman" w:hAnsiTheme="minorEastAsia"/>
          <w:sz w:val="32"/>
          <w:szCs w:val="32"/>
        </w:rPr>
        <w:t>万元。预算支出按功能分类包含：公共安全支出</w:t>
      </w:r>
      <w:r>
        <w:rPr>
          <w:rFonts w:hint="eastAsia" w:ascii="仿宋_GB2312" w:eastAsia="仿宋_GB2312" w:cs="Times New Roman" w:hAnsiTheme="minorEastAsia"/>
          <w:sz w:val="32"/>
          <w:szCs w:val="32"/>
          <w:lang w:val="en-US" w:eastAsia="zh-CN"/>
        </w:rPr>
        <w:t>0</w:t>
      </w:r>
      <w:r>
        <w:rPr>
          <w:rFonts w:hint="eastAsia" w:ascii="仿宋_GB2312" w:eastAsia="仿宋_GB2312" w:cs="Times New Roman" w:hAnsiTheme="minorEastAsia"/>
          <w:sz w:val="32"/>
          <w:szCs w:val="32"/>
        </w:rPr>
        <w:t>万元，社会保障和就业支出</w:t>
      </w:r>
      <w:r>
        <w:rPr>
          <w:rFonts w:hint="eastAsia" w:ascii="仿宋_GB2312" w:eastAsia="仿宋_GB2312" w:cs="Times New Roman" w:hAnsiTheme="minorEastAsia"/>
          <w:sz w:val="32"/>
          <w:szCs w:val="32"/>
          <w:lang w:val="en-US" w:eastAsia="zh-CN"/>
        </w:rPr>
        <w:t>5627.94</w:t>
      </w:r>
      <w:r>
        <w:rPr>
          <w:rFonts w:hint="eastAsia" w:ascii="仿宋_GB2312" w:eastAsia="仿宋_GB2312" w:cs="Times New Roman" w:hAnsiTheme="minorEastAsia"/>
          <w:sz w:val="32"/>
          <w:szCs w:val="32"/>
        </w:rPr>
        <w:t>万元，医疗卫生与计划教育支出</w:t>
      </w:r>
      <w:r>
        <w:rPr>
          <w:rFonts w:hint="eastAsia" w:ascii="仿宋_GB2312" w:eastAsia="仿宋_GB2312" w:cs="Times New Roman" w:hAnsiTheme="minorEastAsia"/>
          <w:sz w:val="32"/>
          <w:szCs w:val="32"/>
          <w:lang w:val="en-US" w:eastAsia="zh-CN"/>
        </w:rPr>
        <w:t>54.7</w:t>
      </w:r>
      <w:r>
        <w:rPr>
          <w:rFonts w:hint="eastAsia" w:ascii="仿宋_GB2312" w:eastAsia="仿宋_GB2312" w:cs="Times New Roman" w:hAnsiTheme="minorEastAsia"/>
          <w:sz w:val="32"/>
          <w:szCs w:val="32"/>
        </w:rPr>
        <w:t>万元，住房保障支出</w:t>
      </w:r>
      <w:r>
        <w:rPr>
          <w:rFonts w:hint="eastAsia" w:ascii="仿宋_GB2312" w:eastAsia="仿宋_GB2312" w:cs="Times New Roman" w:hAnsiTheme="minorEastAsia"/>
          <w:sz w:val="32"/>
          <w:szCs w:val="32"/>
          <w:lang w:val="en-US" w:eastAsia="zh-CN"/>
        </w:rPr>
        <w:t>19.1</w:t>
      </w:r>
      <w:r>
        <w:rPr>
          <w:rFonts w:hint="eastAsia" w:ascii="仿宋_GB2312" w:eastAsia="仿宋_GB2312" w:cs="Times New Roman" w:hAnsiTheme="minorEastAsia"/>
          <w:sz w:val="32"/>
          <w:szCs w:val="32"/>
        </w:rPr>
        <w:t>万元。具体预算支出详见附件2。</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rPr>
        <w:t>决算支出为</w:t>
      </w:r>
      <w:r>
        <w:rPr>
          <w:rFonts w:hint="eastAsia" w:ascii="仿宋_GB2312" w:eastAsia="仿宋_GB2312" w:cs="Times New Roman" w:hAnsiTheme="minorEastAsia"/>
          <w:sz w:val="32"/>
          <w:szCs w:val="32"/>
          <w:lang w:val="en-US" w:eastAsia="zh-CN"/>
        </w:rPr>
        <w:t>6988.04</w:t>
      </w:r>
      <w:r>
        <w:rPr>
          <w:rFonts w:hint="eastAsia" w:ascii="仿宋_GB2312" w:eastAsia="仿宋_GB2312" w:cs="Times New Roman" w:hAnsiTheme="minorEastAsia"/>
          <w:sz w:val="32"/>
          <w:szCs w:val="32"/>
        </w:rPr>
        <w:t>万元，其中：基本支出</w:t>
      </w:r>
      <w:r>
        <w:rPr>
          <w:rFonts w:hint="eastAsia" w:ascii="仿宋_GB2312" w:eastAsia="仿宋_GB2312" w:cs="Times New Roman" w:hAnsiTheme="minorEastAsia"/>
          <w:sz w:val="32"/>
          <w:szCs w:val="32"/>
          <w:lang w:val="en-US" w:eastAsia="zh-CN"/>
        </w:rPr>
        <w:t>486.95</w:t>
      </w:r>
      <w:r>
        <w:rPr>
          <w:rFonts w:hint="eastAsia" w:ascii="仿宋_GB2312" w:eastAsia="仿宋_GB2312" w:cs="Times New Roman" w:hAnsiTheme="minorEastAsia"/>
          <w:sz w:val="32"/>
          <w:szCs w:val="32"/>
        </w:rPr>
        <w:t>万元，项目支出</w:t>
      </w:r>
      <w:r>
        <w:rPr>
          <w:rFonts w:hint="eastAsia" w:ascii="仿宋_GB2312" w:eastAsia="仿宋_GB2312" w:cs="Times New Roman" w:hAnsiTheme="minorEastAsia"/>
          <w:sz w:val="32"/>
          <w:szCs w:val="32"/>
          <w:lang w:val="en-US" w:eastAsia="zh-CN"/>
        </w:rPr>
        <w:t>6501.1</w:t>
      </w:r>
      <w:r>
        <w:rPr>
          <w:rFonts w:hint="eastAsia" w:ascii="仿宋_GB2312" w:eastAsia="仿宋_GB2312" w:cs="Times New Roman" w:hAnsiTheme="minorEastAsia"/>
          <w:sz w:val="32"/>
          <w:szCs w:val="32"/>
        </w:rPr>
        <w:t>万元。决算支出按功能分类包含：公共安全支</w:t>
      </w:r>
      <w:r>
        <w:rPr>
          <w:rFonts w:hint="eastAsia" w:ascii="仿宋_GB2312" w:eastAsia="仿宋_GB2312" w:cs="Times New Roman" w:hAnsiTheme="minorEastAsia"/>
          <w:sz w:val="32"/>
          <w:szCs w:val="32"/>
          <w:lang w:val="en-US" w:eastAsia="zh-CN"/>
        </w:rPr>
        <w:t>0</w:t>
      </w:r>
      <w:r>
        <w:rPr>
          <w:rFonts w:hint="eastAsia" w:ascii="仿宋_GB2312" w:eastAsia="仿宋_GB2312" w:cs="Times New Roman" w:hAnsiTheme="minorEastAsia"/>
          <w:sz w:val="32"/>
          <w:szCs w:val="32"/>
        </w:rPr>
        <w:t>万元，占比</w:t>
      </w:r>
      <w:r>
        <w:rPr>
          <w:rFonts w:hint="eastAsia" w:ascii="仿宋_GB2312" w:eastAsia="仿宋_GB2312" w:cs="Times New Roman" w:hAnsiTheme="minorEastAsia"/>
          <w:sz w:val="32"/>
          <w:szCs w:val="32"/>
          <w:lang w:val="en-US" w:eastAsia="zh-CN"/>
        </w:rPr>
        <w:t>0</w:t>
      </w:r>
      <w:r>
        <w:rPr>
          <w:rFonts w:hint="eastAsia" w:ascii="仿宋_GB2312" w:eastAsia="仿宋_GB2312" w:cs="Times New Roman" w:hAnsiTheme="minorEastAsia"/>
          <w:sz w:val="32"/>
          <w:szCs w:val="32"/>
        </w:rPr>
        <w:t>%；社会保障和就业支出</w:t>
      </w:r>
      <w:r>
        <w:rPr>
          <w:rFonts w:hint="eastAsia" w:ascii="仿宋_GB2312" w:eastAsia="仿宋_GB2312" w:cs="Times New Roman" w:hAnsiTheme="minorEastAsia"/>
          <w:sz w:val="32"/>
          <w:szCs w:val="32"/>
          <w:lang w:val="en-US" w:eastAsia="zh-CN"/>
        </w:rPr>
        <w:t>6825.61</w:t>
      </w:r>
      <w:r>
        <w:rPr>
          <w:rFonts w:hint="eastAsia" w:ascii="仿宋_GB2312" w:eastAsia="仿宋_GB2312" w:cs="Times New Roman" w:hAnsiTheme="minorEastAsia"/>
          <w:sz w:val="32"/>
          <w:szCs w:val="32"/>
        </w:rPr>
        <w:t>万元，占比</w:t>
      </w:r>
      <w:r>
        <w:rPr>
          <w:rFonts w:hint="eastAsia" w:ascii="仿宋_GB2312" w:eastAsia="仿宋_GB2312" w:cs="Times New Roman" w:hAnsiTheme="minorEastAsia"/>
          <w:sz w:val="32"/>
          <w:szCs w:val="32"/>
          <w:lang w:val="en-US" w:eastAsia="zh-CN"/>
        </w:rPr>
        <w:t>97.68</w:t>
      </w:r>
      <w:r>
        <w:rPr>
          <w:rFonts w:hint="eastAsia" w:ascii="仿宋_GB2312" w:eastAsia="仿宋_GB2312" w:cs="Times New Roman" w:hAnsiTheme="minorEastAsia"/>
          <w:sz w:val="32"/>
          <w:szCs w:val="32"/>
        </w:rPr>
        <w:t>%；医疗卫生与计划教育支出</w:t>
      </w:r>
      <w:r>
        <w:rPr>
          <w:rFonts w:hint="eastAsia" w:ascii="仿宋_GB2312" w:eastAsia="仿宋_GB2312" w:cs="Times New Roman" w:hAnsiTheme="minorEastAsia"/>
          <w:sz w:val="32"/>
          <w:szCs w:val="32"/>
          <w:lang w:val="en-US" w:eastAsia="zh-CN"/>
        </w:rPr>
        <w:t>143.24</w:t>
      </w:r>
      <w:r>
        <w:rPr>
          <w:rFonts w:hint="eastAsia" w:ascii="仿宋_GB2312" w:eastAsia="仿宋_GB2312" w:cs="Times New Roman" w:hAnsiTheme="minorEastAsia"/>
          <w:sz w:val="32"/>
          <w:szCs w:val="32"/>
        </w:rPr>
        <w:t>万元，占比</w:t>
      </w:r>
      <w:r>
        <w:rPr>
          <w:rFonts w:hint="eastAsia" w:ascii="仿宋_GB2312" w:eastAsia="仿宋_GB2312" w:cs="Times New Roman" w:hAnsiTheme="minorEastAsia"/>
          <w:sz w:val="32"/>
          <w:szCs w:val="32"/>
          <w:lang w:val="en-US" w:eastAsia="zh-CN"/>
        </w:rPr>
        <w:t>2.05</w:t>
      </w:r>
      <w:r>
        <w:rPr>
          <w:rFonts w:hint="eastAsia" w:ascii="仿宋_GB2312" w:eastAsia="仿宋_GB2312" w:cs="Times New Roman" w:hAnsiTheme="minorEastAsia"/>
          <w:sz w:val="32"/>
          <w:szCs w:val="32"/>
        </w:rPr>
        <w:t>%；住房保障支出</w:t>
      </w:r>
      <w:r>
        <w:rPr>
          <w:rFonts w:hint="eastAsia" w:ascii="仿宋_GB2312" w:eastAsia="仿宋_GB2312" w:cs="Times New Roman" w:hAnsiTheme="minorEastAsia"/>
          <w:sz w:val="32"/>
          <w:szCs w:val="32"/>
          <w:lang w:val="en-US" w:eastAsia="zh-CN"/>
        </w:rPr>
        <w:t>19.19</w:t>
      </w:r>
      <w:r>
        <w:rPr>
          <w:rFonts w:hint="eastAsia" w:ascii="仿宋_GB2312" w:eastAsia="仿宋_GB2312" w:cs="Times New Roman" w:hAnsiTheme="minorEastAsia"/>
          <w:sz w:val="32"/>
          <w:szCs w:val="32"/>
        </w:rPr>
        <w:t>万元，占比</w:t>
      </w:r>
      <w:r>
        <w:rPr>
          <w:rFonts w:hint="eastAsia" w:ascii="仿宋_GB2312" w:eastAsia="仿宋_GB2312" w:cs="Times New Roman" w:hAnsiTheme="minorEastAsia"/>
          <w:sz w:val="32"/>
          <w:szCs w:val="32"/>
          <w:lang w:val="en-US" w:eastAsia="zh-CN"/>
        </w:rPr>
        <w:t>0.27</w:t>
      </w:r>
      <w:r>
        <w:rPr>
          <w:rFonts w:hint="eastAsia" w:ascii="仿宋_GB2312" w:eastAsia="仿宋_GB2312" w:cs="Times New Roman" w:hAnsiTheme="minorEastAsia"/>
          <w:sz w:val="32"/>
          <w:szCs w:val="32"/>
        </w:rPr>
        <w:t>%。具体决算支出详见附件2。</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决算支出结构如图3。</w:t>
      </w:r>
    </w:p>
    <w:p>
      <w:pPr>
        <w:spacing w:after="0" w:line="360" w:lineRule="auto"/>
        <w:jc w:val="center"/>
        <w:rPr>
          <w:rFonts w:ascii="仿宋_GB2312" w:eastAsia="仿宋_GB2312" w:cs="Times New Roman" w:hAnsiTheme="minorEastAsia"/>
          <w:sz w:val="32"/>
          <w:szCs w:val="32"/>
        </w:rPr>
      </w:pPr>
      <w:r>
        <w:rPr>
          <w:rFonts w:hint="eastAsia" w:asciiTheme="minorEastAsia" w:hAnsiTheme="minorEastAsia" w:eastAsiaTheme="minorEastAsia" w:cstheme="minorEastAsia"/>
          <w:b/>
          <w:bCs/>
          <w:sz w:val="32"/>
          <w:szCs w:val="32"/>
        </w:rPr>
        <w:t xml:space="preserve">图3  </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Theme="minorEastAsia" w:hAnsiTheme="minorEastAsia" w:eastAsiaTheme="minorEastAsia" w:cstheme="minorEastAsia"/>
          <w:b/>
          <w:bCs/>
          <w:sz w:val="32"/>
          <w:szCs w:val="32"/>
        </w:rPr>
        <w:t>决算支出结构图</w:t>
      </w:r>
    </w:p>
    <w:p>
      <w:pPr>
        <w:spacing w:after="0" w:line="360" w:lineRule="auto"/>
        <w:ind w:firstLine="440"/>
        <w:jc w:val="both"/>
        <w:rPr>
          <w:rFonts w:ascii="仿宋" w:hAnsi="仿宋" w:eastAsia="仿宋"/>
          <w:sz w:val="32"/>
          <w:szCs w:val="32"/>
        </w:rPr>
      </w:pPr>
      <w:r>
        <w:drawing>
          <wp:anchor distT="0" distB="0" distL="90170" distR="90170" simplePos="0" relativeHeight="251661312" behindDoc="0" locked="0" layoutInCell="1" allowOverlap="1">
            <wp:simplePos x="0" y="0"/>
            <wp:positionH relativeFrom="column">
              <wp:posOffset>143510</wp:posOffset>
            </wp:positionH>
            <wp:positionV relativeFrom="paragraph">
              <wp:posOffset>109220</wp:posOffset>
            </wp:positionV>
            <wp:extent cx="4991100" cy="2790825"/>
            <wp:effectExtent l="0" t="0" r="0" b="0"/>
            <wp:wrapSquare wrapText="bothSides"/>
            <wp:docPr id="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eastAsia="仿宋_GB2312" w:cs="DengXian-Regular"/>
          <w:sz w:val="32"/>
          <w:szCs w:val="32"/>
        </w:rPr>
        <w:t>财政拨款决算支出比年初预算增加</w:t>
      </w:r>
      <w:r>
        <w:rPr>
          <w:rFonts w:hint="eastAsia" w:ascii="仿宋_GB2312" w:eastAsia="仿宋_GB2312" w:cs="DengXian-Regular"/>
          <w:sz w:val="32"/>
          <w:szCs w:val="32"/>
          <w:lang w:val="en-US" w:eastAsia="zh-CN"/>
        </w:rPr>
        <w:t>1286.3</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22.56</w:t>
      </w:r>
      <w:r>
        <w:rPr>
          <w:rFonts w:hint="eastAsia" w:ascii="仿宋_GB2312" w:eastAsia="仿宋_GB2312" w:cs="DengXian-Regular"/>
          <w:sz w:val="32"/>
          <w:szCs w:val="32"/>
        </w:rPr>
        <w:t>%。</w:t>
      </w:r>
      <w:r>
        <w:rPr>
          <w:rFonts w:hint="eastAsia" w:ascii="仿宋_GB2312" w:eastAsia="仿宋_GB2312" w:cs="Times New Roman" w:hAnsiTheme="minorEastAsia"/>
          <w:sz w:val="32"/>
          <w:szCs w:val="32"/>
        </w:rPr>
        <w:t>决算支出大于预算支出的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val="en-US" w:eastAsia="zh-CN"/>
        </w:rPr>
        <w:t>追加预算比较多，包括信访遗留问题及解决部分退役士兵岗位待遇资金、军队退役人员公益性岗位补助项目经费、优抚对象补助经费预算</w:t>
      </w:r>
      <w:r>
        <w:rPr>
          <w:rFonts w:hint="eastAsia" w:ascii="仿宋" w:hAnsi="仿宋" w:eastAsia="仿宋"/>
          <w:sz w:val="32"/>
          <w:szCs w:val="32"/>
        </w:rPr>
        <w:t>。预算支出与决算支出对比情况如图4。</w:t>
      </w:r>
    </w:p>
    <w:p>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drawing>
          <wp:anchor distT="0" distB="0" distL="114300" distR="114300" simplePos="0" relativeHeight="251662336" behindDoc="0" locked="0" layoutInCell="1" allowOverlap="1">
            <wp:simplePos x="0" y="0"/>
            <wp:positionH relativeFrom="column">
              <wp:posOffset>144145</wp:posOffset>
            </wp:positionH>
            <wp:positionV relativeFrom="paragraph">
              <wp:posOffset>499745</wp:posOffset>
            </wp:positionV>
            <wp:extent cx="5102225" cy="2717165"/>
            <wp:effectExtent l="0" t="0" r="0" b="0"/>
            <wp:wrapSquare wrapText="bothSides"/>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预算支出与决算支出对比图</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w:t>
      </w:r>
      <w:r>
        <w:rPr>
          <w:rFonts w:hint="eastAsia" w:ascii="仿宋_GB2312" w:eastAsia="仿宋_GB2312" w:cs="DengXian-Regular"/>
          <w:sz w:val="32"/>
          <w:szCs w:val="32"/>
          <w:lang w:val="en-US" w:eastAsia="zh-CN"/>
        </w:rPr>
        <w:t>6501.1</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6501.1</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pPr>
        <w:pStyle w:val="4"/>
        <w:spacing w:before="0" w:after="0"/>
        <w:ind w:firstLine="643"/>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5.09</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0.23</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4.47</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4.29</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0.18</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1.24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24.36</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年实际支出相比，减少xx万元。具体详见表1。</w:t>
      </w:r>
    </w:p>
    <w:p>
      <w:pPr>
        <w:spacing w:after="0" w:line="360" w:lineRule="auto"/>
        <w:ind w:firstLine="643"/>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36"/>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spacing w:after="0"/>
              <w:ind w:firstLine="422"/>
              <w:jc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noWrap w:val="0"/>
            <w:tcMar>
              <w:top w:w="15" w:type="dxa"/>
              <w:left w:w="15" w:type="dxa"/>
              <w:right w:w="15" w:type="dxa"/>
            </w:tcMar>
            <w:vAlign w:val="center"/>
          </w:tcPr>
          <w:p>
            <w:pPr>
              <w:spacing w:after="0"/>
              <w:ind w:firstLine="422"/>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after="0"/>
              <w:ind w:firstLine="422"/>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spacing w:after="0"/>
              <w:ind w:firstLine="422"/>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spacing w:after="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spacing w:after="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4.86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3.37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4.29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0.92</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after="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jc w:val="left"/>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0.25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0.23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-0.07</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spacing w:after="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6.86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3.62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5.09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4.47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0.85</w:t>
            </w:r>
          </w:p>
        </w:tc>
      </w:tr>
    </w:tbl>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单位车辆合计</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辆，其中</w:t>
      </w:r>
      <w:r>
        <w:rPr>
          <w:rFonts w:hint="eastAsia" w:ascii="仿宋_GB2312" w:eastAsia="仿宋_GB2312" w:cs="DengXian-Regular"/>
          <w:sz w:val="32"/>
          <w:szCs w:val="32"/>
          <w:lang w:val="en-US" w:eastAsia="zh-CN"/>
        </w:rPr>
        <w:t>公务</w:t>
      </w:r>
      <w:r>
        <w:rPr>
          <w:rFonts w:hint="eastAsia" w:ascii="仿宋_GB2312" w:eastAsia="仿宋_GB2312" w:cs="DengXian-Regular"/>
          <w:sz w:val="32"/>
          <w:szCs w:val="32"/>
        </w:rPr>
        <w:t>用</w:t>
      </w:r>
      <w:r>
        <w:rPr>
          <w:rFonts w:hint="eastAsia" w:ascii="仿宋_GB2312" w:eastAsia="仿宋_GB2312" w:cs="DengXian-Regular"/>
          <w:sz w:val="32"/>
          <w:szCs w:val="32"/>
          <w:lang w:val="en-US" w:eastAsia="zh-CN"/>
        </w:rPr>
        <w:t>车2</w:t>
      </w:r>
      <w:r>
        <w:rPr>
          <w:rFonts w:hint="eastAsia" w:ascii="仿宋_GB2312" w:eastAsia="仿宋_GB2312" w:cs="DengXian-Regular"/>
          <w:sz w:val="32"/>
          <w:szCs w:val="32"/>
        </w:rPr>
        <w:t>辆，其他用车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年公务用车购置及运维费年初预算</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4.29</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0.57</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11.73</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0.57</w:t>
      </w:r>
      <w:r>
        <w:rPr>
          <w:rFonts w:hint="eastAsia" w:ascii="仿宋_GB2312" w:eastAsia="仿宋_GB2312" w:cs="DengXian-Regular"/>
          <w:sz w:val="32"/>
          <w:szCs w:val="32"/>
        </w:rPr>
        <w:t>万元。</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单位公务接待费年初预算</w:t>
      </w:r>
      <w:r>
        <w:rPr>
          <w:rFonts w:hint="eastAsia" w:ascii="仿宋_GB2312" w:eastAsia="仿宋_GB2312" w:cs="DengXian-Regular"/>
          <w:sz w:val="32"/>
          <w:szCs w:val="32"/>
          <w:lang w:val="en-US" w:eastAsia="zh-CN"/>
        </w:rPr>
        <w:t>0.23</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0.18</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0.05</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21.74</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年实际支出相比，增加</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万元。</w:t>
      </w:r>
    </w:p>
    <w:p>
      <w:pPr>
        <w:pStyle w:val="3"/>
        <w:spacing w:before="0" w:after="0" w:line="360" w:lineRule="auto"/>
        <w:ind w:firstLine="643"/>
        <w:rPr>
          <w:rFonts w:ascii="黑体" w:hAnsiTheme="minorEastAsia"/>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jc w:val="both"/>
        <w:rPr>
          <w:rFonts w:ascii="楷体_GB2312" w:eastAsia="楷体_GB2312" w:cs="Times New Roman" w:hAnsiTheme="minorEastAsia"/>
          <w:b/>
          <w:bCs/>
          <w:sz w:val="32"/>
          <w:szCs w:val="32"/>
        </w:rPr>
      </w:pPr>
      <w:r>
        <w:rPr>
          <w:rFonts w:hint="eastAsia" w:ascii="楷体_GB2312" w:eastAsia="楷体_GB2312" w:cs="Times New Roman" w:hAnsiTheme="minorEastAsia"/>
          <w:b/>
          <w:bCs/>
          <w:sz w:val="32"/>
          <w:szCs w:val="32"/>
        </w:rPr>
        <w:t>（一）投入（12分）</w:t>
      </w:r>
      <w:bookmarkEnd w:id="19"/>
      <w:bookmarkEnd w:id="20"/>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jc w:val="both"/>
        <w:rPr>
          <w:rFonts w:ascii="楷体" w:hAnsi="楷体" w:eastAsia="楷体"/>
          <w:sz w:val="32"/>
        </w:rPr>
      </w:pPr>
      <w:bookmarkStart w:id="21" w:name="_Toc30221"/>
      <w:bookmarkStart w:id="22" w:name="_Toc492652772"/>
      <w:r>
        <w:rPr>
          <w:rFonts w:hint="eastAsia" w:ascii="楷体" w:hAnsi="楷体" w:eastAsia="楷体"/>
          <w:sz w:val="32"/>
        </w:rPr>
        <w:t>（二）过程（48分）</w:t>
      </w:r>
      <w:bookmarkEnd w:id="21"/>
      <w:bookmarkEnd w:id="22"/>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jc w:val="both"/>
        <w:rPr>
          <w:rFonts w:ascii="楷体" w:hAnsi="楷体" w:eastAsia="楷体"/>
          <w:sz w:val="32"/>
        </w:rPr>
      </w:pPr>
      <w:bookmarkStart w:id="23" w:name="_Toc492652773"/>
      <w:bookmarkStart w:id="24" w:name="_Toc24932"/>
      <w:r>
        <w:rPr>
          <w:rFonts w:hint="eastAsia" w:ascii="楷体" w:hAnsi="楷体" w:eastAsia="楷体"/>
          <w:sz w:val="32"/>
        </w:rPr>
        <w:t>（三）产出（25分）</w:t>
      </w:r>
      <w:bookmarkEnd w:id="23"/>
      <w:bookmarkEnd w:id="24"/>
    </w:p>
    <w:p>
      <w:pPr>
        <w:spacing w:after="0" w:line="360" w:lineRule="auto"/>
        <w:ind w:firstLine="640"/>
        <w:jc w:val="both"/>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jc w:val="both"/>
        <w:rPr>
          <w:rFonts w:ascii="楷体_GB2312" w:eastAsia="楷体_GB2312" w:hAnsiTheme="minorEastAsia"/>
          <w:sz w:val="32"/>
        </w:rPr>
      </w:pPr>
      <w:bookmarkStart w:id="26" w:name="_Toc21821"/>
      <w:r>
        <w:rPr>
          <w:rFonts w:hint="eastAsia" w:ascii="楷体_GB2312" w:eastAsia="楷体_GB2312" w:hAnsiTheme="minorEastAsia"/>
          <w:sz w:val="32"/>
        </w:rPr>
        <w:t>（四）效果（15分）</w:t>
      </w:r>
      <w:bookmarkEnd w:id="25"/>
      <w:bookmarkEnd w:id="26"/>
    </w:p>
    <w:p>
      <w:pPr>
        <w:spacing w:after="0" w:line="360" w:lineRule="auto"/>
        <w:ind w:firstLine="640"/>
        <w:jc w:val="both"/>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jc w:val="both"/>
        <w:rPr>
          <w:rFonts w:ascii="楷体_GB2312" w:eastAsia="楷体_GB2312" w:hAnsiTheme="minorEastAsia"/>
          <w:sz w:val="32"/>
        </w:rPr>
      </w:pPr>
      <w:bookmarkStart w:id="31" w:name="_Toc17138"/>
      <w:r>
        <w:rPr>
          <w:rFonts w:hint="eastAsia" w:ascii="楷体_GB2312" w:eastAsia="楷体_GB2312" w:hAnsiTheme="minorEastAsia"/>
          <w:sz w:val="32"/>
        </w:rPr>
        <w:t>（一）绩效评价目的</w:t>
      </w:r>
      <w:bookmarkEnd w:id="29"/>
      <w:bookmarkEnd w:id="30"/>
      <w:bookmarkEnd w:id="31"/>
    </w:p>
    <w:p>
      <w:pPr>
        <w:spacing w:after="0" w:line="360" w:lineRule="auto"/>
        <w:ind w:firstLine="640"/>
        <w:jc w:val="both"/>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jc w:val="both"/>
        <w:rPr>
          <w:rFonts w:ascii="楷体_GB2312" w:eastAsia="楷体_GB2312" w:hAnsiTheme="minorEastAsia"/>
          <w:sz w:val="32"/>
        </w:rPr>
      </w:pPr>
      <w:bookmarkStart w:id="34" w:name="_Toc11607"/>
      <w:r>
        <w:rPr>
          <w:rFonts w:hint="eastAsia" w:ascii="楷体_GB2312" w:eastAsia="楷体_GB2312" w:hAnsiTheme="minorEastAsia"/>
          <w:sz w:val="32"/>
        </w:rPr>
        <w:t>（二）绩效评价依据</w:t>
      </w:r>
      <w:bookmarkEnd w:id="32"/>
      <w:bookmarkEnd w:id="33"/>
      <w:bookmarkEnd w:id="34"/>
    </w:p>
    <w:p>
      <w:pPr>
        <w:spacing w:after="0" w:line="360" w:lineRule="auto"/>
        <w:ind w:firstLine="640"/>
        <w:jc w:val="both"/>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jc w:val="both"/>
        <w:rPr>
          <w:rFonts w:ascii="楷体_GB2312" w:eastAsia="楷体_GB2312" w:hAnsiTheme="minorEastAsia"/>
          <w:sz w:val="32"/>
        </w:rPr>
      </w:pPr>
      <w:bookmarkStart w:id="37" w:name="_Toc7609"/>
      <w:r>
        <w:rPr>
          <w:rFonts w:hint="eastAsia" w:ascii="楷体_GB2312" w:eastAsia="楷体_GB2312" w:hAnsiTheme="minorEastAsia"/>
          <w:sz w:val="32"/>
        </w:rPr>
        <w:t>（三）绩效评价</w:t>
      </w:r>
      <w:bookmarkEnd w:id="36"/>
      <w:r>
        <w:rPr>
          <w:rFonts w:hint="eastAsia" w:ascii="楷体_GB2312" w:eastAsia="楷体_GB2312" w:hAnsiTheme="minorEastAsia"/>
          <w:sz w:val="32"/>
        </w:rPr>
        <w:t>内容</w:t>
      </w:r>
      <w:bookmarkEnd w:id="35"/>
      <w:bookmarkEnd w:id="37"/>
    </w:p>
    <w:p>
      <w:pPr>
        <w:spacing w:after="0" w:line="360" w:lineRule="auto"/>
        <w:ind w:firstLine="640"/>
        <w:jc w:val="both"/>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jc w:val="both"/>
        <w:rPr>
          <w:rFonts w:ascii="楷体_GB2312" w:eastAsia="楷体_GB2312" w:hAnsiTheme="minorEastAsia"/>
          <w:sz w:val="32"/>
        </w:rPr>
      </w:pPr>
      <w:bookmarkStart w:id="40" w:name="_Toc789"/>
      <w:r>
        <w:rPr>
          <w:rFonts w:hint="eastAsia" w:ascii="楷体_GB2312" w:eastAsia="楷体_GB2312" w:hAnsiTheme="minorEastAsia"/>
          <w:sz w:val="32"/>
        </w:rPr>
        <w:t>（四）绩效评价原则</w:t>
      </w:r>
      <w:bookmarkEnd w:id="40"/>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jc w:val="both"/>
        <w:rPr>
          <w:rFonts w:ascii="楷体_GB2312" w:eastAsia="楷体_GB2312" w:hAnsiTheme="minorEastAsia"/>
          <w:sz w:val="32"/>
        </w:rPr>
      </w:pPr>
      <w:bookmarkStart w:id="41" w:name="_Toc8171"/>
      <w:r>
        <w:rPr>
          <w:rFonts w:hint="eastAsia" w:ascii="楷体_GB2312" w:eastAsia="楷体_GB2312" w:hAnsiTheme="minorEastAsia"/>
          <w:sz w:val="32"/>
        </w:rPr>
        <w:t>（五）</w:t>
      </w:r>
      <w:bookmarkEnd w:id="38"/>
      <w:bookmarkStart w:id="42" w:name="_Toc465149509"/>
      <w:r>
        <w:rPr>
          <w:rFonts w:hint="eastAsia" w:ascii="楷体_GB2312" w:eastAsia="楷体_GB2312" w:hAnsiTheme="minorEastAsia"/>
          <w:sz w:val="32"/>
        </w:rPr>
        <w:t>绩效评价方法</w:t>
      </w:r>
      <w:bookmarkEnd w:id="39"/>
      <w:bookmarkEnd w:id="41"/>
      <w:bookmarkEnd w:id="42"/>
    </w:p>
    <w:p>
      <w:pPr>
        <w:spacing w:after="0" w:line="360" w:lineRule="auto"/>
        <w:ind w:firstLine="640"/>
        <w:jc w:val="both"/>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jc w:val="both"/>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jc w:val="both"/>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jc w:val="both"/>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jc w:val="both"/>
        <w:rPr>
          <w:rFonts w:ascii="楷体_GB2312" w:eastAsia="楷体_GB2312" w:hAnsiTheme="minorEastAsia"/>
          <w:b/>
          <w:bCs/>
          <w:sz w:val="32"/>
        </w:rPr>
      </w:pPr>
      <w:r>
        <w:rPr>
          <w:rFonts w:hint="eastAsia" w:ascii="楷体_GB2312" w:eastAsia="楷体_GB2312" w:hAnsiTheme="minorEastAsia"/>
          <w:b/>
          <w:bCs/>
          <w:sz w:val="32"/>
        </w:rPr>
        <w:t>（六）绩效评价工作过程</w:t>
      </w:r>
      <w:bookmarkEnd w:id="45"/>
      <w:bookmarkEnd w:id="46"/>
      <w:bookmarkEnd w:id="53"/>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单位充分沟通，并充分收集相关资料，主要包括部门职责、工作活动、预决算文本、相关管理制度、资金使用等相关资料，为制定绩效评价实施方案和指标体系奠定了基础。</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单位相关资料的收集，制定绩效评价实施方案和体系,确定最终方案。</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bookmarkEnd w:id="57"/>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部门整体支出绩效评价总得分为</w:t>
      </w:r>
      <w:r>
        <w:rPr>
          <w:rFonts w:hint="default" w:ascii="仿宋_GB2312" w:eastAsia="仿宋_GB2312" w:cs="DengXian-Regular"/>
          <w:sz w:val="32"/>
          <w:szCs w:val="32"/>
          <w:lang w:val="en-US"/>
        </w:rPr>
        <w:t>9</w:t>
      </w:r>
      <w:r>
        <w:rPr>
          <w:rFonts w:hint="eastAsia" w:ascii="仿宋_GB2312" w:eastAsia="仿宋_GB2312" w:cs="DengXian-Regular"/>
          <w:sz w:val="32"/>
          <w:szCs w:val="32"/>
          <w:lang w:val="en-US" w:eastAsia="zh-CN"/>
        </w:rPr>
        <w:t>6.3</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rPr>
        <w:t>：</w:t>
      </w:r>
      <w:r>
        <w:rPr>
          <w:rFonts w:ascii="仿宋_GB2312" w:eastAsia="仿宋_GB2312" w:cs="Times New Roman" w:hAnsiTheme="minorEastAsia"/>
          <w:sz w:val="32"/>
          <w:szCs w:val="32"/>
        </w:rPr>
        <w:t xml:space="preserve"> </w:t>
      </w:r>
    </w:p>
    <w:p>
      <w:pPr>
        <w:pStyle w:val="4"/>
        <w:spacing w:before="0" w:after="0"/>
        <w:ind w:firstLine="643"/>
        <w:jc w:val="both"/>
        <w:rPr>
          <w:rFonts w:ascii="楷体_GB2312" w:eastAsia="楷体_GB2312" w:hAnsiTheme="minorEastAsia"/>
          <w:sz w:val="32"/>
        </w:rPr>
      </w:pPr>
      <w:bookmarkStart w:id="58" w:name="_Toc492652783"/>
      <w:bookmarkStart w:id="59" w:name="_Toc4390"/>
      <w:r>
        <w:rPr>
          <w:rFonts w:hint="eastAsia" w:ascii="楷体_GB2312" w:eastAsia="楷体_GB2312" w:hAnsiTheme="minorEastAsia"/>
          <w:sz w:val="32"/>
        </w:rPr>
        <w:t>（一）</w:t>
      </w:r>
      <w:bookmarkEnd w:id="58"/>
      <w:r>
        <w:rPr>
          <w:rFonts w:hint="eastAsia" w:ascii="楷体_GB2312" w:eastAsia="楷体_GB2312" w:hAnsiTheme="minorEastAsia"/>
          <w:sz w:val="32"/>
        </w:rPr>
        <w:t>投入（12分）</w:t>
      </w:r>
      <w:bookmarkEnd w:id="59"/>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rPr>
        <w:tab/>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表2  投入指标及得分情况表</w:t>
      </w:r>
    </w:p>
    <w:tbl>
      <w:tblPr>
        <w:tblStyle w:val="36"/>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noWrap w:val="0"/>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noWrap w:val="0"/>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noWrap w:val="0"/>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noWrap w:val="0"/>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noWrap w:val="0"/>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noWrap w:val="0"/>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418"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701"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418"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701"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418" w:type="dxa"/>
            <w:vMerge w:val="restart"/>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418"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701"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418" w:type="dxa"/>
            <w:vMerge w:val="continue"/>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701"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2977" w:type="dxa"/>
            <w:gridSpan w:val="2"/>
            <w:noWrap w:val="0"/>
            <w:vAlign w:val="center"/>
          </w:tcPr>
          <w:p>
            <w:pPr>
              <w:spacing w:line="420" w:lineRule="exact"/>
              <w:ind w:firstLine="42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noWrap w:val="0"/>
            <w:vAlign w:val="center"/>
          </w:tcPr>
          <w:p>
            <w:pPr>
              <w:spacing w:line="420" w:lineRule="exact"/>
              <w:ind w:firstLine="420"/>
              <w:jc w:val="center"/>
              <w:rPr>
                <w:rFonts w:cs="宋体" w:asciiTheme="minorEastAsia" w:hAnsiTheme="minorEastAsia" w:eastAsiaTheme="minorEastAsia"/>
                <w:sz w:val="21"/>
                <w:szCs w:val="21"/>
                <w:highlight w:val="yellow"/>
              </w:rPr>
            </w:pPr>
          </w:p>
        </w:tc>
        <w:tc>
          <w:tcPr>
            <w:tcW w:w="1276"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noWrap w:val="0"/>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bl>
    <w:p>
      <w:pPr>
        <w:spacing w:after="0" w:line="360" w:lineRule="auto"/>
        <w:ind w:firstLine="640"/>
        <w:jc w:val="both"/>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jc w:val="both"/>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2年</w:t>
      </w:r>
      <w:r>
        <w:rPr>
          <w:rFonts w:hint="eastAsia" w:ascii="仿宋_GB2312" w:eastAsia="仿宋_GB2312" w:cs="DengXian-Regular"/>
          <w:sz w:val="32"/>
          <w:szCs w:val="32"/>
        </w:rPr>
        <w:t>预算文本及相关会计资料，区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年预算文本—部门项目支出预算表，区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年预算项目共</w:t>
      </w:r>
      <w:r>
        <w:rPr>
          <w:rFonts w:hint="eastAsia" w:ascii="仿宋_GB2312" w:eastAsia="仿宋_GB2312" w:cs="DengXian-Regular"/>
          <w:sz w:val="32"/>
          <w:szCs w:val="32"/>
          <w:lang w:val="en-US" w:eastAsia="zh-CN"/>
        </w:rPr>
        <w:t>37</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7557.47</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7557.47</w:t>
      </w:r>
      <w:r>
        <w:rPr>
          <w:rFonts w:hint="eastAsia" w:ascii="仿宋_GB2312" w:eastAsia="仿宋_GB2312" w:cs="DengXian-Regular"/>
          <w:sz w:val="32"/>
          <w:szCs w:val="32"/>
        </w:rPr>
        <w:t>/</w:t>
      </w:r>
      <w:r>
        <w:rPr>
          <w:rFonts w:hint="default" w:ascii="仿宋_GB2312" w:eastAsia="仿宋_GB2312" w:cs="DengXian-Regular"/>
          <w:sz w:val="32"/>
          <w:szCs w:val="32"/>
          <w:lang w:val="en-US"/>
        </w:rPr>
        <w:t>7557.47</w:t>
      </w:r>
      <w:r>
        <w:rPr>
          <w:rFonts w:hint="eastAsia" w:ascii="仿宋_GB2312" w:eastAsia="仿宋_GB2312" w:cs="DengXian-Regular"/>
          <w:sz w:val="32"/>
          <w:szCs w:val="32"/>
        </w:rPr>
        <w:t>）*100%=</w:t>
      </w:r>
      <w:r>
        <w:rPr>
          <w:rFonts w:hint="default"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在职人员控制情况，通过在职人员控制率衡量。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val="en-US" w:eastAsia="zh-CN"/>
        </w:rPr>
        <w:t>退役军人事务局部门</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人，根据区区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年决算文本-部门基本情况表，截至202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）*100%=100%。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bookmarkEnd w:id="60"/>
      <w:bookmarkEnd w:id="61"/>
    </w:p>
    <w:p>
      <w:pPr>
        <w:pStyle w:val="4"/>
        <w:spacing w:before="0" w:after="0"/>
        <w:ind w:firstLine="643"/>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jc w:val="both"/>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noWrap w:val="0"/>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restart"/>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noWrap w:val="0"/>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restart"/>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1388" w:type="dxa"/>
            <w:vMerge w:val="continue"/>
            <w:noWrap w:val="0"/>
            <w:vAlign w:val="center"/>
          </w:tcPr>
          <w:p>
            <w:pPr>
              <w:spacing w:line="420" w:lineRule="exact"/>
              <w:jc w:val="center"/>
              <w:rPr>
                <w:rFonts w:cs="宋体" w:asciiTheme="minorEastAsia" w:hAnsiTheme="minorEastAsia" w:eastAsiaTheme="minorEastAsia"/>
                <w:sz w:val="21"/>
                <w:szCs w:val="21"/>
              </w:rPr>
            </w:pPr>
          </w:p>
        </w:tc>
        <w:tc>
          <w:tcPr>
            <w:tcW w:w="2277"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noWrap w:val="0"/>
            <w:vAlign w:val="center"/>
          </w:tcPr>
          <w:p>
            <w:pPr>
              <w:spacing w:line="420" w:lineRule="exact"/>
              <w:jc w:val="center"/>
              <w:rPr>
                <w:rFonts w:cs="宋体" w:asciiTheme="minorEastAsia" w:hAnsiTheme="minorEastAsia" w:eastAsiaTheme="minorEastAsia"/>
                <w:sz w:val="21"/>
                <w:szCs w:val="21"/>
              </w:rPr>
            </w:pPr>
          </w:p>
        </w:tc>
        <w:tc>
          <w:tcPr>
            <w:tcW w:w="1155" w:type="dxa"/>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noWrap w:val="0"/>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46.3</w:t>
            </w:r>
            <w:bookmarkEnd w:id="63"/>
          </w:p>
        </w:tc>
      </w:tr>
    </w:tbl>
    <w:p>
      <w:pPr>
        <w:spacing w:after="0" w:line="360" w:lineRule="auto"/>
        <w:ind w:firstLine="640"/>
        <w:jc w:val="both"/>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48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1382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军队退役人员公益性岗位补助项目经费</w:t>
      </w:r>
      <w:r>
        <w:rPr>
          <w:rFonts w:hint="default" w:ascii="仿宋_GB2312" w:eastAsia="仿宋_GB2312" w:cs="DengXian-Regular"/>
          <w:sz w:val="32"/>
          <w:szCs w:val="32"/>
          <w:lang w:val="en-US" w:eastAsia="zh-CN"/>
        </w:rPr>
        <w:t>1.312794</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1382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信访问题及解决部分退役士兵岗位待遇资金</w:t>
      </w:r>
      <w:r>
        <w:rPr>
          <w:rFonts w:hint="default" w:ascii="仿宋_GB2312" w:eastAsia="仿宋_GB2312" w:cs="DengXian-Regular"/>
          <w:sz w:val="32"/>
          <w:szCs w:val="32"/>
          <w:lang w:val="en-US" w:eastAsia="zh-CN"/>
        </w:rPr>
        <w:t>112.86715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1.3</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年预算文本、决算文本，202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年收入预算数</w:t>
      </w:r>
      <w:r>
        <w:rPr>
          <w:rFonts w:hint="eastAsia" w:ascii="仿宋_GB2312" w:eastAsia="仿宋_GB2312" w:cs="DengXian-Regular"/>
          <w:sz w:val="32"/>
          <w:szCs w:val="32"/>
          <w:lang w:val="en-US" w:eastAsia="zh-CN"/>
        </w:rPr>
        <w:t>5701.74</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7023</w:t>
      </w:r>
      <w:r>
        <w:rPr>
          <w:rFonts w:hint="eastAsia" w:ascii="仿宋_GB2312" w:eastAsia="仿宋_GB2312" w:cs="DengXian-Regular"/>
          <w:sz w:val="32"/>
          <w:szCs w:val="32"/>
        </w:rPr>
        <w:t>万元，收入完成率=（</w:t>
      </w:r>
      <w:r>
        <w:rPr>
          <w:rFonts w:hint="eastAsia" w:ascii="仿宋_GB2312" w:eastAsia="仿宋_GB2312" w:cs="DengXian-Regular"/>
          <w:sz w:val="32"/>
          <w:szCs w:val="32"/>
          <w:lang w:val="en-US" w:eastAsia="zh-CN"/>
        </w:rPr>
        <w:t>7023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5701.74</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123.17</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提供的保定市财政局下发的预算指标文件，其中：徐财预指[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1382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军队退役人员公益性岗位补助项目经费</w:t>
      </w:r>
      <w:r>
        <w:rPr>
          <w:rFonts w:hint="default" w:ascii="仿宋_GB2312" w:eastAsia="仿宋_GB2312" w:cs="DengXian-Regular"/>
          <w:sz w:val="32"/>
          <w:szCs w:val="32"/>
          <w:lang w:val="en-US"/>
        </w:rPr>
        <w:t>1.312794</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1382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信访问题及解决部分退役士兵岗位待遇资金</w:t>
      </w:r>
      <w:r>
        <w:rPr>
          <w:rFonts w:hint="default" w:ascii="仿宋_GB2312" w:eastAsia="仿宋_GB2312" w:cs="DengXian-Regular"/>
          <w:sz w:val="32"/>
          <w:szCs w:val="32"/>
          <w:lang w:val="en-US" w:eastAsia="zh-CN"/>
        </w:rPr>
        <w:t>112.86715</w:t>
      </w:r>
      <w:r>
        <w:rPr>
          <w:rFonts w:hint="eastAsia" w:ascii="仿宋_GB2312" w:eastAsia="仿宋_GB2312" w:cs="DengXian-Regular"/>
          <w:sz w:val="32"/>
          <w:szCs w:val="32"/>
        </w:rPr>
        <w:t>万元；区</w:t>
      </w:r>
      <w:r>
        <w:rPr>
          <w:rFonts w:hint="eastAsia" w:ascii="仿宋_GB2312" w:eastAsia="仿宋_GB2312" w:cs="DengXian-Regular"/>
          <w:sz w:val="32"/>
          <w:szCs w:val="32"/>
          <w:lang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年度预算支出的</w:t>
      </w:r>
      <w:r>
        <w:rPr>
          <w:rFonts w:hint="eastAsia" w:ascii="仿宋_GB2312" w:eastAsia="仿宋_GB2312" w:cs="DengXian-Regular"/>
          <w:sz w:val="32"/>
          <w:szCs w:val="32"/>
          <w:lang w:eastAsia="zh-CN"/>
        </w:rPr>
        <w:t>项目支出</w:t>
      </w:r>
      <w:r>
        <w:rPr>
          <w:rFonts w:hint="eastAsia" w:ascii="仿宋_GB2312" w:eastAsia="仿宋_GB2312" w:cs="DengXian-Regular"/>
          <w:sz w:val="32"/>
          <w:szCs w:val="32"/>
        </w:rPr>
        <w:t>追加数合计</w:t>
      </w:r>
      <w:r>
        <w:rPr>
          <w:rFonts w:hint="default" w:ascii="仿宋_GB2312" w:eastAsia="仿宋_GB2312" w:cs="DengXian-Regular"/>
          <w:sz w:val="32"/>
          <w:szCs w:val="32"/>
          <w:lang w:val="en-US"/>
        </w:rPr>
        <w:t>114.179944</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3123.27</w:t>
      </w:r>
      <w:r>
        <w:rPr>
          <w:rFonts w:hint="eastAsia" w:ascii="仿宋_GB2312" w:eastAsia="仿宋_GB2312" w:cs="DengXian-Regular"/>
          <w:sz w:val="32"/>
          <w:szCs w:val="32"/>
        </w:rPr>
        <w:t>万元，预算支出调整率为</w:t>
      </w:r>
      <w:r>
        <w:rPr>
          <w:rFonts w:hint="default" w:ascii="仿宋_GB2312" w:eastAsia="仿宋_GB2312" w:cs="DengXian-Regular"/>
          <w:sz w:val="32"/>
          <w:szCs w:val="32"/>
          <w:lang w:val="en-US"/>
        </w:rPr>
        <w:t>26.5</w:t>
      </w:r>
      <w:r>
        <w:rPr>
          <w:rFonts w:hint="eastAsia" w:ascii="仿宋_GB2312" w:eastAsia="仿宋_GB2312" w:cs="DengXian-Regular"/>
          <w:sz w:val="32"/>
          <w:szCs w:val="32"/>
        </w:rPr>
        <w:t>%，预算调整增加了</w:t>
      </w:r>
      <w:r>
        <w:rPr>
          <w:rFonts w:hint="default" w:ascii="仿宋_GB2312" w:eastAsia="仿宋_GB2312" w:cs="DengXian-Regular"/>
          <w:sz w:val="32"/>
          <w:szCs w:val="32"/>
          <w:lang w:val="en-US"/>
        </w:rPr>
        <w:t>20</w:t>
      </w:r>
      <w:r>
        <w:rPr>
          <w:rFonts w:hint="eastAsia" w:ascii="仿宋_GB2312" w:eastAsia="仿宋_GB2312" w:cs="DengXian-Regular"/>
          <w:sz w:val="32"/>
          <w:szCs w:val="32"/>
        </w:rPr>
        <w:t>个百分点，</w:t>
      </w:r>
      <w:r>
        <w:rPr>
          <w:rFonts w:hint="eastAsia" w:ascii="仿宋_GB2312" w:eastAsia="仿宋_GB2312" w:cs="DengXian-Regular"/>
          <w:sz w:val="32"/>
          <w:szCs w:val="32"/>
          <w:lang w:eastAsia="zh-CN"/>
        </w:rPr>
        <w:t>不扣</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提供的202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年决算文本，部门决算财政拨款支出数</w:t>
      </w:r>
      <w:r>
        <w:rPr>
          <w:rFonts w:hint="eastAsia" w:ascii="仿宋_GB2312" w:eastAsia="仿宋_GB2312" w:cs="DengXian-Regular"/>
          <w:sz w:val="32"/>
          <w:szCs w:val="32"/>
          <w:lang w:val="en-US" w:eastAsia="zh-CN"/>
        </w:rPr>
        <w:t>6987.77</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7023.7</w:t>
      </w:r>
      <w:r>
        <w:rPr>
          <w:rFonts w:hint="eastAsia" w:ascii="仿宋_GB2312" w:eastAsia="仿宋_GB2312" w:cs="DengXian-Regular"/>
          <w:sz w:val="32"/>
          <w:szCs w:val="32"/>
        </w:rPr>
        <w:t>万元，财政拨款支出率=（</w:t>
      </w:r>
      <w:r>
        <w:rPr>
          <w:rFonts w:hint="eastAsia" w:ascii="仿宋_GB2312" w:eastAsia="仿宋_GB2312" w:cs="DengXian-Regular"/>
          <w:sz w:val="32"/>
          <w:szCs w:val="32"/>
          <w:lang w:val="en-US" w:eastAsia="zh-CN"/>
        </w:rPr>
        <w:t>6987.77</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7023.7</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99.49</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年年初结转和结余</w:t>
      </w:r>
      <w:r>
        <w:rPr>
          <w:rFonts w:hint="eastAsia" w:ascii="仿宋_GB2312" w:eastAsia="仿宋_GB2312" w:cs="DengXian-Regular"/>
          <w:sz w:val="32"/>
          <w:szCs w:val="32"/>
          <w:lang w:val="en-US" w:eastAsia="zh-CN"/>
        </w:rPr>
        <w:t>18.72</w:t>
      </w:r>
      <w:r>
        <w:rPr>
          <w:rFonts w:hint="eastAsia" w:ascii="仿宋_GB2312" w:eastAsia="仿宋_GB2312" w:cs="DengXian-Regular"/>
          <w:sz w:val="32"/>
          <w:szCs w:val="32"/>
        </w:rPr>
        <w:t>万元，故支出数大于收入数。</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4.29</w:t>
      </w:r>
      <w:r>
        <w:rPr>
          <w:rFonts w:hint="eastAsia" w:ascii="仿宋_GB2312" w:eastAsia="仿宋_GB2312" w:cs="DengXian-Regular"/>
          <w:sz w:val="32"/>
          <w:szCs w:val="32"/>
        </w:rPr>
        <w:t>万元，“三公”经费控制率=（</w:t>
      </w:r>
      <w:r>
        <w:rPr>
          <w:rFonts w:hint="eastAsia" w:ascii="仿宋_GB2312" w:eastAsia="仿宋_GB2312" w:cs="DengXian-Regular"/>
          <w:sz w:val="32"/>
          <w:szCs w:val="32"/>
          <w:lang w:val="en-US" w:eastAsia="zh-CN"/>
        </w:rPr>
        <w:t>4.29</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88.27</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年预算文本及决算文本，政府采购年初预算数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年决算文本、明细账及总账，区区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决算文本数据均与明细账、总账一致。</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工作制度涵盖了财务制度、网络安全制度、公务用车制度等相关制度，经检查区区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付款流程审批单、资产盘点表等资料，区区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已按照相关管理制度的规定执行。</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年按政府信息公开的有关要求在保定市徐水区人民政府网公开了202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年的预算情况、部门责任清单、行政监督清单等相关信息。</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会计信息资料真实完整，</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建立了固定资产台账、无形资产台账，资产保存完整，202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22.976</w:t>
      </w:r>
      <w:r>
        <w:rPr>
          <w:rFonts w:hint="eastAsia" w:ascii="仿宋_GB2312" w:eastAsia="仿宋_GB2312" w:cs="DengXian-Regular"/>
          <w:sz w:val="32"/>
          <w:szCs w:val="32"/>
        </w:rPr>
        <w:t>万元，包含：</w:t>
      </w:r>
      <w:r>
        <w:rPr>
          <w:rFonts w:hint="default" w:ascii="仿宋_GB2312" w:eastAsia="仿宋_GB2312" w:cs="DengXian-Regular"/>
          <w:sz w:val="32"/>
          <w:szCs w:val="32"/>
          <w:lang w:val="en-US"/>
        </w:rPr>
        <w:t>6.15</w:t>
      </w:r>
      <w:r>
        <w:rPr>
          <w:rFonts w:hint="eastAsia" w:ascii="仿宋_GB2312" w:eastAsia="仿宋_GB2312" w:cs="DengXian-Regular"/>
          <w:sz w:val="32"/>
          <w:szCs w:val="32"/>
        </w:rPr>
        <w:t>万元、电脑及计算机设备</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采集仪等</w:t>
      </w:r>
      <w:r>
        <w:rPr>
          <w:rFonts w:hint="default" w:ascii="仿宋_GB2312" w:eastAsia="仿宋_GB2312" w:cs="DengXian-Regular"/>
          <w:sz w:val="32"/>
          <w:szCs w:val="32"/>
          <w:lang w:val="en-US"/>
        </w:rPr>
        <w:t>16.826</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年开展绩效自评的项目数为</w:t>
      </w:r>
      <w:r>
        <w:rPr>
          <w:rFonts w:hint="eastAsia" w:ascii="仿宋_GB2312" w:eastAsia="仿宋_GB2312" w:cs="DengXian-Regular"/>
          <w:sz w:val="32"/>
          <w:szCs w:val="32"/>
          <w:lang w:val="en-US" w:eastAsia="zh-CN"/>
        </w:rPr>
        <w:t>32</w:t>
      </w:r>
      <w:r>
        <w:rPr>
          <w:rFonts w:hint="eastAsia" w:ascii="仿宋_GB2312" w:eastAsia="仿宋_GB2312" w:cs="DengXian-Regular"/>
          <w:sz w:val="32"/>
          <w:szCs w:val="32"/>
        </w:rPr>
        <w:t>个，年初预算文本项目数</w:t>
      </w:r>
      <w:r>
        <w:rPr>
          <w:rFonts w:hint="eastAsia" w:ascii="仿宋_GB2312" w:eastAsia="仿宋_GB2312" w:cs="DengXian-Regular"/>
          <w:sz w:val="32"/>
          <w:szCs w:val="32"/>
          <w:lang w:val="en-US" w:eastAsia="zh-CN"/>
        </w:rPr>
        <w:t>32</w:t>
      </w:r>
      <w:r>
        <w:rPr>
          <w:rFonts w:hint="eastAsia" w:ascii="仿宋_GB2312" w:eastAsia="仿宋_GB2312" w:cs="DengXian-Regular"/>
          <w:sz w:val="32"/>
          <w:szCs w:val="32"/>
        </w:rPr>
        <w:t>个，要求自评项目个数</w:t>
      </w:r>
      <w:r>
        <w:rPr>
          <w:rFonts w:hint="eastAsia" w:ascii="仿宋_GB2312" w:eastAsia="仿宋_GB2312" w:cs="DengXian-Regular"/>
          <w:sz w:val="32"/>
          <w:szCs w:val="32"/>
          <w:lang w:val="en-US" w:eastAsia="zh-CN"/>
        </w:rPr>
        <w:t>12</w:t>
      </w:r>
      <w:r>
        <w:rPr>
          <w:rFonts w:hint="eastAsia" w:ascii="仿宋_GB2312" w:eastAsia="仿宋_GB2312" w:cs="DengXian-Regular"/>
          <w:sz w:val="32"/>
          <w:szCs w:val="32"/>
        </w:rPr>
        <w:t>个，自评覆盖率为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年参评数量</w:t>
      </w:r>
      <w:r>
        <w:rPr>
          <w:rFonts w:hint="eastAsia" w:ascii="仿宋_GB2312" w:eastAsia="仿宋_GB2312" w:cs="DengXian-Regular"/>
          <w:sz w:val="32"/>
          <w:szCs w:val="32"/>
          <w:lang w:val="en-US" w:eastAsia="zh-CN"/>
        </w:rPr>
        <w:t>37</w:t>
      </w:r>
      <w:r>
        <w:rPr>
          <w:rFonts w:hint="eastAsia" w:ascii="仿宋_GB2312" w:eastAsia="仿宋_GB2312" w:cs="DengXian-Regular"/>
          <w:sz w:val="32"/>
          <w:szCs w:val="32"/>
        </w:rPr>
        <w:t>个，绩效评价结果达到优等的数量</w:t>
      </w:r>
      <w:r>
        <w:rPr>
          <w:rFonts w:hint="eastAsia" w:ascii="仿宋_GB2312" w:eastAsia="仿宋_GB2312" w:cs="DengXian-Regular"/>
          <w:sz w:val="32"/>
          <w:szCs w:val="32"/>
          <w:lang w:val="en-US" w:eastAsia="zh-CN"/>
        </w:rPr>
        <w:t>31</w:t>
      </w:r>
      <w:r>
        <w:rPr>
          <w:rFonts w:hint="eastAsia" w:ascii="仿宋_GB2312" w:eastAsia="仿宋_GB2312" w:cs="DengXian-Regular"/>
          <w:sz w:val="32"/>
          <w:szCs w:val="32"/>
        </w:rPr>
        <w:t>个，绩效评价优等率为</w:t>
      </w:r>
      <w:r>
        <w:rPr>
          <w:rFonts w:hint="eastAsia" w:ascii="仿宋_GB2312" w:eastAsia="仿宋_GB2312" w:cs="DengXian-Regular"/>
          <w:sz w:val="32"/>
          <w:szCs w:val="32"/>
          <w:lang w:val="en-US" w:eastAsia="zh-CN"/>
        </w:rPr>
        <w:t>83.8</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bookmarkEnd w:id="64"/>
      <w:bookmarkEnd w:id="65"/>
    </w:p>
    <w:p>
      <w:pPr>
        <w:pStyle w:val="4"/>
        <w:spacing w:before="0" w:after="0"/>
        <w:ind w:firstLine="643"/>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w:t>
      </w:r>
      <w:r>
        <w:rPr>
          <w:rFonts w:hint="eastAsia" w:ascii="仿宋_GB2312" w:eastAsia="仿宋_GB2312" w:cs="DengXian-Regular"/>
          <w:sz w:val="32"/>
          <w:szCs w:val="32"/>
          <w:lang w:val="en-US" w:eastAsia="zh-CN"/>
        </w:rPr>
        <w:t>资金足额兑现率、专款专用率、支付标准、资金及时支付率</w:t>
      </w:r>
      <w:r>
        <w:rPr>
          <w:rFonts w:hint="eastAsia" w:ascii="仿宋_GB2312" w:eastAsia="仿宋_GB2312" w:cs="DengXian-Regular"/>
          <w:sz w:val="32"/>
          <w:szCs w:val="32"/>
        </w:rPr>
        <w:t>。</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36"/>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ascii="仿宋_GB2312" w:eastAsia="仿宋_GB2312" w:cs="DengXian-Regular"/>
                <w:sz w:val="32"/>
                <w:szCs w:val="32"/>
                <w:lang w:val="en-US" w:eastAsia="zh-CN"/>
              </w:rPr>
              <w:t>资金足额兑现率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ascii="仿宋_GB2312" w:eastAsia="仿宋_GB2312" w:cs="DengXian-Regular"/>
                <w:sz w:val="32"/>
                <w:szCs w:val="32"/>
                <w:lang w:val="en-US" w:eastAsia="zh-CN"/>
              </w:rPr>
              <w:t>专款专用率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ascii="仿宋_GB2312" w:eastAsia="仿宋_GB2312" w:cs="DengXian-Regular"/>
                <w:sz w:val="32"/>
                <w:szCs w:val="32"/>
                <w:lang w:val="en-US" w:eastAsia="zh-CN"/>
              </w:rPr>
              <w:t>支付标准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ascii="仿宋_GB2312" w:eastAsia="仿宋_GB2312" w:cs="DengXian-Regular"/>
                <w:sz w:val="32"/>
                <w:szCs w:val="32"/>
                <w:lang w:val="en-US" w:eastAsia="zh-CN"/>
              </w:rPr>
              <w:t>资金及时支付率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25</w:t>
            </w:r>
          </w:p>
        </w:tc>
      </w:tr>
    </w:tbl>
    <w:p>
      <w:pPr>
        <w:spacing w:after="0" w:line="360" w:lineRule="auto"/>
        <w:ind w:firstLine="640"/>
        <w:jc w:val="both"/>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w:t>
      </w:r>
      <w:r>
        <w:rPr>
          <w:rFonts w:hint="eastAsia" w:ascii="仿宋_GB2312" w:eastAsia="仿宋_GB2312" w:cs="DengXian-Regular"/>
          <w:sz w:val="32"/>
          <w:szCs w:val="32"/>
          <w:lang w:val="en-US" w:eastAsia="zh-CN"/>
        </w:rPr>
        <w:t>资金足额兑现率</w:t>
      </w:r>
      <w:r>
        <w:rPr>
          <w:rFonts w:hint="eastAsia" w:ascii="仿宋_GB2312" w:eastAsia="仿宋_GB2312" w:cs="DengXian-Regular"/>
          <w:sz w:val="32"/>
          <w:szCs w:val="32"/>
        </w:rPr>
        <w:t>（5分）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lang w:val="en-US" w:eastAsia="zh-CN"/>
        </w:rPr>
        <w:t>资金按照要求，按照规定，足额发放到服务对象手中</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w:t>
      </w:r>
      <w:r>
        <w:rPr>
          <w:rFonts w:hint="eastAsia" w:ascii="仿宋_GB2312" w:eastAsia="仿宋_GB2312" w:cs="DengXian-Regular"/>
          <w:sz w:val="32"/>
          <w:szCs w:val="32"/>
          <w:lang w:val="en-US" w:eastAsia="zh-CN"/>
        </w:rPr>
        <w:t>专款专</w:t>
      </w:r>
      <w:r>
        <w:rPr>
          <w:rFonts w:hint="eastAsia" w:ascii="仿宋_GB2312" w:eastAsia="仿宋_GB2312" w:cs="DengXian-Regular"/>
          <w:sz w:val="32"/>
          <w:szCs w:val="32"/>
        </w:rPr>
        <w:t>用率（5分）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6825.18</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37</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3123.27</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114.18</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pStyle w:val="4"/>
        <w:spacing w:before="0" w:after="0"/>
        <w:ind w:firstLine="643"/>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jc w:val="both"/>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36"/>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15</w:t>
            </w:r>
            <w:bookmarkEnd w:id="70"/>
          </w:p>
        </w:tc>
      </w:tr>
    </w:tbl>
    <w:p>
      <w:pPr>
        <w:spacing w:after="0" w:line="360" w:lineRule="auto"/>
        <w:ind w:firstLine="640"/>
        <w:jc w:val="both"/>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jc w:val="both"/>
        <w:rPr>
          <w:rFonts w:hint="eastAsia" w:ascii="仿宋_GB2312" w:eastAsia="仿宋_GB2312" w:cs="DengXian-Regular"/>
          <w:sz w:val="32"/>
          <w:szCs w:val="32"/>
          <w:lang w:val="en-US" w:eastAsia="zh-CN"/>
        </w:rPr>
      </w:pPr>
      <w:r>
        <w:rPr>
          <w:rFonts w:hint="eastAsia" w:ascii="仿宋_GB2312" w:eastAsia="仿宋_GB2312" w:cs="DengXian-Regular"/>
          <w:sz w:val="32"/>
          <w:szCs w:val="32"/>
        </w:rPr>
        <w:t>经查看区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履行职责对社会发展所带来的社会效益较显著，</w:t>
      </w:r>
      <w:r>
        <w:rPr>
          <w:rFonts w:hint="eastAsia" w:ascii="仿宋_GB2312" w:eastAsia="仿宋_GB2312" w:cs="DengXian-Regular"/>
          <w:sz w:val="32"/>
          <w:szCs w:val="32"/>
          <w:lang w:val="en-US" w:eastAsia="zh-CN"/>
        </w:rPr>
        <w:t>确保退役军人的合法权益得到保障。</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分。</w:t>
      </w:r>
    </w:p>
    <w:p>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该指标主要评价社会公众或部门的服务对象对部门履职效果的满意程度。</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针对该指标，我们随机选取了50个调查对象进行了问卷调查，具体调查情况如下：</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表6  服务对象满意度调查问卷汇总表</w:t>
      </w:r>
    </w:p>
    <w:p>
      <w:pPr>
        <w:spacing w:after="0" w:line="540" w:lineRule="exact"/>
        <w:ind w:firstLine="6930"/>
        <w:jc w:val="both"/>
        <w:rPr>
          <w:rFonts w:ascii="仿宋_GB2312" w:eastAsia="仿宋_GB2312" w:cs="Times New Roman" w:hAnsiTheme="minorEastAsia"/>
          <w:sz w:val="32"/>
          <w:szCs w:val="32"/>
        </w:rPr>
      </w:pPr>
      <w:r>
        <w:rPr>
          <w:rFonts w:hint="eastAsia" w:asciiTheme="minorEastAsia" w:hAnsiTheme="minorEastAsia" w:eastAsiaTheme="minorEastAsia" w:cstheme="minorEastAsia"/>
          <w:sz w:val="21"/>
          <w:szCs w:val="21"/>
        </w:rPr>
        <w:t>单位：人次</w:t>
      </w:r>
    </w:p>
    <w:tbl>
      <w:tblPr>
        <w:tblStyle w:val="36"/>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noWrap w:val="0"/>
            <w:vAlign w:val="center"/>
          </w:tcPr>
          <w:p>
            <w:pPr>
              <w:spacing w:after="0" w:line="540" w:lineRule="exact"/>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调查项目</w:t>
            </w:r>
          </w:p>
        </w:tc>
        <w:tc>
          <w:tcPr>
            <w:tcW w:w="1114" w:type="dxa"/>
            <w:tcBorders>
              <w:top w:val="single" w:color="auto" w:sz="4" w:space="0"/>
              <w:left w:val="single" w:color="auto" w:sz="4" w:space="0"/>
              <w:bottom w:val="single" w:color="auto" w:sz="4" w:space="0"/>
              <w:right w:val="single" w:color="auto" w:sz="4" w:space="0"/>
            </w:tcBorders>
            <w:noWrap w:val="0"/>
            <w:vAlign w:val="center"/>
          </w:tcPr>
          <w:p>
            <w:pPr>
              <w:spacing w:after="0" w:line="540" w:lineRule="exact"/>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满意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0" w:line="540" w:lineRule="exact"/>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一般</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after="0" w:line="540" w:lineRule="exact"/>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不满意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spacing w:after="0" w:line="540" w:lineRule="exact"/>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合计</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after="0" w:line="540" w:lineRule="exact"/>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both"/>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发放优抚生活补助及时满意度</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4900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val="en-US" w:eastAsia="zh-CN"/>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99</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both"/>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慰问关爱退役军人工作是否满意</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4500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rPr>
              <w:t>X</w:t>
            </w:r>
            <w:r>
              <w:rPr>
                <w:rFonts w:hint="eastAsia" w:cs="Times New Roman" w:asciiTheme="minorEastAsia" w:hAnsiTheme="minorEastAsia" w:eastAsiaTheme="minorEastAsia"/>
                <w:sz w:val="21"/>
                <w:szCs w:val="21"/>
                <w:lang w:val="en-US" w:eastAsia="zh-CN"/>
              </w:rPr>
              <w:t>250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val="en-US" w:eastAsia="zh-CN"/>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95</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both"/>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退役军人保障发宣传工作</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4900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val="en-US" w:eastAsia="zh-CN"/>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auto"/>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99</w:t>
            </w:r>
          </w:p>
        </w:tc>
      </w:tr>
    </w:tbl>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调查问卷共分为3个单项，每个单项满分为100分。其中：每一单项满分为100分：满意为100分，一般为50分，不满意为0分。</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单项满意度得分=总分数/总人数</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总体满意度得分=∑1/3各单项满意度得分</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经计算，总体得分为</w:t>
      </w:r>
      <w:r>
        <w:rPr>
          <w:rFonts w:hint="eastAsia" w:ascii="仿宋_GB2312" w:eastAsia="仿宋_GB2312" w:cs="Times New Roman" w:hAnsiTheme="minorEastAsia"/>
          <w:sz w:val="32"/>
          <w:szCs w:val="32"/>
          <w:lang w:val="en-US" w:eastAsia="zh-CN"/>
        </w:rPr>
        <w:t>94.8</w:t>
      </w:r>
      <w:r>
        <w:rPr>
          <w:rFonts w:hint="eastAsia" w:ascii="仿宋_GB2312" w:eastAsia="仿宋_GB2312" w:cs="Times New Roman" w:hAnsiTheme="minorEastAsia"/>
          <w:sz w:val="32"/>
          <w:szCs w:val="32"/>
        </w:rPr>
        <w:t>分，大于90分，评价等级为“</w:t>
      </w:r>
      <w:r>
        <w:rPr>
          <w:rFonts w:hint="eastAsia" w:ascii="仿宋_GB2312" w:eastAsia="仿宋_GB2312" w:cs="Times New Roman" w:hAnsiTheme="minorEastAsia"/>
          <w:sz w:val="32"/>
          <w:szCs w:val="32"/>
          <w:lang w:val="en-US" w:eastAsia="zh-CN"/>
        </w:rPr>
        <w:t>优</w:t>
      </w:r>
      <w:r>
        <w:rPr>
          <w:rFonts w:hint="eastAsia" w:ascii="仿宋_GB2312" w:eastAsia="仿宋_GB2312" w:cs="Times New Roman" w:hAnsiTheme="minorEastAsia"/>
          <w:sz w:val="32"/>
          <w:szCs w:val="32"/>
        </w:rPr>
        <w:t>”。</w:t>
      </w:r>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该指标实际得分</w:t>
      </w:r>
      <w:r>
        <w:rPr>
          <w:rFonts w:hint="eastAsia" w:ascii="仿宋_GB2312" w:eastAsia="仿宋_GB2312" w:cs="Times New Roman" w:hAnsiTheme="minorEastAsia"/>
          <w:sz w:val="32"/>
          <w:szCs w:val="32"/>
          <w:lang w:val="en-US" w:eastAsia="zh-CN"/>
        </w:rPr>
        <w:t>5</w:t>
      </w:r>
      <w:r>
        <w:rPr>
          <w:rFonts w:hint="eastAsia" w:ascii="仿宋_GB2312" w:eastAsia="仿宋_GB2312" w:cs="Times New Roman" w:hAnsiTheme="minorEastAsia"/>
          <w:sz w:val="32"/>
          <w:szCs w:val="32"/>
        </w:rPr>
        <w:t>分。</w:t>
      </w:r>
    </w:p>
    <w:p>
      <w:pPr>
        <w:pStyle w:val="3"/>
        <w:keepNext w:val="0"/>
        <w:keepLines w:val="0"/>
        <w:suppressLineNumbers/>
        <w:spacing w:before="0" w:after="0" w:line="360" w:lineRule="auto"/>
        <w:ind w:firstLine="643"/>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rPr>
        <w:t>202</w:t>
      </w:r>
      <w:r>
        <w:rPr>
          <w:rFonts w:hint="default" w:ascii="仿宋_GB2312" w:eastAsia="仿宋_GB2312" w:cs="DengXian-Regular"/>
          <w:sz w:val="32"/>
          <w:szCs w:val="32"/>
          <w:lang w:val="en-US"/>
        </w:rPr>
        <w:t>2</w:t>
      </w:r>
      <w:r>
        <w:rPr>
          <w:rFonts w:hint="eastAsia" w:ascii="仿宋_GB2312" w:eastAsia="仿宋_GB2312" w:cs="Times New Roman" w:hAnsiTheme="minorEastAsia"/>
          <w:sz w:val="32"/>
          <w:szCs w:val="32"/>
        </w:rPr>
        <w:t>年部门整体支出基本按相关要求执行预算、决算，完成了绩效目标，资金使用效益良好。通过评价，也发现一些不足之处，具体情况如下：</w:t>
      </w:r>
      <w:bookmarkStart w:id="76" w:name="_Toc20723"/>
    </w:p>
    <w:p>
      <w:pPr>
        <w:spacing w:after="0" w:line="360" w:lineRule="auto"/>
        <w:ind w:firstLine="640"/>
        <w:jc w:val="both"/>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rPr>
        <w:t>1.部分绩效指标方面</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lang w:val="en-US" w:eastAsia="zh-CN"/>
        </w:rPr>
        <w:t>绩效指标量化设定不够全面。</w:t>
      </w:r>
    </w:p>
    <w:p>
      <w:pPr>
        <w:spacing w:after="0" w:line="360" w:lineRule="auto"/>
        <w:ind w:firstLine="640"/>
        <w:jc w:val="both"/>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rPr>
        <w:t>2.预算决算比较</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lang w:val="en-US" w:eastAsia="zh-CN"/>
        </w:rPr>
        <w:t>各项操作处于探索中，年中有优抚资金退回，预决算存在差异。</w:t>
      </w:r>
    </w:p>
    <w:p>
      <w:pPr>
        <w:spacing w:after="0" w:line="360" w:lineRule="auto"/>
        <w:ind w:firstLine="640"/>
        <w:jc w:val="both"/>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rPr>
        <w:t>3.预算追加方面</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lang w:val="en-US" w:eastAsia="zh-CN"/>
        </w:rPr>
        <w:t>信访人员缴费保险基数调整年初不确定调整金额，在预算执行中预算资金追加情况发生。</w:t>
      </w:r>
    </w:p>
    <w:p>
      <w:pPr>
        <w:spacing w:after="0" w:line="360" w:lineRule="auto"/>
        <w:ind w:firstLine="640"/>
        <w:jc w:val="both"/>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rPr>
        <w:t>4.政府采购方面</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lang w:val="en-US" w:eastAsia="zh-CN"/>
        </w:rPr>
        <w:t>缺乏相关经验，应向其他单位学习交流。</w:t>
      </w:r>
    </w:p>
    <w:p>
      <w:pPr>
        <w:spacing w:after="0" w:line="360" w:lineRule="auto"/>
        <w:ind w:firstLine="640"/>
        <w:jc w:val="both"/>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rPr>
        <w:t>5.项目资金使用率方面</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lang w:val="en-US" w:eastAsia="zh-CN"/>
        </w:rPr>
        <w:t>预算数额不准确，在资金使用上存在差异。</w:t>
      </w:r>
    </w:p>
    <w:p>
      <w:pPr>
        <w:spacing w:after="0" w:line="360" w:lineRule="auto"/>
        <w:ind w:firstLine="640"/>
        <w:jc w:val="both"/>
        <w:rPr>
          <w:rFonts w:hint="eastAsia" w:ascii="仿宋_GB2312" w:eastAsia="仿宋_GB2312" w:cs="Times New Roman" w:hAnsiTheme="minorEastAsia"/>
          <w:sz w:val="32"/>
          <w:szCs w:val="32"/>
        </w:rPr>
      </w:pPr>
    </w:p>
    <w:p>
      <w:pPr>
        <w:spacing w:after="0" w:line="360" w:lineRule="auto"/>
        <w:ind w:firstLine="640"/>
        <w:jc w:val="both"/>
        <w:rPr>
          <w:rFonts w:hint="eastAsia" w:ascii="仿宋_GB2312" w:eastAsia="仿宋_GB2312" w:cs="Times New Roman" w:hAnsiTheme="minorEastAsia"/>
          <w:sz w:val="32"/>
          <w:szCs w:val="32"/>
        </w:rPr>
      </w:pPr>
    </w:p>
    <w:p>
      <w:pPr>
        <w:spacing w:after="0" w:line="360" w:lineRule="auto"/>
        <w:ind w:firstLine="640"/>
        <w:jc w:val="both"/>
        <w:rPr>
          <w:rFonts w:hint="eastAsia" w:ascii="仿宋_GB2312" w:eastAsia="仿宋_GB2312" w:cs="Times New Roman" w:hAnsiTheme="minorEastAsia"/>
          <w:sz w:val="32"/>
          <w:szCs w:val="32"/>
        </w:rPr>
      </w:pPr>
    </w:p>
    <w:bookmarkEnd w:id="75"/>
    <w:bookmarkEnd w:id="76"/>
    <w:p>
      <w:pPr>
        <w:spacing w:after="0" w:line="360" w:lineRule="auto"/>
        <w:ind w:firstLine="640"/>
        <w:jc w:val="both"/>
        <w:rPr>
          <w:rFonts w:hint="eastAsia" w:ascii="仿宋_GB2312" w:eastAsia="仿宋_GB2312" w:cs="Times New Roman" w:hAnsiTheme="minorEastAsia"/>
          <w:sz w:val="32"/>
          <w:szCs w:val="32"/>
        </w:rPr>
      </w:pPr>
    </w:p>
    <w:p>
      <w:pPr>
        <w:spacing w:after="0" w:line="360" w:lineRule="auto"/>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rPr>
        <w:t>部门基本情况及主要职责</w:t>
      </w:r>
    </w:p>
    <w:p>
      <w:pPr>
        <w:spacing w:after="0" w:line="540" w:lineRule="exact"/>
        <w:ind w:firstLine="960"/>
        <w:jc w:val="both"/>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w:t>
      </w:r>
      <w:r>
        <w:rPr>
          <w:rFonts w:ascii="仿宋_GB2312" w:eastAsia="仿宋_GB2312" w:cs="Times New Roman" w:hAnsiTheme="minorEastAsia"/>
          <w:sz w:val="32"/>
          <w:szCs w:val="32"/>
        </w:rPr>
        <w:t>202</w:t>
      </w:r>
      <w:r>
        <w:rPr>
          <w:rFonts w:hint="default" w:ascii="仿宋_GB2312" w:eastAsia="仿宋_GB2312" w:cs="Times New Roman" w:hAnsiTheme="minorEastAsia"/>
          <w:sz w:val="32"/>
          <w:szCs w:val="32"/>
          <w:lang w:val="en-US"/>
        </w:rPr>
        <w:t>2</w:t>
      </w:r>
      <w:r>
        <w:rPr>
          <w:rFonts w:hint="eastAsia" w:ascii="仿宋_GB2312" w:eastAsia="仿宋_GB2312" w:cs="Times New Roman" w:hAnsiTheme="minorEastAsia"/>
          <w:sz w:val="32"/>
          <w:szCs w:val="32"/>
        </w:rPr>
        <w:t>年度保定市徐水区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rPr>
        <w:t>收支预算及决算明细表</w:t>
      </w:r>
    </w:p>
    <w:p>
      <w:pPr>
        <w:spacing w:after="0" w:line="540" w:lineRule="exact"/>
        <w:ind w:firstLine="960"/>
        <w:jc w:val="both"/>
        <w:rPr>
          <w:rFonts w:ascii="仿宋_GB2312" w:eastAsia="仿宋_GB2312" w:cs="Times New Roman" w:hAnsiTheme="minorEastAsia"/>
          <w:sz w:val="32"/>
          <w:szCs w:val="32"/>
        </w:rPr>
      </w:pPr>
      <w:bookmarkStart w:id="77" w:name="_Toc465149534"/>
      <w:r>
        <w:rPr>
          <w:rFonts w:hint="eastAsia" w:ascii="仿宋_GB2312" w:eastAsia="仿宋_GB2312" w:cs="Times New Roman" w:hAnsiTheme="minorEastAsia"/>
          <w:sz w:val="32"/>
          <w:szCs w:val="32"/>
        </w:rPr>
        <w:t>3.</w:t>
      </w:r>
      <w:bookmarkEnd w:id="77"/>
      <w:r>
        <w:rPr>
          <w:rFonts w:hint="eastAsia" w:ascii="仿宋_GB2312" w:eastAsia="仿宋_GB2312" w:cs="Times New Roman" w:hAnsiTheme="minorEastAsia"/>
          <w:sz w:val="32"/>
          <w:szCs w:val="32"/>
        </w:rPr>
        <w:t>部门整体支出绩效评价指标体系</w:t>
      </w:r>
    </w:p>
    <w:p>
      <w:pPr>
        <w:spacing w:after="0" w:line="540" w:lineRule="exact"/>
        <w:ind w:firstLine="960"/>
        <w:jc w:val="both"/>
        <w:rPr>
          <w:rFonts w:ascii="仿宋_GB2312" w:eastAsia="仿宋_GB2312" w:cs="Times New Roman" w:hAnsiTheme="minorEastAsia"/>
          <w:sz w:val="32"/>
          <w:szCs w:val="32"/>
        </w:rPr>
      </w:pPr>
      <w:bookmarkStart w:id="78" w:name="_Toc465149544"/>
      <w:r>
        <w:rPr>
          <w:rFonts w:hint="eastAsia" w:ascii="仿宋_GB2312" w:eastAsia="仿宋_GB2312" w:cs="Times New Roman" w:hAnsiTheme="minorEastAsia"/>
          <w:sz w:val="32"/>
          <w:szCs w:val="32"/>
        </w:rPr>
        <w:t>4.</w:t>
      </w:r>
      <w:bookmarkEnd w:id="78"/>
      <w:r>
        <w:rPr>
          <w:rFonts w:ascii="仿宋_GB2312" w:eastAsia="仿宋_GB2312" w:cs="Times New Roman" w:hAnsiTheme="minorEastAsia"/>
          <w:sz w:val="32"/>
          <w:szCs w:val="32"/>
        </w:rPr>
        <w:t>202</w:t>
      </w:r>
      <w:r>
        <w:rPr>
          <w:rFonts w:hint="default" w:ascii="仿宋_GB2312" w:eastAsia="仿宋_GB2312" w:cs="Times New Roman" w:hAnsiTheme="minorEastAsia"/>
          <w:sz w:val="32"/>
          <w:szCs w:val="32"/>
          <w:lang w:val="en-US"/>
        </w:rPr>
        <w:t>2</w:t>
      </w:r>
      <w:r>
        <w:rPr>
          <w:rFonts w:hint="eastAsia" w:ascii="仿宋_GB2312" w:eastAsia="仿宋_GB2312" w:cs="Times New Roman" w:hAnsiTheme="minorEastAsia"/>
          <w:sz w:val="32"/>
          <w:szCs w:val="32"/>
        </w:rPr>
        <w:t>年徐水区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rPr>
        <w:t>工作活动绩效目标、绩效指标一览表</w:t>
      </w:r>
    </w:p>
    <w:p>
      <w:pPr>
        <w:spacing w:line="540" w:lineRule="exact"/>
        <w:ind w:firstLine="640"/>
        <w:jc w:val="both"/>
        <w:rPr>
          <w:rFonts w:ascii="仿宋_GB2312" w:eastAsia="仿宋_GB2312" w:cs="Times New Roman" w:hAnsiTheme="minorEastAsia"/>
          <w:sz w:val="32"/>
          <w:szCs w:val="32"/>
        </w:rPr>
      </w:pPr>
    </w:p>
    <w:p>
      <w:pPr>
        <w:spacing w:line="540" w:lineRule="exact"/>
        <w:ind w:firstLine="640"/>
        <w:jc w:val="both"/>
        <w:rPr>
          <w:rFonts w:ascii="仿宋_GB2312" w:eastAsia="仿宋_GB2312" w:cs="Times New Roman" w:hAnsiTheme="minorEastAsia"/>
          <w:sz w:val="32"/>
          <w:szCs w:val="32"/>
        </w:rPr>
      </w:pPr>
    </w:p>
    <w:p>
      <w:pPr>
        <w:spacing w:line="540" w:lineRule="exact"/>
        <w:ind w:firstLine="640"/>
        <w:jc w:val="both"/>
        <w:rPr>
          <w:rFonts w:ascii="仿宋_GB2312" w:eastAsia="仿宋_GB2312" w:cs="Times New Roman" w:hAnsiTheme="minorEastAsia"/>
          <w:sz w:val="32"/>
          <w:szCs w:val="32"/>
        </w:rPr>
      </w:pPr>
    </w:p>
    <w:p>
      <w:pPr>
        <w:spacing w:line="540" w:lineRule="exact"/>
        <w:ind w:firstLine="640"/>
        <w:jc w:val="both"/>
        <w:rPr>
          <w:rFonts w:ascii="仿宋_GB2312" w:eastAsia="仿宋_GB2312" w:cs="Times New Roman" w:hAnsiTheme="minorEastAsia"/>
          <w:sz w:val="32"/>
          <w:szCs w:val="32"/>
        </w:rPr>
      </w:pPr>
    </w:p>
    <w:sectPr>
      <w:footerReference r:id="rId4" w:type="default"/>
      <w:pgSz w:w="11906" w:h="16838" w:orient="landscape"/>
      <w:pgMar w:top="1440" w:right="1684" w:bottom="1191" w:left="1684" w:header="709" w:footer="709" w:gutter="0"/>
      <w:pgNumType w:start="1"/>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DengXian-Regular">
    <w:altName w:val="Vijaya"/>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1"/>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4</w:t>
    </w:r>
    <w:r>
      <w:rPr>
        <w:lang w:val="zh-CN"/>
      </w:rPr>
      <w:fldChar w:fldCharType="end"/>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5363A"/>
    <w:rsid w:val="0C5B6861"/>
    <w:rsid w:val="77552B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hint="default" w:ascii="Tahoma" w:hAnsi="Tahoma" w:eastAsia="微软雅黑" w:cstheme="minorBidi"/>
      <w:sz w:val="22"/>
      <w:szCs w:val="22"/>
      <w:lang w:val="en-US" w:eastAsia="zh-CN" w:bidi="ar-SA"/>
    </w:rPr>
  </w:style>
  <w:style w:type="paragraph" w:styleId="2">
    <w:name w:val="heading 1"/>
    <w:basedOn w:val="1"/>
    <w:next w:val="1"/>
    <w:link w:val="193"/>
    <w:qFormat/>
    <w:uiPriority w:val="99"/>
    <w:pPr>
      <w:keepNext/>
      <w:keepLines/>
      <w:spacing w:before="200" w:line="360" w:lineRule="auto"/>
      <w:jc w:val="center"/>
      <w:outlineLvl w:val="0"/>
    </w:pPr>
    <w:rPr>
      <w:rFonts w:ascii="Times New Roman" w:hAnsi="Times New Roman" w:eastAsia="黑体" w:cs="Times New Roman"/>
      <w:b/>
      <w:bCs/>
      <w:color w:val="000000"/>
      <w:sz w:val="36"/>
      <w:szCs w:val="44"/>
    </w:rPr>
  </w:style>
  <w:style w:type="paragraph" w:styleId="3">
    <w:name w:val="heading 2"/>
    <w:basedOn w:val="1"/>
    <w:next w:val="1"/>
    <w:link w:val="194"/>
    <w:qFormat/>
    <w:uiPriority w:val="99"/>
    <w:pPr>
      <w:keepNext/>
      <w:keepLines/>
      <w:widowControl w:val="0"/>
      <w:spacing w:before="260" w:after="260" w:line="416" w:lineRule="auto"/>
      <w:jc w:val="both"/>
      <w:outlineLvl w:val="1"/>
    </w:pPr>
    <w:rPr>
      <w:rFonts w:ascii="Arial" w:hAnsi="Arial" w:eastAsia="黑体" w:cs="Times New Roman"/>
      <w:b/>
      <w:bCs/>
      <w:sz w:val="32"/>
      <w:szCs w:val="32"/>
    </w:rPr>
  </w:style>
  <w:style w:type="paragraph" w:styleId="4">
    <w:name w:val="heading 3"/>
    <w:basedOn w:val="1"/>
    <w:next w:val="1"/>
    <w:link w:val="195"/>
    <w:qFormat/>
    <w:uiPriority w:val="99"/>
    <w:pPr>
      <w:keepNext/>
      <w:keepLines/>
      <w:spacing w:before="260" w:after="260" w:line="360" w:lineRule="auto"/>
      <w:outlineLvl w:val="2"/>
    </w:pPr>
    <w:rPr>
      <w:rFonts w:ascii="Times New Roman" w:hAnsi="Times New Roman" w:eastAsia="仿宋_GB2312" w:cs="Times New Roman"/>
      <w:b/>
      <w:bCs/>
      <w:sz w:val="30"/>
      <w:szCs w:val="32"/>
    </w:rPr>
  </w:style>
  <w:style w:type="paragraph" w:styleId="5">
    <w:name w:val="heading 4"/>
    <w:basedOn w:val="1"/>
    <w:next w:val="1"/>
    <w:link w:val="196"/>
    <w:unhideWhenUsed/>
    <w:qFormat/>
    <w:uiPriority w:val="0"/>
    <w:pPr>
      <w:keepNext/>
      <w:keepLines/>
      <w:widowControl w:val="0"/>
      <w:spacing w:before="280" w:after="290" w:line="376" w:lineRule="auto"/>
      <w:jc w:val="both"/>
      <w:outlineLvl w:val="3"/>
    </w:pPr>
    <w:rPr>
      <w:rFonts w:asciiTheme="majorHAnsi" w:hAnsiTheme="majorHAnsi" w:eastAsiaTheme="majorEastAsia" w:cstheme="majorBidi"/>
      <w:b/>
      <w:bCs/>
      <w:sz w:val="28"/>
      <w:szCs w:val="28"/>
    </w:rPr>
  </w:style>
  <w:style w:type="paragraph" w:styleId="6">
    <w:name w:val="heading 5"/>
    <w:basedOn w:val="1"/>
    <w:next w:val="1"/>
    <w:link w:val="197"/>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sz w:val="28"/>
      <w:szCs w:val="28"/>
    </w:rPr>
  </w:style>
  <w:style w:type="paragraph" w:styleId="7">
    <w:name w:val="heading 6"/>
    <w:basedOn w:val="1"/>
    <w:next w:val="1"/>
    <w:link w:val="198"/>
    <w:unhideWhenUsed/>
    <w:qFormat/>
    <w:uiPriority w:val="0"/>
    <w:pPr>
      <w:keepNext/>
      <w:keepLines/>
      <w:widowControl w:val="0"/>
      <w:spacing w:before="240" w:after="64" w:line="320" w:lineRule="auto"/>
      <w:jc w:val="both"/>
      <w:outlineLvl w:val="5"/>
    </w:pPr>
    <w:rPr>
      <w:rFonts w:asciiTheme="majorHAnsi" w:hAnsiTheme="majorHAnsi" w:eastAsiaTheme="majorEastAsia" w:cstheme="majorBidi"/>
      <w:b/>
      <w:bCs/>
      <w:sz w:val="24"/>
      <w:szCs w:val="24"/>
    </w:rPr>
  </w:style>
  <w:style w:type="paragraph" w:styleId="8">
    <w:name w:val="heading 7"/>
    <w:basedOn w:val="1"/>
    <w:next w:val="1"/>
    <w:link w:val="5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5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4"/>
    <w:unhideWhenUsed/>
    <w:qFormat/>
    <w:uiPriority w:val="9"/>
    <w:pPr>
      <w:keepNext/>
      <w:keepLines/>
      <w:spacing w:before="320" w:after="200"/>
      <w:outlineLvl w:val="8"/>
    </w:pPr>
    <w:rPr>
      <w:rFonts w:ascii="等线" w:hAnsi="等线" w:eastAsia="等线" w:cs="等线"/>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Document Map"/>
    <w:basedOn w:val="1"/>
    <w:link w:val="205"/>
    <w:semiHidden/>
    <w:qFormat/>
    <w:uiPriority w:val="99"/>
    <w:pPr>
      <w:widowControl w:val="0"/>
      <w:shd w:val="clear" w:color="auto" w:fill="000080"/>
      <w:spacing w:after="0"/>
      <w:jc w:val="both"/>
    </w:pPr>
    <w:rPr>
      <w:rFonts w:ascii="Times New Roman" w:hAnsi="Times New Roman" w:eastAsia="宋体" w:cs="Times New Roman"/>
      <w:sz w:val="21"/>
      <w:szCs w:val="24"/>
    </w:rPr>
  </w:style>
  <w:style w:type="paragraph" w:styleId="14">
    <w:name w:val="annotation text"/>
    <w:basedOn w:val="1"/>
    <w:link w:val="203"/>
    <w:unhideWhenUsed/>
    <w:qFormat/>
    <w:uiPriority w:val="99"/>
  </w:style>
  <w:style w:type="paragraph" w:styleId="15">
    <w:name w:val="Body Text"/>
    <w:basedOn w:val="1"/>
    <w:link w:val="206"/>
    <w:qFormat/>
    <w:uiPriority w:val="99"/>
    <w:pPr>
      <w:widowControl w:val="0"/>
      <w:spacing w:after="120"/>
      <w:jc w:val="both"/>
    </w:pPr>
    <w:rPr>
      <w:rFonts w:ascii="Times New Roman" w:hAnsi="Times New Roman" w:eastAsia="宋体" w:cs="Times New Roman"/>
      <w:sz w:val="21"/>
      <w:szCs w:val="24"/>
    </w:rPr>
  </w:style>
  <w:style w:type="paragraph" w:styleId="16">
    <w:name w:val="toc 5"/>
    <w:basedOn w:val="1"/>
    <w:next w:val="1"/>
    <w:unhideWhenUsed/>
    <w:uiPriority w:val="39"/>
    <w:pPr>
      <w:spacing w:after="57"/>
      <w:ind w:left="1134" w:right="0" w:firstLine="0"/>
    </w:pPr>
  </w:style>
  <w:style w:type="paragraph" w:styleId="17">
    <w:name w:val="toc 3"/>
    <w:basedOn w:val="1"/>
    <w:next w:val="1"/>
    <w:qFormat/>
    <w:uiPriority w:val="39"/>
    <w:pPr>
      <w:widowControl w:val="0"/>
      <w:spacing w:after="0"/>
      <w:ind w:left="840"/>
      <w:jc w:val="both"/>
    </w:pPr>
    <w:rPr>
      <w:rFonts w:ascii="Times New Roman" w:hAnsi="Times New Roman" w:eastAsia="宋体" w:cs="Times New Roman"/>
      <w:sz w:val="28"/>
      <w:szCs w:val="24"/>
    </w:rPr>
  </w:style>
  <w:style w:type="paragraph" w:styleId="18">
    <w:name w:val="Plain Text"/>
    <w:basedOn w:val="1"/>
    <w:link w:val="207"/>
    <w:qFormat/>
    <w:uiPriority w:val="99"/>
    <w:pPr>
      <w:spacing w:after="0" w:line="351" w:lineRule="atLeast"/>
      <w:ind w:firstLine="419"/>
      <w:jc w:val="both"/>
    </w:pPr>
    <w:rPr>
      <w:rFonts w:ascii="宋体" w:hAnsi="Times New Roman" w:eastAsia="宋体" w:cs="Times New Roman"/>
      <w:color w:val="000000"/>
      <w:sz w:val="21"/>
      <w:szCs w:val="20"/>
    </w:rPr>
  </w:style>
  <w:style w:type="paragraph" w:styleId="19">
    <w:name w:val="toc 8"/>
    <w:basedOn w:val="1"/>
    <w:next w:val="1"/>
    <w:unhideWhenUsed/>
    <w:uiPriority w:val="39"/>
    <w:pPr>
      <w:spacing w:after="57"/>
      <w:ind w:left="1984" w:right="0" w:firstLine="0"/>
    </w:pPr>
  </w:style>
  <w:style w:type="paragraph" w:styleId="20">
    <w:name w:val="endnote text"/>
    <w:basedOn w:val="1"/>
    <w:link w:val="191"/>
    <w:semiHidden/>
    <w:unhideWhenUsed/>
    <w:uiPriority w:val="99"/>
    <w:pPr>
      <w:spacing w:after="0" w:line="240" w:lineRule="auto"/>
    </w:pPr>
    <w:rPr>
      <w:sz w:val="20"/>
    </w:rPr>
  </w:style>
  <w:style w:type="paragraph" w:styleId="21">
    <w:name w:val="Balloon Text"/>
    <w:basedOn w:val="1"/>
    <w:link w:val="208"/>
    <w:qFormat/>
    <w:uiPriority w:val="99"/>
    <w:pPr>
      <w:widowControl w:val="0"/>
      <w:spacing w:after="0"/>
      <w:jc w:val="both"/>
    </w:pPr>
    <w:rPr>
      <w:rFonts w:ascii="Times New Roman" w:hAnsi="Times New Roman" w:eastAsia="宋体" w:cs="Times New Roman"/>
      <w:sz w:val="18"/>
      <w:szCs w:val="18"/>
    </w:rPr>
  </w:style>
  <w:style w:type="paragraph" w:styleId="22">
    <w:name w:val="footer"/>
    <w:basedOn w:val="1"/>
    <w:link w:val="200"/>
    <w:unhideWhenUsed/>
    <w:qFormat/>
    <w:uiPriority w:val="99"/>
    <w:pPr>
      <w:tabs>
        <w:tab w:val="center" w:pos="4153"/>
        <w:tab w:val="right" w:pos="8306"/>
      </w:tabs>
    </w:pPr>
    <w:rPr>
      <w:sz w:val="18"/>
      <w:szCs w:val="18"/>
    </w:rPr>
  </w:style>
  <w:style w:type="paragraph" w:styleId="23">
    <w:name w:val="header"/>
    <w:basedOn w:val="1"/>
    <w:link w:val="199"/>
    <w:unhideWhenUsed/>
    <w:qFormat/>
    <w:uiPriority w:val="99"/>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widowControl w:val="0"/>
      <w:tabs>
        <w:tab w:val="right" w:leader="dot" w:pos="8777"/>
      </w:tabs>
      <w:spacing w:after="0" w:line="360" w:lineRule="auto"/>
      <w:jc w:val="both"/>
    </w:pPr>
    <w:rPr>
      <w:rFonts w:ascii="Times New Roman" w:hAnsi="Times New Roman" w:eastAsia="黑体" w:cs="Times New Roman"/>
      <w:sz w:val="32"/>
      <w:szCs w:val="32"/>
    </w:rPr>
  </w:style>
  <w:style w:type="paragraph" w:styleId="25">
    <w:name w:val="toc 4"/>
    <w:basedOn w:val="1"/>
    <w:next w:val="1"/>
    <w:unhideWhenUsed/>
    <w:uiPriority w:val="39"/>
    <w:pPr>
      <w:spacing w:after="57"/>
      <w:ind w:left="850" w:right="0" w:firstLine="0"/>
    </w:pPr>
  </w:style>
  <w:style w:type="paragraph" w:styleId="26">
    <w:name w:val="Subtitle"/>
    <w:basedOn w:val="1"/>
    <w:next w:val="1"/>
    <w:link w:val="57"/>
    <w:qFormat/>
    <w:uiPriority w:val="11"/>
    <w:pPr>
      <w:spacing w:before="200" w:after="200"/>
    </w:pPr>
    <w:rPr>
      <w:sz w:val="24"/>
      <w:szCs w:val="24"/>
    </w:rPr>
  </w:style>
  <w:style w:type="paragraph" w:styleId="27">
    <w:name w:val="footnote text"/>
    <w:basedOn w:val="1"/>
    <w:link w:val="209"/>
    <w:qFormat/>
    <w:uiPriority w:val="99"/>
    <w:pPr>
      <w:widowControl w:val="0"/>
      <w:spacing w:after="0"/>
    </w:pPr>
    <w:rPr>
      <w:rFonts w:ascii="Times New Roman" w:hAnsi="Times New Roman" w:eastAsia="宋体" w:cs="Times New Roman"/>
      <w:sz w:val="18"/>
      <w:szCs w:val="18"/>
    </w:rPr>
  </w:style>
  <w:style w:type="paragraph" w:styleId="28">
    <w:name w:val="toc 6"/>
    <w:basedOn w:val="1"/>
    <w:next w:val="1"/>
    <w:unhideWhenUsed/>
    <w:uiPriority w:val="39"/>
    <w:pPr>
      <w:spacing w:after="57"/>
      <w:ind w:left="1417" w:right="0" w:firstLine="0"/>
    </w:pPr>
  </w:style>
  <w:style w:type="paragraph" w:styleId="29">
    <w:name w:val="table of figures"/>
    <w:basedOn w:val="1"/>
    <w:next w:val="1"/>
    <w:unhideWhenUsed/>
    <w:uiPriority w:val="99"/>
    <w:pPr>
      <w:spacing w:after="0" w:afterAutospacing="0"/>
    </w:pPr>
  </w:style>
  <w:style w:type="paragraph" w:styleId="30">
    <w:name w:val="toc 2"/>
    <w:basedOn w:val="1"/>
    <w:next w:val="1"/>
    <w:qFormat/>
    <w:uiPriority w:val="39"/>
    <w:pPr>
      <w:widowControl w:val="0"/>
      <w:spacing w:after="0"/>
      <w:ind w:left="420"/>
      <w:jc w:val="both"/>
    </w:pPr>
    <w:rPr>
      <w:rFonts w:ascii="Times New Roman" w:hAnsi="Times New Roman" w:eastAsia="宋体" w:cs="Times New Roman"/>
      <w:sz w:val="30"/>
      <w:szCs w:val="24"/>
    </w:rPr>
  </w:style>
  <w:style w:type="paragraph" w:styleId="31">
    <w:name w:val="toc 9"/>
    <w:basedOn w:val="1"/>
    <w:next w:val="1"/>
    <w:unhideWhenUsed/>
    <w:uiPriority w:val="39"/>
    <w:pPr>
      <w:spacing w:after="57"/>
      <w:ind w:left="2268" w:right="0" w:firstLine="0"/>
    </w:pPr>
  </w:style>
  <w:style w:type="paragraph" w:styleId="32">
    <w:name w:val="HTML Preformatted"/>
    <w:basedOn w:val="1"/>
    <w:link w:val="21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hAnsi="宋体" w:eastAsia="宋体" w:cs="宋体"/>
      <w:sz w:val="24"/>
      <w:szCs w:val="24"/>
    </w:rPr>
  </w:style>
  <w:style w:type="paragraph" w:styleId="33">
    <w:name w:val="Normal (Web)"/>
    <w:basedOn w:val="1"/>
    <w:qFormat/>
    <w:uiPriority w:val="99"/>
    <w:pPr>
      <w:spacing w:before="100" w:beforeAutospacing="1" w:after="100" w:afterAutospacing="1"/>
    </w:pPr>
    <w:rPr>
      <w:rFonts w:ascii="宋体" w:hAnsi="宋体" w:eastAsia="宋体" w:cs="宋体"/>
      <w:sz w:val="24"/>
      <w:szCs w:val="24"/>
    </w:rPr>
  </w:style>
  <w:style w:type="paragraph" w:styleId="34">
    <w:name w:val="Title"/>
    <w:basedOn w:val="1"/>
    <w:next w:val="1"/>
    <w:link w:val="232"/>
    <w:qFormat/>
    <w:uiPriority w:val="0"/>
    <w:pPr>
      <w:widowControl w:val="0"/>
      <w:spacing w:before="240" w:after="60"/>
      <w:jc w:val="center"/>
      <w:outlineLvl w:val="0"/>
    </w:pPr>
    <w:rPr>
      <w:rFonts w:eastAsia="宋体" w:asciiTheme="majorHAnsi" w:hAnsiTheme="majorHAnsi" w:cstheme="majorBidi"/>
      <w:b/>
      <w:bCs/>
      <w:sz w:val="32"/>
      <w:szCs w:val="32"/>
    </w:rPr>
  </w:style>
  <w:style w:type="paragraph" w:styleId="35">
    <w:name w:val="annotation subject"/>
    <w:basedOn w:val="14"/>
    <w:next w:val="14"/>
    <w:link w:val="204"/>
    <w:qFormat/>
    <w:uiPriority w:val="99"/>
    <w:pPr>
      <w:widowControl w:val="0"/>
      <w:spacing w:after="0"/>
    </w:pPr>
    <w:rPr>
      <w:rFonts w:ascii="Times New Roman" w:hAnsi="Times New Roman" w:eastAsia="宋体" w:cs="Times New Roman"/>
      <w:b/>
      <w:bCs/>
      <w:sz w:val="21"/>
      <w:szCs w:val="24"/>
    </w:rPr>
  </w:style>
  <w:style w:type="table" w:styleId="37">
    <w:name w:val="Table Grid"/>
    <w:basedOn w:val="36"/>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9">
    <w:name w:val="endnote reference"/>
    <w:basedOn w:val="38"/>
    <w:semiHidden/>
    <w:unhideWhenUsed/>
    <w:uiPriority w:val="99"/>
    <w:rPr>
      <w:vertAlign w:val="superscript"/>
    </w:rPr>
  </w:style>
  <w:style w:type="character" w:styleId="40">
    <w:name w:val="page number"/>
    <w:basedOn w:val="38"/>
    <w:qFormat/>
    <w:uiPriority w:val="99"/>
  </w:style>
  <w:style w:type="character" w:styleId="41">
    <w:name w:val="FollowedHyperlink"/>
    <w:basedOn w:val="38"/>
    <w:unhideWhenUsed/>
    <w:qFormat/>
    <w:uiPriority w:val="99"/>
    <w:rPr>
      <w:color w:val="800080"/>
      <w:u w:val="single"/>
    </w:rPr>
  </w:style>
  <w:style w:type="character" w:styleId="42">
    <w:name w:val="Emphasis"/>
    <w:qFormat/>
    <w:uiPriority w:val="99"/>
    <w:rPr>
      <w:color w:val="CC0000"/>
    </w:rPr>
  </w:style>
  <w:style w:type="character" w:styleId="43">
    <w:name w:val="Hyperlink"/>
    <w:qFormat/>
    <w:uiPriority w:val="99"/>
    <w:rPr>
      <w:color w:val="0000FF"/>
      <w:u w:val="single"/>
    </w:rPr>
  </w:style>
  <w:style w:type="character" w:styleId="44">
    <w:name w:val="annotation reference"/>
    <w:basedOn w:val="38"/>
    <w:qFormat/>
    <w:uiPriority w:val="99"/>
    <w:rPr>
      <w:sz w:val="21"/>
      <w:szCs w:val="21"/>
    </w:rPr>
  </w:style>
  <w:style w:type="character" w:styleId="45">
    <w:name w:val="footnote reference"/>
    <w:basedOn w:val="38"/>
    <w:qFormat/>
    <w:uiPriority w:val="99"/>
    <w:rPr>
      <w:vertAlign w:val="superscript"/>
    </w:rPr>
  </w:style>
  <w:style w:type="character" w:customStyle="1" w:styleId="46">
    <w:name w:val="Heading 1 Char"/>
    <w:basedOn w:val="38"/>
    <w:uiPriority w:val="9"/>
    <w:rPr>
      <w:rFonts w:ascii="等线" w:hAnsi="等线" w:eastAsia="等线" w:cs="等线"/>
      <w:sz w:val="40"/>
      <w:szCs w:val="40"/>
    </w:rPr>
  </w:style>
  <w:style w:type="character" w:customStyle="1" w:styleId="47">
    <w:name w:val="Heading 2 Char"/>
    <w:basedOn w:val="38"/>
    <w:uiPriority w:val="9"/>
    <w:rPr>
      <w:rFonts w:ascii="等线" w:hAnsi="等线" w:eastAsia="等线" w:cs="等线"/>
      <w:sz w:val="34"/>
    </w:rPr>
  </w:style>
  <w:style w:type="character" w:customStyle="1" w:styleId="48">
    <w:name w:val="Heading 3 Char"/>
    <w:basedOn w:val="38"/>
    <w:uiPriority w:val="9"/>
    <w:rPr>
      <w:rFonts w:ascii="等线" w:hAnsi="等线" w:eastAsia="等线" w:cs="等线"/>
      <w:sz w:val="30"/>
      <w:szCs w:val="30"/>
    </w:rPr>
  </w:style>
  <w:style w:type="character" w:customStyle="1" w:styleId="49">
    <w:name w:val="Heading 4 Char"/>
    <w:basedOn w:val="38"/>
    <w:uiPriority w:val="9"/>
    <w:rPr>
      <w:rFonts w:ascii="等线" w:hAnsi="等线" w:eastAsia="等线" w:cs="等线"/>
      <w:b/>
      <w:bCs/>
      <w:sz w:val="26"/>
      <w:szCs w:val="26"/>
    </w:rPr>
  </w:style>
  <w:style w:type="character" w:customStyle="1" w:styleId="50">
    <w:name w:val="Heading 5 Char"/>
    <w:basedOn w:val="38"/>
    <w:uiPriority w:val="9"/>
    <w:rPr>
      <w:rFonts w:ascii="等线" w:hAnsi="等线" w:eastAsia="等线" w:cs="等线"/>
      <w:b/>
      <w:bCs/>
      <w:sz w:val="24"/>
      <w:szCs w:val="24"/>
    </w:rPr>
  </w:style>
  <w:style w:type="character" w:customStyle="1" w:styleId="51">
    <w:name w:val="Heading 6 Char"/>
    <w:basedOn w:val="38"/>
    <w:uiPriority w:val="9"/>
    <w:rPr>
      <w:rFonts w:ascii="等线" w:hAnsi="等线" w:eastAsia="等线" w:cs="等线"/>
      <w:b/>
      <w:bCs/>
      <w:sz w:val="22"/>
      <w:szCs w:val="22"/>
    </w:rPr>
  </w:style>
  <w:style w:type="character" w:customStyle="1" w:styleId="52">
    <w:name w:val="Heading 7 Char"/>
    <w:basedOn w:val="38"/>
    <w:link w:val="8"/>
    <w:uiPriority w:val="9"/>
    <w:rPr>
      <w:rFonts w:ascii="等线" w:hAnsi="等线" w:eastAsia="等线" w:cs="等线"/>
      <w:b/>
      <w:bCs/>
      <w:i/>
      <w:iCs/>
      <w:sz w:val="22"/>
      <w:szCs w:val="22"/>
    </w:rPr>
  </w:style>
  <w:style w:type="character" w:customStyle="1" w:styleId="53">
    <w:name w:val="Heading 8 Char"/>
    <w:basedOn w:val="38"/>
    <w:link w:val="9"/>
    <w:uiPriority w:val="9"/>
    <w:rPr>
      <w:rFonts w:ascii="等线" w:hAnsi="等线" w:eastAsia="等线" w:cs="等线"/>
      <w:i/>
      <w:iCs/>
      <w:sz w:val="22"/>
      <w:szCs w:val="22"/>
    </w:rPr>
  </w:style>
  <w:style w:type="character" w:customStyle="1" w:styleId="54">
    <w:name w:val="Heading 9 Char"/>
    <w:basedOn w:val="38"/>
    <w:link w:val="10"/>
    <w:uiPriority w:val="9"/>
    <w:rPr>
      <w:rFonts w:ascii="等线" w:hAnsi="等线" w:eastAsia="等线" w:cs="等线"/>
      <w:i/>
      <w:iCs/>
      <w:sz w:val="21"/>
      <w:szCs w:val="21"/>
    </w:rPr>
  </w:style>
  <w:style w:type="paragraph" w:styleId="55">
    <w:name w:val="No Spacing"/>
    <w:qFormat/>
    <w:uiPriority w:val="1"/>
    <w:pPr>
      <w:spacing w:before="0" w:after="0" w:line="240" w:lineRule="auto"/>
    </w:pPr>
    <w:rPr>
      <w:rFonts w:hint="default" w:ascii="Times New Roman" w:hAnsi="Times New Roman" w:eastAsia="宋体" w:cs="Times New Roman"/>
    </w:rPr>
  </w:style>
  <w:style w:type="character" w:customStyle="1" w:styleId="56">
    <w:name w:val="Title Char"/>
    <w:basedOn w:val="38"/>
    <w:qFormat/>
    <w:uiPriority w:val="10"/>
    <w:rPr>
      <w:sz w:val="48"/>
      <w:szCs w:val="48"/>
    </w:rPr>
  </w:style>
  <w:style w:type="character" w:customStyle="1" w:styleId="57">
    <w:name w:val="Subtitle Char"/>
    <w:basedOn w:val="38"/>
    <w:link w:val="26"/>
    <w:qFormat/>
    <w:uiPriority w:val="11"/>
    <w:rPr>
      <w:sz w:val="24"/>
      <w:szCs w:val="24"/>
    </w:rPr>
  </w:style>
  <w:style w:type="paragraph" w:styleId="58">
    <w:name w:val="Quote"/>
    <w:basedOn w:val="1"/>
    <w:next w:val="1"/>
    <w:link w:val="59"/>
    <w:qFormat/>
    <w:uiPriority w:val="29"/>
    <w:pPr>
      <w:ind w:left="720" w:right="720"/>
    </w:pPr>
    <w:rPr>
      <w:i/>
    </w:rPr>
  </w:style>
  <w:style w:type="character" w:customStyle="1" w:styleId="59">
    <w:name w:val="Quote Char"/>
    <w:link w:val="58"/>
    <w:qFormat/>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1">
    <w:name w:val="Intense Quote Char"/>
    <w:link w:val="60"/>
    <w:uiPriority w:val="30"/>
    <w:rPr>
      <w:i/>
    </w:rPr>
  </w:style>
  <w:style w:type="character" w:customStyle="1" w:styleId="62">
    <w:name w:val="Header Char"/>
    <w:basedOn w:val="38"/>
    <w:uiPriority w:val="99"/>
  </w:style>
  <w:style w:type="character" w:customStyle="1" w:styleId="63">
    <w:name w:val="Footer Char"/>
    <w:basedOn w:val="38"/>
    <w:uiPriority w:val="99"/>
  </w:style>
  <w:style w:type="character" w:customStyle="1" w:styleId="64">
    <w:name w:val="Caption Char"/>
    <w:uiPriority w:val="99"/>
  </w:style>
  <w:style w:type="table" w:customStyle="1" w:styleId="65">
    <w:name w:val="Table Grid Light"/>
    <w:basedOn w:val="36"/>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1"/>
    <w:basedOn w:val="36"/>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Plain Table 2"/>
    <w:basedOn w:val="3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Plain Table 3"/>
    <w:basedOn w:val="36"/>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Plain Table 4"/>
    <w:basedOn w:val="36"/>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Plain Table 5"/>
    <w:basedOn w:val="36"/>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w:basedOn w:val="36"/>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1"/>
    <w:basedOn w:val="36"/>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2"/>
    <w:basedOn w:val="36"/>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1 Light - Accent 3"/>
    <w:basedOn w:val="36"/>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1 Light - Accent 4"/>
    <w:basedOn w:val="36"/>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1 Light - Accent 5"/>
    <w:basedOn w:val="36"/>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1 Light - Accent 6"/>
    <w:basedOn w:val="3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w:basedOn w:val="36"/>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1"/>
    <w:basedOn w:val="36"/>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2"/>
    <w:basedOn w:val="36"/>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2 - Accent 3"/>
    <w:basedOn w:val="36"/>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2 - Accent 4"/>
    <w:basedOn w:val="36"/>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2 - Accent 5"/>
    <w:basedOn w:val="36"/>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2 - Accent 6"/>
    <w:basedOn w:val="3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w:basedOn w:val="36"/>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1"/>
    <w:basedOn w:val="36"/>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2"/>
    <w:basedOn w:val="36"/>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3 - Accent 3"/>
    <w:basedOn w:val="36"/>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3 - Accent 4"/>
    <w:basedOn w:val="36"/>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3 - Accent 5"/>
    <w:basedOn w:val="36"/>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3 - Accent 6"/>
    <w:basedOn w:val="3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w:basedOn w:val="36"/>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1"/>
    <w:basedOn w:val="36"/>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2"/>
    <w:basedOn w:val="36"/>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4 - Accent 3"/>
    <w:basedOn w:val="36"/>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4 - Accent 4"/>
    <w:basedOn w:val="36"/>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4 - Accent 5"/>
    <w:basedOn w:val="36"/>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4 - Accent 6"/>
    <w:basedOn w:val="3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w:basedOn w:val="3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Accent 1"/>
    <w:basedOn w:val="3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 Accent 2"/>
    <w:basedOn w:val="3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5 Dark - Accent 3"/>
    <w:basedOn w:val="3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3">
    <w:name w:val="Grid Table 5 Dark- Accent 4"/>
    <w:basedOn w:val="3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4">
    <w:name w:val="Grid Table 5 Dark - Accent 5"/>
    <w:basedOn w:val="3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5">
    <w:name w:val="Grid Table 5 Dark - Accent 6"/>
    <w:basedOn w:val="3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6">
    <w:name w:val="Grid Table 6 Colorful"/>
    <w:basedOn w:val="36"/>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1"/>
    <w:basedOn w:val="36"/>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2"/>
    <w:basedOn w:val="36"/>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6 Colorful - Accent 3"/>
    <w:basedOn w:val="36"/>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6 Colorful - Accent 4"/>
    <w:basedOn w:val="36"/>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6 Colorful - Accent 5"/>
    <w:basedOn w:val="36"/>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2">
    <w:name w:val="Grid Table 6 Colorful - Accent 6"/>
    <w:basedOn w:val="3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w:basedOn w:val="36"/>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1"/>
    <w:basedOn w:val="36"/>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2"/>
    <w:basedOn w:val="36"/>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6">
    <w:name w:val="Grid Table 7 Colorful - Accent 3"/>
    <w:basedOn w:val="36"/>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7">
    <w:name w:val="Grid Table 7 Colorful - Accent 4"/>
    <w:basedOn w:val="36"/>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8">
    <w:name w:val="Grid Table 7 Colorful - Accent 5"/>
    <w:basedOn w:val="36"/>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9">
    <w:name w:val="Grid Table 7 Colorful - Accent 6"/>
    <w:basedOn w:val="3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20">
    <w:name w:val="List Table 1 Light"/>
    <w:basedOn w:val="36"/>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1"/>
    <w:basedOn w:val="36"/>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2"/>
    <w:basedOn w:val="36"/>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1 Light - Accent 3"/>
    <w:basedOn w:val="36"/>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1 Light - Accent 4"/>
    <w:basedOn w:val="36"/>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1 Light - Accent 5"/>
    <w:basedOn w:val="36"/>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1 Light - Accent 6"/>
    <w:basedOn w:val="3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w:basedOn w:val="36"/>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1"/>
    <w:basedOn w:val="36"/>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2"/>
    <w:basedOn w:val="36"/>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2 - Accent 3"/>
    <w:basedOn w:val="36"/>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2 - Accent 4"/>
    <w:basedOn w:val="36"/>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2 - Accent 5"/>
    <w:basedOn w:val="36"/>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2 - Accent 6"/>
    <w:basedOn w:val="3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w:basedOn w:val="36"/>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1"/>
    <w:basedOn w:val="36"/>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2"/>
    <w:basedOn w:val="36"/>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3 - Accent 3"/>
    <w:basedOn w:val="36"/>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3 - Accent 4"/>
    <w:basedOn w:val="36"/>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3 - Accent 5"/>
    <w:basedOn w:val="36"/>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3 - Accent 6"/>
    <w:basedOn w:val="3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w:basedOn w:val="36"/>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1"/>
    <w:basedOn w:val="36"/>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2"/>
    <w:basedOn w:val="36"/>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4 - Accent 3"/>
    <w:basedOn w:val="36"/>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5">
    <w:name w:val="List Table 4 - Accent 4"/>
    <w:basedOn w:val="36"/>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6">
    <w:name w:val="List Table 4 - Accent 5"/>
    <w:basedOn w:val="36"/>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7">
    <w:name w:val="List Table 4 - Accent 6"/>
    <w:basedOn w:val="3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8">
    <w:name w:val="List Table 5 Dark"/>
    <w:basedOn w:val="36"/>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9">
    <w:name w:val="List Table 5 Dark - Accent 1"/>
    <w:basedOn w:val="36"/>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50">
    <w:name w:val="List Table 5 Dark - Accent 2"/>
    <w:basedOn w:val="36"/>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51">
    <w:name w:val="List Table 5 Dark - Accent 3"/>
    <w:basedOn w:val="36"/>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52">
    <w:name w:val="List Table 5 Dark - Accent 4"/>
    <w:basedOn w:val="36"/>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53">
    <w:name w:val="List Table 5 Dark - Accent 5"/>
    <w:basedOn w:val="36"/>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54">
    <w:name w:val="List Table 5 Dark - Accent 6"/>
    <w:basedOn w:val="3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55">
    <w:name w:val="List Table 6 Colorful"/>
    <w:basedOn w:val="36"/>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1"/>
    <w:basedOn w:val="36"/>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2"/>
    <w:basedOn w:val="36"/>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6 Colorful - Accent 3"/>
    <w:basedOn w:val="36"/>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6 Colorful - Accent 4"/>
    <w:basedOn w:val="36"/>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6 Colorful - Accent 5"/>
    <w:basedOn w:val="36"/>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6 Colorful - Accent 6"/>
    <w:basedOn w:val="3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w:basedOn w:val="36"/>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1"/>
    <w:basedOn w:val="36"/>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2"/>
    <w:basedOn w:val="36"/>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st Table 7 Colorful - Accent 3"/>
    <w:basedOn w:val="36"/>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6">
    <w:name w:val="List Table 7 Colorful - Accent 4"/>
    <w:basedOn w:val="36"/>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7">
    <w:name w:val="List Table 7 Colorful - Accent 5"/>
    <w:basedOn w:val="36"/>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8">
    <w:name w:val="List Table 7 Colorful - Accent 6"/>
    <w:basedOn w:val="3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9">
    <w:name w:val="Lined - Accent"/>
    <w:basedOn w:val="36"/>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0">
    <w:name w:val="Lined - Accent 1"/>
    <w:basedOn w:val="36"/>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1">
    <w:name w:val="Lined - Accent 2"/>
    <w:basedOn w:val="36"/>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2">
    <w:name w:val="Lined - Accent 3"/>
    <w:basedOn w:val="36"/>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3">
    <w:name w:val="Lined - Accent 4"/>
    <w:basedOn w:val="36"/>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4">
    <w:name w:val="Lined - Accent 5"/>
    <w:basedOn w:val="36"/>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5">
    <w:name w:val="Lined - Accent 6"/>
    <w:basedOn w:val="3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w:basedOn w:val="36"/>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7">
    <w:name w:val="Bordered &amp; Lined - Accent 1"/>
    <w:basedOn w:val="36"/>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8">
    <w:name w:val="Bordered &amp; Lined - Accent 2"/>
    <w:basedOn w:val="36"/>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9">
    <w:name w:val="Bordered &amp; Lined - Accent 3"/>
    <w:basedOn w:val="36"/>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80">
    <w:name w:val="Bordered &amp; Lined - Accent 4"/>
    <w:basedOn w:val="36"/>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81">
    <w:name w:val="Bordered &amp; Lined - Accent 5"/>
    <w:basedOn w:val="36"/>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82">
    <w:name w:val="Bordered &amp; Lined - Accent 6"/>
    <w:basedOn w:val="3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83">
    <w:name w:val="Bordered"/>
    <w:basedOn w:val="36"/>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1"/>
    <w:basedOn w:val="36"/>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2"/>
    <w:basedOn w:val="36"/>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6">
    <w:name w:val="Bordered - Accent 3"/>
    <w:basedOn w:val="36"/>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7">
    <w:name w:val="Bordered - Accent 4"/>
    <w:basedOn w:val="36"/>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8">
    <w:name w:val="Bordered - Accent 5"/>
    <w:basedOn w:val="36"/>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9">
    <w:name w:val="Bordered - Accent 6"/>
    <w:basedOn w:val="3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90">
    <w:name w:val="Footnote Text Char"/>
    <w:uiPriority w:val="99"/>
    <w:rPr>
      <w:sz w:val="18"/>
    </w:rPr>
  </w:style>
  <w:style w:type="character" w:customStyle="1" w:styleId="191">
    <w:name w:val="Endnote Text Char"/>
    <w:link w:val="20"/>
    <w:uiPriority w:val="99"/>
    <w:rPr>
      <w:sz w:val="20"/>
    </w:rPr>
  </w:style>
  <w:style w:type="paragraph" w:customStyle="1" w:styleId="192">
    <w:name w:val="TOC Heading"/>
    <w:unhideWhenUsed/>
    <w:uiPriority w:val="39"/>
    <w:rPr>
      <w:rFonts w:hint="default" w:ascii="Times New Roman" w:hAnsi="Times New Roman" w:eastAsia="宋体" w:cs="Times New Roman"/>
    </w:rPr>
  </w:style>
  <w:style w:type="character" w:customStyle="1" w:styleId="193">
    <w:name w:val="标题 1 字符"/>
    <w:basedOn w:val="38"/>
    <w:link w:val="2"/>
    <w:qFormat/>
    <w:uiPriority w:val="99"/>
    <w:rPr>
      <w:rFonts w:ascii="Times New Roman" w:hAnsi="Times New Roman" w:eastAsia="黑体" w:cs="Times New Roman"/>
      <w:b/>
      <w:bCs/>
      <w:color w:val="000000"/>
      <w:sz w:val="36"/>
      <w:szCs w:val="44"/>
    </w:rPr>
  </w:style>
  <w:style w:type="character" w:customStyle="1" w:styleId="194">
    <w:name w:val="标题 2 字符"/>
    <w:basedOn w:val="38"/>
    <w:link w:val="3"/>
    <w:qFormat/>
    <w:uiPriority w:val="99"/>
    <w:rPr>
      <w:rFonts w:ascii="Arial" w:hAnsi="Arial" w:eastAsia="黑体" w:cs="Times New Roman"/>
      <w:b/>
      <w:bCs/>
      <w:sz w:val="32"/>
      <w:szCs w:val="32"/>
    </w:rPr>
  </w:style>
  <w:style w:type="character" w:customStyle="1" w:styleId="195">
    <w:name w:val="标题 3 字符"/>
    <w:basedOn w:val="38"/>
    <w:link w:val="4"/>
    <w:qFormat/>
    <w:uiPriority w:val="99"/>
    <w:rPr>
      <w:rFonts w:ascii="Times New Roman" w:hAnsi="Times New Roman" w:eastAsia="仿宋_GB2312" w:cs="Times New Roman"/>
      <w:b/>
      <w:bCs/>
      <w:sz w:val="30"/>
      <w:szCs w:val="32"/>
    </w:rPr>
  </w:style>
  <w:style w:type="character" w:customStyle="1" w:styleId="196">
    <w:name w:val="标题 4 字符"/>
    <w:basedOn w:val="38"/>
    <w:link w:val="5"/>
    <w:qFormat/>
    <w:uiPriority w:val="0"/>
    <w:rPr>
      <w:rFonts w:asciiTheme="majorHAnsi" w:hAnsiTheme="majorHAnsi" w:eastAsiaTheme="majorEastAsia" w:cstheme="majorBidi"/>
      <w:b/>
      <w:bCs/>
      <w:sz w:val="28"/>
      <w:szCs w:val="28"/>
    </w:rPr>
  </w:style>
  <w:style w:type="character" w:customStyle="1" w:styleId="197">
    <w:name w:val="标题 5 字符"/>
    <w:basedOn w:val="38"/>
    <w:link w:val="6"/>
    <w:qFormat/>
    <w:uiPriority w:val="0"/>
    <w:rPr>
      <w:rFonts w:ascii="Times New Roman" w:hAnsi="Times New Roman" w:eastAsia="宋体" w:cs="Times New Roman"/>
      <w:b/>
      <w:bCs/>
      <w:sz w:val="28"/>
      <w:szCs w:val="28"/>
    </w:rPr>
  </w:style>
  <w:style w:type="character" w:customStyle="1" w:styleId="198">
    <w:name w:val="标题 6 字符"/>
    <w:basedOn w:val="38"/>
    <w:link w:val="7"/>
    <w:qFormat/>
    <w:uiPriority w:val="0"/>
    <w:rPr>
      <w:rFonts w:asciiTheme="majorHAnsi" w:hAnsiTheme="majorHAnsi" w:eastAsiaTheme="majorEastAsia" w:cstheme="majorBidi"/>
      <w:b/>
      <w:bCs/>
      <w:sz w:val="24"/>
      <w:szCs w:val="24"/>
    </w:rPr>
  </w:style>
  <w:style w:type="character" w:customStyle="1" w:styleId="199">
    <w:name w:val="页眉 字符"/>
    <w:basedOn w:val="38"/>
    <w:link w:val="23"/>
    <w:qFormat/>
    <w:uiPriority w:val="99"/>
    <w:rPr>
      <w:rFonts w:ascii="Tahoma" w:hAnsi="Tahoma"/>
      <w:sz w:val="18"/>
      <w:szCs w:val="18"/>
    </w:rPr>
  </w:style>
  <w:style w:type="character" w:customStyle="1" w:styleId="200">
    <w:name w:val="页脚 字符"/>
    <w:basedOn w:val="38"/>
    <w:link w:val="22"/>
    <w:qFormat/>
    <w:uiPriority w:val="99"/>
    <w:rPr>
      <w:rFonts w:ascii="Tahoma" w:hAnsi="Tahoma"/>
      <w:sz w:val="18"/>
      <w:szCs w:val="18"/>
    </w:rPr>
  </w:style>
  <w:style w:type="paragraph" w:customStyle="1" w:styleId="201">
    <w:name w:val="标题1"/>
    <w:basedOn w:val="1"/>
    <w:qFormat/>
    <w:uiPriority w:val="0"/>
    <w:pPr>
      <w:widowControl w:val="0"/>
      <w:spacing w:after="0"/>
      <w:ind w:firstLine="640"/>
      <w:jc w:val="center"/>
    </w:pPr>
    <w:rPr>
      <w:rFonts w:ascii="Times New Roman" w:hAnsi="Times New Roman" w:eastAsia="黑体" w:cs="Times New Roman"/>
      <w:sz w:val="32"/>
      <w:szCs w:val="21"/>
    </w:rPr>
  </w:style>
  <w:style w:type="paragraph" w:styleId="202">
    <w:name w:val="List Paragraph"/>
    <w:basedOn w:val="1"/>
    <w:qFormat/>
    <w:uiPriority w:val="99"/>
    <w:pPr>
      <w:ind w:firstLine="420"/>
    </w:pPr>
  </w:style>
  <w:style w:type="character" w:customStyle="1" w:styleId="203">
    <w:name w:val="批注文字 字符"/>
    <w:basedOn w:val="38"/>
    <w:link w:val="14"/>
    <w:qFormat/>
    <w:uiPriority w:val="99"/>
    <w:rPr>
      <w:rFonts w:ascii="Tahoma" w:hAnsi="Tahoma"/>
    </w:rPr>
  </w:style>
  <w:style w:type="character" w:customStyle="1" w:styleId="204">
    <w:name w:val="批注主题 字符"/>
    <w:basedOn w:val="203"/>
    <w:link w:val="35"/>
    <w:qFormat/>
    <w:uiPriority w:val="99"/>
    <w:rPr>
      <w:rFonts w:ascii="Times New Roman" w:hAnsi="Times New Roman" w:eastAsia="宋体" w:cs="Times New Roman"/>
      <w:b/>
      <w:bCs/>
      <w:sz w:val="21"/>
      <w:szCs w:val="24"/>
    </w:rPr>
  </w:style>
  <w:style w:type="character" w:customStyle="1" w:styleId="205">
    <w:name w:val="文档结构图 字符"/>
    <w:basedOn w:val="38"/>
    <w:link w:val="13"/>
    <w:semiHidden/>
    <w:qFormat/>
    <w:uiPriority w:val="99"/>
    <w:rPr>
      <w:rFonts w:ascii="Times New Roman" w:hAnsi="Times New Roman" w:eastAsia="宋体" w:cs="Times New Roman"/>
      <w:sz w:val="21"/>
      <w:szCs w:val="24"/>
      <w:shd w:val="clear" w:color="auto" w:fill="000080"/>
    </w:rPr>
  </w:style>
  <w:style w:type="character" w:customStyle="1" w:styleId="206">
    <w:name w:val="正文文本 字符"/>
    <w:basedOn w:val="38"/>
    <w:link w:val="15"/>
    <w:qFormat/>
    <w:uiPriority w:val="99"/>
    <w:rPr>
      <w:rFonts w:ascii="Times New Roman" w:hAnsi="Times New Roman" w:eastAsia="宋体" w:cs="Times New Roman"/>
      <w:sz w:val="21"/>
      <w:szCs w:val="24"/>
    </w:rPr>
  </w:style>
  <w:style w:type="character" w:customStyle="1" w:styleId="207">
    <w:name w:val="纯文本 字符"/>
    <w:basedOn w:val="38"/>
    <w:link w:val="18"/>
    <w:qFormat/>
    <w:uiPriority w:val="99"/>
    <w:rPr>
      <w:rFonts w:ascii="宋体" w:hAnsi="Times New Roman" w:eastAsia="宋体" w:cs="Times New Roman"/>
      <w:color w:val="000000"/>
      <w:sz w:val="21"/>
      <w:szCs w:val="20"/>
    </w:rPr>
  </w:style>
  <w:style w:type="character" w:customStyle="1" w:styleId="208">
    <w:name w:val="批注框文本 字符"/>
    <w:basedOn w:val="38"/>
    <w:link w:val="21"/>
    <w:qFormat/>
    <w:uiPriority w:val="99"/>
    <w:rPr>
      <w:rFonts w:ascii="Times New Roman" w:hAnsi="Times New Roman" w:eastAsia="宋体" w:cs="Times New Roman"/>
      <w:sz w:val="18"/>
      <w:szCs w:val="18"/>
    </w:rPr>
  </w:style>
  <w:style w:type="character" w:customStyle="1" w:styleId="209">
    <w:name w:val="脚注文本 字符"/>
    <w:basedOn w:val="38"/>
    <w:link w:val="27"/>
    <w:qFormat/>
    <w:uiPriority w:val="99"/>
    <w:rPr>
      <w:rFonts w:ascii="Times New Roman" w:hAnsi="Times New Roman" w:eastAsia="宋体" w:cs="Times New Roman"/>
      <w:sz w:val="18"/>
      <w:szCs w:val="18"/>
    </w:rPr>
  </w:style>
  <w:style w:type="character" w:customStyle="1" w:styleId="210">
    <w:name w:val="HTML 预设格式 字符"/>
    <w:basedOn w:val="38"/>
    <w:link w:val="32"/>
    <w:qFormat/>
    <w:uiPriority w:val="0"/>
    <w:rPr>
      <w:rFonts w:ascii="宋体" w:hAnsi="宋体" w:eastAsia="宋体" w:cs="宋体"/>
      <w:sz w:val="24"/>
      <w:szCs w:val="24"/>
    </w:rPr>
  </w:style>
  <w:style w:type="paragraph" w:customStyle="1" w:styleId="211">
    <w:name w:val="xl69"/>
    <w:basedOn w:val="1"/>
    <w:qFormat/>
    <w:uiPriority w:val="99"/>
    <w:pPr>
      <w:pBdr>
        <w:top w:val="single" w:color="000000" w:sz="8" w:space="0"/>
        <w:left w:val="single" w:color="000000" w:sz="8" w:space="0"/>
        <w:right w:val="single" w:color="000000" w:sz="8" w:space="0"/>
      </w:pBdr>
      <w:spacing w:before="100" w:beforeAutospacing="1" w:after="100" w:afterAutospacing="1"/>
      <w:jc w:val="center"/>
    </w:pPr>
    <w:rPr>
      <w:rFonts w:ascii="宋体" w:hAnsi="宋体" w:eastAsia="宋体" w:cs="宋体"/>
      <w:b/>
      <w:bCs/>
      <w:sz w:val="24"/>
      <w:szCs w:val="24"/>
    </w:rPr>
  </w:style>
  <w:style w:type="paragraph" w:customStyle="1" w:styleId="212">
    <w:name w:val="xl74"/>
    <w:basedOn w:val="1"/>
    <w:qFormat/>
    <w:uiPriority w:val="99"/>
    <w:pPr>
      <w:pBdr>
        <w:right w:val="single" w:color="000000" w:sz="8" w:space="0"/>
      </w:pBdr>
      <w:spacing w:before="100" w:beforeAutospacing="1" w:after="100" w:afterAutospacing="1"/>
      <w:jc w:val="center"/>
    </w:pPr>
    <w:rPr>
      <w:rFonts w:ascii="宋体" w:hAnsi="宋体" w:eastAsia="宋体" w:cs="宋体"/>
    </w:rPr>
  </w:style>
  <w:style w:type="paragraph" w:customStyle="1" w:styleId="213">
    <w:name w:val="xl70"/>
    <w:basedOn w:val="1"/>
    <w:qFormat/>
    <w:uiPriority w:val="99"/>
    <w:pPr>
      <w:pBdr>
        <w:left w:val="single" w:color="000000" w:sz="8" w:space="0"/>
        <w:bottom w:val="single" w:color="000000" w:sz="8" w:space="0"/>
        <w:right w:val="single" w:color="000000" w:sz="8" w:space="0"/>
      </w:pBdr>
      <w:spacing w:before="100" w:beforeAutospacing="1" w:after="100" w:afterAutospacing="1"/>
      <w:jc w:val="center"/>
    </w:pPr>
    <w:rPr>
      <w:rFonts w:ascii="宋体" w:hAnsi="宋体" w:eastAsia="宋体" w:cs="宋体"/>
      <w:b/>
      <w:bCs/>
      <w:sz w:val="24"/>
      <w:szCs w:val="24"/>
    </w:rPr>
  </w:style>
  <w:style w:type="paragraph" w:customStyle="1" w:styleId="214">
    <w:name w:val="font7"/>
    <w:basedOn w:val="1"/>
    <w:qFormat/>
    <w:uiPriority w:val="99"/>
    <w:pPr>
      <w:spacing w:before="100" w:beforeAutospacing="1" w:after="100" w:afterAutospacing="1"/>
    </w:pPr>
    <w:rPr>
      <w:rFonts w:ascii="宋体" w:hAnsi="宋体" w:eastAsia="宋体" w:cs="宋体"/>
      <w:color w:val="000000"/>
      <w:sz w:val="24"/>
      <w:szCs w:val="24"/>
    </w:rPr>
  </w:style>
  <w:style w:type="paragraph" w:customStyle="1" w:styleId="215">
    <w:name w:val="xl72"/>
    <w:basedOn w:val="1"/>
    <w:qFormat/>
    <w:uiPriority w:val="99"/>
    <w:pPr>
      <w:pBdr>
        <w:bottom w:val="single" w:color="000000" w:sz="8" w:space="0"/>
        <w:right w:val="single" w:color="000000" w:sz="8" w:space="0"/>
      </w:pBdr>
      <w:spacing w:before="100" w:beforeAutospacing="1" w:after="100" w:afterAutospacing="1"/>
      <w:jc w:val="center"/>
    </w:pPr>
    <w:rPr>
      <w:rFonts w:ascii="宋体" w:hAnsi="宋体" w:eastAsia="宋体" w:cs="宋体"/>
      <w:b/>
      <w:bCs/>
    </w:rPr>
  </w:style>
  <w:style w:type="paragraph" w:customStyle="1" w:styleId="216">
    <w:name w:val="xl67"/>
    <w:basedOn w:val="1"/>
    <w:qFormat/>
    <w:uiPriority w:val="99"/>
    <w:pPr>
      <w:pBdr>
        <w:bottom w:val="single" w:color="000000" w:sz="8" w:space="0"/>
        <w:right w:val="single" w:color="000000" w:sz="8" w:space="0"/>
      </w:pBdr>
      <w:spacing w:before="100" w:beforeAutospacing="1" w:after="100" w:afterAutospacing="1"/>
      <w:jc w:val="center"/>
    </w:pPr>
    <w:rPr>
      <w:rFonts w:ascii="宋体" w:hAnsi="宋体" w:eastAsia="宋体" w:cs="宋体"/>
      <w:b/>
      <w:bCs/>
      <w:sz w:val="24"/>
      <w:szCs w:val="24"/>
    </w:rPr>
  </w:style>
  <w:style w:type="paragraph" w:customStyle="1" w:styleId="217">
    <w:name w:val="font5"/>
    <w:basedOn w:val="1"/>
    <w:qFormat/>
    <w:uiPriority w:val="99"/>
    <w:pPr>
      <w:spacing w:before="100" w:beforeAutospacing="1" w:after="100" w:afterAutospacing="1"/>
    </w:pPr>
    <w:rPr>
      <w:rFonts w:ascii="宋体" w:hAnsi="宋体" w:eastAsia="宋体" w:cs="宋体"/>
      <w:b/>
      <w:bCs/>
      <w:color w:val="000000"/>
      <w:sz w:val="24"/>
      <w:szCs w:val="24"/>
    </w:rPr>
  </w:style>
  <w:style w:type="paragraph" w:customStyle="1" w:styleId="218">
    <w:name w:val="xl65"/>
    <w:basedOn w:val="1"/>
    <w:qFormat/>
    <w:uiPriority w:val="99"/>
    <w:pPr>
      <w:spacing w:before="100" w:beforeAutospacing="1" w:after="100" w:afterAutospacing="1"/>
    </w:pPr>
    <w:rPr>
      <w:rFonts w:ascii="宋体" w:hAnsi="宋体" w:eastAsia="宋体" w:cs="宋体"/>
      <w:sz w:val="24"/>
      <w:szCs w:val="24"/>
    </w:rPr>
  </w:style>
  <w:style w:type="paragraph" w:customStyle="1" w:styleId="219">
    <w:name w:val="font6"/>
    <w:basedOn w:val="1"/>
    <w:qFormat/>
    <w:uiPriority w:val="99"/>
    <w:pPr>
      <w:spacing w:before="100" w:beforeAutospacing="1" w:after="100" w:afterAutospacing="1"/>
    </w:pPr>
    <w:rPr>
      <w:rFonts w:ascii="宋体" w:hAnsi="宋体" w:eastAsia="宋体" w:cs="宋体"/>
      <w:color w:val="000000"/>
    </w:rPr>
  </w:style>
  <w:style w:type="paragraph" w:customStyle="1" w:styleId="220">
    <w:name w:val="xl75"/>
    <w:basedOn w:val="1"/>
    <w:qFormat/>
    <w:uiPriority w:val="99"/>
    <w:pPr>
      <w:pBdr>
        <w:bottom w:val="single" w:color="000000" w:sz="8" w:space="0"/>
        <w:right w:val="single" w:color="000000" w:sz="8" w:space="0"/>
      </w:pBdr>
      <w:spacing w:before="100" w:beforeAutospacing="1" w:after="100" w:afterAutospacing="1"/>
      <w:jc w:val="center"/>
    </w:pPr>
    <w:rPr>
      <w:rFonts w:ascii="宋体" w:hAnsi="宋体" w:eastAsia="宋体" w:cs="宋体"/>
    </w:rPr>
  </w:style>
  <w:style w:type="paragraph" w:customStyle="1" w:styleId="221">
    <w:name w:val="Char Char Char Char Char Char1 Char"/>
    <w:basedOn w:val="1"/>
    <w:qFormat/>
    <w:uiPriority w:val="99"/>
    <w:pPr>
      <w:spacing w:after="160" w:line="240" w:lineRule="exact"/>
    </w:pPr>
    <w:rPr>
      <w:rFonts w:ascii="Times New Roman" w:hAnsi="Times New Roman" w:eastAsia="宋体" w:cs="Times New Roman"/>
      <w:sz w:val="21"/>
      <w:szCs w:val="24"/>
    </w:rPr>
  </w:style>
  <w:style w:type="paragraph" w:customStyle="1" w:styleId="222">
    <w:name w:val="xl68"/>
    <w:basedOn w:val="1"/>
    <w:qFormat/>
    <w:uiPriority w:val="99"/>
    <w:pPr>
      <w:pBdr>
        <w:bottom w:val="single" w:color="000000" w:sz="8" w:space="0"/>
        <w:right w:val="single" w:color="000000" w:sz="8" w:space="0"/>
      </w:pBdr>
      <w:spacing w:before="100" w:beforeAutospacing="1" w:after="100" w:afterAutospacing="1"/>
      <w:jc w:val="center"/>
    </w:pPr>
    <w:rPr>
      <w:rFonts w:ascii="宋体" w:hAnsi="宋体" w:eastAsia="宋体" w:cs="宋体"/>
    </w:rPr>
  </w:style>
  <w:style w:type="paragraph" w:customStyle="1" w:styleId="223">
    <w:name w:val="xl66"/>
    <w:basedOn w:val="1"/>
    <w:qFormat/>
    <w:uiPriority w:val="99"/>
    <w:pPr>
      <w:pBdr>
        <w:top w:val="single" w:color="000000" w:sz="8" w:space="0"/>
        <w:bottom w:val="single" w:color="000000" w:sz="8" w:space="0"/>
        <w:right w:val="single" w:color="000000" w:sz="8" w:space="0"/>
      </w:pBdr>
      <w:spacing w:before="100" w:beforeAutospacing="1" w:after="100" w:afterAutospacing="1"/>
      <w:jc w:val="center"/>
    </w:pPr>
    <w:rPr>
      <w:rFonts w:ascii="宋体" w:hAnsi="宋体" w:eastAsia="宋体" w:cs="宋体"/>
      <w:b/>
      <w:bCs/>
      <w:sz w:val="24"/>
      <w:szCs w:val="24"/>
    </w:rPr>
  </w:style>
  <w:style w:type="paragraph" w:customStyle="1" w:styleId="224">
    <w:name w:val="xl73"/>
    <w:basedOn w:val="1"/>
    <w:qFormat/>
    <w:uiPriority w:val="99"/>
    <w:pPr>
      <w:pBdr>
        <w:top w:val="single" w:color="000000" w:sz="8" w:space="0"/>
        <w:right w:val="single" w:color="000000" w:sz="8" w:space="0"/>
      </w:pBdr>
      <w:spacing w:before="100" w:beforeAutospacing="1" w:after="100" w:afterAutospacing="1"/>
      <w:jc w:val="center"/>
    </w:pPr>
    <w:rPr>
      <w:rFonts w:ascii="宋体" w:hAnsi="宋体" w:eastAsia="宋体" w:cs="宋体"/>
      <w:b/>
      <w:bCs/>
      <w:sz w:val="24"/>
      <w:szCs w:val="24"/>
    </w:rPr>
  </w:style>
  <w:style w:type="paragraph" w:customStyle="1" w:styleId="225">
    <w:name w:val="xl71"/>
    <w:basedOn w:val="1"/>
    <w:qFormat/>
    <w:uiPriority w:val="99"/>
    <w:pPr>
      <w:pBdr>
        <w:right w:val="single" w:color="000000" w:sz="8" w:space="0"/>
      </w:pBdr>
      <w:spacing w:before="100" w:beforeAutospacing="1" w:after="100" w:afterAutospacing="1"/>
      <w:jc w:val="center"/>
    </w:pPr>
    <w:rPr>
      <w:rFonts w:ascii="宋体" w:hAnsi="宋体" w:eastAsia="宋体" w:cs="宋体"/>
      <w:b/>
      <w:bCs/>
    </w:rPr>
  </w:style>
  <w:style w:type="paragraph" w:customStyle="1" w:styleId="226">
    <w:name w:val="样式 标题 2 + 行距: 固定值 30 磅"/>
    <w:basedOn w:val="3"/>
    <w:qFormat/>
    <w:uiPriority w:val="99"/>
    <w:pPr>
      <w:widowControl/>
      <w:spacing w:line="600" w:lineRule="exact"/>
      <w:jc w:val="left"/>
    </w:pPr>
    <w:rPr>
      <w:rFonts w:eastAsia="楷体_GB2312" w:cs="宋体"/>
      <w:color w:val="000000"/>
      <w:szCs w:val="20"/>
    </w:rPr>
  </w:style>
  <w:style w:type="paragraph" w:customStyle="1" w:styleId="227">
    <w:name w:val="列出段落1"/>
    <w:basedOn w:val="1"/>
    <w:qFormat/>
    <w:uiPriority w:val="99"/>
    <w:pPr>
      <w:widowControl w:val="0"/>
      <w:spacing w:after="0"/>
      <w:ind w:firstLine="420"/>
      <w:jc w:val="both"/>
    </w:pPr>
    <w:rPr>
      <w:rFonts w:ascii="Times New Roman" w:hAnsi="Times New Roman" w:eastAsia="宋体" w:cs="Times New Roman"/>
      <w:sz w:val="21"/>
      <w:szCs w:val="24"/>
    </w:rPr>
  </w:style>
  <w:style w:type="paragraph" w:customStyle="1" w:styleId="228">
    <w:name w:val="Char Char"/>
    <w:basedOn w:val="1"/>
    <w:qFormat/>
    <w:uiPriority w:val="0"/>
    <w:pPr>
      <w:widowControl w:val="0"/>
      <w:spacing w:after="0"/>
      <w:jc w:val="both"/>
    </w:pPr>
    <w:rPr>
      <w:rFonts w:ascii="Times New Roman" w:hAnsi="Times New Roman" w:eastAsia="宋体" w:cs="Times New Roman"/>
      <w:sz w:val="21"/>
      <w:szCs w:val="24"/>
    </w:rPr>
  </w:style>
  <w:style w:type="paragraph" w:customStyle="1" w:styleId="229">
    <w:name w:val="Char"/>
    <w:basedOn w:val="1"/>
    <w:qFormat/>
    <w:uiPriority w:val="99"/>
    <w:pPr>
      <w:spacing w:after="160" w:line="240" w:lineRule="exact"/>
    </w:pPr>
    <w:rPr>
      <w:rFonts w:ascii="Calibri" w:hAnsi="Calibri" w:eastAsia="宋体" w:cs="Times New Roman"/>
      <w:sz w:val="21"/>
    </w:rPr>
  </w:style>
  <w:style w:type="paragraph" w:customStyle="1" w:styleId="230">
    <w:name w:val="p"/>
    <w:basedOn w:val="1"/>
    <w:qFormat/>
    <w:uiPriority w:val="99"/>
    <w:pPr>
      <w:spacing w:before="100" w:beforeAutospacing="1" w:after="100" w:afterAutospacing="1"/>
    </w:pPr>
    <w:rPr>
      <w:rFonts w:ascii="宋体" w:hAnsi="宋体" w:eastAsia="宋体" w:cs="宋体"/>
      <w:sz w:val="24"/>
      <w:szCs w:val="24"/>
    </w:rPr>
  </w:style>
  <w:style w:type="paragraph" w:customStyle="1" w:styleId="231">
    <w:name w:val="默认段落字体 Para Char Char Char Char"/>
    <w:basedOn w:val="1"/>
    <w:qFormat/>
    <w:uiPriority w:val="99"/>
    <w:pPr>
      <w:widowControl w:val="0"/>
      <w:spacing w:after="0"/>
      <w:jc w:val="both"/>
    </w:pPr>
    <w:rPr>
      <w:rFonts w:ascii="Times New Roman" w:hAnsi="Times New Roman" w:eastAsia="宋体" w:cs="Times New Roman"/>
      <w:sz w:val="21"/>
      <w:szCs w:val="20"/>
      <w:lang w:eastAsia="en-US"/>
    </w:rPr>
  </w:style>
  <w:style w:type="character" w:customStyle="1" w:styleId="232">
    <w:name w:val="标题 字符"/>
    <w:basedOn w:val="38"/>
    <w:link w:val="34"/>
    <w:qFormat/>
    <w:uiPriority w:val="0"/>
    <w:rPr>
      <w:rFonts w:eastAsia="宋体" w:asciiTheme="majorHAnsi" w:hAnsiTheme="majorHAnsi" w:cstheme="majorBidi"/>
      <w:b/>
      <w:bCs/>
      <w:sz w:val="32"/>
      <w:szCs w:val="32"/>
    </w:rPr>
  </w:style>
  <w:style w:type="paragraph" w:customStyle="1" w:styleId="233">
    <w:name w:val="TOC 标题1"/>
    <w:basedOn w:val="2"/>
    <w:next w:val="1"/>
    <w:unhideWhenUsed/>
    <w:qFormat/>
    <w:uiPriority w:val="39"/>
    <w:pPr>
      <w:spacing w:before="480" w:after="0" w:line="276" w:lineRule="auto"/>
      <w:jc w:val="left"/>
      <w:outlineLvl w:val="9"/>
    </w:pPr>
    <w:rPr>
      <w:rFonts w:asciiTheme="majorHAnsi" w:hAnsiTheme="majorHAnsi" w:eastAsiaTheme="majorEastAsia" w:cstheme="majorBidi"/>
      <w:color w:val="376092" w:themeColor="accent1" w:themeShade="BF"/>
      <w:sz w:val="28"/>
      <w:szCs w:val="28"/>
    </w:rPr>
  </w:style>
  <w:style w:type="character" w:customStyle="1" w:styleId="234">
    <w:name w:val="font01"/>
    <w:basedOn w:val="38"/>
    <w:qFormat/>
    <w:uiPriority w:val="0"/>
    <w:rPr>
      <w:rFonts w:hint="eastAsia" w:ascii="宋体" w:hAnsi="宋体" w:eastAsia="宋体" w:cs="宋体"/>
      <w:b/>
      <w:color w:val="000000"/>
      <w:sz w:val="32"/>
      <w:szCs w:val="32"/>
      <w:u w:val="none"/>
    </w:rPr>
  </w:style>
  <w:style w:type="character" w:customStyle="1" w:styleId="235">
    <w:name w:val="font21"/>
    <w:basedOn w:val="38"/>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sz="1400" b="0">
                <a:latin typeface="仿宋" panose="02010609060101010101" charset="-122"/>
                <a:ea typeface="仿宋" panose="02010609060101010101" charset="-122"/>
                <a:cs typeface="仿宋" panose="02010609060101010101" charset="-122"/>
              </a:rPr>
              <a:t>2022</a:t>
            </a:r>
            <a:r>
              <a:rPr lang="zh-CN" sz="1400" b="0">
                <a:latin typeface="仿宋" panose="02010609060101010101" charset="-122"/>
                <a:ea typeface="仿宋" panose="02010609060101010101" charset="-122"/>
                <a:cs typeface="仿宋" panose="02010609060101010101" charset="-122"/>
              </a:rPr>
              <a:t>年决算收入结构图</a:t>
            </a:r>
            <a:endParaRPr lang="zh-CN" sz="1400" b="0">
              <a:latin typeface="仿宋" panose="02010609060101010101" charset="-122"/>
              <a:ea typeface="仿宋" panose="02010609060101010101" charset="-122"/>
              <a:cs typeface="仿宋" panose="02010609060101010101" charset="-122"/>
            </a:endParaRPr>
          </a:p>
        </c:rich>
      </c:tx>
      <c:layout>
        <c:manualLayout>
          <c:xMode val="edge"/>
          <c:yMode val="edge"/>
          <c:x val="0.295139"/>
          <c:y val="0.006944"/>
        </c:manualLayout>
      </c:layout>
      <c:overlay val="0"/>
    </c:title>
    <c:autoTitleDeleted val="0"/>
    <c:plotArea>
      <c:layout>
        <c:manualLayout>
          <c:layoutTarget val="inner"/>
          <c:xMode val="edge"/>
          <c:yMode val="edge"/>
          <c:x val="0.135855"/>
          <c:y val="0.231481"/>
          <c:w val="0.397778"/>
          <c:h val="0.662963"/>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delete val="1"/>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97.69%</a:t>
                    </a:r>
                    <a:endParaRPr 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2.04%</a:t>
                    </a:r>
                    <a:endParaRPr 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69725"/>
                  <c:y val="-0.08791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0.27%</a:t>
                    </a:r>
                    <a:endParaRPr 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sz="1400" b="0" i="0" u="none" strike="noStrike">
                <a:solidFill>
                  <a:sysClr val="windowText" lastClr="000000"/>
                </a:solidFill>
                <a:latin typeface="仿宋" panose="02010609060101010101" charset="-122"/>
                <a:ea typeface="仿宋" panose="02010609060101010101" charset="-122"/>
                <a:cs typeface="仿宋" panose="02010609060101010101" charset="-122"/>
              </a:rPr>
              <a:t>2022</a:t>
            </a:r>
            <a:r>
              <a:rPr lang="zh-CN" sz="1400" b="0" i="0" u="none" strike="noStrike">
                <a:solidFill>
                  <a:sysClr val="windowText" lastClr="000000"/>
                </a:solidFill>
                <a:latin typeface="仿宋" panose="02010609060101010101" charset="-122"/>
                <a:ea typeface="仿宋" panose="02010609060101010101" charset="-122"/>
                <a:cs typeface="仿宋" panose="02010609060101010101" charset="-122"/>
              </a:rPr>
              <a:t>年</a:t>
            </a:r>
            <a:r>
              <a:rPr lang="zh-CN" sz="1400" b="0">
                <a:latin typeface="仿宋" panose="02010609060101010101" charset="-122"/>
                <a:ea typeface="仿宋" panose="02010609060101010101" charset="-122"/>
                <a:cs typeface="仿宋" panose="02010609060101010101" charset="-122"/>
              </a:rPr>
              <a:t>度预算收入与决算收入对比图</a:t>
            </a:r>
            <a:endParaRPr lang="zh-CN" sz="1400" b="0">
              <a:latin typeface="仿宋" panose="02010609060101010101" charset="-122"/>
              <a:ea typeface="仿宋" panose="02010609060101010101" charset="-122"/>
              <a:cs typeface="仿宋" panose="02010609060101010101" charset="-122"/>
            </a:endParaRPr>
          </a:p>
        </c:rich>
      </c:tx>
      <c:layout>
        <c:manualLayout>
          <c:xMode val="edge"/>
          <c:yMode val="edge"/>
          <c:x val="0.186409"/>
          <c:y val="0.006842"/>
        </c:manualLayout>
      </c:layout>
      <c:overlay val="0"/>
    </c:title>
    <c:autoTitleDeleted val="0"/>
    <c:plotArea>
      <c:layout>
        <c:manualLayout>
          <c:layoutTarget val="inner"/>
          <c:xMode val="edge"/>
          <c:yMode val="edge"/>
          <c:x val="0.159428"/>
          <c:y val="0.174797"/>
          <c:w val="0.684521"/>
          <c:h val="0.388237"/>
        </c:manualLayout>
      </c:layout>
      <c:barChart>
        <c:barDir val="col"/>
        <c:grouping val="clustered"/>
        <c:varyColors val="0"/>
        <c:ser>
          <c:idx val="0"/>
          <c:order val="0"/>
          <c:tx>
            <c:strRef>
              <c:f>'[底稿---自己的.xlsx]Sheet1'!$B$3</c:f>
              <c:strCache>
                <c:ptCount val="1"/>
                <c:pt idx="0">
                  <c:v>预算</c:v>
                </c:pt>
              </c:strCache>
            </c:strRef>
          </c:tx>
          <c:invertIfNegative val="0"/>
          <c:dLbls>
            <c:dLbl>
              <c:idx val="0"/>
              <c:delete val="1"/>
            </c:dLbl>
            <c:dLbl>
              <c:idx val="1"/>
              <c:layout>
                <c:manualLayout>
                  <c:x val="-0.006768"/>
                  <c:y val="-0.07692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5672.92</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
                  <c:y val="-0.03846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54.7</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8842"/>
                  <c:y val="0.01064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19.12</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delete val="1"/>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6861.39</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6248"/>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143.36</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1"/>
                  <c:y val="0.01282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19.1</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0"/>
          <c:showBubbleSize val="0"/>
        </c:dLbls>
        <c:gapWidth val="150"/>
        <c:axId val="157344128"/>
        <c:axId val="157345664"/>
      </c:barChart>
      <c:catAx>
        <c:axId val="15734412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等线"/>
                <a:ea typeface="等线"/>
                <a:cs typeface="Arial" panose="020B0604020202020204" pitchFamily="2"/>
              </a:defRPr>
            </a:pPr>
          </a:p>
        </c:txPr>
        <c:crossAx val="157345664"/>
        <c:crosses val="autoZero"/>
        <c:auto val="1"/>
        <c:lblAlgn val="ctr"/>
        <c:lblOffset val="100"/>
        <c:noMultiLvlLbl val="0"/>
      </c:catAx>
      <c:valAx>
        <c:axId val="157345664"/>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等线"/>
                <a:ea typeface="等线"/>
                <a:cs typeface="Arial" panose="020B0604020202020204" pitchFamily="2"/>
              </a:defRPr>
            </a:pPr>
          </a:p>
        </c:txPr>
        <c:crossAx val="1573441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sz="1400" b="0">
                <a:latin typeface="仿宋" panose="02010609060101010101" charset="-122"/>
                <a:ea typeface="仿宋" panose="02010609060101010101" charset="-122"/>
                <a:cs typeface="仿宋" panose="02010609060101010101" charset="-122"/>
              </a:rPr>
              <a:t>2022</a:t>
            </a:r>
            <a:r>
              <a:rPr lang="zh-CN" sz="1400" b="0">
                <a:latin typeface="仿宋" panose="02010609060101010101" charset="-122"/>
                <a:ea typeface="仿宋" panose="02010609060101010101" charset="-122"/>
                <a:cs typeface="仿宋" panose="02010609060101010101" charset="-122"/>
              </a:rPr>
              <a:t>年度决算支出结构图</a:t>
            </a:r>
            <a:endParaRPr lang="zh-CN" sz="1400" b="0">
              <a:latin typeface="仿宋" panose="02010609060101010101" charset="-122"/>
              <a:ea typeface="仿宋" panose="02010609060101010101" charset="-122"/>
              <a:cs typeface="仿宋" panose="02010609060101010101" charset="-122"/>
            </a:endParaRPr>
          </a:p>
        </c:rich>
      </c:tx>
      <c:layout>
        <c:manualLayout>
          <c:xMode val="edge"/>
          <c:yMode val="edge"/>
          <c:x val="0.298346"/>
          <c:y val="0.006826"/>
        </c:manualLayout>
      </c:layout>
      <c:overlay val="0"/>
    </c:title>
    <c:autoTitleDeleted val="0"/>
    <c:plotArea>
      <c:layout>
        <c:manualLayout>
          <c:layoutTarget val="inner"/>
          <c:xMode val="edge"/>
          <c:yMode val="edge"/>
          <c:x val="0.135855"/>
          <c:y val="0.231481"/>
          <c:w val="0.397778"/>
          <c:h val="0.662963"/>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delete val="1"/>
            </c:dLbl>
            <c:dLbl>
              <c:idx val="1"/>
              <c:layout>
                <c:manualLayout>
                  <c:x val="-0.006509"/>
                  <c:y val="0.02605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97.6</a:t>
                    </a:r>
                    <a:r>
                      <a:t>8%</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
                  <c:y val="-0.05010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a:t>
                    </a:r>
                    <a:r>
                      <a:rPr lang="en-US"/>
                      <a:t>.05</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2948"/>
                  <c:y val="-0.02610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0.27</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sz="1400" b="0">
                <a:latin typeface="仿宋" panose="02010609060101010101" charset="-122"/>
                <a:ea typeface="仿宋" panose="02010609060101010101" charset="-122"/>
                <a:cs typeface="仿宋" panose="02010609060101010101" charset="-122"/>
              </a:rPr>
              <a:t>2022</a:t>
            </a:r>
            <a:r>
              <a:rPr lang="zh-CN" sz="1400" b="0">
                <a:latin typeface="仿宋" panose="02010609060101010101" charset="-122"/>
                <a:ea typeface="仿宋" panose="02010609060101010101" charset="-122"/>
                <a:cs typeface="仿宋" panose="02010609060101010101" charset="-122"/>
              </a:rPr>
              <a:t>年预算支出与决算支出对比图</a:t>
            </a:r>
            <a:endParaRPr lang="zh-CN" sz="1400" b="0">
              <a:latin typeface="仿宋" panose="02010609060101010101" charset="-122"/>
              <a:ea typeface="仿宋" panose="02010609060101010101" charset="-122"/>
              <a:cs typeface="仿宋" panose="02010609060101010101" charset="-122"/>
            </a:endParaRPr>
          </a:p>
        </c:rich>
      </c:tx>
      <c:layout>
        <c:manualLayout>
          <c:xMode val="edge"/>
          <c:yMode val="edge"/>
          <c:x val="0.212023"/>
          <c:y val="0.007893"/>
        </c:manualLayout>
      </c:layout>
      <c:overlay val="0"/>
    </c:title>
    <c:autoTitleDeleted val="0"/>
    <c:plotArea>
      <c:layout>
        <c:manualLayout>
          <c:layoutTarget val="inner"/>
          <c:xMode val="edge"/>
          <c:yMode val="edge"/>
          <c:x val="0.176328"/>
          <c:y val="0.151059"/>
          <c:w val="0.677197"/>
          <c:h val="0.388319"/>
        </c:manualLayout>
      </c:layout>
      <c:barChart>
        <c:barDir val="col"/>
        <c:grouping val="clustered"/>
        <c:varyColors val="0"/>
        <c:ser>
          <c:idx val="0"/>
          <c:order val="0"/>
          <c:tx>
            <c:strRef>
              <c:f>'[底稿---自己的.xlsx]Sheet1'!$B$3</c:f>
              <c:strCache>
                <c:ptCount val="1"/>
                <c:pt idx="0">
                  <c:v>预算</c:v>
                </c:pt>
              </c:strCache>
            </c:strRef>
          </c:tx>
          <c:invertIfNegative val="0"/>
          <c:dLbls>
            <c:dLbl>
              <c:idx val="0"/>
              <c:delete val="1"/>
            </c:dLbl>
            <c:dLbl>
              <c:idx val="1"/>
              <c:layout>
                <c:manualLayout>
                  <c:x val="-0.006768"/>
                  <c:y val="-0.07692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5627.94</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5403"/>
                  <c:y val="-0.04547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54.7</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1"/>
                  <c:y val="-0.0170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19.1</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delete val="1"/>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6825.61</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6768"/>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143.24</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1"/>
                  <c:y val="0.01282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t>19.1</a:t>
                    </a:r>
                    <a:r>
                      <a:t>9</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0"/>
          <c:showBubbleSize val="0"/>
        </c:dLbls>
        <c:gapWidth val="150"/>
        <c:axId val="165905536"/>
        <c:axId val="174944640"/>
      </c:barChart>
      <c:catAx>
        <c:axId val="1659055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等线"/>
                <a:ea typeface="等线"/>
                <a:cs typeface="Arial" panose="020B0604020202020204" pitchFamily="2"/>
              </a:defRPr>
            </a:pPr>
          </a:p>
        </c:txPr>
        <c:crossAx val="174944640"/>
        <c:crosses val="autoZero"/>
        <c:auto val="1"/>
        <c:lblAlgn val="ctr"/>
        <c:lblOffset val="100"/>
        <c:noMultiLvlLbl val="0"/>
      </c:catAx>
      <c:valAx>
        <c:axId val="174944640"/>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等线"/>
                <a:ea typeface="等线"/>
                <a:cs typeface="Arial" panose="020B0604020202020204" pitchFamily="2"/>
              </a:defRPr>
            </a:pPr>
          </a:p>
        </c:txPr>
        <c:crossAx val="165905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pPr>
            <a:defRPr/>
          </a:pPr>
          <a:r>
            <a:rPr lang="zh-CN" sz="1000"/>
            <a:t>单位：万元</a:t>
          </a:r>
          <a:endParaRPr lang="zh-CN" sz="1000"/>
        </a:p>
      </cdr:txBody>
    </cdr:sp>
  </cdr:relSizeAnchor>
</c:userShapes>
</file>

<file path=word/drawings/drawing2.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3608362" y="174387"/>
          <a:ext cx="566046" cy="10378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pPr>
            <a:defRPr/>
          </a:pPr>
          <a:r>
            <a:rPr lang="zh-CN" sz="900"/>
            <a:t>单位：万元</a:t>
          </a:r>
          <a:endParaRPr lang="zh-CN" sz="900"/>
        </a:p>
      </cdr:txBody>
    </cdr:sp>
  </cdr:relSizeAnchor>
</c:userShapes>
</file>

<file path=word/drawings/drawing3.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pPr>
            <a:defRPr/>
          </a:pPr>
          <a:r>
            <a:rPr lang="zh-CN" sz="1000"/>
            <a:t>单位：万元</a:t>
          </a:r>
          <a:endParaRPr lang="zh-CN" sz="1000"/>
        </a:p>
      </cdr:txBody>
    </cdr:sp>
  </cdr:relSizeAnchor>
</c:userShapes>
</file>

<file path=word/drawings/drawing4.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4857751" y="400050"/>
          <a:ext cx="762000"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pPr>
            <a:defRPr/>
          </a:pPr>
          <a:r>
            <a:rPr lang="zh-CN" sz="900"/>
            <a:t>单位：万元</a:t>
          </a:r>
          <a:endParaRPr lang="zh-CN"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12561</Words>
  <Characters>13589</Characters>
  <TotalTime>0</TotalTime>
  <ScaleCrop>false</ScaleCrop>
  <LinksUpToDate>false</LinksUpToDate>
  <CharactersWithSpaces>13754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dcterms:modified xsi:type="dcterms:W3CDTF">2025-05-12T02:56:37Z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EE63F447297E412F9E6E337BF5029938_13</vt:lpwstr>
  </property>
  <property fmtid="{D5CDD505-2E9C-101B-9397-08002B2CF9AE}" pid="4" name="KSOTemplateDocerSaveRecord">
    <vt:lpwstr>eyJoZGlkIjoiOTcyNzM4NmMzM2ViNmFhYzhhMjg4ZGRjNDkxOGEyMzIifQ==</vt:lpwstr>
  </property>
</Properties>
</file>