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9B7137">
      <w:pPr>
        <w:widowControl w:val="0"/>
        <w:adjustRightInd/>
        <w:snapToGrid/>
        <w:spacing w:after="0" w:line="540" w:lineRule="exact"/>
        <w:ind w:firstLine="1600" w:firstLineChars="500"/>
        <w:rPr>
          <w:rFonts w:ascii="Times New Roman" w:hAnsi="Times New Roman" w:eastAsia="宋体" w:cs="Times New Roman"/>
          <w:bCs/>
          <w:kern w:val="2"/>
          <w:sz w:val="32"/>
          <w:szCs w:val="32"/>
        </w:rPr>
      </w:pPr>
      <w:bookmarkStart w:id="80" w:name="_GoBack"/>
      <w:bookmarkEnd w:id="80"/>
      <w:r>
        <w:rPr>
          <w:rFonts w:hint="eastAsia" w:ascii="Times New Roman" w:hAnsi="Times New Roman" w:eastAsia="宋体" w:cs="Times New Roman"/>
          <w:bCs/>
          <w:kern w:val="2"/>
          <w:sz w:val="32"/>
          <w:szCs w:val="32"/>
        </w:rPr>
        <w:t>附件3：</w:t>
      </w:r>
    </w:p>
    <w:p w14:paraId="1352472F">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7E43597B">
      <w:pPr>
        <w:widowControl w:val="0"/>
        <w:adjustRightInd/>
        <w:snapToGrid/>
        <w:spacing w:after="0" w:line="480" w:lineRule="auto"/>
        <w:jc w:val="center"/>
        <w:rPr>
          <w:rFonts w:ascii="黑体" w:hAnsi="黑体" w:eastAsia="黑体" w:cs="Times New Roman"/>
          <w:bCs/>
          <w:kern w:val="2"/>
          <w:sz w:val="44"/>
          <w:szCs w:val="44"/>
        </w:rPr>
      </w:pPr>
      <w:r>
        <w:rPr>
          <w:rFonts w:hint="eastAsia" w:ascii="黑体" w:hAnsi="黑体" w:eastAsia="黑体" w:cs="Times New Roman"/>
          <w:bCs/>
          <w:kern w:val="2"/>
          <w:sz w:val="44"/>
          <w:szCs w:val="44"/>
        </w:rPr>
        <w:t>保定市徐水区留村镇人民政府2022年部门</w:t>
      </w:r>
    </w:p>
    <w:p w14:paraId="2E977EE6">
      <w:pPr>
        <w:widowControl w:val="0"/>
        <w:adjustRightInd/>
        <w:snapToGrid/>
        <w:spacing w:after="0" w:line="480" w:lineRule="auto"/>
        <w:jc w:val="center"/>
        <w:rPr>
          <w:rFonts w:ascii="黑体" w:hAnsi="黑体" w:eastAsia="黑体" w:cs="Times New Roman"/>
          <w:bCs/>
          <w:kern w:val="2"/>
          <w:sz w:val="44"/>
          <w:szCs w:val="44"/>
        </w:rPr>
      </w:pPr>
      <w:r>
        <w:rPr>
          <w:rFonts w:hint="eastAsia" w:ascii="黑体" w:hAnsi="黑体" w:eastAsia="黑体" w:cs="Times New Roman"/>
          <w:bCs/>
          <w:kern w:val="2"/>
          <w:sz w:val="44"/>
          <w:szCs w:val="44"/>
        </w:rPr>
        <w:t>整体支出绩效评价自评报告</w:t>
      </w:r>
    </w:p>
    <w:p w14:paraId="24F96DF1">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2F215AE4">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36062B52">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34853CFC">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62BA4CBC">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220C9FD4">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585B9AD8">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1323D675">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406138D5">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4807143A">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19233DBA">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0E482CFB">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6F5F0C54">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40A30265">
      <w:pPr>
        <w:widowControl w:val="0"/>
        <w:adjustRightInd/>
        <w:snapToGrid/>
        <w:spacing w:after="0" w:line="540" w:lineRule="exact"/>
        <w:ind w:firstLine="720" w:firstLineChars="200"/>
        <w:jc w:val="center"/>
        <w:rPr>
          <w:rFonts w:cs="Times New Roman" w:asciiTheme="minorEastAsia" w:hAnsiTheme="minorEastAsia" w:eastAsiaTheme="minorEastAsia"/>
          <w:bCs/>
          <w:kern w:val="2"/>
          <w:sz w:val="36"/>
          <w:szCs w:val="36"/>
        </w:rPr>
      </w:pPr>
      <w:r>
        <w:rPr>
          <w:rFonts w:hint="eastAsia" w:cs="Times New Roman" w:asciiTheme="minorEastAsia" w:hAnsiTheme="minorEastAsia" w:eastAsiaTheme="minorEastAsia"/>
          <w:bCs/>
          <w:kern w:val="2"/>
          <w:sz w:val="36"/>
          <w:szCs w:val="36"/>
        </w:rPr>
        <w:t>20</w:t>
      </w:r>
      <w:r>
        <w:rPr>
          <w:rFonts w:cs="Times New Roman" w:asciiTheme="minorEastAsia" w:hAnsiTheme="minorEastAsia" w:eastAsiaTheme="minorEastAsia"/>
          <w:bCs/>
          <w:kern w:val="2"/>
          <w:sz w:val="36"/>
          <w:szCs w:val="36"/>
        </w:rPr>
        <w:t>22</w:t>
      </w:r>
      <w:r>
        <w:rPr>
          <w:rFonts w:hint="eastAsia" w:cs="Times New Roman" w:asciiTheme="minorEastAsia" w:hAnsiTheme="minorEastAsia" w:eastAsiaTheme="minorEastAsia"/>
          <w:bCs/>
          <w:kern w:val="2"/>
          <w:sz w:val="36"/>
          <w:szCs w:val="36"/>
        </w:rPr>
        <w:t>年</w:t>
      </w:r>
      <w:r>
        <w:rPr>
          <w:rFonts w:cs="Times New Roman" w:asciiTheme="minorEastAsia" w:hAnsiTheme="minorEastAsia" w:eastAsiaTheme="minorEastAsia"/>
          <w:bCs/>
          <w:kern w:val="2"/>
          <w:sz w:val="36"/>
          <w:szCs w:val="36"/>
        </w:rPr>
        <w:t>11</w:t>
      </w:r>
      <w:r>
        <w:rPr>
          <w:rFonts w:hint="eastAsia" w:cs="Times New Roman" w:asciiTheme="minorEastAsia" w:hAnsiTheme="minorEastAsia" w:eastAsiaTheme="minorEastAsia"/>
          <w:bCs/>
          <w:kern w:val="2"/>
          <w:sz w:val="36"/>
          <w:szCs w:val="36"/>
        </w:rPr>
        <w:t>月</w:t>
      </w:r>
    </w:p>
    <w:p w14:paraId="6A8B779C">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324C352C">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7D3FED26">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sdt>
      <w:sdtPr>
        <w:rPr>
          <w:rFonts w:ascii="Tahoma" w:hAnsi="Tahoma" w:eastAsia="微软雅黑" w:cstheme="minorBidi"/>
          <w:b w:val="0"/>
          <w:bCs w:val="0"/>
          <w:color w:val="auto"/>
          <w:sz w:val="22"/>
          <w:szCs w:val="22"/>
          <w:lang w:val="zh-CN"/>
        </w:rPr>
        <w:id w:val="8905895"/>
        <w:docPartObj>
          <w:docPartGallery w:val="Table of Contents"/>
          <w:docPartUnique/>
        </w:docPartObj>
      </w:sdtPr>
      <w:sdtEndPr>
        <w:rPr>
          <w:rFonts w:ascii="Tahoma" w:hAnsi="Tahoma" w:eastAsia="微软雅黑" w:cstheme="minorBidi"/>
          <w:b w:val="0"/>
          <w:bCs w:val="0"/>
          <w:color w:val="auto"/>
          <w:sz w:val="22"/>
          <w:szCs w:val="22"/>
          <w:lang w:val="en-US"/>
        </w:rPr>
      </w:sdtEndPr>
      <w:sdtContent>
        <w:p w14:paraId="37328A26">
          <w:pPr>
            <w:pStyle w:val="71"/>
            <w:ind w:firstLine="440" w:firstLineChars="200"/>
            <w:jc w:val="center"/>
            <w:rPr>
              <w:color w:val="auto"/>
              <w:sz w:val="44"/>
              <w:szCs w:val="44"/>
              <w:lang w:val="zh-CN"/>
            </w:rPr>
          </w:pPr>
          <w:r>
            <w:rPr>
              <w:color w:val="auto"/>
              <w:sz w:val="44"/>
              <w:szCs w:val="44"/>
              <w:lang w:val="zh-CN"/>
            </w:rPr>
            <w:t>目</w:t>
          </w:r>
          <w:r>
            <w:rPr>
              <w:rFonts w:hint="eastAsia"/>
              <w:color w:val="auto"/>
              <w:sz w:val="44"/>
              <w:szCs w:val="44"/>
              <w:lang w:val="zh-CN"/>
            </w:rPr>
            <w:t xml:space="preserve">    </w:t>
          </w:r>
          <w:r>
            <w:rPr>
              <w:color w:val="auto"/>
              <w:sz w:val="44"/>
              <w:szCs w:val="44"/>
              <w:lang w:val="zh-CN"/>
            </w:rPr>
            <w:t>录</w:t>
          </w:r>
        </w:p>
        <w:p w14:paraId="53EBACEC">
          <w:pPr>
            <w:pStyle w:val="18"/>
            <w:tabs>
              <w:tab w:val="right" w:leader="dot" w:pos="8312"/>
            </w:tabs>
            <w:spacing w:line="312" w:lineRule="auto"/>
            <w:ind w:left="0" w:leftChars="0"/>
            <w:rPr>
              <w:rFonts w:asciiTheme="majorEastAsia" w:hAnsiTheme="majorEastAsia" w:eastAsiaTheme="majorEastAsia" w:cstheme="majorEastAsia"/>
              <w:b/>
              <w:bCs/>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TOC \o "1-3" \h \z \u </w:instrText>
          </w:r>
          <w:r>
            <w:rPr>
              <w:rFonts w:asciiTheme="minorEastAsia" w:hAnsiTheme="minorEastAsia" w:eastAsiaTheme="minorEastAsia"/>
              <w:sz w:val="24"/>
            </w:rPr>
            <w:fldChar w:fldCharType="separate"/>
          </w:r>
          <w:r>
            <w:fldChar w:fldCharType="begin"/>
          </w:r>
          <w:r>
            <w:instrText xml:space="preserve"> HYPERLINK \l "_Toc25184" </w:instrText>
          </w:r>
          <w:r>
            <w:fldChar w:fldCharType="separate"/>
          </w:r>
          <w:r>
            <w:rPr>
              <w:rFonts w:hint="eastAsia" w:asciiTheme="majorEastAsia" w:hAnsiTheme="majorEastAsia" w:eastAsiaTheme="majorEastAsia" w:cstheme="majorEastAsia"/>
              <w:b/>
              <w:bCs/>
              <w:sz w:val="24"/>
            </w:rPr>
            <w:t>第一部分   摘  要</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_Toc25184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76C6ACB9">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"_Toc4346" </w:instrText>
          </w:r>
          <w:r>
            <w:fldChar w:fldCharType="separate"/>
          </w:r>
          <w:r>
            <w:rPr>
              <w:rFonts w:hint="eastAsia" w:asciiTheme="majorEastAsia" w:hAnsiTheme="majorEastAsia" w:eastAsiaTheme="majorEastAsia" w:cstheme="majorEastAsia"/>
              <w:b/>
              <w:bCs/>
              <w:sz w:val="24"/>
            </w:rPr>
            <w:t>第二部分   绩效评价报告</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_Toc4346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4</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2545C9D0">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"_Toc427" </w:instrText>
          </w:r>
          <w:r>
            <w:fldChar w:fldCharType="separate"/>
          </w:r>
          <w:r>
            <w:rPr>
              <w:rFonts w:hint="eastAsia" w:asciiTheme="majorEastAsia" w:hAnsiTheme="majorEastAsia" w:eastAsiaTheme="majorEastAsia" w:cstheme="majorEastAsia"/>
              <w:b/>
              <w:bCs/>
              <w:sz w:val="24"/>
            </w:rPr>
            <w:t>一、保定市徐水区留村镇政府基本情况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_Toc427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5</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7812E8FE">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"_Toc11473" </w:instrText>
          </w:r>
          <w:r>
            <w:fldChar w:fldCharType="separate"/>
          </w:r>
          <w:r>
            <w:rPr>
              <w:rFonts w:hint="eastAsia" w:asciiTheme="majorEastAsia" w:hAnsiTheme="majorEastAsia" w:eastAsiaTheme="majorEastAsia" w:cstheme="majorEastAsia"/>
              <w:sz w:val="24"/>
            </w:rPr>
            <w:t>（一）部门职责和工作活动</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_Toc11473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1958BF46">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"_Toc7075" </w:instrText>
          </w:r>
          <w:r>
            <w:fldChar w:fldCharType="separate"/>
          </w:r>
          <w:r>
            <w:rPr>
              <w:rFonts w:hint="eastAsia" w:asciiTheme="majorEastAsia" w:hAnsiTheme="majorEastAsia" w:eastAsiaTheme="majorEastAsia" w:cstheme="majorEastAsia"/>
              <w:sz w:val="24"/>
            </w:rPr>
            <w:t>（二）部门年度发展规划总体目标和职责分类绩效目标</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_Toc7075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29FEB2C6">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"_Toc1678" </w:instrText>
          </w:r>
          <w:r>
            <w:fldChar w:fldCharType="separate"/>
          </w:r>
          <w:r>
            <w:rPr>
              <w:rFonts w:hint="eastAsia" w:asciiTheme="majorEastAsia" w:hAnsiTheme="majorEastAsia" w:eastAsiaTheme="majorEastAsia" w:cstheme="majorEastAsia"/>
              <w:sz w:val="24"/>
            </w:rPr>
            <w:t>（三）部门预算收入及决算收入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_Toc1678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2ACD20D3">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"_Toc18197" </w:instrText>
          </w:r>
          <w:r>
            <w:fldChar w:fldCharType="separate"/>
          </w:r>
          <w:r>
            <w:rPr>
              <w:rFonts w:hint="eastAsia" w:asciiTheme="majorEastAsia" w:hAnsiTheme="majorEastAsia" w:eastAsiaTheme="majorEastAsia" w:cstheme="majorEastAsia"/>
              <w:sz w:val="24"/>
            </w:rPr>
            <w:t>（四）预算支出及决算支出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_Toc18197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441549CB">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"_Toc19291" </w:instrText>
          </w:r>
          <w:r>
            <w:fldChar w:fldCharType="separate"/>
          </w:r>
          <w:r>
            <w:rPr>
              <w:rFonts w:hint="eastAsia" w:asciiTheme="majorEastAsia" w:hAnsiTheme="majorEastAsia" w:eastAsiaTheme="majorEastAsia" w:cstheme="majorEastAsia"/>
              <w:sz w:val="24"/>
            </w:rPr>
            <w:t>（五）“三公”经费预算安排及支出情况</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_Toc19291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9</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00500027">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"_Toc20454" </w:instrText>
          </w:r>
          <w:r>
            <w:fldChar w:fldCharType="separate"/>
          </w:r>
          <w:r>
            <w:rPr>
              <w:rFonts w:hint="eastAsia" w:asciiTheme="majorEastAsia" w:hAnsiTheme="majorEastAsia" w:eastAsiaTheme="majorEastAsia" w:cstheme="majorEastAsia"/>
              <w:b/>
              <w:bCs/>
              <w:sz w:val="24"/>
            </w:rPr>
            <w:t>二、部门整体支出绩效评价指标体系设定情况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_Toc20454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10</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4250DACE">
          <w:pPr>
            <w:pStyle w:val="18"/>
            <w:tabs>
              <w:tab w:val="right" w:leader="dot" w:pos="8312"/>
            </w:tabs>
            <w:spacing w:line="312" w:lineRule="auto"/>
            <w:ind w:left="0" w:leftChars="0" w:firstLine="300" w:firstLineChars="100"/>
            <w:rPr>
              <w:rFonts w:asciiTheme="majorEastAsia" w:hAnsiTheme="majorEastAsia" w:eastAsiaTheme="majorEastAsia" w:cstheme="majorEastAsia"/>
              <w:sz w:val="24"/>
            </w:rPr>
          </w:pPr>
          <w:r>
            <w:fldChar w:fldCharType="begin"/>
          </w:r>
          <w:r>
            <w:instrText xml:space="preserve"> HYPERLINK \l "_Toc9569"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_Toc9569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10</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4E965513">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"_Toc30221"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_Toc30221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11</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335715F5">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"_Toc24932"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_Toc24932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11</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23F9994A">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"_Toc21821"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_Toc21821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20C2F4D5">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"_Toc11842" </w:instrText>
          </w:r>
          <w:r>
            <w:fldChar w:fldCharType="separate"/>
          </w:r>
          <w:r>
            <w:rPr>
              <w:rFonts w:hint="eastAsia" w:asciiTheme="majorEastAsia" w:hAnsiTheme="majorEastAsia" w:eastAsiaTheme="majorEastAsia" w:cstheme="majorEastAsia"/>
              <w:b/>
              <w:bCs/>
              <w:sz w:val="24"/>
            </w:rPr>
            <w:t>三、综合绩效评价工作情况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_Toc11842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12</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3238937F">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"_Toc17138" </w:instrText>
          </w:r>
          <w:r>
            <w:fldChar w:fldCharType="separate"/>
          </w:r>
          <w:r>
            <w:rPr>
              <w:rFonts w:hint="eastAsia" w:asciiTheme="majorEastAsia" w:hAnsiTheme="majorEastAsia" w:eastAsiaTheme="majorEastAsia" w:cstheme="majorEastAsia"/>
              <w:sz w:val="24"/>
            </w:rPr>
            <w:t>（一）绩效评价目的</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_Toc17138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2A03C49E">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"_Toc11607" </w:instrText>
          </w:r>
          <w:r>
            <w:fldChar w:fldCharType="separate"/>
          </w:r>
          <w:r>
            <w:rPr>
              <w:rFonts w:hint="eastAsia" w:asciiTheme="majorEastAsia" w:hAnsiTheme="majorEastAsia" w:eastAsiaTheme="majorEastAsia" w:cstheme="majorEastAsia"/>
              <w:sz w:val="24"/>
            </w:rPr>
            <w:t>（二）绩效评价依据</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_Toc11607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72303D91">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"_Toc7609" </w:instrText>
          </w:r>
          <w:r>
            <w:fldChar w:fldCharType="separate"/>
          </w:r>
          <w:r>
            <w:rPr>
              <w:rFonts w:hint="eastAsia" w:asciiTheme="majorEastAsia" w:hAnsiTheme="majorEastAsia" w:eastAsiaTheme="majorEastAsia" w:cstheme="majorEastAsia"/>
              <w:sz w:val="24"/>
            </w:rPr>
            <w:t>（三）绩效评价内容</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_Toc7609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7BBE13CE">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"_Toc789" </w:instrText>
          </w:r>
          <w:r>
            <w:fldChar w:fldCharType="separate"/>
          </w:r>
          <w:r>
            <w:rPr>
              <w:rFonts w:hint="eastAsia" w:asciiTheme="majorEastAsia" w:hAnsiTheme="majorEastAsia" w:eastAsiaTheme="majorEastAsia" w:cstheme="majorEastAsia"/>
              <w:sz w:val="24"/>
            </w:rPr>
            <w:t>（四）绩效评价原则</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_Toc789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698275EE">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"_Toc8171" </w:instrText>
          </w:r>
          <w:r>
            <w:fldChar w:fldCharType="separate"/>
          </w:r>
          <w:r>
            <w:rPr>
              <w:rFonts w:hint="eastAsia" w:asciiTheme="majorEastAsia" w:hAnsiTheme="majorEastAsia" w:eastAsiaTheme="majorEastAsia" w:cstheme="majorEastAsia"/>
              <w:sz w:val="24"/>
            </w:rPr>
            <w:t>（五）绩效评价方法</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_Toc8171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4A7D475F">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"_Toc20821" </w:instrText>
          </w:r>
          <w:r>
            <w:fldChar w:fldCharType="separate"/>
          </w:r>
          <w:r>
            <w:rPr>
              <w:rFonts w:hint="eastAsia" w:asciiTheme="majorEastAsia" w:hAnsiTheme="majorEastAsia" w:eastAsiaTheme="majorEastAsia" w:cstheme="majorEastAsia"/>
              <w:sz w:val="24"/>
            </w:rPr>
            <w:t>（六）绩效评价工作过程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_Toc20821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0DDC7DCC">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"_Toc6467" </w:instrText>
          </w:r>
          <w:r>
            <w:fldChar w:fldCharType="separate"/>
          </w:r>
          <w:r>
            <w:rPr>
              <w:rFonts w:hint="eastAsia" w:asciiTheme="majorEastAsia" w:hAnsiTheme="majorEastAsia" w:eastAsiaTheme="majorEastAsia" w:cstheme="majorEastAsia"/>
              <w:b/>
              <w:bCs/>
              <w:sz w:val="24"/>
            </w:rPr>
            <w:t>四、绩效评价评分情况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_Toc6467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16</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7F56D55D">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"_Toc4390"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_Toc4390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36CEDFE0">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"_Toc19940"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_Toc19940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20</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5A0F05B7">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"_Toc12330"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_Toc12330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0DC76A9B">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"_Toc28363"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_Toc28363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28</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38C32E41">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"_Toc13757" </w:instrText>
          </w:r>
          <w:r>
            <w:fldChar w:fldCharType="separate"/>
          </w:r>
          <w:r>
            <w:rPr>
              <w:rFonts w:hint="eastAsia" w:asciiTheme="majorEastAsia" w:hAnsiTheme="majorEastAsia" w:eastAsiaTheme="majorEastAsia" w:cstheme="majorEastAsia"/>
              <w:b/>
              <w:bCs/>
              <w:sz w:val="24"/>
            </w:rPr>
            <w:t>五、绩效评价发现的问题</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_Toc13757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29</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4B008CBD">
          <w:pPr>
            <w:pStyle w:val="18"/>
            <w:tabs>
              <w:tab w:val="right" w:leader="dot" w:pos="8312"/>
            </w:tabs>
            <w:spacing w:line="312" w:lineRule="auto"/>
            <w:ind w:left="0" w:leftChars="0"/>
            <w:rPr>
              <w:b/>
              <w:bCs/>
            </w:rPr>
          </w:pPr>
          <w:r>
            <w:fldChar w:fldCharType="begin"/>
          </w:r>
          <w:r>
            <w:instrText xml:space="preserve"> HYPERLINK \l "_Toc20723" </w:instrText>
          </w:r>
          <w:r>
            <w:fldChar w:fldCharType="separate"/>
          </w:r>
          <w:r>
            <w:rPr>
              <w:rFonts w:hint="eastAsia" w:asciiTheme="majorEastAsia" w:hAnsiTheme="majorEastAsia" w:eastAsiaTheme="majorEastAsia" w:cstheme="majorEastAsia"/>
              <w:b/>
              <w:bCs/>
              <w:sz w:val="24"/>
            </w:rPr>
            <w:t>六、绩效评价意见及建议</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_Toc20723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30</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363F264D">
          <w:pPr>
            <w:spacing w:line="312" w:lineRule="auto"/>
            <w:ind w:firstLine="440" w:firstLineChars="200"/>
            <w:jc w:val="both"/>
            <w:sectPr>
              <w:footerReference r:id="rId4" w:type="default"/>
              <w:pgSz w:w="11906" w:h="16838"/>
              <w:pgMar w:top="1440" w:right="1797" w:bottom="1191" w:left="1797" w:header="709" w:footer="709" w:gutter="0"/>
              <w:pgNumType w:start="1"/>
              <w:cols w:space="708" w:num="1"/>
              <w:docGrid w:linePitch="360" w:charSpace="0"/>
            </w:sectPr>
          </w:pPr>
          <w:r>
            <w:rPr>
              <w:rFonts w:asciiTheme="minorEastAsia" w:hAnsiTheme="minorEastAsia" w:eastAsiaTheme="minorEastAsia"/>
              <w:szCs w:val="24"/>
            </w:rPr>
            <w:fldChar w:fldCharType="end"/>
          </w:r>
        </w:p>
      </w:sdtContent>
    </w:sdt>
    <w:p w14:paraId="3BF20108">
      <w:pPr>
        <w:pStyle w:val="3"/>
        <w:spacing w:line="540" w:lineRule="exact"/>
        <w:jc w:val="center"/>
        <w:rPr>
          <w:rFonts w:ascii="黑体" w:hAnsi="黑体"/>
          <w:b w:val="0"/>
        </w:rPr>
      </w:pPr>
      <w:bookmarkStart w:id="0" w:name="_Toc25184"/>
      <w:r>
        <w:rPr>
          <w:rFonts w:hint="eastAsia" w:ascii="黑体" w:hAnsi="黑体"/>
          <w:b w:val="0"/>
        </w:rPr>
        <w:t>第一部分   摘  要</w:t>
      </w:r>
      <w:bookmarkEnd w:id="0"/>
    </w:p>
    <w:p w14:paraId="397426F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为深入贯彻落实中共中央国务院《关于全面实施预算绩效管理的意见》、中共河北省委河北省人民政府《关于全面实施预算绩效管理的实施意见》、河北省财政厅《全面实施预算绩效管理推进工作方案》的精神，进一步加强和规范预算绩效运行监控工作，确保绩效目标如期保质保量实现，提高预算执行效率和财政资金使用效益，我单位对</w:t>
      </w:r>
      <w:r>
        <w:rPr>
          <w:rFonts w:ascii="仿宋_GB2312" w:eastAsia="仿宋_GB2312" w:cs="DengXian-Regular"/>
          <w:sz w:val="32"/>
          <w:szCs w:val="32"/>
        </w:rPr>
        <w:t>2022</w:t>
      </w:r>
      <w:r>
        <w:rPr>
          <w:rFonts w:hint="eastAsia" w:ascii="仿宋_GB2312" w:eastAsia="仿宋_GB2312" w:cs="DengXian-Regular"/>
          <w:sz w:val="32"/>
          <w:szCs w:val="32"/>
        </w:rPr>
        <w:t>年部门整体支出情况开展了绩效自评价工作。</w:t>
      </w:r>
    </w:p>
    <w:p w14:paraId="764D214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保定市徐水区留村镇政府为正科级行政单位，经费保障形式为财政拨款，下设8个股室，分别为党政综合办公室、党建工作办公室、应急管理办公室、自然资源和生态环境办公室、综合行政执法队、行政综合服务中心、农业综合服务中心、退役军人服务站，主要职责有方面履行职能。</w:t>
      </w:r>
    </w:p>
    <w:p w14:paraId="5C69E05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主要职责:</w:t>
      </w:r>
    </w:p>
    <w:p w14:paraId="128EDD2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宣传贯彻执行党的路线方针政策和党中央、上级党组织及本乡镇党员代表大会(党员大会)的决议。贯彻执行法律、法规、规章和上级人民代表大会及其常务委员会决议及上级政府的决定、命令，执行本级人民代表大会的决议。</w:t>
      </w:r>
    </w:p>
    <w:p w14:paraId="22FB196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(二)加强党对基层治理的全面领导，统筹抓好基层党建工作和基层党组织各项制度建设。推进全面从严治党， 强化“两个责任”，确保党的路线方针政策在基层得到全面贯彻落实。</w:t>
      </w:r>
    </w:p>
    <w:p w14:paraId="28BC4F6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(三)讨论和决定本乡镇经济建设、政治建设、文化建设、社会建设、生态文明建设和党的建设以及乡村振兴中的重大问题。</w:t>
      </w:r>
    </w:p>
    <w:p w14:paraId="5F8C66F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(四)组织召开本级人民代表大会，充分行使重大事项决定权、监督权和任免权，做好人大代表工作，联系选民、反映群众意见和要求。</w:t>
      </w:r>
    </w:p>
    <w:p w14:paraId="5D34971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(五)组织实施与群众生活密切相关的各项公共服务，落实基层“最多跑一次”改革工作，拓宽服务渠道，改进服务方式，建立健全群众办事一次办结机制，推进乡镇便民服务</w:t>
      </w:r>
      <w:r>
        <w:rPr>
          <w:rFonts w:hint="eastAsia" w:ascii="仿宋_GB2312" w:eastAsia="仿宋_GB2312" w:cs="DengXian-Regular"/>
          <w:sz w:val="32"/>
          <w:szCs w:val="32"/>
          <w:lang w:eastAsia="zh-CN"/>
        </w:rPr>
        <w:t>平台</w:t>
      </w:r>
      <w:r>
        <w:rPr>
          <w:rFonts w:hint="eastAsia" w:ascii="仿宋_GB2312" w:eastAsia="仿宋_GB2312" w:cs="DengXian-Regular"/>
          <w:sz w:val="32"/>
          <w:szCs w:val="32"/>
        </w:rPr>
        <w:t>标准化建设，实行“一站式服务”“一枚印章管审批(服务)”，提升群众获得感和幸福感。</w:t>
      </w:r>
    </w:p>
    <w:p w14:paraId="47F16BF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(六)执行本行政区域内的经济和社会发展计划、预算，管理本行政区域内的经济、教育、科学、文化、卫生健康、 体育事业、人力资源和社会保障、医疗保障和财政、统计、民政、司法行政等行政工作。落实本行政区域内发展规划、专项规划、区域规划、国土空间规划。</w:t>
      </w:r>
    </w:p>
    <w:p w14:paraId="54C70E9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七)乡镇党委领导乡镇政权机关、群团组织和其他各类组织，加强指导和规范，支持和保证这些机关和组织依照国家法律法规以及各自章程履行职贲坚持党管武装的根本原则和制度，协调各方力量，对乡镇人民武装工作实行统一领导。</w:t>
      </w:r>
    </w:p>
    <w:p w14:paraId="27A2087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(八)加强乡镇党委自身建设和村党组织建设，以及其他隶属乡镇党委的党组织建设，抓好发展党员工作，加强党员队伍建设。维护和执行党的纪律，监督党员干部和其他任何工作人员严格遵守国家法律法规。</w:t>
      </w:r>
    </w:p>
    <w:p w14:paraId="35C1373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(九)按照干部管理权限，负责对干部的教育、培训、选拔、考核和监督工作。协助管理上级有关部门驻乡镇单位的干部。做好人才服务工作。</w:t>
      </w:r>
    </w:p>
    <w:p w14:paraId="582CE6F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十)领导本乡镇的基层治理，加强社会主义民主法治建设和精神文明建设，加强社会治安综合治理，推行网格化管理服务，落实社会矛盾纠纷排查调处机制，综合发挥人民调解、行政调解和司法调解的作用，及时化解辖区社会矛盾，维护安全稳定。做好综合执法、应急管理、自然资源和生态环保、乡村振兴、民生保障、脱贫致富、民族宗教、防范邪教等工作。承担民兵预备役、征兵、退役军人服务、拥军优属等工作。</w:t>
      </w:r>
    </w:p>
    <w:p w14:paraId="0211D96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十一)保护社会主义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子妇女的男女平等、同工同酬和婚姻自由等各项权利。</w:t>
      </w:r>
    </w:p>
    <w:p w14:paraId="0B51D98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(十二)承办上级党委、人大、政府交办的其他事项。</w:t>
      </w:r>
    </w:p>
    <w:p w14:paraId="21C34FAB">
      <w:pPr>
        <w:spacing w:after="0" w:line="360" w:lineRule="auto"/>
        <w:jc w:val="both"/>
        <w:textAlignment w:val="baseline"/>
        <w:rPr>
          <w:rFonts w:ascii="仿宋_GB2312" w:eastAsia="仿宋_GB2312" w:cs="DengXian-Regular"/>
          <w:sz w:val="32"/>
          <w:szCs w:val="32"/>
        </w:rPr>
      </w:pPr>
      <w:r>
        <w:rPr>
          <w:rFonts w:hint="eastAsia" w:ascii="仿宋_GB2312" w:eastAsia="仿宋_GB2312" w:cs="DengXian-Regular"/>
          <w:sz w:val="32"/>
          <w:szCs w:val="32"/>
        </w:rPr>
        <w:t>负责全镇工作。</w:t>
      </w:r>
    </w:p>
    <w:p w14:paraId="6374D17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是制定科学合理的评价方法、评价标准和指标体系，对财政资金的使用及产生的效益进行客观、公正的评价。通过部门整体支出绩效评价工作了解部门绩效目标和指标的设置及完成情况；部门整体资金预算情况、实际收支及结转结余情况；部门履职对社会发展所带来的直接或间接影响及服务对象对部门履职效果的满意程度，促使相关部门根据绩效评价过程中发现的问题，及时整改并总结经验，提高部门管理水平，牢固树立预算绩效理念，强化部门支出责任，提高预算执行效率和财政资金使用效益。</w:t>
      </w:r>
    </w:p>
    <w:p w14:paraId="637466A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评价工作经过了前期准备、绩效评价实施方案和指标体系制定、组织实施、绩效评价报告撰写四个阶段。</w:t>
      </w:r>
    </w:p>
    <w:p w14:paraId="1216810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中共河北省委河北省人民政府《关于全面实施预算绩效管理的实施意见》的相关规定，以河北省财政厅《全面实施预算绩效管理推进工作方案》、《保定市徐水区部门预算绩效运行监控工作规程》中的相关工作要求作为评价标准，采取定量和定性评价相结合的方法，对资料进行审核、分析，实事求是、客观公正地完成了留村镇政府2022年部门整体支出绩效评价工作。</w:t>
      </w:r>
    </w:p>
    <w:p w14:paraId="63EE990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留村镇政府2022年部门整体支出绩效评价指标体系共设置4个一级指标、7个二级指标、27个三级指标，从投入、过程、产出、效果四个方面对留村镇政府部门整体支出情况评分定级。指标体系设定满分为100分，绩效评价分值≥90为“优”；80≤分值＜90为“良”；60≤分值＜80为“合格”；60分以下为“差”。</w:t>
      </w:r>
    </w:p>
    <w:p w14:paraId="757F49B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留村镇政府2022年部门整体支出综合评价得分为98分，评价等级为“优”。</w:t>
      </w:r>
    </w:p>
    <w:p w14:paraId="2DDC9FC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评价，区留村镇政府2022年部门预算编制完整性、项目预算细化率、在职人员控制率、收入完成率、财政拨款支出完成率、“三公经费”控制率、资金使用合规性、决算真实性、管理制度健全性、预决算信息公开、资产管理规范性、绩效自评覆盖率、绩效评价优等率、结转结余率、部门整体效益等指标完成情况较好。</w:t>
      </w:r>
    </w:p>
    <w:p w14:paraId="2A8AC7D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通过本次绩效评价工作，发现我单位在以下几个方面存在一些不足之处，具体如下：</w:t>
      </w:r>
    </w:p>
    <w:p w14:paraId="6A34D76A">
      <w:pPr>
        <w:pStyle w:val="40"/>
        <w:numPr>
          <w:ilvl w:val="0"/>
          <w:numId w:val="1"/>
        </w:numPr>
        <w:spacing w:after="0" w:line="360" w:lineRule="auto"/>
        <w:ind w:firstLineChars="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绩效指标方面</w:t>
      </w:r>
    </w:p>
    <w:p w14:paraId="351A166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2.预算决算比较</w:t>
      </w:r>
    </w:p>
    <w:p w14:paraId="1B0FCA1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3.预算追加方面</w:t>
      </w:r>
    </w:p>
    <w:p w14:paraId="7BBF587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4.政府采购方面</w:t>
      </w:r>
    </w:p>
    <w:p w14:paraId="6BDC8D4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5.项目资金使用率</w:t>
      </w:r>
    </w:p>
    <w:p w14:paraId="7A0113A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6.部分基础数据信息方面</w:t>
      </w:r>
    </w:p>
    <w:p w14:paraId="5E23783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针对此次绩效评价过程中发现的问题，我们建议：</w:t>
      </w:r>
    </w:p>
    <w:p w14:paraId="1E852ED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1.增强绩效指标设置的明确性</w:t>
      </w:r>
    </w:p>
    <w:p w14:paraId="496B22F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工作活动、预算项目绩效指标应当清晰、可评价、可衡量。建议在设置职责活动绩效指标时，将绩效目标细化分解为具体的工作任务数，从而使绩效目标可量化，便于对目标实现情况进行考核。</w:t>
      </w:r>
    </w:p>
    <w:p w14:paraId="5EC3005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2.提高预算编制质量</w:t>
      </w:r>
    </w:p>
    <w:p w14:paraId="1384460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部门预算编制工作要全面反映和体现部门职责，根据具体情况及时调整预算的编制，缩小预算与决算差额，减少中期预算追加，提高预算编制质量，发挥预算约束作用。</w:t>
      </w:r>
    </w:p>
    <w:p w14:paraId="5758BF5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3.强化政府采购执行</w:t>
      </w:r>
    </w:p>
    <w:p w14:paraId="6DD075F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建议严格按照《中华人民共和国政府采购法》及河北省2017年《政府采购集中采购目录和限额标准》的相关规定，执行政府采购，加快预算执行进度，提高政府采购效率。</w:t>
      </w:r>
      <w:bookmarkStart w:id="1" w:name="_Toc4346"/>
    </w:p>
    <w:p w14:paraId="3C595B8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4.提高项目资金使用率</w:t>
      </w:r>
    </w:p>
    <w:p w14:paraId="5B283F3E">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建议区留村镇政府对项目资金进行梳理，督促项目进度和资金拨付进度，应拨付的资金及时拨付，不具备条件的资金及时收回，同时，对于按规定可以结转至下年的中央及省级项目资金，在下年的项目安排时优先考虑。</w:t>
      </w:r>
    </w:p>
    <w:p w14:paraId="7050261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w:t>
      </w:r>
      <w:r>
        <w:rPr>
          <w:rFonts w:ascii="仿宋_GB2312" w:eastAsia="仿宋_GB2312" w:cs="DengXian-Regular"/>
          <w:sz w:val="32"/>
          <w:szCs w:val="32"/>
        </w:rPr>
        <w:t>.完善基础信息管理</w:t>
      </w:r>
    </w:p>
    <w:p w14:paraId="52C57693">
      <w:pPr>
        <w:spacing w:after="0" w:line="360" w:lineRule="auto"/>
        <w:ind w:firstLine="640" w:firstLineChars="200"/>
        <w:jc w:val="both"/>
        <w:textAlignment w:val="baseline"/>
        <w:rPr>
          <w:rFonts w:ascii="仿宋_GB2312" w:eastAsia="仿宋_GB2312" w:cs="DengXian-Regular"/>
          <w:sz w:val="32"/>
          <w:szCs w:val="32"/>
        </w:rPr>
      </w:pPr>
      <w:r>
        <w:rPr>
          <w:rFonts w:ascii="仿宋_GB2312" w:eastAsia="仿宋_GB2312" w:cs="DengXian-Regular"/>
          <w:sz w:val="32"/>
          <w:szCs w:val="32"/>
        </w:rPr>
        <w:t>建议严格按照档案管理的相关规定对基础数据信息档案资料及时归档保存，保证项目资料的完整性和可查阅性。</w:t>
      </w:r>
    </w:p>
    <w:p w14:paraId="4570D40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6.预算安排建议</w:t>
      </w:r>
    </w:p>
    <w:p w14:paraId="247B53A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人员经费方面：</w:t>
      </w:r>
      <w:r>
        <w:rPr>
          <w:rFonts w:ascii="仿宋_GB2312" w:eastAsia="仿宋_GB2312" w:cs="DengXian-Regular"/>
          <w:sz w:val="32"/>
          <w:szCs w:val="32"/>
        </w:rPr>
        <w:t>2022年基本支出决算数较预算数增加比例较大，主要原因为基层</w:t>
      </w:r>
      <w:r>
        <w:rPr>
          <w:rFonts w:hint="eastAsia" w:ascii="仿宋_GB2312" w:eastAsia="仿宋_GB2312" w:cs="DengXian-Regular"/>
          <w:sz w:val="32"/>
          <w:szCs w:val="32"/>
        </w:rPr>
        <w:t>疫情防控经费、驻村工作队</w:t>
      </w:r>
      <w:r>
        <w:rPr>
          <w:rFonts w:ascii="仿宋_GB2312" w:eastAsia="仿宋_GB2312" w:cs="DengXian-Regular"/>
          <w:sz w:val="32"/>
          <w:szCs w:val="32"/>
        </w:rPr>
        <w:t>人员经费支出增加，建议202</w:t>
      </w:r>
      <w:r>
        <w:rPr>
          <w:rFonts w:hint="eastAsia" w:ascii="仿宋_GB2312" w:eastAsia="仿宋_GB2312" w:cs="DengXian-Regular"/>
          <w:sz w:val="32"/>
          <w:szCs w:val="32"/>
        </w:rPr>
        <w:t>2</w:t>
      </w:r>
      <w:r>
        <w:rPr>
          <w:rFonts w:ascii="仿宋_GB2312" w:eastAsia="仿宋_GB2312" w:cs="DengXian-Regular"/>
          <w:sz w:val="32"/>
          <w:szCs w:val="32"/>
        </w:rPr>
        <w:t>年预算根据</w:t>
      </w:r>
      <w:r>
        <w:rPr>
          <w:rFonts w:hint="eastAsia" w:ascii="仿宋_GB2312" w:eastAsia="仿宋_GB2312" w:cs="DengXian-Regular"/>
          <w:sz w:val="32"/>
          <w:szCs w:val="32"/>
        </w:rPr>
        <w:t>2022年实际发生人员经费支出、人员数量和工资标准适当安排人员经费预算。</w:t>
      </w:r>
    </w:p>
    <w:p w14:paraId="3A08C67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项目资金方面：</w:t>
      </w:r>
      <w:r>
        <w:rPr>
          <w:rFonts w:ascii="仿宋_GB2312" w:eastAsia="仿宋_GB2312" w:cs="DengXian-Regular"/>
          <w:sz w:val="32"/>
          <w:szCs w:val="32"/>
        </w:rPr>
        <w:t>2022年项目支出资金使用率较低，</w:t>
      </w:r>
      <w:r>
        <w:rPr>
          <w:rFonts w:hint="eastAsia" w:ascii="仿宋_GB2312" w:eastAsia="仿宋_GB2312" w:cs="DengXian-Regular"/>
          <w:sz w:val="32"/>
          <w:szCs w:val="32"/>
        </w:rPr>
        <w:t>针对</w:t>
      </w:r>
      <w:r>
        <w:rPr>
          <w:rFonts w:ascii="仿宋_GB2312" w:eastAsia="仿宋_GB2312" w:cs="DengXian-Regular"/>
          <w:sz w:val="32"/>
          <w:szCs w:val="32"/>
        </w:rPr>
        <w:t>部分未实施项目资金结转至下一年度</w:t>
      </w:r>
      <w:r>
        <w:rPr>
          <w:rFonts w:hint="eastAsia" w:ascii="仿宋_GB2312" w:eastAsia="仿宋_GB2312" w:cs="DengXian-Regular"/>
          <w:sz w:val="32"/>
          <w:szCs w:val="32"/>
        </w:rPr>
        <w:t>的，建议</w:t>
      </w:r>
      <w:r>
        <w:rPr>
          <w:rFonts w:ascii="仿宋_GB2312" w:eastAsia="仿宋_GB2312" w:cs="DengXian-Regular"/>
          <w:sz w:val="32"/>
          <w:szCs w:val="32"/>
        </w:rPr>
        <w:t>2022年预算不增加</w:t>
      </w:r>
      <w:r>
        <w:rPr>
          <w:rFonts w:hint="eastAsia" w:ascii="仿宋_GB2312" w:eastAsia="仿宋_GB2312" w:cs="DengXian-Regular"/>
          <w:sz w:val="32"/>
          <w:szCs w:val="32"/>
        </w:rPr>
        <w:t>该部分</w:t>
      </w:r>
      <w:r>
        <w:rPr>
          <w:rFonts w:ascii="仿宋_GB2312" w:eastAsia="仿宋_GB2312" w:cs="DengXian-Regular"/>
          <w:sz w:val="32"/>
          <w:szCs w:val="32"/>
        </w:rPr>
        <w:t>项目资金预算</w:t>
      </w:r>
      <w:r>
        <w:rPr>
          <w:rFonts w:hint="eastAsia" w:ascii="仿宋_GB2312" w:eastAsia="仿宋_GB2312" w:cs="DengXian-Regular"/>
          <w:sz w:val="32"/>
          <w:szCs w:val="32"/>
        </w:rPr>
        <w:t>；</w:t>
      </w:r>
      <w:r>
        <w:rPr>
          <w:rFonts w:ascii="仿宋_GB2312" w:eastAsia="仿宋_GB2312" w:cs="DengXian-Regular"/>
          <w:sz w:val="32"/>
          <w:szCs w:val="32"/>
        </w:rPr>
        <w:t>其他项目资金根据实际情况予以保持或适当</w:t>
      </w:r>
      <w:r>
        <w:rPr>
          <w:rFonts w:hint="eastAsia" w:ascii="仿宋_GB2312" w:eastAsia="仿宋_GB2312" w:cs="DengXian-Regular"/>
          <w:sz w:val="32"/>
          <w:szCs w:val="32"/>
        </w:rPr>
        <w:t>增减</w:t>
      </w:r>
      <w:r>
        <w:rPr>
          <w:rFonts w:ascii="仿宋_GB2312" w:eastAsia="仿宋_GB2312" w:cs="DengXian-Regular"/>
          <w:sz w:val="32"/>
          <w:szCs w:val="32"/>
        </w:rPr>
        <w:t>。</w:t>
      </w:r>
    </w:p>
    <w:p w14:paraId="2D9F1BF2">
      <w:pPr>
        <w:pStyle w:val="3"/>
        <w:spacing w:line="540" w:lineRule="exact"/>
        <w:jc w:val="center"/>
        <w:rPr>
          <w:rFonts w:ascii="黑体" w:hAnsi="黑体"/>
          <w:b w:val="0"/>
        </w:rPr>
      </w:pPr>
      <w:r>
        <w:rPr>
          <w:rFonts w:hint="eastAsia" w:ascii="黑体" w:hAnsi="黑体"/>
          <w:b w:val="0"/>
        </w:rPr>
        <w:t>第二部分   绩效评价报告</w:t>
      </w:r>
      <w:bookmarkEnd w:id="1"/>
    </w:p>
    <w:p w14:paraId="1E58210B">
      <w:pPr>
        <w:pStyle w:val="3"/>
        <w:spacing w:before="0" w:after="0" w:line="360" w:lineRule="auto"/>
        <w:ind w:firstLine="643" w:firstLineChars="200"/>
        <w:rPr>
          <w:rFonts w:ascii="楷体" w:hAnsi="楷体" w:eastAsia="楷体" w:cs="楷体"/>
        </w:rPr>
      </w:pPr>
      <w:bookmarkStart w:id="2" w:name="_Toc427"/>
      <w:bookmarkStart w:id="3" w:name="_Toc492652763"/>
      <w:r>
        <w:rPr>
          <w:rFonts w:hint="eastAsia" w:ascii="楷体" w:hAnsi="楷体" w:eastAsia="楷体" w:cs="楷体"/>
        </w:rPr>
        <w:t>一、保定市徐水区留村镇政府基本情况</w:t>
      </w:r>
      <w:bookmarkEnd w:id="2"/>
      <w:bookmarkEnd w:id="3"/>
      <w:bookmarkStart w:id="4" w:name="_Toc492652764"/>
    </w:p>
    <w:p w14:paraId="3988849C">
      <w:pPr>
        <w:pStyle w:val="4"/>
        <w:spacing w:before="0" w:after="0"/>
        <w:ind w:firstLine="643" w:firstLineChars="200"/>
        <w:jc w:val="both"/>
        <w:rPr>
          <w:rFonts w:ascii="仿宋_GB2312" w:hAnsi="Tahoma" w:cs="DengXian-Regular"/>
          <w:sz w:val="32"/>
        </w:rPr>
      </w:pPr>
      <w:bookmarkStart w:id="5" w:name="_Toc11473"/>
      <w:r>
        <w:rPr>
          <w:rFonts w:hint="eastAsia" w:ascii="仿宋_GB2312" w:hAnsi="Tahoma" w:cs="DengXian-Regular"/>
          <w:sz w:val="32"/>
        </w:rPr>
        <w:t>（一）部门职责和工作活动</w:t>
      </w:r>
      <w:bookmarkEnd w:id="4"/>
      <w:bookmarkEnd w:id="5"/>
    </w:p>
    <w:p w14:paraId="12D967B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中共保定市徐水区委办公室、保定市徐水区人民政府办公室关于印发《保定市徐水区留村镇政府单位职能配置内设机构和人员编制规定》的通知，区留村镇政府为区政府工作部门，正科级单位，下设8个股室。留村镇</w:t>
      </w:r>
      <w:bookmarkStart w:id="6" w:name="_Toc465149499"/>
      <w:bookmarkStart w:id="7" w:name="_Toc7075"/>
      <w:bookmarkStart w:id="8" w:name="_Toc492652765"/>
      <w:r>
        <w:rPr>
          <w:rFonts w:hint="eastAsia" w:ascii="仿宋_GB2312" w:eastAsia="仿宋_GB2312" w:cs="DengXian-Regular"/>
          <w:sz w:val="32"/>
          <w:szCs w:val="32"/>
          <w:lang w:eastAsia="zh-CN"/>
        </w:rPr>
        <w:t>政府</w:t>
      </w:r>
      <w:r>
        <w:rPr>
          <w:rFonts w:hint="eastAsia" w:ascii="仿宋_GB2312" w:eastAsia="仿宋_GB2312" w:cs="DengXian-Regular"/>
          <w:sz w:val="32"/>
          <w:szCs w:val="32"/>
        </w:rPr>
        <w:t>根据绩效预算管理改革的相关要求，按照“部门职责—工作活动绩效目标”的层级设立了绩效预算架构，职责活动包括基</w:t>
      </w:r>
      <w:r>
        <w:rPr>
          <w:rFonts w:ascii="仿宋_GB2312" w:eastAsia="仿宋_GB2312" w:cs="DengXian-Regular"/>
          <w:sz w:val="32"/>
          <w:szCs w:val="32"/>
        </w:rPr>
        <w:t>屋</w:t>
      </w:r>
      <w:r>
        <w:rPr>
          <w:rFonts w:hint="eastAsia" w:ascii="仿宋_GB2312" w:eastAsia="仿宋_GB2312" w:cs="DengXian-Regular"/>
          <w:sz w:val="32"/>
          <w:szCs w:val="32"/>
        </w:rPr>
        <w:t>政</w:t>
      </w:r>
      <w:r>
        <w:rPr>
          <w:rFonts w:ascii="仿宋_GB2312" w:eastAsia="仿宋_GB2312" w:cs="DengXian-Regular"/>
          <w:sz w:val="32"/>
          <w:szCs w:val="32"/>
        </w:rPr>
        <w:t>权和社区建设、</w:t>
      </w:r>
      <w:r>
        <w:rPr>
          <w:rFonts w:hint="eastAsia" w:ascii="仿宋_GB2312" w:eastAsia="仿宋_GB2312" w:cs="DengXian-Regular"/>
          <w:sz w:val="32"/>
          <w:szCs w:val="32"/>
        </w:rPr>
        <w:t>综</w:t>
      </w:r>
      <w:r>
        <w:rPr>
          <w:rFonts w:ascii="仿宋_GB2312" w:eastAsia="仿宋_GB2312" w:cs="DengXian-Regular"/>
          <w:sz w:val="32"/>
          <w:szCs w:val="32"/>
        </w:rPr>
        <w:t>合事务管理、公共服务工程推行、</w:t>
      </w:r>
      <w:r>
        <w:rPr>
          <w:rFonts w:hint="eastAsia" w:ascii="仿宋_GB2312" w:eastAsia="仿宋_GB2312" w:cs="DengXian-Regular"/>
          <w:sz w:val="32"/>
          <w:szCs w:val="32"/>
        </w:rPr>
        <w:t>大气</w:t>
      </w:r>
      <w:r>
        <w:rPr>
          <w:rFonts w:ascii="仿宋_GB2312" w:eastAsia="仿宋_GB2312" w:cs="DengXian-Regular"/>
          <w:sz w:val="32"/>
          <w:szCs w:val="32"/>
        </w:rPr>
        <w:t>污染防治、</w:t>
      </w:r>
      <w:r>
        <w:rPr>
          <w:rFonts w:hint="eastAsia" w:ascii="仿宋_GB2312" w:eastAsia="仿宋_GB2312" w:cs="DengXian-Regular"/>
          <w:sz w:val="32"/>
          <w:szCs w:val="32"/>
        </w:rPr>
        <w:t>协</w:t>
      </w:r>
      <w:r>
        <w:rPr>
          <w:rFonts w:ascii="仿宋_GB2312" w:eastAsia="仿宋_GB2312" w:cs="DengXian-Regular"/>
          <w:sz w:val="32"/>
          <w:szCs w:val="32"/>
        </w:rPr>
        <w:t>调维护社会稳定和国家安全、</w:t>
      </w:r>
      <w:r>
        <w:rPr>
          <w:rFonts w:hint="eastAsia" w:ascii="仿宋_GB2312" w:eastAsia="仿宋_GB2312" w:cs="DengXian-Regular"/>
          <w:sz w:val="32"/>
          <w:szCs w:val="32"/>
        </w:rPr>
        <w:t>促进</w:t>
      </w:r>
      <w:r>
        <w:rPr>
          <w:rFonts w:ascii="仿宋_GB2312" w:eastAsia="仿宋_GB2312" w:cs="DengXian-Regular"/>
          <w:sz w:val="32"/>
          <w:szCs w:val="32"/>
        </w:rPr>
        <w:t>土地流转</w:t>
      </w:r>
      <w:r>
        <w:rPr>
          <w:rFonts w:hint="eastAsia" w:ascii="仿宋_GB2312" w:eastAsia="仿宋_GB2312" w:cs="DengXian-Regular"/>
          <w:sz w:val="32"/>
          <w:szCs w:val="32"/>
        </w:rPr>
        <w:t>、</w:t>
      </w:r>
      <w:r>
        <w:rPr>
          <w:rFonts w:ascii="仿宋_GB2312" w:eastAsia="仿宋_GB2312" w:cs="DengXian-Regular"/>
          <w:sz w:val="32"/>
          <w:szCs w:val="32"/>
        </w:rPr>
        <w:t>造</w:t>
      </w:r>
      <w:r>
        <w:rPr>
          <w:rFonts w:hint="eastAsia" w:ascii="仿宋_GB2312" w:eastAsia="仿宋_GB2312" w:cs="DengXian-Regular"/>
          <w:sz w:val="32"/>
          <w:szCs w:val="32"/>
        </w:rPr>
        <w:t>林</w:t>
      </w:r>
      <w:r>
        <w:rPr>
          <w:rFonts w:ascii="仿宋_GB2312" w:eastAsia="仿宋_GB2312" w:cs="DengXian-Regular"/>
          <w:sz w:val="32"/>
          <w:szCs w:val="32"/>
        </w:rPr>
        <w:t>绿化</w:t>
      </w:r>
      <w:r>
        <w:rPr>
          <w:rFonts w:hint="eastAsia" w:ascii="仿宋_GB2312" w:eastAsia="仿宋_GB2312" w:cs="DengXian-Regular"/>
          <w:sz w:val="32"/>
          <w:szCs w:val="32"/>
        </w:rPr>
        <w:t>共七部分。</w:t>
      </w:r>
    </w:p>
    <w:p w14:paraId="3B25A81D">
      <w:pPr>
        <w:spacing w:after="0" w:line="360" w:lineRule="auto"/>
        <w:ind w:firstLine="640" w:firstLineChars="200"/>
        <w:jc w:val="both"/>
        <w:textAlignment w:val="baseline"/>
        <w:rPr>
          <w:rFonts w:ascii="仿宋_GB2312" w:cs="DengXian-Regular"/>
          <w:sz w:val="32"/>
        </w:rPr>
      </w:pPr>
      <w:r>
        <w:rPr>
          <w:rFonts w:hint="eastAsia" w:ascii="仿宋_GB2312" w:cs="DengXian-Regular"/>
          <w:sz w:val="32"/>
        </w:rPr>
        <w:t>（二）</w:t>
      </w:r>
      <w:bookmarkEnd w:id="6"/>
      <w:r>
        <w:rPr>
          <w:rFonts w:hint="eastAsia" w:ascii="仿宋_GB2312" w:cs="DengXian-Regular"/>
          <w:sz w:val="32"/>
        </w:rPr>
        <w:t>部门年度发展规划总体目标和职责分类绩效目标</w:t>
      </w:r>
      <w:bookmarkEnd w:id="7"/>
      <w:bookmarkEnd w:id="8"/>
    </w:p>
    <w:p w14:paraId="379AD64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按照2022年绩效预算编制要求，留村镇政府设置的年度发展规划总体目标为：</w:t>
      </w:r>
    </w:p>
    <w:p w14:paraId="4F4D36C5">
      <w:pPr>
        <w:spacing w:line="360" w:lineRule="auto"/>
        <w:ind w:firstLine="561"/>
        <w:rPr>
          <w:rFonts w:ascii="仿宋" w:hAnsi="仿宋" w:eastAsia="仿宋"/>
          <w:sz w:val="32"/>
          <w:szCs w:val="32"/>
        </w:rPr>
      </w:pPr>
      <w:r>
        <w:rPr>
          <w:rFonts w:ascii="仿宋_GB2312" w:eastAsia="仿宋_GB2312" w:cs="DengXian-Regular"/>
          <w:sz w:val="32"/>
          <w:szCs w:val="32"/>
        </w:rPr>
        <w:t>紧紧围绕全区中心工作和区委重要部署,行使本行政区的行政职能。</w:t>
      </w:r>
      <w:r>
        <w:rPr>
          <w:rFonts w:hint="eastAsia" w:ascii="仿宋_GB2312" w:eastAsia="仿宋_GB2312" w:cs="DengXian-Regular"/>
          <w:sz w:val="32"/>
          <w:szCs w:val="32"/>
        </w:rPr>
        <w:t>留村镇</w:t>
      </w:r>
      <w:r>
        <w:rPr>
          <w:rFonts w:hint="eastAsia" w:ascii="仿宋_GB2312" w:eastAsia="仿宋_GB2312" w:cs="DengXian-Regular"/>
          <w:sz w:val="32"/>
          <w:szCs w:val="32"/>
          <w:lang w:eastAsia="zh-CN"/>
        </w:rPr>
        <w:t>政府</w:t>
      </w:r>
      <w:r>
        <w:rPr>
          <w:rFonts w:ascii="仿宋_GB2312" w:eastAsia="仿宋_GB2312" w:cs="DengXian-Regular"/>
          <w:sz w:val="32"/>
          <w:szCs w:val="32"/>
        </w:rPr>
        <w:t>的主要职能包括：制定和组织实施经济、科技和社会发展计划，制定资源开发技术改造和产业结构调整方案，组织指导好各业生产，搞好商品流通，协调好本镇与其他乡镇以及外地的经济交流与合作，抓好招商引资，人才引进项目开发，不断培育市场体系，组织经济运行，促进经济发展；制定并组织实施村镇建设规划，部署重点工程建设，地方道路建设及公共设施，水利设施的管理，负责土地、林木、水等自然资源和生态环境的保护；负责本行政区域内的民政、计划生育、文化教育、卫生、体育等社会公益事业的综合性工作，维护一切经济单位和个人的正当经济权益，取缔非法经济活动，调解和处理民事纠纷，打击刑事犯罪维护社会稳定；抓好精神文明建设，丰富群众文化生活，提倡移风易俗，反对封建迷信，破除陈规陋习，树立社会主义新风尚，完成上级政府交办的其它事项。</w:t>
      </w:r>
    </w:p>
    <w:p w14:paraId="4834850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职责分类绩效目标为：</w:t>
      </w:r>
    </w:p>
    <w:p w14:paraId="6C8FCDFF">
      <w:pPr>
        <w:spacing w:after="0" w:line="360" w:lineRule="auto"/>
        <w:ind w:firstLine="640" w:firstLineChars="200"/>
        <w:jc w:val="both"/>
        <w:textAlignment w:val="baseline"/>
        <w:rPr>
          <w:rFonts w:ascii="仿宋_GB2312" w:eastAsia="仿宋_GB2312" w:cs="DengXian-Regular"/>
          <w:sz w:val="32"/>
          <w:szCs w:val="32"/>
        </w:rPr>
      </w:pPr>
      <w:bookmarkStart w:id="9" w:name="_Toc1678"/>
      <w:bookmarkStart w:id="10" w:name="_Toc465149500"/>
      <w:bookmarkStart w:id="11" w:name="_Toc492652766"/>
      <w:r>
        <w:rPr>
          <w:rFonts w:hint="eastAsia" w:ascii="仿宋_GB2312" w:eastAsia="仿宋_GB2312" w:cs="DengXian-Regular"/>
          <w:sz w:val="32"/>
          <w:szCs w:val="32"/>
        </w:rPr>
        <w:t>1.开展促进</w:t>
      </w:r>
      <w:r>
        <w:rPr>
          <w:rFonts w:ascii="仿宋_GB2312" w:eastAsia="仿宋_GB2312" w:cs="DengXian-Regular"/>
          <w:sz w:val="32"/>
          <w:szCs w:val="32"/>
        </w:rPr>
        <w:t>经济发展</w:t>
      </w:r>
      <w:r>
        <w:rPr>
          <w:rFonts w:hint="eastAsia" w:ascii="仿宋_GB2312" w:eastAsia="仿宋_GB2312" w:cs="DengXian-Regular"/>
          <w:sz w:val="32"/>
          <w:szCs w:val="32"/>
        </w:rPr>
        <w:t>工作。</w:t>
      </w:r>
    </w:p>
    <w:p w14:paraId="14235A7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2.开展社</w:t>
      </w:r>
      <w:r>
        <w:rPr>
          <w:rFonts w:ascii="仿宋_GB2312" w:eastAsia="仿宋_GB2312" w:cs="DengXian-Regular"/>
          <w:sz w:val="32"/>
          <w:szCs w:val="32"/>
        </w:rPr>
        <w:t>会管理</w:t>
      </w:r>
      <w:r>
        <w:rPr>
          <w:rFonts w:hint="eastAsia" w:ascii="仿宋_GB2312" w:eastAsia="仿宋_GB2312" w:cs="DengXian-Regular"/>
          <w:sz w:val="32"/>
          <w:szCs w:val="32"/>
        </w:rPr>
        <w:t>工作。</w:t>
      </w:r>
    </w:p>
    <w:p w14:paraId="2525224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3.开展公</w:t>
      </w:r>
      <w:r>
        <w:rPr>
          <w:rFonts w:ascii="仿宋_GB2312" w:eastAsia="仿宋_GB2312" w:cs="DengXian-Regular"/>
          <w:sz w:val="32"/>
          <w:szCs w:val="32"/>
        </w:rPr>
        <w:t>共服务</w:t>
      </w:r>
      <w:r>
        <w:rPr>
          <w:rFonts w:hint="eastAsia" w:ascii="仿宋_GB2312" w:eastAsia="仿宋_GB2312" w:cs="DengXian-Regular"/>
          <w:sz w:val="32"/>
          <w:szCs w:val="32"/>
        </w:rPr>
        <w:t>工作。</w:t>
      </w:r>
    </w:p>
    <w:p w14:paraId="762EC5B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4.开展维</w:t>
      </w:r>
      <w:r>
        <w:rPr>
          <w:rFonts w:ascii="仿宋_GB2312" w:eastAsia="仿宋_GB2312" w:cs="DengXian-Regular"/>
          <w:sz w:val="32"/>
          <w:szCs w:val="32"/>
        </w:rPr>
        <w:t>护农村稳定</w:t>
      </w:r>
      <w:r>
        <w:rPr>
          <w:rFonts w:hint="eastAsia" w:ascii="仿宋_GB2312" w:eastAsia="仿宋_GB2312" w:cs="DengXian-Regular"/>
          <w:sz w:val="32"/>
          <w:szCs w:val="32"/>
        </w:rPr>
        <w:t>工作。</w:t>
      </w:r>
    </w:p>
    <w:p w14:paraId="3B34910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（三）部门预算收入及决算收入</w:t>
      </w:r>
      <w:bookmarkEnd w:id="9"/>
    </w:p>
    <w:p w14:paraId="2AF9B45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2022年留村镇政府预算收入</w:t>
      </w:r>
      <w:r>
        <w:rPr>
          <w:rFonts w:ascii="仿宋_GB2312" w:eastAsia="仿宋_GB2312" w:cs="DengXian-Regular"/>
          <w:sz w:val="32"/>
          <w:szCs w:val="32"/>
        </w:rPr>
        <w:t>2151.567319</w:t>
      </w:r>
      <w:r>
        <w:rPr>
          <w:rFonts w:hint="eastAsia" w:ascii="仿宋_GB2312" w:eastAsia="仿宋_GB2312" w:cs="DengXian-Regular"/>
          <w:sz w:val="32"/>
          <w:szCs w:val="32"/>
        </w:rPr>
        <w:t>万元，均为一般公共预算拨款，其中：财政拨款</w:t>
      </w:r>
      <w:r>
        <w:rPr>
          <w:rFonts w:ascii="仿宋_GB2312" w:eastAsia="仿宋_GB2312" w:cs="DengXian-Regular"/>
          <w:sz w:val="32"/>
          <w:szCs w:val="32"/>
        </w:rPr>
        <w:t>2151.567319</w:t>
      </w:r>
      <w:r>
        <w:rPr>
          <w:rFonts w:hint="eastAsia" w:ascii="仿宋_GB2312" w:eastAsia="仿宋_GB2312" w:cs="DengXian-Regular"/>
          <w:sz w:val="32"/>
          <w:szCs w:val="32"/>
        </w:rPr>
        <w:t>万元，中央财政提前通知转移支付</w:t>
      </w:r>
      <w:r>
        <w:rPr>
          <w:rFonts w:ascii="仿宋_GB2312" w:eastAsia="仿宋_GB2312" w:cs="DengXian-Regular"/>
          <w:sz w:val="32"/>
          <w:szCs w:val="32"/>
        </w:rPr>
        <w:t>0</w:t>
      </w:r>
      <w:r>
        <w:rPr>
          <w:rFonts w:hint="eastAsia" w:ascii="仿宋_GB2312" w:eastAsia="仿宋_GB2312" w:cs="DengXian-Regular"/>
          <w:sz w:val="32"/>
          <w:szCs w:val="32"/>
        </w:rPr>
        <w:t>万元。2022年留村镇政府决算收入</w:t>
      </w:r>
      <w:r>
        <w:rPr>
          <w:rFonts w:ascii="仿宋_GB2312" w:eastAsia="仿宋_GB2312" w:cs="DengXian-Regular"/>
          <w:sz w:val="32"/>
          <w:szCs w:val="32"/>
        </w:rPr>
        <w:t>2151.65</w:t>
      </w:r>
      <w:r>
        <w:rPr>
          <w:rFonts w:hint="eastAsia" w:ascii="仿宋_GB2312" w:eastAsia="仿宋_GB2312" w:cs="DengXian-Regular"/>
          <w:sz w:val="32"/>
          <w:szCs w:val="32"/>
        </w:rPr>
        <w:t>万元，其中：财政拨款收入2</w:t>
      </w:r>
      <w:r>
        <w:rPr>
          <w:rFonts w:ascii="仿宋_GB2312" w:eastAsia="仿宋_GB2312" w:cs="DengXian-Regular"/>
          <w:sz w:val="32"/>
          <w:szCs w:val="32"/>
        </w:rPr>
        <w:t>151.5956</w:t>
      </w:r>
      <w:r>
        <w:rPr>
          <w:rFonts w:hint="eastAsia" w:ascii="仿宋_GB2312" w:eastAsia="仿宋_GB2312" w:cs="DengXian-Regular"/>
          <w:sz w:val="32"/>
          <w:szCs w:val="32"/>
        </w:rPr>
        <w:t>万元，其他收入</w:t>
      </w:r>
      <w:r>
        <w:rPr>
          <w:rFonts w:ascii="仿宋_GB2312" w:eastAsia="仿宋_GB2312" w:cs="DengXian-Regular"/>
          <w:sz w:val="32"/>
          <w:szCs w:val="32"/>
        </w:rPr>
        <w:t>0.0544</w:t>
      </w:r>
      <w:r>
        <w:rPr>
          <w:rFonts w:hint="eastAsia" w:ascii="仿宋_GB2312" w:eastAsia="仿宋_GB2312" w:cs="DengXian-Regular"/>
          <w:sz w:val="32"/>
          <w:szCs w:val="32"/>
        </w:rPr>
        <w:t>万元（全部为利息收入）。决算收入按功能分类包含：公共安全支出</w:t>
      </w:r>
      <w:r>
        <w:rPr>
          <w:rFonts w:ascii="仿宋_GB2312" w:eastAsia="仿宋_GB2312" w:cs="DengXian-Regular"/>
          <w:sz w:val="32"/>
          <w:szCs w:val="32"/>
        </w:rPr>
        <w:t>7.29</w:t>
      </w:r>
      <w:r>
        <w:rPr>
          <w:rFonts w:hint="eastAsia" w:ascii="仿宋_GB2312" w:eastAsia="仿宋_GB2312" w:cs="DengXian-Regular"/>
          <w:sz w:val="32"/>
          <w:szCs w:val="32"/>
        </w:rPr>
        <w:t>万元，占比</w:t>
      </w:r>
      <w:r>
        <w:rPr>
          <w:rFonts w:ascii="仿宋_GB2312" w:eastAsia="仿宋_GB2312" w:cs="DengXian-Regular"/>
          <w:sz w:val="32"/>
          <w:szCs w:val="32"/>
        </w:rPr>
        <w:t>0</w:t>
      </w:r>
      <w:r>
        <w:rPr>
          <w:rFonts w:hint="eastAsia" w:ascii="仿宋_GB2312" w:eastAsia="仿宋_GB2312" w:cs="DengXian-Regular"/>
          <w:sz w:val="32"/>
          <w:szCs w:val="32"/>
        </w:rPr>
        <w:t>%；社会保障和就业支出</w:t>
      </w:r>
      <w:r>
        <w:rPr>
          <w:rFonts w:ascii="仿宋_GB2312" w:eastAsia="仿宋_GB2312" w:cs="DengXian-Regular"/>
          <w:sz w:val="32"/>
          <w:szCs w:val="32"/>
        </w:rPr>
        <w:t>197.48</w:t>
      </w:r>
      <w:r>
        <w:rPr>
          <w:rFonts w:hint="eastAsia" w:ascii="仿宋_GB2312" w:eastAsia="仿宋_GB2312" w:cs="DengXian-Regular"/>
          <w:sz w:val="32"/>
          <w:szCs w:val="32"/>
        </w:rPr>
        <w:t>万元，占比9%；医疗卫生与计划生育支</w:t>
      </w:r>
      <w:r>
        <w:rPr>
          <w:rFonts w:ascii="仿宋_GB2312" w:eastAsia="仿宋_GB2312" w:cs="DengXian-Regular"/>
          <w:sz w:val="32"/>
          <w:szCs w:val="32"/>
        </w:rPr>
        <w:t>45.03</w:t>
      </w:r>
      <w:r>
        <w:rPr>
          <w:rFonts w:hint="eastAsia" w:ascii="仿宋_GB2312" w:eastAsia="仿宋_GB2312" w:cs="DengXian-Regular"/>
          <w:sz w:val="32"/>
          <w:szCs w:val="32"/>
        </w:rPr>
        <w:t>万元，占比</w:t>
      </w:r>
      <w:r>
        <w:rPr>
          <w:rFonts w:ascii="仿宋_GB2312" w:eastAsia="仿宋_GB2312" w:cs="DengXian-Regular"/>
          <w:sz w:val="32"/>
          <w:szCs w:val="32"/>
        </w:rPr>
        <w:t>2</w:t>
      </w:r>
      <w:r>
        <w:rPr>
          <w:rFonts w:hint="eastAsia" w:ascii="仿宋_GB2312" w:eastAsia="仿宋_GB2312" w:cs="DengXian-Regular"/>
          <w:sz w:val="32"/>
          <w:szCs w:val="32"/>
        </w:rPr>
        <w:t>%；住房保障支出</w:t>
      </w:r>
      <w:r>
        <w:rPr>
          <w:rFonts w:ascii="仿宋_GB2312" w:eastAsia="仿宋_GB2312" w:cs="DengXian-Regular"/>
          <w:sz w:val="32"/>
          <w:szCs w:val="32"/>
        </w:rPr>
        <w:t>67.59</w:t>
      </w:r>
      <w:r>
        <w:rPr>
          <w:rFonts w:hint="eastAsia" w:ascii="仿宋_GB2312" w:eastAsia="仿宋_GB2312" w:cs="DengXian-Regular"/>
          <w:sz w:val="32"/>
          <w:szCs w:val="32"/>
        </w:rPr>
        <w:t>万元，占比</w:t>
      </w:r>
      <w:r>
        <w:rPr>
          <w:rFonts w:ascii="仿宋_GB2312" w:eastAsia="仿宋_GB2312" w:cs="DengXian-Regular"/>
          <w:sz w:val="32"/>
          <w:szCs w:val="32"/>
        </w:rPr>
        <w:t>3</w:t>
      </w:r>
      <w:r>
        <w:rPr>
          <w:rFonts w:hint="eastAsia" w:ascii="仿宋_GB2312" w:eastAsia="仿宋_GB2312" w:cs="DengXian-Regular"/>
          <w:sz w:val="32"/>
          <w:szCs w:val="32"/>
        </w:rPr>
        <w:t>%；一般公共服务支出</w:t>
      </w:r>
      <w:r>
        <w:rPr>
          <w:rFonts w:ascii="仿宋_GB2312" w:eastAsia="仿宋_GB2312" w:cs="DengXian-Regular"/>
          <w:sz w:val="32"/>
          <w:szCs w:val="32"/>
        </w:rPr>
        <w:t>1484.99</w:t>
      </w:r>
      <w:r>
        <w:rPr>
          <w:rFonts w:hint="eastAsia" w:ascii="仿宋_GB2312" w:eastAsia="仿宋_GB2312" w:cs="DengXian-Regular"/>
          <w:sz w:val="32"/>
          <w:szCs w:val="32"/>
        </w:rPr>
        <w:t>万元，占比</w:t>
      </w:r>
      <w:r>
        <w:rPr>
          <w:rFonts w:ascii="仿宋_GB2312" w:eastAsia="仿宋_GB2312" w:cs="DengXian-Regular"/>
          <w:sz w:val="32"/>
          <w:szCs w:val="32"/>
        </w:rPr>
        <w:t>70</w:t>
      </w:r>
      <w:r>
        <w:rPr>
          <w:rFonts w:hint="eastAsia" w:ascii="仿宋_GB2312" w:eastAsia="仿宋_GB2312" w:cs="DengXian-Regular"/>
          <w:sz w:val="32"/>
          <w:szCs w:val="32"/>
        </w:rPr>
        <w:t>%;文化旅游体育与传媒支出</w:t>
      </w:r>
      <w:r>
        <w:rPr>
          <w:rFonts w:ascii="仿宋_GB2312" w:eastAsia="仿宋_GB2312" w:cs="DengXian-Regular"/>
          <w:sz w:val="32"/>
          <w:szCs w:val="32"/>
        </w:rPr>
        <w:t>5</w:t>
      </w:r>
      <w:r>
        <w:rPr>
          <w:rFonts w:hint="eastAsia" w:ascii="仿宋_GB2312" w:eastAsia="仿宋_GB2312" w:cs="DengXian-Regular"/>
          <w:sz w:val="32"/>
          <w:szCs w:val="32"/>
        </w:rPr>
        <w:t>万元，占比</w:t>
      </w:r>
      <w:r>
        <w:rPr>
          <w:rFonts w:ascii="仿宋_GB2312" w:eastAsia="仿宋_GB2312" w:cs="DengXian-Regular"/>
          <w:sz w:val="32"/>
          <w:szCs w:val="32"/>
        </w:rPr>
        <w:t>0</w:t>
      </w:r>
      <w:r>
        <w:rPr>
          <w:rFonts w:hint="eastAsia" w:ascii="仿宋_GB2312" w:eastAsia="仿宋_GB2312" w:cs="DengXian-Regular"/>
          <w:sz w:val="32"/>
          <w:szCs w:val="32"/>
        </w:rPr>
        <w:t xml:space="preserve"> %；节能环保支出</w:t>
      </w:r>
      <w:r>
        <w:rPr>
          <w:rFonts w:ascii="仿宋_GB2312" w:eastAsia="仿宋_GB2312" w:cs="DengXian-Regular"/>
          <w:sz w:val="32"/>
          <w:szCs w:val="32"/>
        </w:rPr>
        <w:t>10</w:t>
      </w:r>
      <w:r>
        <w:rPr>
          <w:rFonts w:hint="eastAsia" w:ascii="仿宋_GB2312" w:eastAsia="仿宋_GB2312" w:cs="DengXian-Regular"/>
          <w:sz w:val="32"/>
          <w:szCs w:val="32"/>
        </w:rPr>
        <w:t>万元，占比1%；农林水支出</w:t>
      </w:r>
      <w:r>
        <w:rPr>
          <w:rFonts w:ascii="仿宋_GB2312" w:eastAsia="仿宋_GB2312" w:cs="DengXian-Regular"/>
          <w:sz w:val="32"/>
          <w:szCs w:val="32"/>
        </w:rPr>
        <w:t>303.58</w:t>
      </w:r>
      <w:r>
        <w:rPr>
          <w:rFonts w:hint="eastAsia" w:ascii="仿宋_GB2312" w:eastAsia="仿宋_GB2312" w:cs="DengXian-Regular"/>
          <w:sz w:val="32"/>
          <w:szCs w:val="32"/>
        </w:rPr>
        <w:t>万元，占比</w:t>
      </w:r>
      <w:r>
        <w:rPr>
          <w:rFonts w:ascii="仿宋_GB2312" w:eastAsia="仿宋_GB2312" w:cs="DengXian-Regular"/>
          <w:sz w:val="32"/>
          <w:szCs w:val="32"/>
        </w:rPr>
        <w:t>14</w:t>
      </w:r>
      <w:r>
        <w:rPr>
          <w:rFonts w:hint="eastAsia" w:ascii="仿宋_GB2312" w:eastAsia="仿宋_GB2312" w:cs="DengXian-Regular"/>
          <w:sz w:val="32"/>
          <w:szCs w:val="32"/>
        </w:rPr>
        <w:t>%；城乡社区支出</w:t>
      </w:r>
      <w:r>
        <w:rPr>
          <w:rFonts w:ascii="仿宋_GB2312" w:eastAsia="仿宋_GB2312" w:cs="DengXian-Regular"/>
          <w:sz w:val="32"/>
          <w:szCs w:val="32"/>
        </w:rPr>
        <w:t>17.44</w:t>
      </w:r>
      <w:r>
        <w:rPr>
          <w:rFonts w:hint="eastAsia" w:ascii="仿宋_GB2312" w:eastAsia="仿宋_GB2312" w:cs="DengXian-Regular"/>
          <w:sz w:val="32"/>
          <w:szCs w:val="32"/>
        </w:rPr>
        <w:t>万元，占比</w:t>
      </w:r>
      <w:r>
        <w:rPr>
          <w:rFonts w:ascii="仿宋_GB2312" w:eastAsia="仿宋_GB2312" w:cs="DengXian-Regular"/>
          <w:sz w:val="32"/>
          <w:szCs w:val="32"/>
        </w:rPr>
        <w:t>1</w:t>
      </w:r>
      <w:r>
        <w:rPr>
          <w:rFonts w:hint="eastAsia" w:ascii="仿宋_GB2312" w:eastAsia="仿宋_GB2312" w:cs="DengXian-Regular"/>
          <w:sz w:val="32"/>
          <w:szCs w:val="32"/>
        </w:rPr>
        <w:t>%。具体决算收入详见附件</w:t>
      </w:r>
    </w:p>
    <w:p w14:paraId="65E9FE1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2。决算收入结构如图1。</w:t>
      </w:r>
    </w:p>
    <w:p w14:paraId="66D773A7">
      <w:pPr>
        <w:spacing w:after="0" w:line="360" w:lineRule="auto"/>
        <w:jc w:val="center"/>
        <w:textAlignment w:val="baseline"/>
        <w:rPr>
          <w:rFonts w:ascii="仿宋_GB2312" w:eastAsia="仿宋_GB2312" w:cs="DengXian-Regular"/>
          <w:sz w:val="32"/>
          <w:szCs w:val="32"/>
        </w:rPr>
      </w:pPr>
      <w:r>
        <w:rPr>
          <w:sz w:val="28"/>
          <w:szCs w:val="2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229870</wp:posOffset>
            </wp:positionV>
            <wp:extent cx="5588000" cy="2895600"/>
            <wp:effectExtent l="0" t="0" r="0" b="0"/>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Theme="minorEastAsia" w:hAnsiTheme="minorEastAsia" w:eastAsiaTheme="minorEastAsia" w:cstheme="minorEastAsia"/>
          <w:b/>
          <w:bCs/>
          <w:sz w:val="32"/>
          <w:szCs w:val="32"/>
        </w:rPr>
        <w:t>图1  2022年度区留村镇政府决算收入结构图</w:t>
      </w:r>
    </w:p>
    <w:p w14:paraId="23F38167">
      <w:pPr>
        <w:tabs>
          <w:tab w:val="left" w:pos="2562"/>
        </w:tabs>
        <w:spacing w:after="0" w:line="540" w:lineRule="exact"/>
        <w:ind w:firstLine="640" w:firstLineChars="200"/>
        <w:jc w:val="both"/>
        <w:rPr>
          <w:rFonts w:ascii="仿宋_GB2312" w:eastAsia="仿宋_GB2312" w:cs="Times New Roman" w:hAnsiTheme="minorEastAsia"/>
          <w:sz w:val="32"/>
          <w:szCs w:val="32"/>
          <w:u w:color="000000"/>
        </w:rPr>
      </w:pPr>
      <w:r>
        <w:rPr>
          <w:rFonts w:ascii="仿宋_GB2312" w:eastAsia="仿宋_GB2312" w:cs="Times New Roman" w:hAnsiTheme="minorEastAsia"/>
          <w:sz w:val="32"/>
          <w:szCs w:val="32"/>
          <w:u w:color="000000"/>
        </w:rPr>
        <w:tab/>
      </w:r>
    </w:p>
    <w:p w14:paraId="7DE8D359">
      <w:pPr>
        <w:spacing w:after="0" w:line="540" w:lineRule="exact"/>
        <w:ind w:firstLine="640" w:firstLineChars="200"/>
        <w:jc w:val="both"/>
        <w:rPr>
          <w:rFonts w:ascii="仿宋_GB2312" w:eastAsia="仿宋_GB2312" w:cs="Times New Roman" w:hAnsiTheme="minorEastAsia"/>
          <w:sz w:val="32"/>
          <w:szCs w:val="32"/>
          <w:u w:color="000000"/>
        </w:rPr>
      </w:pPr>
    </w:p>
    <w:p w14:paraId="7D81E11E">
      <w:pPr>
        <w:tabs>
          <w:tab w:val="left" w:pos="3115"/>
          <w:tab w:val="left" w:pos="3885"/>
          <w:tab w:val="center" w:pos="4476"/>
        </w:tabs>
        <w:spacing w:after="0" w:line="540" w:lineRule="exact"/>
        <w:ind w:firstLine="640" w:firstLineChars="200"/>
        <w:jc w:val="both"/>
        <w:rPr>
          <w:rFonts w:ascii="仿宋_GB2312" w:eastAsia="仿宋_GB2312" w:cs="DengXian-Regular"/>
          <w:sz w:val="32"/>
          <w:szCs w:val="32"/>
        </w:rPr>
      </w:pPr>
      <w:r>
        <w:rPr>
          <w:rFonts w:ascii="仿宋_GB2312" w:eastAsia="仿宋_GB2312" w:cs="DengXian-Regular"/>
          <w:sz w:val="32"/>
          <w:szCs w:val="32"/>
        </w:rPr>
        <w:tab/>
      </w:r>
      <w:r>
        <w:rPr>
          <w:rFonts w:ascii="仿宋_GB2312" w:eastAsia="仿宋_GB2312" w:cs="DengXian-Regular"/>
          <w:sz w:val="32"/>
          <w:szCs w:val="32"/>
        </w:rPr>
        <w:tab/>
      </w:r>
      <w:r>
        <w:rPr>
          <w:rFonts w:ascii="仿宋_GB2312" w:eastAsia="仿宋_GB2312" w:cs="DengXian-Regular"/>
          <w:sz w:val="32"/>
          <w:szCs w:val="32"/>
        </w:rPr>
        <w:tab/>
      </w:r>
    </w:p>
    <w:p w14:paraId="0B3EF145">
      <w:pPr>
        <w:tabs>
          <w:tab w:val="left" w:pos="2415"/>
          <w:tab w:val="left" w:pos="3435"/>
          <w:tab w:val="left" w:pos="6345"/>
        </w:tabs>
        <w:spacing w:after="0" w:line="540" w:lineRule="exact"/>
        <w:ind w:firstLine="640" w:firstLineChars="200"/>
        <w:rPr>
          <w:rFonts w:ascii="仿宋_GB2312" w:eastAsia="仿宋_GB2312" w:cs="DengXian-Regular"/>
          <w:sz w:val="32"/>
          <w:szCs w:val="32"/>
        </w:rPr>
      </w:pPr>
      <w:r>
        <w:rPr>
          <w:rFonts w:ascii="仿宋_GB2312" w:eastAsia="仿宋_GB2312" w:cs="DengXian-Regular"/>
          <w:sz w:val="32"/>
          <w:szCs w:val="32"/>
        </w:rPr>
        <w:tab/>
      </w:r>
      <w:r>
        <w:rPr>
          <w:rFonts w:ascii="仿宋_GB2312" w:eastAsia="仿宋_GB2312" w:cs="DengXian-Regular"/>
          <w:sz w:val="32"/>
          <w:szCs w:val="32"/>
        </w:rPr>
        <w:tab/>
      </w:r>
      <w:r>
        <w:rPr>
          <w:rFonts w:ascii="仿宋_GB2312" w:eastAsia="仿宋_GB2312" w:cs="DengXian-Regular"/>
          <w:sz w:val="32"/>
          <w:szCs w:val="32"/>
        </w:rPr>
        <w:tab/>
      </w:r>
    </w:p>
    <w:p w14:paraId="4B8168DD">
      <w:pPr>
        <w:tabs>
          <w:tab w:val="left" w:pos="4035"/>
          <w:tab w:val="left" w:pos="7560"/>
        </w:tabs>
        <w:spacing w:after="0" w:line="540" w:lineRule="exact"/>
        <w:ind w:firstLine="640" w:firstLineChars="200"/>
        <w:jc w:val="both"/>
        <w:rPr>
          <w:rFonts w:ascii="仿宋_GB2312" w:eastAsia="仿宋_GB2312" w:cs="DengXian-Regular"/>
          <w:sz w:val="32"/>
          <w:szCs w:val="32"/>
        </w:rPr>
      </w:pPr>
      <w:r>
        <w:rPr>
          <w:rFonts w:ascii="仿宋_GB2312" w:eastAsia="仿宋_GB2312" w:cs="DengXian-Regular"/>
          <w:sz w:val="32"/>
          <w:szCs w:val="32"/>
        </w:rPr>
        <w:tab/>
      </w:r>
      <w:r>
        <w:rPr>
          <w:rFonts w:ascii="仿宋_GB2312" w:eastAsia="仿宋_GB2312" w:cs="DengXian-Regular"/>
          <w:sz w:val="32"/>
          <w:szCs w:val="32"/>
        </w:rPr>
        <w:tab/>
      </w:r>
    </w:p>
    <w:p w14:paraId="05FC00B4">
      <w:pPr>
        <w:tabs>
          <w:tab w:val="left" w:pos="3705"/>
          <w:tab w:val="left" w:pos="5180"/>
          <w:tab w:val="left" w:pos="7185"/>
          <w:tab w:val="right" w:pos="8312"/>
        </w:tabs>
        <w:spacing w:after="0" w:line="540" w:lineRule="exact"/>
        <w:ind w:firstLine="640" w:firstLineChars="200"/>
        <w:jc w:val="both"/>
        <w:rPr>
          <w:rFonts w:ascii="仿宋_GB2312" w:eastAsia="仿宋_GB2312" w:cs="DengXian-Regular"/>
          <w:sz w:val="32"/>
          <w:szCs w:val="32"/>
        </w:rPr>
      </w:pPr>
      <w:r>
        <w:rPr>
          <w:rFonts w:ascii="仿宋_GB2312" w:eastAsia="仿宋_GB2312" w:cs="DengXian-Regular"/>
          <w:sz w:val="32"/>
          <w:szCs w:val="32"/>
        </w:rPr>
        <w:tab/>
      </w:r>
      <w:r>
        <w:rPr>
          <w:rFonts w:ascii="仿宋_GB2312" w:eastAsia="仿宋_GB2312" w:cs="DengXian-Regular"/>
          <w:sz w:val="32"/>
          <w:szCs w:val="32"/>
        </w:rPr>
        <w:tab/>
      </w:r>
      <w:r>
        <w:rPr>
          <w:rFonts w:ascii="仿宋_GB2312" w:eastAsia="仿宋_GB2312" w:cs="DengXian-Regular"/>
          <w:sz w:val="32"/>
          <w:szCs w:val="32"/>
        </w:rPr>
        <w:tab/>
      </w:r>
      <w:r>
        <w:rPr>
          <w:rFonts w:ascii="仿宋_GB2312" w:eastAsia="仿宋_GB2312" w:cs="DengXian-Regular"/>
          <w:sz w:val="32"/>
          <w:szCs w:val="32"/>
        </w:rPr>
        <w:tab/>
      </w:r>
    </w:p>
    <w:p w14:paraId="3EFDF174">
      <w:pPr>
        <w:tabs>
          <w:tab w:val="left" w:pos="3610"/>
          <w:tab w:val="left" w:pos="5170"/>
          <w:tab w:val="left" w:pos="7090"/>
          <w:tab w:val="left" w:pos="7185"/>
        </w:tabs>
        <w:spacing w:after="0" w:line="540" w:lineRule="exact"/>
        <w:ind w:firstLine="640" w:firstLineChars="200"/>
        <w:jc w:val="both"/>
        <w:rPr>
          <w:rFonts w:ascii="仿宋_GB2312" w:eastAsia="仿宋_GB2312" w:cs="DengXian-Regular"/>
          <w:sz w:val="32"/>
          <w:szCs w:val="32"/>
        </w:rPr>
      </w:pPr>
      <w:r>
        <w:rPr>
          <w:rFonts w:ascii="仿宋_GB2312" w:eastAsia="仿宋_GB2312" w:cs="DengXian-Regular"/>
          <w:sz w:val="32"/>
          <w:szCs w:val="32"/>
        </w:rPr>
        <w:tab/>
      </w:r>
      <w:r>
        <w:rPr>
          <w:rFonts w:ascii="仿宋_GB2312" w:eastAsia="仿宋_GB2312" w:cs="DengXian-Regular"/>
          <w:sz w:val="32"/>
          <w:szCs w:val="32"/>
        </w:rPr>
        <w:tab/>
      </w:r>
      <w:r>
        <w:rPr>
          <w:rFonts w:ascii="仿宋_GB2312" w:eastAsia="仿宋_GB2312" w:cs="DengXian-Regular"/>
          <w:sz w:val="32"/>
          <w:szCs w:val="32"/>
        </w:rPr>
        <w:tab/>
      </w:r>
      <w:r>
        <w:rPr>
          <w:rFonts w:ascii="仿宋_GB2312" w:eastAsia="仿宋_GB2312" w:cs="DengXian-Regular"/>
          <w:sz w:val="32"/>
          <w:szCs w:val="32"/>
        </w:rPr>
        <w:tab/>
      </w:r>
    </w:p>
    <w:p w14:paraId="7840263F">
      <w:pPr>
        <w:tabs>
          <w:tab w:val="left" w:pos="3630"/>
        </w:tabs>
        <w:spacing w:after="0" w:line="540" w:lineRule="exact"/>
        <w:ind w:firstLine="640" w:firstLineChars="200"/>
        <w:jc w:val="both"/>
        <w:rPr>
          <w:rFonts w:ascii="仿宋_GB2312" w:eastAsia="仿宋_GB2312" w:cs="DengXian-Regular"/>
          <w:sz w:val="32"/>
          <w:szCs w:val="32"/>
        </w:rPr>
      </w:pPr>
      <w:r>
        <w:rPr>
          <w:rFonts w:ascii="仿宋_GB2312" w:eastAsia="仿宋_GB2312" w:cs="DengXian-Regular"/>
          <w:sz w:val="32"/>
          <w:szCs w:val="32"/>
        </w:rPr>
        <w:tab/>
      </w:r>
    </w:p>
    <w:p w14:paraId="5BBF493F">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留村镇政府一般公共预算财政拨款决算收入比年初预算增加</w:t>
      </w:r>
      <w:r>
        <w:rPr>
          <w:rFonts w:ascii="仿宋_GB2312" w:eastAsia="仿宋_GB2312" w:cs="DengXian-Regular"/>
          <w:sz w:val="32"/>
          <w:szCs w:val="32"/>
        </w:rPr>
        <w:t>0.028</w:t>
      </w:r>
      <w:r>
        <w:rPr>
          <w:rFonts w:hint="eastAsia" w:ascii="仿宋_GB2312" w:eastAsia="仿宋_GB2312" w:cs="DengXian-Regular"/>
          <w:sz w:val="32"/>
          <w:szCs w:val="32"/>
        </w:rPr>
        <w:t>万元，完成年初预算的</w:t>
      </w:r>
      <w:r>
        <w:rPr>
          <w:rFonts w:ascii="仿宋_GB2312" w:eastAsia="仿宋_GB2312" w:cs="DengXian-Regular"/>
          <w:sz w:val="32"/>
          <w:szCs w:val="32"/>
        </w:rPr>
        <w:t>100.0013</w:t>
      </w:r>
      <w:r>
        <w:rPr>
          <w:rFonts w:hint="eastAsia" w:ascii="仿宋_GB2312" w:eastAsia="仿宋_GB2312" w:cs="DengXian-Regular"/>
          <w:sz w:val="32"/>
          <w:szCs w:val="32"/>
        </w:rPr>
        <w:t>%。预算收入与决算收入对比情况见图2。</w:t>
      </w:r>
    </w:p>
    <w:p w14:paraId="1493C16C">
      <w:pPr>
        <w:spacing w:after="0" w:line="360" w:lineRule="auto"/>
        <w:jc w:val="center"/>
        <w:rPr>
          <w:rFonts w:ascii="仿宋_GB2312" w:eastAsia="仿宋_GB2312" w:cs="Times New Roman" w:hAnsiTheme="minorEastAsia"/>
          <w:bCs/>
          <w:sz w:val="32"/>
          <w:szCs w:val="32"/>
          <w:u w:color="000000"/>
        </w:rPr>
      </w:pPr>
      <w:r>
        <w:rPr>
          <w:rFonts w:hint="eastAsia" w:asciiTheme="minorEastAsia" w:hAnsiTheme="minorEastAsia" w:eastAsiaTheme="minorEastAsia" w:cstheme="minorEastAsia"/>
          <w:b/>
          <w:sz w:val="32"/>
          <w:szCs w:val="32"/>
          <w:u w:color="000000"/>
        </w:rPr>
        <w:t>图2  2022年度区留村镇政府预算收入与决算收入对比图</w:t>
      </w:r>
    </w:p>
    <w:p w14:paraId="20996F77">
      <w:pPr>
        <w:pStyle w:val="4"/>
        <w:spacing w:before="0" w:after="0"/>
        <w:ind w:firstLine="643" w:firstLineChars="200"/>
        <w:jc w:val="both"/>
        <w:rPr>
          <w:rFonts w:ascii="仿宋_GB2312" w:hAnsiTheme="minorEastAsia"/>
          <w:sz w:val="32"/>
        </w:rPr>
      </w:pPr>
      <w:bookmarkStart w:id="12" w:name="_Toc18197"/>
      <w:r>
        <w:rPr>
          <w:rFonts w:hint="eastAsia" w:ascii="仿宋_GB2312" w:hAnsiTheme="minorEastAsia"/>
          <w:sz w:val="32"/>
        </w:rPr>
        <w:drawing>
          <wp:inline distT="0" distB="0" distL="0" distR="0">
            <wp:extent cx="5278120" cy="3079115"/>
            <wp:effectExtent l="0" t="0" r="0"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hint="eastAsia" w:ascii="仿宋_GB2312" w:hAnsiTheme="minorEastAsia"/>
          <w:sz w:val="32"/>
        </w:rPr>
        <w:t>（四）预算支出及决算</w:t>
      </w:r>
      <w:bookmarkEnd w:id="10"/>
      <w:bookmarkEnd w:id="11"/>
      <w:r>
        <w:rPr>
          <w:rFonts w:hint="eastAsia" w:ascii="仿宋_GB2312" w:hAnsiTheme="minorEastAsia"/>
          <w:sz w:val="32"/>
        </w:rPr>
        <w:t>支出</w:t>
      </w:r>
      <w:bookmarkEnd w:id="12"/>
    </w:p>
    <w:p w14:paraId="742DB2E4">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2022年度留村镇政府</w:t>
      </w:r>
      <w:r>
        <w:rPr>
          <w:rFonts w:hint="eastAsia" w:ascii="仿宋_GB2312" w:eastAsia="仿宋_GB2312" w:cs="Times New Roman" w:hAnsiTheme="minorEastAsia"/>
          <w:sz w:val="32"/>
          <w:szCs w:val="32"/>
          <w:u w:color="000000"/>
        </w:rPr>
        <w:t>预算支出安排</w:t>
      </w:r>
      <w:r>
        <w:rPr>
          <w:rFonts w:ascii="仿宋_GB2312" w:eastAsia="仿宋_GB2312" w:cs="DengXian-Regular"/>
          <w:sz w:val="32"/>
          <w:szCs w:val="32"/>
        </w:rPr>
        <w:t>2151.567319</w:t>
      </w:r>
      <w:r>
        <w:rPr>
          <w:rFonts w:hint="eastAsia" w:ascii="仿宋_GB2312" w:eastAsia="仿宋_GB2312" w:cs="Times New Roman" w:hAnsiTheme="minorEastAsia"/>
          <w:sz w:val="32"/>
          <w:szCs w:val="32"/>
          <w:u w:color="000000"/>
        </w:rPr>
        <w:t>万元，其中：基本支出</w:t>
      </w:r>
      <w:r>
        <w:rPr>
          <w:rFonts w:ascii="仿宋_GB2312" w:eastAsia="仿宋_GB2312" w:cs="Times New Roman" w:hAnsiTheme="minorEastAsia"/>
          <w:sz w:val="32"/>
          <w:szCs w:val="32"/>
          <w:u w:color="000000"/>
        </w:rPr>
        <w:t>1664.17</w:t>
      </w:r>
      <w:r>
        <w:rPr>
          <w:rFonts w:hint="eastAsia" w:ascii="仿宋_GB2312" w:eastAsia="仿宋_GB2312" w:cs="Times New Roman" w:hAnsiTheme="minorEastAsia"/>
          <w:sz w:val="32"/>
          <w:szCs w:val="32"/>
          <w:u w:color="000000"/>
        </w:rPr>
        <w:t>万元，项目支出</w:t>
      </w:r>
      <w:r>
        <w:rPr>
          <w:rFonts w:ascii="仿宋_GB2312" w:eastAsia="仿宋_GB2312" w:cs="Times New Roman" w:hAnsiTheme="minorEastAsia"/>
          <w:sz w:val="32"/>
          <w:szCs w:val="32"/>
          <w:u w:color="000000"/>
        </w:rPr>
        <w:t>487.39</w:t>
      </w:r>
      <w:r>
        <w:rPr>
          <w:rFonts w:hint="eastAsia" w:ascii="仿宋_GB2312" w:eastAsia="仿宋_GB2312" w:cs="Times New Roman" w:hAnsiTheme="minorEastAsia"/>
          <w:sz w:val="32"/>
          <w:szCs w:val="32"/>
          <w:u w:color="000000"/>
        </w:rPr>
        <w:t>万元。预算支出按功能分类包含：</w:t>
      </w:r>
      <w:r>
        <w:rPr>
          <w:rFonts w:hint="eastAsia" w:ascii="仿宋_GB2312" w:eastAsia="仿宋_GB2312" w:cs="DengXian-Regular"/>
          <w:sz w:val="32"/>
          <w:szCs w:val="32"/>
        </w:rPr>
        <w:t>公共安全支出</w:t>
      </w:r>
      <w:r>
        <w:rPr>
          <w:rFonts w:ascii="仿宋_GB2312" w:eastAsia="仿宋_GB2312" w:cs="DengXian-Regular"/>
          <w:sz w:val="32"/>
          <w:szCs w:val="32"/>
        </w:rPr>
        <w:t>7.29</w:t>
      </w:r>
      <w:r>
        <w:rPr>
          <w:rFonts w:hint="eastAsia" w:ascii="仿宋_GB2312" w:eastAsia="仿宋_GB2312" w:cs="DengXian-Regular"/>
          <w:sz w:val="32"/>
          <w:szCs w:val="32"/>
        </w:rPr>
        <w:t>万元；社会保障和就业支出</w:t>
      </w:r>
      <w:r>
        <w:rPr>
          <w:rFonts w:ascii="仿宋_GB2312" w:eastAsia="仿宋_GB2312" w:cs="DengXian-Regular"/>
          <w:sz w:val="32"/>
          <w:szCs w:val="32"/>
        </w:rPr>
        <w:t>197.48</w:t>
      </w:r>
      <w:r>
        <w:rPr>
          <w:rFonts w:hint="eastAsia" w:ascii="仿宋_GB2312" w:eastAsia="仿宋_GB2312" w:cs="DengXian-Regular"/>
          <w:sz w:val="32"/>
          <w:szCs w:val="32"/>
        </w:rPr>
        <w:t>万元；医疗卫生与计划生育支</w:t>
      </w:r>
      <w:r>
        <w:rPr>
          <w:rFonts w:ascii="仿宋_GB2312" w:eastAsia="仿宋_GB2312" w:cs="DengXian-Regular"/>
          <w:sz w:val="32"/>
          <w:szCs w:val="32"/>
        </w:rPr>
        <w:t>45.03</w:t>
      </w:r>
      <w:r>
        <w:rPr>
          <w:rFonts w:hint="eastAsia" w:ascii="仿宋_GB2312" w:eastAsia="仿宋_GB2312" w:cs="DengXian-Regular"/>
          <w:sz w:val="32"/>
          <w:szCs w:val="32"/>
        </w:rPr>
        <w:t>万元；住房保障支出</w:t>
      </w:r>
      <w:r>
        <w:rPr>
          <w:rFonts w:ascii="仿宋_GB2312" w:eastAsia="仿宋_GB2312" w:cs="DengXian-Regular"/>
          <w:sz w:val="32"/>
          <w:szCs w:val="32"/>
        </w:rPr>
        <w:t>67.59</w:t>
      </w:r>
      <w:r>
        <w:rPr>
          <w:rFonts w:hint="eastAsia" w:ascii="仿宋_GB2312" w:eastAsia="仿宋_GB2312" w:cs="DengXian-Regular"/>
          <w:sz w:val="32"/>
          <w:szCs w:val="32"/>
        </w:rPr>
        <w:t>万元；一般公共服务支出</w:t>
      </w:r>
      <w:r>
        <w:rPr>
          <w:rFonts w:ascii="仿宋_GB2312" w:eastAsia="仿宋_GB2312" w:cs="DengXian-Regular"/>
          <w:sz w:val="32"/>
          <w:szCs w:val="32"/>
        </w:rPr>
        <w:t>1484.99</w:t>
      </w:r>
      <w:r>
        <w:rPr>
          <w:rFonts w:hint="eastAsia" w:ascii="仿宋_GB2312" w:eastAsia="仿宋_GB2312" w:cs="DengXian-Regular"/>
          <w:sz w:val="32"/>
          <w:szCs w:val="32"/>
        </w:rPr>
        <w:t>万元;文化旅游体育与传媒支出</w:t>
      </w:r>
      <w:r>
        <w:rPr>
          <w:rFonts w:ascii="仿宋_GB2312" w:eastAsia="仿宋_GB2312" w:cs="DengXian-Regular"/>
          <w:sz w:val="32"/>
          <w:szCs w:val="32"/>
        </w:rPr>
        <w:t>5</w:t>
      </w:r>
      <w:r>
        <w:rPr>
          <w:rFonts w:hint="eastAsia" w:ascii="仿宋_GB2312" w:eastAsia="仿宋_GB2312" w:cs="DengXian-Regular"/>
          <w:sz w:val="32"/>
          <w:szCs w:val="32"/>
        </w:rPr>
        <w:t>万元；节能环保支出</w:t>
      </w:r>
      <w:r>
        <w:rPr>
          <w:rFonts w:ascii="仿宋_GB2312" w:eastAsia="仿宋_GB2312" w:cs="DengXian-Regular"/>
          <w:sz w:val="32"/>
          <w:szCs w:val="32"/>
        </w:rPr>
        <w:t>10</w:t>
      </w:r>
      <w:r>
        <w:rPr>
          <w:rFonts w:hint="eastAsia" w:ascii="仿宋_GB2312" w:eastAsia="仿宋_GB2312" w:cs="DengXian-Regular"/>
          <w:sz w:val="32"/>
          <w:szCs w:val="32"/>
        </w:rPr>
        <w:t>万元；农林水支出</w:t>
      </w:r>
      <w:r>
        <w:rPr>
          <w:rFonts w:ascii="仿宋_GB2312" w:eastAsia="仿宋_GB2312" w:cs="DengXian-Regular"/>
          <w:sz w:val="32"/>
          <w:szCs w:val="32"/>
        </w:rPr>
        <w:t>303.58</w:t>
      </w:r>
      <w:r>
        <w:rPr>
          <w:rFonts w:hint="eastAsia" w:ascii="仿宋_GB2312" w:eastAsia="仿宋_GB2312" w:cs="DengXian-Regular"/>
          <w:sz w:val="32"/>
          <w:szCs w:val="32"/>
        </w:rPr>
        <w:t>万元；城乡社区支出</w:t>
      </w:r>
      <w:r>
        <w:rPr>
          <w:rFonts w:ascii="仿宋_GB2312" w:eastAsia="仿宋_GB2312" w:cs="DengXian-Regular"/>
          <w:sz w:val="32"/>
          <w:szCs w:val="32"/>
        </w:rPr>
        <w:t>17.44</w:t>
      </w:r>
      <w:r>
        <w:rPr>
          <w:rFonts w:hint="eastAsia" w:ascii="仿宋_GB2312" w:eastAsia="仿宋_GB2312" w:cs="DengXian-Regular"/>
          <w:sz w:val="32"/>
          <w:szCs w:val="32"/>
        </w:rPr>
        <w:t>万元。</w:t>
      </w:r>
      <w:r>
        <w:rPr>
          <w:rFonts w:hint="eastAsia" w:ascii="仿宋_GB2312" w:eastAsia="仿宋_GB2312" w:cs="Times New Roman" w:hAnsiTheme="minorEastAsia"/>
          <w:sz w:val="32"/>
          <w:szCs w:val="32"/>
          <w:u w:color="000000"/>
        </w:rPr>
        <w:t>交通运输</w:t>
      </w:r>
      <w:r>
        <w:rPr>
          <w:rFonts w:ascii="仿宋_GB2312" w:eastAsia="仿宋_GB2312" w:cs="Times New Roman" w:hAnsiTheme="minorEastAsia"/>
          <w:sz w:val="32"/>
          <w:szCs w:val="32"/>
          <w:u w:color="000000"/>
        </w:rPr>
        <w:t>11.88</w:t>
      </w:r>
      <w:r>
        <w:rPr>
          <w:rFonts w:hint="eastAsia" w:ascii="仿宋_GB2312" w:eastAsia="仿宋_GB2312" w:cs="Times New Roman" w:hAnsiTheme="minorEastAsia"/>
          <w:sz w:val="32"/>
          <w:szCs w:val="32"/>
          <w:u w:color="000000"/>
        </w:rPr>
        <w:t>万元；灾害防治及应急管理</w:t>
      </w:r>
      <w:r>
        <w:rPr>
          <w:rFonts w:ascii="仿宋_GB2312" w:eastAsia="仿宋_GB2312" w:cs="Times New Roman" w:hAnsiTheme="minorEastAsia"/>
          <w:sz w:val="32"/>
          <w:szCs w:val="32"/>
          <w:u w:color="000000"/>
        </w:rPr>
        <w:t>1.28</w:t>
      </w:r>
      <w:r>
        <w:rPr>
          <w:rFonts w:hint="eastAsia" w:ascii="仿宋_GB2312" w:eastAsia="仿宋_GB2312" w:cs="Times New Roman" w:hAnsiTheme="minorEastAsia"/>
          <w:sz w:val="32"/>
          <w:szCs w:val="32"/>
          <w:u w:color="000000"/>
        </w:rPr>
        <w:t>万元；。具体预算支出详见附件2。</w:t>
      </w:r>
    </w:p>
    <w:p w14:paraId="44F769A8">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2022年度留村镇政府</w:t>
      </w:r>
      <w:r>
        <w:rPr>
          <w:rFonts w:hint="eastAsia" w:ascii="仿宋_GB2312" w:eastAsia="仿宋_GB2312" w:cs="Times New Roman" w:hAnsiTheme="minorEastAsia"/>
          <w:sz w:val="32"/>
          <w:szCs w:val="32"/>
          <w:u w:color="000000"/>
        </w:rPr>
        <w:t>决算支出为</w:t>
      </w:r>
      <w:r>
        <w:rPr>
          <w:rFonts w:ascii="仿宋_GB2312" w:eastAsia="仿宋_GB2312" w:cs="DengXian-Regular"/>
          <w:sz w:val="32"/>
          <w:szCs w:val="32"/>
        </w:rPr>
        <w:t>2151.567319</w:t>
      </w:r>
      <w:r>
        <w:rPr>
          <w:rFonts w:hint="eastAsia" w:ascii="仿宋_GB2312" w:eastAsia="仿宋_GB2312" w:cs="Times New Roman" w:hAnsiTheme="minorEastAsia"/>
          <w:sz w:val="32"/>
          <w:szCs w:val="32"/>
          <w:u w:color="000000"/>
        </w:rPr>
        <w:t>万元，其中：基本支出</w:t>
      </w:r>
      <w:r>
        <w:rPr>
          <w:rFonts w:ascii="仿宋_GB2312" w:eastAsia="仿宋_GB2312" w:cs="Times New Roman" w:hAnsiTheme="minorEastAsia"/>
          <w:sz w:val="32"/>
          <w:szCs w:val="32"/>
          <w:u w:color="000000"/>
        </w:rPr>
        <w:t>1664.17</w:t>
      </w:r>
      <w:r>
        <w:rPr>
          <w:rFonts w:hint="eastAsia" w:ascii="仿宋_GB2312" w:eastAsia="仿宋_GB2312" w:cs="Times New Roman" w:hAnsiTheme="minorEastAsia"/>
          <w:sz w:val="32"/>
          <w:szCs w:val="32"/>
          <w:u w:color="000000"/>
        </w:rPr>
        <w:t>万元，项目支出</w:t>
      </w:r>
      <w:r>
        <w:rPr>
          <w:rFonts w:ascii="仿宋_GB2312" w:eastAsia="仿宋_GB2312" w:cs="Times New Roman" w:hAnsiTheme="minorEastAsia"/>
          <w:sz w:val="32"/>
          <w:szCs w:val="32"/>
          <w:u w:color="000000"/>
        </w:rPr>
        <w:t>487.39</w:t>
      </w:r>
      <w:r>
        <w:rPr>
          <w:rFonts w:hint="eastAsia" w:ascii="仿宋_GB2312" w:eastAsia="仿宋_GB2312" w:cs="Times New Roman" w:hAnsiTheme="minorEastAsia"/>
          <w:sz w:val="32"/>
          <w:szCs w:val="32"/>
          <w:u w:color="000000"/>
        </w:rPr>
        <w:t>万元。决算支出按功能分类包含：</w:t>
      </w:r>
      <w:r>
        <w:rPr>
          <w:rFonts w:hint="eastAsia" w:ascii="仿宋_GB2312" w:eastAsia="仿宋_GB2312" w:cs="DengXian-Regular"/>
          <w:sz w:val="32"/>
          <w:szCs w:val="32"/>
        </w:rPr>
        <w:t>公共安全支出</w:t>
      </w:r>
      <w:r>
        <w:rPr>
          <w:rFonts w:ascii="仿宋_GB2312" w:eastAsia="仿宋_GB2312" w:cs="DengXian-Regular"/>
          <w:sz w:val="32"/>
          <w:szCs w:val="32"/>
        </w:rPr>
        <w:t>7.29</w:t>
      </w:r>
      <w:r>
        <w:rPr>
          <w:rFonts w:hint="eastAsia" w:ascii="仿宋_GB2312" w:eastAsia="仿宋_GB2312" w:cs="DengXian-Regular"/>
          <w:sz w:val="32"/>
          <w:szCs w:val="32"/>
        </w:rPr>
        <w:t>万元，占比</w:t>
      </w:r>
      <w:r>
        <w:rPr>
          <w:rFonts w:ascii="仿宋_GB2312" w:eastAsia="仿宋_GB2312" w:cs="DengXian-Regular"/>
          <w:sz w:val="32"/>
          <w:szCs w:val="32"/>
        </w:rPr>
        <w:t>0</w:t>
      </w:r>
      <w:r>
        <w:rPr>
          <w:rFonts w:hint="eastAsia" w:ascii="仿宋_GB2312" w:eastAsia="仿宋_GB2312" w:cs="DengXian-Regular"/>
          <w:sz w:val="32"/>
          <w:szCs w:val="32"/>
        </w:rPr>
        <w:t>%；社会保障和就业支出</w:t>
      </w:r>
      <w:r>
        <w:rPr>
          <w:rFonts w:ascii="仿宋_GB2312" w:eastAsia="仿宋_GB2312" w:cs="DengXian-Regular"/>
          <w:sz w:val="32"/>
          <w:szCs w:val="32"/>
        </w:rPr>
        <w:t>197.48</w:t>
      </w:r>
      <w:r>
        <w:rPr>
          <w:rFonts w:hint="eastAsia" w:ascii="仿宋_GB2312" w:eastAsia="仿宋_GB2312" w:cs="DengXian-Regular"/>
          <w:sz w:val="32"/>
          <w:szCs w:val="32"/>
        </w:rPr>
        <w:t>万元，占比9%；医疗卫生与计划生育支</w:t>
      </w:r>
      <w:r>
        <w:rPr>
          <w:rFonts w:ascii="仿宋_GB2312" w:eastAsia="仿宋_GB2312" w:cs="DengXian-Regular"/>
          <w:sz w:val="32"/>
          <w:szCs w:val="32"/>
        </w:rPr>
        <w:t>45.03</w:t>
      </w:r>
      <w:r>
        <w:rPr>
          <w:rFonts w:hint="eastAsia" w:ascii="仿宋_GB2312" w:eastAsia="仿宋_GB2312" w:cs="DengXian-Regular"/>
          <w:sz w:val="32"/>
          <w:szCs w:val="32"/>
        </w:rPr>
        <w:t>万元，占比</w:t>
      </w:r>
      <w:r>
        <w:rPr>
          <w:rFonts w:ascii="仿宋_GB2312" w:eastAsia="仿宋_GB2312" w:cs="DengXian-Regular"/>
          <w:sz w:val="32"/>
          <w:szCs w:val="32"/>
        </w:rPr>
        <w:t>2</w:t>
      </w:r>
      <w:r>
        <w:rPr>
          <w:rFonts w:hint="eastAsia" w:ascii="仿宋_GB2312" w:eastAsia="仿宋_GB2312" w:cs="DengXian-Regular"/>
          <w:sz w:val="32"/>
          <w:szCs w:val="32"/>
        </w:rPr>
        <w:t>%；住房保障支出</w:t>
      </w:r>
      <w:r>
        <w:rPr>
          <w:rFonts w:ascii="仿宋_GB2312" w:eastAsia="仿宋_GB2312" w:cs="DengXian-Regular"/>
          <w:sz w:val="32"/>
          <w:szCs w:val="32"/>
        </w:rPr>
        <w:t>67.59</w:t>
      </w:r>
      <w:r>
        <w:rPr>
          <w:rFonts w:hint="eastAsia" w:ascii="仿宋_GB2312" w:eastAsia="仿宋_GB2312" w:cs="DengXian-Regular"/>
          <w:sz w:val="32"/>
          <w:szCs w:val="32"/>
        </w:rPr>
        <w:t>万元，占比</w:t>
      </w:r>
      <w:r>
        <w:rPr>
          <w:rFonts w:ascii="仿宋_GB2312" w:eastAsia="仿宋_GB2312" w:cs="DengXian-Regular"/>
          <w:sz w:val="32"/>
          <w:szCs w:val="32"/>
        </w:rPr>
        <w:t>3</w:t>
      </w:r>
      <w:r>
        <w:rPr>
          <w:rFonts w:hint="eastAsia" w:ascii="仿宋_GB2312" w:eastAsia="仿宋_GB2312" w:cs="DengXian-Regular"/>
          <w:sz w:val="32"/>
          <w:szCs w:val="32"/>
        </w:rPr>
        <w:t>%；一般公共服务支出</w:t>
      </w:r>
      <w:r>
        <w:rPr>
          <w:rFonts w:ascii="仿宋_GB2312" w:eastAsia="仿宋_GB2312" w:cs="DengXian-Regular"/>
          <w:sz w:val="32"/>
          <w:szCs w:val="32"/>
        </w:rPr>
        <w:t>1484.99</w:t>
      </w:r>
      <w:r>
        <w:rPr>
          <w:rFonts w:hint="eastAsia" w:ascii="仿宋_GB2312" w:eastAsia="仿宋_GB2312" w:cs="DengXian-Regular"/>
          <w:sz w:val="32"/>
          <w:szCs w:val="32"/>
        </w:rPr>
        <w:t>万元，占比</w:t>
      </w:r>
      <w:r>
        <w:rPr>
          <w:rFonts w:ascii="仿宋_GB2312" w:eastAsia="仿宋_GB2312" w:cs="DengXian-Regular"/>
          <w:sz w:val="32"/>
          <w:szCs w:val="32"/>
        </w:rPr>
        <w:t>70</w:t>
      </w:r>
      <w:r>
        <w:rPr>
          <w:rFonts w:hint="eastAsia" w:ascii="仿宋_GB2312" w:eastAsia="仿宋_GB2312" w:cs="DengXian-Regular"/>
          <w:sz w:val="32"/>
          <w:szCs w:val="32"/>
        </w:rPr>
        <w:t>%;文化旅游体育与传媒支出</w:t>
      </w:r>
      <w:r>
        <w:rPr>
          <w:rFonts w:ascii="仿宋_GB2312" w:eastAsia="仿宋_GB2312" w:cs="DengXian-Regular"/>
          <w:sz w:val="32"/>
          <w:szCs w:val="32"/>
        </w:rPr>
        <w:t>5</w:t>
      </w:r>
      <w:r>
        <w:rPr>
          <w:rFonts w:hint="eastAsia" w:ascii="仿宋_GB2312" w:eastAsia="仿宋_GB2312" w:cs="DengXian-Regular"/>
          <w:sz w:val="32"/>
          <w:szCs w:val="32"/>
        </w:rPr>
        <w:t>万元，占比</w:t>
      </w:r>
      <w:r>
        <w:rPr>
          <w:rFonts w:ascii="仿宋_GB2312" w:eastAsia="仿宋_GB2312" w:cs="DengXian-Regular"/>
          <w:sz w:val="32"/>
          <w:szCs w:val="32"/>
        </w:rPr>
        <w:t>0</w:t>
      </w:r>
      <w:r>
        <w:rPr>
          <w:rFonts w:hint="eastAsia" w:ascii="仿宋_GB2312" w:eastAsia="仿宋_GB2312" w:cs="DengXian-Regular"/>
          <w:sz w:val="32"/>
          <w:szCs w:val="32"/>
        </w:rPr>
        <w:t xml:space="preserve"> %；节能环保支出</w:t>
      </w:r>
      <w:r>
        <w:rPr>
          <w:rFonts w:ascii="仿宋_GB2312" w:eastAsia="仿宋_GB2312" w:cs="DengXian-Regular"/>
          <w:sz w:val="32"/>
          <w:szCs w:val="32"/>
        </w:rPr>
        <w:t>10</w:t>
      </w:r>
      <w:r>
        <w:rPr>
          <w:rFonts w:hint="eastAsia" w:ascii="仿宋_GB2312" w:eastAsia="仿宋_GB2312" w:cs="DengXian-Regular"/>
          <w:sz w:val="32"/>
          <w:szCs w:val="32"/>
        </w:rPr>
        <w:t>万元，占比1%；农林水支出</w:t>
      </w:r>
      <w:r>
        <w:rPr>
          <w:rFonts w:ascii="仿宋_GB2312" w:eastAsia="仿宋_GB2312" w:cs="DengXian-Regular"/>
          <w:sz w:val="32"/>
          <w:szCs w:val="32"/>
        </w:rPr>
        <w:t>303.58</w:t>
      </w:r>
      <w:r>
        <w:rPr>
          <w:rFonts w:hint="eastAsia" w:ascii="仿宋_GB2312" w:eastAsia="仿宋_GB2312" w:cs="DengXian-Regular"/>
          <w:sz w:val="32"/>
          <w:szCs w:val="32"/>
        </w:rPr>
        <w:t>万元，占比</w:t>
      </w:r>
      <w:r>
        <w:rPr>
          <w:rFonts w:ascii="仿宋_GB2312" w:eastAsia="仿宋_GB2312" w:cs="DengXian-Regular"/>
          <w:sz w:val="32"/>
          <w:szCs w:val="32"/>
        </w:rPr>
        <w:t>14</w:t>
      </w:r>
      <w:r>
        <w:rPr>
          <w:rFonts w:hint="eastAsia" w:ascii="仿宋_GB2312" w:eastAsia="仿宋_GB2312" w:cs="DengXian-Regular"/>
          <w:sz w:val="32"/>
          <w:szCs w:val="32"/>
        </w:rPr>
        <w:t>%；城乡社区支出</w:t>
      </w:r>
      <w:r>
        <w:rPr>
          <w:rFonts w:ascii="仿宋_GB2312" w:eastAsia="仿宋_GB2312" w:cs="DengXian-Regular"/>
          <w:sz w:val="32"/>
          <w:szCs w:val="32"/>
        </w:rPr>
        <w:t>17.44</w:t>
      </w:r>
      <w:r>
        <w:rPr>
          <w:rFonts w:hint="eastAsia" w:ascii="仿宋_GB2312" w:eastAsia="仿宋_GB2312" w:cs="DengXian-Regular"/>
          <w:sz w:val="32"/>
          <w:szCs w:val="32"/>
        </w:rPr>
        <w:t>万元，占比</w:t>
      </w:r>
      <w:r>
        <w:rPr>
          <w:rFonts w:ascii="仿宋_GB2312" w:eastAsia="仿宋_GB2312" w:cs="DengXian-Regular"/>
          <w:sz w:val="32"/>
          <w:szCs w:val="32"/>
        </w:rPr>
        <w:t>1</w:t>
      </w:r>
      <w:r>
        <w:rPr>
          <w:rFonts w:hint="eastAsia" w:ascii="仿宋_GB2312" w:eastAsia="仿宋_GB2312" w:cs="DengXian-Regular"/>
          <w:sz w:val="32"/>
          <w:szCs w:val="32"/>
        </w:rPr>
        <w:t>%。</w:t>
      </w:r>
      <w:r>
        <w:rPr>
          <w:rFonts w:hint="eastAsia" w:ascii="仿宋_GB2312" w:eastAsia="仿宋_GB2312" w:cs="Times New Roman" w:hAnsiTheme="minorEastAsia"/>
          <w:sz w:val="32"/>
          <w:szCs w:val="32"/>
          <w:u w:color="000000"/>
        </w:rPr>
        <w:t>决算支出结构如图3。</w:t>
      </w:r>
    </w:p>
    <w:p w14:paraId="2C73FE1B">
      <w:pPr>
        <w:spacing w:after="0" w:line="360" w:lineRule="auto"/>
        <w:jc w:val="center"/>
        <w:rPr>
          <w:rFonts w:ascii="仿宋_GB2312" w:eastAsia="仿宋_GB2312" w:cs="Times New Roman" w:hAnsiTheme="minorEastAsia"/>
          <w:sz w:val="32"/>
          <w:szCs w:val="32"/>
          <w:u w:color="000000"/>
        </w:rPr>
      </w:pPr>
      <w:r>
        <w:rPr>
          <w:rFonts w:hint="eastAsia" w:asciiTheme="minorEastAsia" w:hAnsiTheme="minorEastAsia" w:eastAsiaTheme="minorEastAsia" w:cstheme="minorEastAsia"/>
          <w:b/>
          <w:bCs/>
          <w:sz w:val="32"/>
          <w:szCs w:val="32"/>
          <w:u w:color="000000"/>
        </w:rPr>
        <w:t>图3  2022年度留村镇政府决算支出结构图</w:t>
      </w:r>
    </w:p>
    <w:p w14:paraId="6DA4BAA1">
      <w:pPr>
        <w:spacing w:after="0" w:line="360" w:lineRule="auto"/>
        <w:ind w:firstLine="560" w:firstLineChars="200"/>
        <w:jc w:val="both"/>
        <w:rPr>
          <w:rFonts w:ascii="仿宋" w:hAnsi="仿宋" w:eastAsia="仿宋"/>
          <w:snapToGrid w:val="0"/>
          <w:sz w:val="32"/>
          <w:szCs w:val="32"/>
        </w:rPr>
      </w:pPr>
      <w:r>
        <w:rPr>
          <w:sz w:val="28"/>
          <w:szCs w:val="28"/>
        </w:rPr>
        <w:drawing>
          <wp:anchor distT="0" distB="0" distL="114300" distR="114300" simplePos="0" relativeHeight="251660288" behindDoc="1" locked="0" layoutInCell="1" allowOverlap="1">
            <wp:simplePos x="0" y="0"/>
            <wp:positionH relativeFrom="column">
              <wp:posOffset>1905</wp:posOffset>
            </wp:positionH>
            <wp:positionV relativeFrom="paragraph">
              <wp:posOffset>0</wp:posOffset>
            </wp:positionV>
            <wp:extent cx="5572125" cy="3076575"/>
            <wp:effectExtent l="0" t="0" r="0" b="0"/>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_GB2312" w:eastAsia="仿宋_GB2312" w:cs="DengXian-Regular"/>
          <w:sz w:val="32"/>
          <w:szCs w:val="32"/>
        </w:rPr>
        <w:t>财政拨款决算支出比年初预算增加</w:t>
      </w:r>
      <w:r>
        <w:rPr>
          <w:rFonts w:ascii="仿宋_GB2312" w:eastAsia="仿宋_GB2312" w:cs="DengXian-Regular"/>
          <w:sz w:val="32"/>
          <w:szCs w:val="32"/>
        </w:rPr>
        <w:t>0.027</w:t>
      </w:r>
      <w:r>
        <w:rPr>
          <w:rFonts w:hint="eastAsia" w:ascii="仿宋_GB2312" w:eastAsia="仿宋_GB2312" w:cs="DengXian-Regular"/>
          <w:sz w:val="32"/>
          <w:szCs w:val="32"/>
        </w:rPr>
        <w:t>万元。决算支出完成年初预算的</w:t>
      </w:r>
      <w:r>
        <w:rPr>
          <w:rFonts w:ascii="仿宋_GB2312" w:eastAsia="仿宋_GB2312" w:cs="DengXian-Regular"/>
          <w:sz w:val="32"/>
          <w:szCs w:val="32"/>
        </w:rPr>
        <w:t>100.0025</w:t>
      </w:r>
      <w:r>
        <w:rPr>
          <w:rFonts w:hint="eastAsia" w:ascii="仿宋_GB2312" w:eastAsia="仿宋_GB2312" w:cs="DengXian-Regular"/>
          <w:sz w:val="32"/>
          <w:szCs w:val="32"/>
        </w:rPr>
        <w:t>%。</w:t>
      </w:r>
      <w:r>
        <w:rPr>
          <w:rFonts w:hint="eastAsia" w:ascii="仿宋_GB2312" w:eastAsia="仿宋_GB2312" w:cs="Times New Roman" w:hAnsiTheme="minorEastAsia"/>
          <w:sz w:val="32"/>
          <w:szCs w:val="32"/>
          <w:u w:color="000000"/>
        </w:rPr>
        <w:t>决算支出大于预算支出的</w:t>
      </w:r>
      <w:r>
        <w:rPr>
          <w:rFonts w:hint="eastAsia" w:ascii="仿宋_GB2312" w:eastAsia="仿宋_GB2312" w:cs="DengXian-Regular"/>
          <w:sz w:val="32"/>
          <w:szCs w:val="32"/>
        </w:rPr>
        <w:t>主要原因为2022年度留村镇政府增加了一般公共服务支出 、疫情防控专项资金、河长制管理奖补资金、村级组织建设维护资金、抓党建、促脱贫、优环境专项行动奖补资金</w:t>
      </w:r>
      <w:r>
        <w:rPr>
          <w:rFonts w:hint="eastAsia" w:ascii="仿宋" w:hAnsi="仿宋" w:eastAsia="仿宋"/>
          <w:snapToGrid w:val="0"/>
          <w:sz w:val="32"/>
          <w:szCs w:val="32"/>
        </w:rPr>
        <w:t>。预算支出与决算支出对比情况如图4。</w:t>
      </w:r>
    </w:p>
    <w:p w14:paraId="39409D1C">
      <w:pPr>
        <w:spacing w:after="0" w:line="360" w:lineRule="auto"/>
        <w:jc w:val="center"/>
        <w:rPr>
          <w:rFonts w:ascii="仿宋_GB2312" w:eastAsia="仿宋_GB2312" w:cs="DengXian-Regular"/>
          <w:sz w:val="32"/>
          <w:szCs w:val="32"/>
        </w:rPr>
      </w:pPr>
      <w:r>
        <w:rPr>
          <w:rFonts w:hint="eastAsia" w:asciiTheme="minorEastAsia" w:hAnsiTheme="minorEastAsia" w:eastAsiaTheme="minorEastAsia" w:cstheme="minorEastAsia"/>
          <w:b/>
          <w:bCs/>
          <w:sz w:val="32"/>
          <w:szCs w:val="32"/>
        </w:rPr>
        <w:t>图4  2022年度留村镇政府预算支出与决算支出对比图</w:t>
      </w:r>
      <w:r>
        <w:rPr>
          <w:rFonts w:hint="eastAsia" w:ascii="仿宋_GB2312" w:hAnsiTheme="minorEastAsia"/>
          <w:sz w:val="32"/>
        </w:rPr>
        <w:drawing>
          <wp:inline distT="0" distB="0" distL="0" distR="0">
            <wp:extent cx="5278120" cy="3079115"/>
            <wp:effectExtent l="0" t="0" r="0" b="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5CE5CBE">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留村镇政府2022年实际项目支出</w:t>
      </w:r>
      <w:r>
        <w:rPr>
          <w:rFonts w:ascii="仿宋_GB2312" w:eastAsia="仿宋_GB2312" w:cs="Times New Roman" w:hAnsiTheme="minorEastAsia"/>
          <w:sz w:val="32"/>
          <w:szCs w:val="32"/>
          <w:u w:color="000000"/>
        </w:rPr>
        <w:t>487.39</w:t>
      </w:r>
      <w:r>
        <w:rPr>
          <w:rFonts w:hint="eastAsia" w:ascii="仿宋_GB2312" w:eastAsia="仿宋_GB2312" w:cs="DengXian-Regular"/>
          <w:sz w:val="32"/>
          <w:szCs w:val="32"/>
        </w:rPr>
        <w:t>万元，决算报表中项目支出</w:t>
      </w:r>
      <w:r>
        <w:rPr>
          <w:rFonts w:ascii="仿宋_GB2312" w:eastAsia="仿宋_GB2312" w:cs="Times New Roman" w:hAnsiTheme="minorEastAsia"/>
          <w:sz w:val="32"/>
          <w:szCs w:val="32"/>
          <w:u w:color="000000"/>
        </w:rPr>
        <w:t>487.39</w:t>
      </w:r>
      <w:r>
        <w:rPr>
          <w:rFonts w:hint="eastAsia" w:ascii="仿宋_GB2312" w:eastAsia="仿宋_GB2312" w:cs="DengXian-Regular"/>
          <w:sz w:val="32"/>
          <w:szCs w:val="32"/>
        </w:rPr>
        <w:t>万元，实际支出与决算报表差</w:t>
      </w:r>
      <w:r>
        <w:rPr>
          <w:rFonts w:ascii="仿宋_GB2312" w:eastAsia="仿宋_GB2312" w:cs="DengXian-Regular"/>
          <w:sz w:val="32"/>
          <w:szCs w:val="32"/>
        </w:rPr>
        <w:t>0</w:t>
      </w:r>
      <w:r>
        <w:rPr>
          <w:rFonts w:hint="eastAsia" w:ascii="仿宋_GB2312" w:eastAsia="仿宋_GB2312" w:cs="DengXian-Regular"/>
          <w:sz w:val="32"/>
          <w:szCs w:val="32"/>
        </w:rPr>
        <w:t>万元。</w:t>
      </w:r>
    </w:p>
    <w:p w14:paraId="49425EE2">
      <w:pPr>
        <w:pStyle w:val="4"/>
        <w:spacing w:before="0" w:after="0"/>
        <w:ind w:firstLine="643" w:firstLineChars="200"/>
        <w:jc w:val="both"/>
        <w:rPr>
          <w:rFonts w:ascii="仿宋_GB2312" w:hAnsi="Tahoma" w:cs="DengXian-Regular"/>
          <w:sz w:val="32"/>
        </w:rPr>
      </w:pPr>
      <w:bookmarkStart w:id="13" w:name="_Toc465149503"/>
      <w:bookmarkStart w:id="14" w:name="_Toc19291"/>
      <w:bookmarkStart w:id="15" w:name="_Toc492652769"/>
      <w:r>
        <w:rPr>
          <w:rFonts w:hint="eastAsia" w:ascii="仿宋_GB2312" w:hAnsi="Tahoma" w:cs="DengXian-Regular"/>
          <w:sz w:val="32"/>
        </w:rPr>
        <w:t>（五）“三公”经费预算安排及支出情况</w:t>
      </w:r>
      <w:bookmarkEnd w:id="13"/>
      <w:bookmarkEnd w:id="14"/>
      <w:bookmarkEnd w:id="15"/>
    </w:p>
    <w:p w14:paraId="02382512">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2022年留村镇政府“三公”经费预算</w:t>
      </w:r>
      <w:r>
        <w:rPr>
          <w:rFonts w:ascii="仿宋_GB2312" w:eastAsia="仿宋_GB2312" w:cs="DengXian-Regular"/>
          <w:sz w:val="32"/>
          <w:szCs w:val="32"/>
        </w:rPr>
        <w:t>14.09</w:t>
      </w:r>
      <w:r>
        <w:rPr>
          <w:rFonts w:hint="eastAsia" w:ascii="仿宋_GB2312" w:eastAsia="仿宋_GB2312" w:cs="DengXian-Regular"/>
          <w:sz w:val="32"/>
          <w:szCs w:val="32"/>
        </w:rPr>
        <w:t>万元（公务用车运行维护费</w:t>
      </w:r>
      <w:r>
        <w:rPr>
          <w:rFonts w:ascii="仿宋_GB2312" w:eastAsia="仿宋_GB2312" w:cs="DengXian-Regular"/>
          <w:sz w:val="32"/>
          <w:szCs w:val="32"/>
        </w:rPr>
        <w:t>12.15</w:t>
      </w:r>
      <w:r>
        <w:rPr>
          <w:rFonts w:hint="eastAsia" w:ascii="仿宋_GB2312" w:eastAsia="仿宋_GB2312" w:cs="DengXian-Regular"/>
          <w:sz w:val="32"/>
          <w:szCs w:val="32"/>
        </w:rPr>
        <w:t>万元，公务接待费</w:t>
      </w:r>
      <w:r>
        <w:rPr>
          <w:rFonts w:ascii="仿宋_GB2312" w:eastAsia="仿宋_GB2312" w:cs="DengXian-Regular"/>
          <w:sz w:val="32"/>
          <w:szCs w:val="32"/>
        </w:rPr>
        <w:t>1.94</w:t>
      </w:r>
      <w:r>
        <w:rPr>
          <w:rFonts w:hint="eastAsia" w:ascii="仿宋_GB2312" w:eastAsia="仿宋_GB2312" w:cs="DengXian-Regular"/>
          <w:sz w:val="32"/>
          <w:szCs w:val="32"/>
        </w:rPr>
        <w:t>万元），实际支出</w:t>
      </w:r>
      <w:r>
        <w:rPr>
          <w:rFonts w:ascii="仿宋_GB2312" w:eastAsia="仿宋_GB2312" w:cs="DengXian-Regular"/>
          <w:sz w:val="32"/>
          <w:szCs w:val="32"/>
        </w:rPr>
        <w:t>13.67</w:t>
      </w:r>
      <w:r>
        <w:rPr>
          <w:rFonts w:hint="eastAsia" w:ascii="仿宋_GB2312" w:eastAsia="仿宋_GB2312" w:cs="DengXian-Regular"/>
          <w:sz w:val="32"/>
          <w:szCs w:val="32"/>
        </w:rPr>
        <w:t>万元（公务用车运行维护费1</w:t>
      </w:r>
      <w:r>
        <w:rPr>
          <w:rFonts w:ascii="仿宋_GB2312" w:eastAsia="仿宋_GB2312" w:cs="DengXian-Regular"/>
          <w:sz w:val="32"/>
          <w:szCs w:val="32"/>
        </w:rPr>
        <w:t>2.088</w:t>
      </w:r>
      <w:r>
        <w:rPr>
          <w:rFonts w:hint="eastAsia" w:ascii="仿宋_GB2312" w:eastAsia="仿宋_GB2312" w:cs="DengXian-Regular"/>
          <w:sz w:val="32"/>
          <w:szCs w:val="32"/>
        </w:rPr>
        <w:t>万元，公务接待费</w:t>
      </w:r>
      <w:r>
        <w:rPr>
          <w:rFonts w:ascii="仿宋_GB2312" w:eastAsia="仿宋_GB2312" w:cs="DengXian-Regular"/>
          <w:sz w:val="32"/>
          <w:szCs w:val="32"/>
        </w:rPr>
        <w:t>1.59</w:t>
      </w:r>
      <w:r>
        <w:rPr>
          <w:rFonts w:hint="eastAsia" w:ascii="仿宋_GB2312" w:eastAsia="仿宋_GB2312" w:cs="DengXian-Regular"/>
          <w:sz w:val="32"/>
          <w:szCs w:val="32"/>
        </w:rPr>
        <w:t>万元），比预算减少</w:t>
      </w:r>
      <w:r>
        <w:rPr>
          <w:rFonts w:ascii="仿宋_GB2312" w:eastAsia="仿宋_GB2312" w:cs="DengXian-Regular"/>
          <w:sz w:val="32"/>
          <w:szCs w:val="32"/>
        </w:rPr>
        <w:t>0.42</w:t>
      </w:r>
      <w:r>
        <w:rPr>
          <w:rFonts w:hint="eastAsia" w:ascii="仿宋_GB2312" w:eastAsia="仿宋_GB2312" w:cs="DengXian-Regular"/>
          <w:sz w:val="32"/>
          <w:szCs w:val="32"/>
        </w:rPr>
        <w:t>万元，节约率</w:t>
      </w:r>
      <w:r>
        <w:rPr>
          <w:rFonts w:ascii="仿宋_GB2312" w:eastAsia="仿宋_GB2312" w:cs="DengXian-Regular"/>
          <w:sz w:val="32"/>
          <w:szCs w:val="32"/>
        </w:rPr>
        <w:t>0.03</w:t>
      </w:r>
      <w:r>
        <w:rPr>
          <w:rFonts w:hint="eastAsia" w:ascii="仿宋_GB2312" w:eastAsia="仿宋_GB2312" w:cs="DengXian-Regular"/>
          <w:sz w:val="32"/>
          <w:szCs w:val="32"/>
        </w:rPr>
        <w:t>%。2022年“三公”经费预算数与</w:t>
      </w:r>
      <w:r>
        <w:rPr>
          <w:rFonts w:ascii="仿宋_GB2312" w:eastAsia="仿宋_GB2312" w:cs="DengXian-Regular"/>
          <w:sz w:val="32"/>
          <w:szCs w:val="32"/>
        </w:rPr>
        <w:t>2021</w:t>
      </w:r>
      <w:r>
        <w:rPr>
          <w:rFonts w:hint="eastAsia" w:ascii="仿宋_GB2312" w:eastAsia="仿宋_GB2312" w:cs="DengXian-Regular"/>
          <w:sz w:val="32"/>
          <w:szCs w:val="32"/>
        </w:rPr>
        <w:t>年预算数相比无变化，决算数与</w:t>
      </w:r>
      <w:r>
        <w:rPr>
          <w:rFonts w:ascii="仿宋_GB2312" w:eastAsia="仿宋_GB2312" w:cs="DengXian-Regular"/>
          <w:sz w:val="32"/>
          <w:szCs w:val="32"/>
        </w:rPr>
        <w:t>2021</w:t>
      </w:r>
      <w:r>
        <w:rPr>
          <w:rFonts w:hint="eastAsia" w:ascii="仿宋_GB2312" w:eastAsia="仿宋_GB2312" w:cs="DengXian-Regular"/>
          <w:sz w:val="32"/>
          <w:szCs w:val="32"/>
        </w:rPr>
        <w:t>年实际支出相比，减少</w:t>
      </w:r>
      <w:r>
        <w:rPr>
          <w:rFonts w:ascii="仿宋_GB2312" w:eastAsia="仿宋_GB2312" w:cs="DengXian-Regular"/>
          <w:sz w:val="32"/>
          <w:szCs w:val="32"/>
        </w:rPr>
        <w:t>3.47</w:t>
      </w:r>
      <w:r>
        <w:rPr>
          <w:rFonts w:hint="eastAsia" w:ascii="仿宋_GB2312" w:eastAsia="仿宋_GB2312" w:cs="DengXian-Regular"/>
          <w:sz w:val="32"/>
          <w:szCs w:val="32"/>
        </w:rPr>
        <w:t>万元。具体详见表1。</w:t>
      </w:r>
    </w:p>
    <w:p w14:paraId="6AC08D76">
      <w:pPr>
        <w:spacing w:after="0" w:line="360" w:lineRule="auto"/>
        <w:ind w:firstLine="643" w:firstLineChars="200"/>
        <w:jc w:val="both"/>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表1  留村镇政府“三公”经费预算及决算明细表</w:t>
      </w:r>
    </w:p>
    <w:p w14:paraId="6E3F53A8">
      <w:pPr>
        <w:spacing w:after="0" w:line="540" w:lineRule="exact"/>
        <w:ind w:firstLine="640" w:firstLineChars="200"/>
        <w:jc w:val="both"/>
        <w:rPr>
          <w:rFonts w:asciiTheme="minorEastAsia" w:hAnsiTheme="minorEastAsia" w:eastAsiaTheme="minorEastAsia" w:cstheme="minorEastAsia"/>
          <w:sz w:val="21"/>
          <w:szCs w:val="21"/>
        </w:rPr>
      </w:pPr>
      <w:r>
        <w:rPr>
          <w:rFonts w:hint="eastAsia" w:ascii="仿宋_GB2312" w:eastAsia="仿宋_GB2312" w:cs="DengXian-Regular"/>
          <w:sz w:val="32"/>
          <w:szCs w:val="32"/>
        </w:rPr>
        <w:t xml:space="preserve">                                         </w:t>
      </w:r>
      <w:r>
        <w:rPr>
          <w:rFonts w:hint="eastAsia" w:asciiTheme="minorEastAsia" w:hAnsiTheme="minorEastAsia" w:eastAsiaTheme="minorEastAsia" w:cstheme="minorEastAsia"/>
          <w:sz w:val="21"/>
          <w:szCs w:val="21"/>
        </w:rPr>
        <w:t>单位：万元</w:t>
      </w:r>
    </w:p>
    <w:tbl>
      <w:tblPr>
        <w:tblStyle w:val="23"/>
        <w:tblW w:w="8565" w:type="dxa"/>
        <w:tblInd w:w="0" w:type="dxa"/>
        <w:tblLayout w:type="fixed"/>
        <w:tblCellMar>
          <w:top w:w="0" w:type="dxa"/>
          <w:left w:w="0" w:type="dxa"/>
          <w:bottom w:w="0" w:type="dxa"/>
          <w:right w:w="0" w:type="dxa"/>
        </w:tblCellMar>
      </w:tblPr>
      <w:tblGrid>
        <w:gridCol w:w="549"/>
        <w:gridCol w:w="1818"/>
        <w:gridCol w:w="993"/>
        <w:gridCol w:w="932"/>
        <w:gridCol w:w="1022"/>
        <w:gridCol w:w="947"/>
        <w:gridCol w:w="1149"/>
        <w:gridCol w:w="1155"/>
      </w:tblGrid>
      <w:tr w14:paraId="48FF7835">
        <w:tblPrEx>
          <w:tblCellMar>
            <w:top w:w="0" w:type="dxa"/>
            <w:left w:w="0" w:type="dxa"/>
            <w:bottom w:w="0" w:type="dxa"/>
            <w:right w:w="0" w:type="dxa"/>
          </w:tblCellMar>
        </w:tblPrEx>
        <w:trPr>
          <w:trHeight w:val="454" w:hRule="atLeast"/>
        </w:trPr>
        <w:tc>
          <w:tcPr>
            <w:tcW w:w="549"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17E490">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181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662769">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支出内容</w:t>
            </w:r>
          </w:p>
        </w:tc>
        <w:tc>
          <w:tcPr>
            <w:tcW w:w="192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D9A863">
            <w:pPr>
              <w:spacing w:after="0"/>
              <w:ind w:firstLine="422" w:firstLineChars="200"/>
              <w:jc w:val="center"/>
              <w:textAlignment w:val="center"/>
              <w:rPr>
                <w:rFonts w:ascii="宋体" w:hAnsi="宋体" w:eastAsia="宋体" w:cs="宋体"/>
                <w:b/>
                <w:bCs/>
                <w:color w:val="000000"/>
                <w:sz w:val="21"/>
                <w:szCs w:val="21"/>
              </w:rPr>
            </w:pPr>
            <w:r>
              <w:rPr>
                <w:rFonts w:ascii="宋体" w:hAnsi="宋体" w:eastAsia="宋体" w:cs="宋体"/>
                <w:b/>
                <w:bCs/>
                <w:color w:val="000000"/>
                <w:sz w:val="21"/>
                <w:szCs w:val="21"/>
              </w:rPr>
              <w:t>2021</w:t>
            </w:r>
            <w:r>
              <w:rPr>
                <w:rFonts w:hint="eastAsia" w:ascii="宋体" w:hAnsi="宋体" w:eastAsia="宋体" w:cs="宋体"/>
                <w:b/>
                <w:bCs/>
                <w:color w:val="000000"/>
                <w:sz w:val="21"/>
                <w:szCs w:val="21"/>
              </w:rPr>
              <w:t>年</w:t>
            </w:r>
          </w:p>
        </w:tc>
        <w:tc>
          <w:tcPr>
            <w:tcW w:w="1969" w:type="dxa"/>
            <w:gridSpan w:val="2"/>
            <w:tcBorders>
              <w:top w:val="single" w:color="000000" w:sz="4" w:space="0"/>
              <w:left w:val="single" w:color="auto" w:sz="4" w:space="0"/>
              <w:bottom w:val="single" w:color="000000" w:sz="4" w:space="0"/>
              <w:right w:val="nil"/>
            </w:tcBorders>
            <w:shd w:val="clear" w:color="auto" w:fill="auto"/>
            <w:tcMar>
              <w:top w:w="15" w:type="dxa"/>
              <w:left w:w="15" w:type="dxa"/>
              <w:right w:w="15" w:type="dxa"/>
            </w:tcMar>
            <w:vAlign w:val="center"/>
          </w:tcPr>
          <w:p w14:paraId="694D7E34">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2022年</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32EFE">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环比情况</w:t>
            </w:r>
          </w:p>
        </w:tc>
      </w:tr>
      <w:tr w14:paraId="7C4C9D7A">
        <w:tblPrEx>
          <w:tblCellMar>
            <w:top w:w="0" w:type="dxa"/>
            <w:left w:w="0" w:type="dxa"/>
            <w:bottom w:w="0" w:type="dxa"/>
            <w:right w:w="0" w:type="dxa"/>
          </w:tblCellMar>
        </w:tblPrEx>
        <w:trPr>
          <w:trHeight w:val="454" w:hRule="atLeast"/>
        </w:trPr>
        <w:tc>
          <w:tcPr>
            <w:tcW w:w="549"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FC4747">
            <w:pPr>
              <w:spacing w:after="0"/>
              <w:ind w:firstLine="422" w:firstLineChars="200"/>
              <w:jc w:val="center"/>
              <w:rPr>
                <w:rFonts w:ascii="宋体" w:hAnsi="宋体" w:eastAsia="宋体" w:cs="宋体"/>
                <w:b/>
                <w:bCs/>
                <w:color w:val="000000"/>
                <w:sz w:val="21"/>
                <w:szCs w:val="21"/>
              </w:rPr>
            </w:pPr>
          </w:p>
        </w:tc>
        <w:tc>
          <w:tcPr>
            <w:tcW w:w="18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BAF164">
            <w:pPr>
              <w:spacing w:after="0"/>
              <w:ind w:firstLine="422" w:firstLineChars="200"/>
              <w:jc w:val="center"/>
              <w:rPr>
                <w:rFonts w:ascii="宋体" w:hAnsi="宋体" w:eastAsia="宋体" w:cs="宋体"/>
                <w:b/>
                <w:bCs/>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CE0A3B">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32"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56463549">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02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C3195CA">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4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ADE0DE6">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14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E1588C1">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较上年预算增减金额</w:t>
            </w:r>
          </w:p>
        </w:tc>
        <w:tc>
          <w:tcPr>
            <w:tcW w:w="11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13E2239">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较上年支出增减金额</w:t>
            </w:r>
          </w:p>
        </w:tc>
      </w:tr>
      <w:tr w14:paraId="4E7A3211">
        <w:tblPrEx>
          <w:tblCellMar>
            <w:top w:w="0" w:type="dxa"/>
            <w:left w:w="0" w:type="dxa"/>
            <w:bottom w:w="0" w:type="dxa"/>
            <w:right w:w="0" w:type="dxa"/>
          </w:tblCellMar>
        </w:tblPrEx>
        <w:trPr>
          <w:trHeight w:val="454" w:hRule="atLeast"/>
        </w:trPr>
        <w:tc>
          <w:tcPr>
            <w:tcW w:w="54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9F450">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1818" w:type="dxa"/>
            <w:tcBorders>
              <w:top w:val="single" w:color="auto" w:sz="4" w:space="0"/>
              <w:left w:val="single" w:color="000000" w:sz="4" w:space="0"/>
              <w:bottom w:val="single" w:color="000000" w:sz="4" w:space="0"/>
              <w:right w:val="nil"/>
            </w:tcBorders>
            <w:shd w:val="clear" w:color="auto" w:fill="auto"/>
            <w:tcMar>
              <w:top w:w="15" w:type="dxa"/>
              <w:left w:w="15" w:type="dxa"/>
              <w:right w:w="15" w:type="dxa"/>
            </w:tcMar>
            <w:vAlign w:val="center"/>
          </w:tcPr>
          <w:p w14:paraId="28723A7F">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因公出国（境）费</w:t>
            </w:r>
          </w:p>
        </w:tc>
        <w:tc>
          <w:tcPr>
            <w:tcW w:w="99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EF597">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31CE5">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F6584">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A3D6A77">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2B03985">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14C310A">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r>
      <w:tr w14:paraId="4900D24E">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208E4">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BE5D701">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公务用车购置及运维费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40412">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r>
              <w:rPr>
                <w:rFonts w:asciiTheme="minorEastAsia" w:hAnsiTheme="minorEastAsia" w:eastAsiaTheme="minorEastAsia" w:cstheme="minorEastAsia"/>
                <w:color w:val="000000"/>
                <w:sz w:val="21"/>
                <w:szCs w:val="21"/>
              </w:rPr>
              <w:t>0.5</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7D2CC">
            <w:pPr>
              <w:spacing w:after="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12.87</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86670">
            <w:pPr>
              <w:spacing w:after="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12.15</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95FAB">
            <w:pPr>
              <w:spacing w:after="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12.088</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5636781">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8.35</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B6D1BA0">
            <w:pPr>
              <w:spacing w:after="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0.782</w:t>
            </w:r>
          </w:p>
        </w:tc>
      </w:tr>
      <w:tr w14:paraId="4C71E2EB">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A4DC9">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1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4AC68">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公务接待费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7B8C8">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A404A">
            <w:pPr>
              <w:spacing w:after="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4.27</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CDF49">
            <w:pPr>
              <w:spacing w:after="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1.94</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24BDA">
            <w:pPr>
              <w:spacing w:after="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1.59</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0828B55">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3.06</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FFDA5A1">
            <w:pPr>
              <w:spacing w:after="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2.68</w:t>
            </w:r>
          </w:p>
        </w:tc>
      </w:tr>
      <w:tr w14:paraId="3C1B4BC7">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0BA3E">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02E9F9C">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合计</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BCD10">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r>
              <w:rPr>
                <w:rFonts w:asciiTheme="minorEastAsia" w:hAnsiTheme="minorEastAsia" w:eastAsiaTheme="minorEastAsia" w:cstheme="minorEastAsia"/>
                <w:color w:val="000000"/>
                <w:sz w:val="21"/>
                <w:szCs w:val="21"/>
              </w:rPr>
              <w:t>5.5</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3D116">
            <w:pPr>
              <w:spacing w:after="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17.14</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F6F8F">
            <w:pPr>
              <w:spacing w:after="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14.09</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88C4725">
            <w:pPr>
              <w:spacing w:after="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13.67</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FA84CD3">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11.51</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6CD15CA">
            <w:pPr>
              <w:spacing w:after="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3.47</w:t>
            </w:r>
          </w:p>
        </w:tc>
      </w:tr>
    </w:tbl>
    <w:p w14:paraId="15D93DB1">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1、公务用车：2022年底留村镇政府车辆合计</w:t>
      </w:r>
      <w:r>
        <w:rPr>
          <w:rFonts w:ascii="仿宋_GB2312" w:eastAsia="仿宋_GB2312" w:cs="DengXian-Regular"/>
          <w:sz w:val="32"/>
          <w:szCs w:val="32"/>
        </w:rPr>
        <w:t>5</w:t>
      </w:r>
      <w:r>
        <w:rPr>
          <w:rFonts w:hint="eastAsia" w:ascii="仿宋_GB2312" w:eastAsia="仿宋_GB2312" w:cs="DengXian-Regular"/>
          <w:sz w:val="32"/>
          <w:szCs w:val="32"/>
        </w:rPr>
        <w:t>辆，其中其他用车</w:t>
      </w:r>
      <w:r>
        <w:rPr>
          <w:rFonts w:ascii="仿宋_GB2312" w:eastAsia="仿宋_GB2312" w:cs="DengXian-Regular"/>
          <w:sz w:val="32"/>
          <w:szCs w:val="32"/>
        </w:rPr>
        <w:t>5</w:t>
      </w:r>
      <w:r>
        <w:rPr>
          <w:rFonts w:hint="eastAsia" w:ascii="仿宋_GB2312" w:eastAsia="仿宋_GB2312" w:cs="DengXian-Regular"/>
          <w:sz w:val="32"/>
          <w:szCs w:val="32"/>
        </w:rPr>
        <w:t>辆。2022年公务用车购置及运维费年初预算</w:t>
      </w:r>
      <w:r>
        <w:rPr>
          <w:rFonts w:ascii="仿宋_GB2312" w:eastAsia="仿宋_GB2312" w:cs="DengXian-Regular"/>
          <w:sz w:val="32"/>
          <w:szCs w:val="32"/>
        </w:rPr>
        <w:t>20.5</w:t>
      </w:r>
      <w:r>
        <w:rPr>
          <w:rFonts w:hint="eastAsia" w:ascii="仿宋_GB2312" w:eastAsia="仿宋_GB2312" w:cs="DengXian-Regular"/>
          <w:sz w:val="32"/>
          <w:szCs w:val="32"/>
        </w:rPr>
        <w:t>万元，全部为公务用车运行维护费，实际支出</w:t>
      </w:r>
      <w:r>
        <w:rPr>
          <w:rFonts w:ascii="仿宋_GB2312" w:eastAsia="仿宋_GB2312" w:cs="DengXian-Regular"/>
          <w:sz w:val="32"/>
          <w:szCs w:val="32"/>
        </w:rPr>
        <w:t>12.87</w:t>
      </w:r>
      <w:r>
        <w:rPr>
          <w:rFonts w:hint="eastAsia" w:ascii="仿宋_GB2312" w:eastAsia="仿宋_GB2312" w:cs="DengXian-Regular"/>
          <w:sz w:val="32"/>
          <w:szCs w:val="32"/>
        </w:rPr>
        <w:t>万元，比预算减少</w:t>
      </w:r>
      <w:r>
        <w:rPr>
          <w:rFonts w:ascii="仿宋_GB2312" w:eastAsia="仿宋_GB2312" w:cs="DengXian-Regular"/>
          <w:sz w:val="32"/>
          <w:szCs w:val="32"/>
        </w:rPr>
        <w:t>7.63</w:t>
      </w:r>
      <w:r>
        <w:rPr>
          <w:rFonts w:hint="eastAsia" w:ascii="仿宋_GB2312" w:eastAsia="仿宋_GB2312" w:cs="DengXian-Regular"/>
          <w:sz w:val="32"/>
          <w:szCs w:val="32"/>
        </w:rPr>
        <w:t>万元，节约率</w:t>
      </w:r>
      <w:r>
        <w:rPr>
          <w:rFonts w:ascii="仿宋_GB2312" w:eastAsia="仿宋_GB2312" w:cs="DengXian-Regular"/>
          <w:sz w:val="32"/>
          <w:szCs w:val="32"/>
        </w:rPr>
        <w:t>37.21</w:t>
      </w:r>
      <w:r>
        <w:rPr>
          <w:rFonts w:hint="eastAsia" w:ascii="仿宋_GB2312" w:eastAsia="仿宋_GB2312" w:cs="DengXian-Regular"/>
          <w:sz w:val="32"/>
          <w:szCs w:val="32"/>
        </w:rPr>
        <w:t>%。2022年预算数与</w:t>
      </w:r>
      <w:r>
        <w:rPr>
          <w:rFonts w:ascii="仿宋_GB2312" w:eastAsia="仿宋_GB2312" w:cs="DengXian-Regular"/>
          <w:sz w:val="32"/>
          <w:szCs w:val="32"/>
        </w:rPr>
        <w:t>2020</w:t>
      </w:r>
      <w:r>
        <w:rPr>
          <w:rFonts w:hint="eastAsia" w:ascii="仿宋_GB2312" w:eastAsia="仿宋_GB2312" w:cs="DengXian-Regular"/>
          <w:sz w:val="32"/>
          <w:szCs w:val="32"/>
        </w:rPr>
        <w:t>年预算相比无变化，决算数与</w:t>
      </w:r>
      <w:r>
        <w:rPr>
          <w:rFonts w:ascii="仿宋_GB2312" w:eastAsia="仿宋_GB2312" w:cs="DengXian-Regular"/>
          <w:sz w:val="32"/>
          <w:szCs w:val="32"/>
        </w:rPr>
        <w:t>2020</w:t>
      </w:r>
      <w:r>
        <w:rPr>
          <w:rFonts w:hint="eastAsia" w:ascii="仿宋_GB2312" w:eastAsia="仿宋_GB2312" w:cs="DengXian-Regular"/>
          <w:sz w:val="32"/>
          <w:szCs w:val="32"/>
        </w:rPr>
        <w:t>年实际支出相比，增加</w:t>
      </w:r>
      <w:r>
        <w:rPr>
          <w:rFonts w:ascii="仿宋_GB2312" w:eastAsia="仿宋_GB2312" w:cs="DengXian-Regular"/>
          <w:sz w:val="32"/>
          <w:szCs w:val="32"/>
        </w:rPr>
        <w:t>2.85</w:t>
      </w:r>
      <w:r>
        <w:rPr>
          <w:rFonts w:hint="eastAsia" w:ascii="仿宋_GB2312" w:eastAsia="仿宋_GB2312" w:cs="DengXian-Regular"/>
          <w:sz w:val="32"/>
          <w:szCs w:val="32"/>
        </w:rPr>
        <w:t>万元。</w:t>
      </w:r>
    </w:p>
    <w:p w14:paraId="38534249">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2、公务接待：2022年留村镇政府公务接待费年初预算</w:t>
      </w:r>
      <w:r>
        <w:rPr>
          <w:rFonts w:ascii="仿宋_GB2312" w:eastAsia="仿宋_GB2312" w:cs="DengXian-Regular"/>
          <w:sz w:val="32"/>
          <w:szCs w:val="32"/>
        </w:rPr>
        <w:t>1.94</w:t>
      </w:r>
      <w:r>
        <w:rPr>
          <w:rFonts w:hint="eastAsia" w:ascii="仿宋_GB2312" w:eastAsia="仿宋_GB2312" w:cs="DengXian-Regular"/>
          <w:sz w:val="32"/>
          <w:szCs w:val="32"/>
        </w:rPr>
        <w:t>万元，实际支出</w:t>
      </w:r>
      <w:r>
        <w:rPr>
          <w:rFonts w:ascii="仿宋_GB2312" w:eastAsia="仿宋_GB2312" w:cs="DengXian-Regular"/>
          <w:sz w:val="32"/>
          <w:szCs w:val="32"/>
        </w:rPr>
        <w:t>1.59</w:t>
      </w:r>
      <w:r>
        <w:rPr>
          <w:rFonts w:hint="eastAsia" w:ascii="仿宋_GB2312" w:eastAsia="仿宋_GB2312" w:cs="DengXian-Regular"/>
          <w:sz w:val="32"/>
          <w:szCs w:val="32"/>
        </w:rPr>
        <w:t>万元，比预算减少了</w:t>
      </w:r>
      <w:r>
        <w:rPr>
          <w:rFonts w:ascii="仿宋_GB2312" w:eastAsia="仿宋_GB2312" w:cs="DengXian-Regular"/>
          <w:sz w:val="32"/>
          <w:szCs w:val="32"/>
        </w:rPr>
        <w:t>0.35</w:t>
      </w:r>
      <w:r>
        <w:rPr>
          <w:rFonts w:hint="eastAsia" w:ascii="仿宋_GB2312" w:eastAsia="仿宋_GB2312" w:cs="DengXian-Regular"/>
          <w:sz w:val="32"/>
          <w:szCs w:val="32"/>
        </w:rPr>
        <w:t>万元，节约率</w:t>
      </w:r>
      <w:r>
        <w:rPr>
          <w:rFonts w:ascii="仿宋_GB2312" w:eastAsia="仿宋_GB2312" w:cs="DengXian-Regular"/>
          <w:sz w:val="32"/>
          <w:szCs w:val="32"/>
        </w:rPr>
        <w:t>18.04</w:t>
      </w:r>
      <w:r>
        <w:rPr>
          <w:rFonts w:hint="eastAsia" w:ascii="仿宋_GB2312" w:eastAsia="仿宋_GB2312" w:cs="DengXian-Regular"/>
          <w:sz w:val="32"/>
          <w:szCs w:val="32"/>
        </w:rPr>
        <w:t>%。2022年预算数与</w:t>
      </w:r>
      <w:r>
        <w:rPr>
          <w:rFonts w:ascii="仿宋_GB2312" w:eastAsia="仿宋_GB2312" w:cs="DengXian-Regular"/>
          <w:sz w:val="32"/>
          <w:szCs w:val="32"/>
        </w:rPr>
        <w:t>2021</w:t>
      </w:r>
      <w:r>
        <w:rPr>
          <w:rFonts w:hint="eastAsia" w:ascii="仿宋_GB2312" w:eastAsia="仿宋_GB2312" w:cs="DengXian-Regular"/>
          <w:sz w:val="32"/>
          <w:szCs w:val="32"/>
        </w:rPr>
        <w:t>年预算相比减少，决算数与</w:t>
      </w:r>
      <w:r>
        <w:rPr>
          <w:rFonts w:ascii="仿宋_GB2312" w:eastAsia="仿宋_GB2312" w:cs="DengXian-Regular"/>
          <w:sz w:val="32"/>
          <w:szCs w:val="32"/>
        </w:rPr>
        <w:t>2021</w:t>
      </w:r>
      <w:r>
        <w:rPr>
          <w:rFonts w:hint="eastAsia" w:ascii="仿宋_GB2312" w:eastAsia="仿宋_GB2312" w:cs="DengXian-Regular"/>
          <w:sz w:val="32"/>
          <w:szCs w:val="32"/>
        </w:rPr>
        <w:t>年实际支出相比，减少3</w:t>
      </w:r>
      <w:r>
        <w:rPr>
          <w:rFonts w:ascii="仿宋_GB2312" w:eastAsia="仿宋_GB2312" w:cs="DengXian-Regular"/>
          <w:sz w:val="32"/>
          <w:szCs w:val="32"/>
        </w:rPr>
        <w:t>.47</w:t>
      </w:r>
      <w:r>
        <w:rPr>
          <w:rFonts w:hint="eastAsia" w:ascii="仿宋_GB2312" w:eastAsia="仿宋_GB2312" w:cs="DengXian-Regular"/>
          <w:sz w:val="32"/>
          <w:szCs w:val="32"/>
        </w:rPr>
        <w:t>万元。</w:t>
      </w:r>
    </w:p>
    <w:p w14:paraId="6CFBA655">
      <w:pPr>
        <w:pStyle w:val="3"/>
        <w:spacing w:before="0" w:after="0" w:line="360" w:lineRule="auto"/>
        <w:ind w:firstLine="643" w:firstLineChars="200"/>
        <w:rPr>
          <w:rFonts w:ascii="黑体" w:hAnsiTheme="minorEastAsia"/>
          <w:u w:color="000000"/>
        </w:rPr>
      </w:pPr>
      <w:bookmarkStart w:id="16" w:name="_Toc492652770"/>
      <w:bookmarkStart w:id="17" w:name="_Toc20454"/>
      <w:bookmarkStart w:id="18" w:name="_Toc465149504"/>
      <w:r>
        <w:rPr>
          <w:rFonts w:hint="eastAsia" w:ascii="黑体"/>
        </w:rPr>
        <w:t>二、部门整体支出绩效评价指标体系设定情况</w:t>
      </w:r>
      <w:bookmarkEnd w:id="16"/>
      <w:bookmarkEnd w:id="17"/>
    </w:p>
    <w:p w14:paraId="2DA48203">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根据绩效预算管理改革的有关政策和文件规定，绩效评价工作组以绩效预算架构为指导，以部门预算文本及相关资料为基础，制定了部门整体支出绩效评价指标体系。</w:t>
      </w:r>
    </w:p>
    <w:p w14:paraId="22FF77E9">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部门整体支出绩效评价指标体系设置一级指标</w:t>
      </w:r>
      <w:r>
        <w:rPr>
          <w:rFonts w:ascii="仿宋_GB2312" w:eastAsia="仿宋_GB2312" w:cs="DengXian-Regular"/>
          <w:sz w:val="32"/>
          <w:szCs w:val="32"/>
        </w:rPr>
        <w:t>0</w:t>
      </w:r>
      <w:r>
        <w:rPr>
          <w:rFonts w:hint="eastAsia" w:ascii="仿宋_GB2312" w:eastAsia="仿宋_GB2312" w:cs="DengXian-Regular"/>
          <w:sz w:val="32"/>
          <w:szCs w:val="32"/>
        </w:rPr>
        <w:t>个，二级指标</w:t>
      </w:r>
      <w:r>
        <w:rPr>
          <w:rFonts w:ascii="仿宋_GB2312" w:eastAsia="仿宋_GB2312" w:cs="DengXian-Regular"/>
          <w:sz w:val="32"/>
          <w:szCs w:val="32"/>
        </w:rPr>
        <w:t>35</w:t>
      </w:r>
      <w:r>
        <w:rPr>
          <w:rFonts w:hint="eastAsia" w:ascii="仿宋_GB2312" w:eastAsia="仿宋_GB2312" w:cs="DengXian-Regular"/>
          <w:sz w:val="32"/>
          <w:szCs w:val="32"/>
        </w:rPr>
        <w:t>个，三级指标</w:t>
      </w:r>
      <w:r>
        <w:rPr>
          <w:rFonts w:ascii="仿宋_GB2312" w:eastAsia="仿宋_GB2312" w:cs="DengXian-Regular"/>
          <w:sz w:val="32"/>
          <w:szCs w:val="32"/>
        </w:rPr>
        <w:t>0</w:t>
      </w:r>
      <w:r>
        <w:rPr>
          <w:rFonts w:hint="eastAsia" w:ascii="仿宋_GB2312" w:eastAsia="仿宋_GB2312" w:cs="DengXian-Regular"/>
          <w:sz w:val="32"/>
          <w:szCs w:val="32"/>
        </w:rPr>
        <w:t>个（详见附件3）。指标体系设定满分100分，绩效评价分值≥90为“优”；80≤分值＜90为“良”；60≤分值＜80为“中”；60分以下为“差”。评价指标体系具体构成如下：</w:t>
      </w:r>
      <w:bookmarkStart w:id="19" w:name="_Toc9569"/>
      <w:bookmarkStart w:id="20" w:name="_Toc492652771"/>
    </w:p>
    <w:p w14:paraId="44698FEA">
      <w:pPr>
        <w:spacing w:after="0" w:line="360" w:lineRule="auto"/>
        <w:ind w:firstLine="643" w:firstLineChars="200"/>
        <w:jc w:val="both"/>
        <w:rPr>
          <w:rFonts w:ascii="楷体_GB2312" w:eastAsia="楷体_GB2312" w:cs="Times New Roman" w:hAnsiTheme="minorEastAsia"/>
          <w:b/>
          <w:bCs/>
          <w:kern w:val="2"/>
          <w:sz w:val="32"/>
          <w:szCs w:val="32"/>
          <w:u w:color="000000"/>
        </w:rPr>
      </w:pPr>
      <w:r>
        <w:rPr>
          <w:rFonts w:hint="eastAsia" w:ascii="楷体_GB2312" w:eastAsia="楷体_GB2312" w:cs="Times New Roman" w:hAnsiTheme="minorEastAsia"/>
          <w:b/>
          <w:bCs/>
          <w:kern w:val="2"/>
          <w:sz w:val="32"/>
          <w:szCs w:val="32"/>
          <w:u w:color="000000"/>
        </w:rPr>
        <w:t>（一）投入（12分）</w:t>
      </w:r>
      <w:bookmarkEnd w:id="19"/>
      <w:bookmarkEnd w:id="20"/>
    </w:p>
    <w:p w14:paraId="70A9FB9B">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主要反映绩效目标设定是否合理、科学，绩效指标的制定是否清晰、可衡量，预算编制是否完整，项目预算是否细化及在职人员控制情况。</w:t>
      </w:r>
    </w:p>
    <w:p w14:paraId="3585CB74">
      <w:pPr>
        <w:keepNext/>
        <w:widowControl w:val="0"/>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投入指标指标分值为12分，下设2个二级指标：绩效目标设定和预算配置，6个三级指标：绩效目标合理性、绩效目标科学性、绩效指标明确性、预算编制完整性、项目预算细化率、在职人员控制率。</w:t>
      </w:r>
    </w:p>
    <w:p w14:paraId="75BBFFB0">
      <w:pPr>
        <w:pStyle w:val="4"/>
        <w:spacing w:before="0" w:after="0"/>
        <w:ind w:firstLine="643" w:firstLineChars="200"/>
        <w:jc w:val="both"/>
        <w:rPr>
          <w:rFonts w:ascii="楷体" w:hAnsi="楷体" w:eastAsia="楷体"/>
          <w:sz w:val="32"/>
        </w:rPr>
      </w:pPr>
      <w:bookmarkStart w:id="21" w:name="_Toc30221"/>
      <w:bookmarkStart w:id="22" w:name="_Toc492652772"/>
      <w:r>
        <w:rPr>
          <w:rFonts w:hint="eastAsia" w:ascii="楷体" w:hAnsi="楷体" w:eastAsia="楷体"/>
          <w:kern w:val="2"/>
          <w:sz w:val="32"/>
        </w:rPr>
        <w:t>（二）过程（48分）</w:t>
      </w:r>
      <w:bookmarkEnd w:id="21"/>
      <w:bookmarkEnd w:id="22"/>
    </w:p>
    <w:p w14:paraId="7221673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主要反映预算调整、收入及支出完成情况，“三公”经费、政府采购执行情况，财务管理是否规范、资金使用是否合规，决算真实性。</w:t>
      </w:r>
    </w:p>
    <w:p w14:paraId="79D4F13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过程指标指标分值为48分，下设3个二级指标：预算执行、预算管理和绩效评价，14个三级指标：预算收入调整率、收入完成率、预算支出调整率、财政拨款支出完成率、“三公”经费控制率、政府采购执行率、资金使用合规性、决算真实性、管理制度健全性、预决算信息公开性、基础信息完整性、资产管理规范性、绩效自评覆盖率、绩效评价优等率。</w:t>
      </w:r>
    </w:p>
    <w:p w14:paraId="6E85F21F">
      <w:pPr>
        <w:pStyle w:val="4"/>
        <w:spacing w:before="0" w:after="0"/>
        <w:ind w:firstLine="643" w:firstLineChars="200"/>
        <w:jc w:val="both"/>
        <w:rPr>
          <w:rFonts w:ascii="楷体" w:hAnsi="楷体" w:eastAsia="楷体"/>
          <w:kern w:val="2"/>
          <w:sz w:val="32"/>
        </w:rPr>
      </w:pPr>
      <w:bookmarkStart w:id="23" w:name="_Toc24932"/>
      <w:bookmarkStart w:id="24" w:name="_Toc492652773"/>
      <w:r>
        <w:rPr>
          <w:rFonts w:hint="eastAsia" w:ascii="楷体" w:hAnsi="楷体" w:eastAsia="楷体"/>
          <w:kern w:val="2"/>
          <w:sz w:val="32"/>
        </w:rPr>
        <w:t>（三）产出（25分）</w:t>
      </w:r>
      <w:bookmarkEnd w:id="23"/>
      <w:bookmarkEnd w:id="24"/>
    </w:p>
    <w:p w14:paraId="7801F76F">
      <w:pPr>
        <w:spacing w:after="0" w:line="360" w:lineRule="auto"/>
        <w:ind w:firstLine="640" w:firstLineChars="200"/>
        <w:jc w:val="both"/>
        <w:textAlignment w:val="baseline"/>
        <w:rPr>
          <w:rFonts w:ascii="仿宋_GB2312" w:eastAsia="仿宋_GB2312" w:cs="DengXian-Regular"/>
          <w:sz w:val="32"/>
          <w:szCs w:val="32"/>
        </w:rPr>
      </w:pPr>
      <w:bookmarkStart w:id="25" w:name="_Toc492652774"/>
      <w:r>
        <w:rPr>
          <w:rFonts w:hint="eastAsia" w:ascii="仿宋_GB2312" w:eastAsia="仿宋_GB2312" w:cs="DengXian-Regular"/>
          <w:sz w:val="32"/>
          <w:szCs w:val="32"/>
        </w:rPr>
        <w:t>主要反映结转结余率，项目资金使用率。</w:t>
      </w:r>
    </w:p>
    <w:p w14:paraId="472902C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产出指标指标分值为25分，下设1个二级指标：责任履行，5个三级指标：结转结余率、项目资金使用率。</w:t>
      </w:r>
    </w:p>
    <w:p w14:paraId="4B68D8DF">
      <w:pPr>
        <w:pStyle w:val="4"/>
        <w:spacing w:before="0" w:after="0"/>
        <w:ind w:firstLine="643" w:firstLineChars="200"/>
        <w:jc w:val="both"/>
        <w:rPr>
          <w:rFonts w:ascii="楷体_GB2312" w:eastAsia="楷体_GB2312" w:hAnsiTheme="minorEastAsia"/>
          <w:sz w:val="32"/>
        </w:rPr>
      </w:pPr>
      <w:bookmarkStart w:id="26" w:name="_Toc21821"/>
      <w:r>
        <w:rPr>
          <w:rFonts w:hint="eastAsia" w:ascii="楷体_GB2312" w:eastAsia="楷体_GB2312" w:hAnsiTheme="minorEastAsia"/>
          <w:kern w:val="2"/>
          <w:sz w:val="32"/>
        </w:rPr>
        <w:t>（四）效果（15分）</w:t>
      </w:r>
      <w:bookmarkEnd w:id="25"/>
      <w:bookmarkEnd w:id="26"/>
    </w:p>
    <w:p w14:paraId="19E9FA86">
      <w:pPr>
        <w:spacing w:after="0" w:line="360" w:lineRule="auto"/>
        <w:ind w:firstLine="640" w:firstLineChars="200"/>
        <w:jc w:val="both"/>
        <w:textAlignment w:val="baseline"/>
        <w:rPr>
          <w:rFonts w:ascii="仿宋_GB2312" w:eastAsia="仿宋_GB2312" w:cs="DengXian-Regular"/>
          <w:sz w:val="32"/>
          <w:szCs w:val="32"/>
        </w:rPr>
      </w:pPr>
      <w:bookmarkStart w:id="27" w:name="_Toc492652775"/>
      <w:r>
        <w:rPr>
          <w:rFonts w:hint="eastAsia" w:ascii="仿宋_GB2312" w:eastAsia="仿宋_GB2312" w:cs="DengXian-Regular"/>
          <w:sz w:val="32"/>
          <w:szCs w:val="32"/>
        </w:rPr>
        <w:t>主要反映部门履行职责对社会发展所带来的直接或间接效益及社会公众或部门的服务对象对部门履职效果的满意程度。</w:t>
      </w:r>
    </w:p>
    <w:p w14:paraId="38BA294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效果指标指标分值15分，下设1个二级指标：履职效率，2个三级指标：部门整体效益和考核满意度。</w:t>
      </w:r>
    </w:p>
    <w:p w14:paraId="5BAC1E99">
      <w:pPr>
        <w:pStyle w:val="3"/>
        <w:spacing w:before="0" w:after="0" w:line="360" w:lineRule="auto"/>
        <w:ind w:firstLine="643" w:firstLineChars="200"/>
        <w:rPr>
          <w:rFonts w:ascii="黑体"/>
        </w:rPr>
      </w:pPr>
      <w:bookmarkStart w:id="28" w:name="_Toc11842"/>
      <w:r>
        <w:rPr>
          <w:rFonts w:hint="eastAsia" w:ascii="黑体"/>
        </w:rPr>
        <w:t>三、综合绩效评价工作情况</w:t>
      </w:r>
      <w:bookmarkEnd w:id="18"/>
      <w:bookmarkEnd w:id="27"/>
      <w:bookmarkEnd w:id="28"/>
      <w:bookmarkStart w:id="29" w:name="_Toc465149505"/>
      <w:bookmarkStart w:id="30" w:name="_Toc492652776"/>
    </w:p>
    <w:p w14:paraId="76929D2C">
      <w:pPr>
        <w:pStyle w:val="4"/>
        <w:spacing w:before="0" w:after="0"/>
        <w:ind w:firstLine="643" w:firstLineChars="200"/>
        <w:jc w:val="both"/>
        <w:rPr>
          <w:rFonts w:ascii="楷体_GB2312" w:eastAsia="楷体_GB2312" w:hAnsiTheme="minorEastAsia"/>
          <w:sz w:val="32"/>
        </w:rPr>
      </w:pPr>
      <w:bookmarkStart w:id="31" w:name="_Toc17138"/>
      <w:r>
        <w:rPr>
          <w:rFonts w:hint="eastAsia" w:ascii="楷体_GB2312" w:eastAsia="楷体_GB2312" w:hAnsiTheme="minorEastAsia"/>
          <w:kern w:val="2"/>
          <w:sz w:val="32"/>
        </w:rPr>
        <w:t>（一）绩效评价目的</w:t>
      </w:r>
      <w:bookmarkEnd w:id="29"/>
      <w:bookmarkEnd w:id="30"/>
      <w:bookmarkEnd w:id="31"/>
    </w:p>
    <w:p w14:paraId="10765037">
      <w:pPr>
        <w:spacing w:after="0" w:line="360" w:lineRule="auto"/>
        <w:ind w:firstLine="640" w:firstLineChars="200"/>
        <w:jc w:val="both"/>
        <w:textAlignment w:val="baseline"/>
        <w:rPr>
          <w:rFonts w:ascii="仿宋_GB2312" w:eastAsia="仿宋_GB2312" w:cs="DengXian-Regular"/>
          <w:sz w:val="32"/>
          <w:szCs w:val="32"/>
        </w:rPr>
      </w:pPr>
      <w:bookmarkStart w:id="32" w:name="_Toc465149506"/>
      <w:bookmarkStart w:id="33" w:name="_Toc492652777"/>
      <w:r>
        <w:rPr>
          <w:rFonts w:hint="eastAsia" w:ascii="仿宋_GB2312" w:eastAsia="仿宋_GB2312" w:cs="DengXian-Regular"/>
          <w:sz w:val="32"/>
          <w:szCs w:val="32"/>
        </w:rPr>
        <w:t>通过对留村镇政府2022年部门整体支出绩效评价，了解部门整体资金预算情况、实际收支情况及结转结余情况；绩效目标和指标的设置及完成情况；部门履职对社会发展所带来的直接或间接影响及服务对象对部门履职效果的满意程度。</w:t>
      </w:r>
    </w:p>
    <w:p w14:paraId="3B8CE21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部门整体支出绩效评价工作促使相关部门根据绩效评价过程中发现的问题，及时整改并总结经验，提高部门管理水平，牢固树立预算绩效理念，强化部门支出责任，提高预算执行效率和财政资金使用效益。</w:t>
      </w:r>
    </w:p>
    <w:p w14:paraId="6460A20E">
      <w:pPr>
        <w:pStyle w:val="4"/>
        <w:spacing w:before="0" w:after="0"/>
        <w:ind w:firstLine="643" w:firstLineChars="200"/>
        <w:jc w:val="both"/>
        <w:rPr>
          <w:rFonts w:ascii="楷体_GB2312" w:eastAsia="楷体_GB2312" w:hAnsiTheme="minorEastAsia"/>
          <w:kern w:val="2"/>
          <w:sz w:val="32"/>
        </w:rPr>
      </w:pPr>
      <w:bookmarkStart w:id="34" w:name="_Toc11607"/>
      <w:r>
        <w:rPr>
          <w:rFonts w:hint="eastAsia" w:ascii="楷体_GB2312" w:eastAsia="楷体_GB2312" w:hAnsiTheme="minorEastAsia"/>
          <w:kern w:val="2"/>
          <w:sz w:val="32"/>
        </w:rPr>
        <w:t>（二）绩效评价依据</w:t>
      </w:r>
      <w:bookmarkEnd w:id="32"/>
      <w:bookmarkEnd w:id="33"/>
      <w:bookmarkEnd w:id="34"/>
    </w:p>
    <w:p w14:paraId="73CC5D97">
      <w:pPr>
        <w:spacing w:after="0" w:line="360" w:lineRule="auto"/>
        <w:ind w:firstLine="640" w:firstLineChars="200"/>
        <w:jc w:val="both"/>
        <w:textAlignment w:val="baseline"/>
        <w:rPr>
          <w:rFonts w:ascii="仿宋_GB2312" w:eastAsia="仿宋_GB2312" w:cs="DengXian-Regular"/>
          <w:sz w:val="32"/>
          <w:szCs w:val="32"/>
        </w:rPr>
      </w:pPr>
      <w:bookmarkStart w:id="35" w:name="_Toc465149507"/>
      <w:r>
        <w:rPr>
          <w:rFonts w:hint="eastAsia" w:ascii="仿宋_GB2312" w:eastAsia="仿宋_GB2312" w:cs="DengXian-Regular"/>
          <w:sz w:val="32"/>
          <w:szCs w:val="32"/>
        </w:rPr>
        <w:t>1.</w:t>
      </w:r>
      <w:r>
        <w:rPr>
          <w:rFonts w:ascii="仿宋_GB2312" w:eastAsia="仿宋_GB2312" w:cs="DengXian-Regular"/>
          <w:sz w:val="32"/>
          <w:szCs w:val="32"/>
        </w:rPr>
        <w:t>《中华人民共和国预算法》；</w:t>
      </w:r>
    </w:p>
    <w:p w14:paraId="3544D57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2.中共中央国务院《关于全面实施预算绩效管理的意见》（中发〔2018〕34号）；</w:t>
      </w:r>
    </w:p>
    <w:p w14:paraId="7E7203C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w:t>
      </w:r>
      <w:r>
        <w:rPr>
          <w:rFonts w:ascii="仿宋_GB2312" w:eastAsia="仿宋_GB2312" w:cs="DengXian-Regular"/>
          <w:sz w:val="32"/>
          <w:szCs w:val="32"/>
        </w:rPr>
        <w:t>《河北省财政支出绩效评价管理办法》（冀财预</w:t>
      </w:r>
      <w:r>
        <w:rPr>
          <w:rFonts w:hint="eastAsia" w:ascii="仿宋_GB2312" w:eastAsia="仿宋_GB2312" w:cs="DengXian-Regular"/>
          <w:sz w:val="32"/>
          <w:szCs w:val="32"/>
        </w:rPr>
        <w:t xml:space="preserve">〔2011〕68号）； </w:t>
      </w:r>
    </w:p>
    <w:p w14:paraId="07DB339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4.中共河北省委河北省人民政府</w:t>
      </w:r>
      <w:r>
        <w:rPr>
          <w:rFonts w:ascii="仿宋_GB2312" w:eastAsia="仿宋_GB2312" w:cs="DengXian-Regular"/>
          <w:sz w:val="32"/>
          <w:szCs w:val="32"/>
        </w:rPr>
        <w:t>《</w:t>
      </w:r>
      <w:r>
        <w:rPr>
          <w:rFonts w:hint="eastAsia" w:ascii="仿宋_GB2312" w:eastAsia="仿宋_GB2312" w:cs="DengXian-Regular"/>
          <w:sz w:val="32"/>
          <w:szCs w:val="32"/>
        </w:rPr>
        <w:t>关于全面实施预算绩效管理的实施意见</w:t>
      </w:r>
      <w:r>
        <w:rPr>
          <w:rFonts w:ascii="仿宋_GB2312" w:eastAsia="仿宋_GB2312" w:cs="DengXian-Regular"/>
          <w:sz w:val="32"/>
          <w:szCs w:val="32"/>
        </w:rPr>
        <w:t>》（冀</w:t>
      </w:r>
      <w:r>
        <w:rPr>
          <w:rFonts w:hint="eastAsia" w:ascii="仿宋_GB2312" w:eastAsia="仿宋_GB2312" w:cs="DengXian-Regular"/>
          <w:sz w:val="32"/>
          <w:szCs w:val="32"/>
        </w:rPr>
        <w:t>发〔2018〕54</w:t>
      </w:r>
      <w:r>
        <w:rPr>
          <w:rFonts w:ascii="仿宋_GB2312" w:eastAsia="仿宋_GB2312" w:cs="DengXian-Regular"/>
          <w:sz w:val="32"/>
          <w:szCs w:val="32"/>
        </w:rPr>
        <w:t>号）</w:t>
      </w:r>
      <w:r>
        <w:rPr>
          <w:rFonts w:hint="eastAsia" w:ascii="仿宋_GB2312" w:eastAsia="仿宋_GB2312" w:cs="DengXian-Regular"/>
          <w:sz w:val="32"/>
          <w:szCs w:val="32"/>
        </w:rPr>
        <w:t>；</w:t>
      </w:r>
    </w:p>
    <w:p w14:paraId="72778B8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5.保定市徐水区财政局《关于印发绩效评价工作规划（2016-2022年）的通知》（徐政财字〔2016〕45号）；</w:t>
      </w:r>
    </w:p>
    <w:p w14:paraId="021AAB1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6.保定市徐水区财政局《关于印发&lt;全面实施预算绩效管理推进工作方案&gt;的通知》（徐政财字〔20</w:t>
      </w:r>
      <w:r>
        <w:rPr>
          <w:rFonts w:ascii="仿宋_GB2312" w:eastAsia="仿宋_GB2312" w:cs="DengXian-Regular"/>
          <w:sz w:val="32"/>
          <w:szCs w:val="32"/>
        </w:rPr>
        <w:t>19</w:t>
      </w:r>
      <w:r>
        <w:rPr>
          <w:rFonts w:hint="eastAsia" w:ascii="仿宋_GB2312" w:eastAsia="仿宋_GB2312" w:cs="DengXian-Regular"/>
          <w:sz w:val="32"/>
          <w:szCs w:val="32"/>
        </w:rPr>
        <w:t>〕33号）；</w:t>
      </w:r>
    </w:p>
    <w:p w14:paraId="273925F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w:t>
      </w:r>
      <w:r>
        <w:rPr>
          <w:rFonts w:ascii="仿宋_GB2312" w:eastAsia="仿宋_GB2312" w:cs="DengXian-Regular"/>
          <w:sz w:val="32"/>
          <w:szCs w:val="32"/>
        </w:rPr>
        <w:t>.</w:t>
      </w:r>
      <w:r>
        <w:rPr>
          <w:rFonts w:hint="eastAsia"/>
        </w:rPr>
        <w:t xml:space="preserve"> </w:t>
      </w:r>
      <w:r>
        <w:rPr>
          <w:rFonts w:hint="eastAsia" w:ascii="仿宋_GB2312" w:eastAsia="仿宋_GB2312" w:cs="DengXian-Regular"/>
          <w:sz w:val="32"/>
          <w:szCs w:val="32"/>
        </w:rPr>
        <w:t>保定市徐水区财政局《关于印发保定市徐水区区级部门预算项目绩效自评管理办法的通知》（徐政财字〔202</w:t>
      </w:r>
      <w:r>
        <w:rPr>
          <w:rFonts w:ascii="仿宋_GB2312" w:eastAsia="仿宋_GB2312" w:cs="DengXian-Regular"/>
          <w:sz w:val="32"/>
          <w:szCs w:val="32"/>
        </w:rPr>
        <w:t>0</w:t>
      </w:r>
      <w:r>
        <w:rPr>
          <w:rFonts w:hint="eastAsia" w:ascii="仿宋_GB2312" w:eastAsia="仿宋_GB2312" w:cs="DengXian-Regular"/>
          <w:sz w:val="32"/>
          <w:szCs w:val="32"/>
        </w:rPr>
        <w:t>〕9号）</w:t>
      </w:r>
    </w:p>
    <w:p w14:paraId="7E59A56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8.其他与部门绩效评价工作相关的文件。</w:t>
      </w:r>
      <w:bookmarkStart w:id="36" w:name="_Toc492652778"/>
    </w:p>
    <w:p w14:paraId="226E795C">
      <w:pPr>
        <w:pStyle w:val="4"/>
        <w:spacing w:before="0" w:after="0"/>
        <w:ind w:firstLine="643" w:firstLineChars="200"/>
        <w:jc w:val="both"/>
        <w:rPr>
          <w:rFonts w:ascii="楷体_GB2312" w:eastAsia="楷体_GB2312" w:hAnsiTheme="minorEastAsia"/>
          <w:kern w:val="2"/>
          <w:sz w:val="32"/>
        </w:rPr>
      </w:pPr>
      <w:bookmarkStart w:id="37" w:name="_Toc7609"/>
      <w:r>
        <w:rPr>
          <w:rFonts w:hint="eastAsia" w:ascii="楷体_GB2312" w:eastAsia="楷体_GB2312" w:hAnsiTheme="minorEastAsia"/>
          <w:kern w:val="2"/>
          <w:sz w:val="32"/>
        </w:rPr>
        <w:t>（三）绩效评价</w:t>
      </w:r>
      <w:bookmarkEnd w:id="36"/>
      <w:r>
        <w:rPr>
          <w:rFonts w:hint="eastAsia" w:ascii="楷体_GB2312" w:eastAsia="楷体_GB2312" w:hAnsiTheme="minorEastAsia"/>
          <w:kern w:val="2"/>
          <w:sz w:val="32"/>
        </w:rPr>
        <w:t>内容</w:t>
      </w:r>
      <w:bookmarkEnd w:id="37"/>
    </w:p>
    <w:bookmarkEnd w:id="35"/>
    <w:p w14:paraId="1C8CBCB2">
      <w:pPr>
        <w:spacing w:after="0" w:line="360" w:lineRule="auto"/>
        <w:ind w:firstLine="640" w:firstLineChars="200"/>
        <w:jc w:val="both"/>
        <w:textAlignment w:val="baseline"/>
        <w:rPr>
          <w:rFonts w:ascii="仿宋_GB2312" w:eastAsia="仿宋_GB2312" w:cs="DengXian-Regular"/>
          <w:sz w:val="32"/>
          <w:szCs w:val="32"/>
        </w:rPr>
      </w:pPr>
      <w:bookmarkStart w:id="38" w:name="_Toc465149508"/>
      <w:bookmarkStart w:id="39" w:name="_Toc492652779"/>
      <w:r>
        <w:rPr>
          <w:rFonts w:hint="eastAsia" w:ascii="仿宋_GB2312" w:eastAsia="仿宋_GB2312" w:cs="DengXian-Regular"/>
          <w:sz w:val="32"/>
          <w:szCs w:val="32"/>
        </w:rPr>
        <w:t>留村镇政府2022年部门整体支出绩效目标和指标的设置及完成情况；资金预算情况、实际收支情况及结转结余情况；部门履职对社会发展所带来的直接或间接影响及服务对象对部门履职效果的满意程度。</w:t>
      </w:r>
    </w:p>
    <w:p w14:paraId="4508DAFD">
      <w:pPr>
        <w:pStyle w:val="4"/>
        <w:spacing w:before="0" w:after="0"/>
        <w:ind w:firstLine="643" w:firstLineChars="200"/>
        <w:jc w:val="both"/>
        <w:rPr>
          <w:rFonts w:ascii="楷体_GB2312" w:eastAsia="楷体_GB2312" w:hAnsiTheme="minorEastAsia"/>
          <w:kern w:val="2"/>
          <w:sz w:val="32"/>
        </w:rPr>
      </w:pPr>
      <w:bookmarkStart w:id="40" w:name="_Toc789"/>
      <w:r>
        <w:rPr>
          <w:rFonts w:hint="eastAsia" w:ascii="楷体_GB2312" w:eastAsia="楷体_GB2312" w:hAnsiTheme="minorEastAsia"/>
          <w:kern w:val="2"/>
          <w:sz w:val="32"/>
        </w:rPr>
        <w:t>（四）绩效评价原则</w:t>
      </w:r>
      <w:bookmarkEnd w:id="40"/>
    </w:p>
    <w:p w14:paraId="5EAF267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1.价值导向原则：财政支出绩效评价体系应能够反映财政支出的经济性、效益性、有效性原则，体现财政部门和项目主管部门的价值导向。</w:t>
      </w:r>
    </w:p>
    <w:p w14:paraId="68DB925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2.重要性原则：根据指标在整个指标体系中的地位和作用进行筛选，选择最具代表性、最能反映评价要求的指标。</w:t>
      </w:r>
    </w:p>
    <w:p w14:paraId="0BF0A7A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3.综合性原则：将定性指标和定量指标相结合，定性分析是定量分析的基础，定量分析是定性分析的深化，两者相结合系统反映财政支出所产生的社会效益。</w:t>
      </w:r>
    </w:p>
    <w:p w14:paraId="68321CF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4.经济性原则：指标的选取要考虑现实条件及可操作性，数据的获得应符合成本效益原则，在合理成本的基础上收集信息。</w:t>
      </w:r>
    </w:p>
    <w:p w14:paraId="749A0F78">
      <w:pPr>
        <w:pStyle w:val="4"/>
        <w:spacing w:before="0" w:after="0"/>
        <w:ind w:firstLine="643" w:firstLineChars="200"/>
        <w:jc w:val="both"/>
        <w:rPr>
          <w:rFonts w:ascii="楷体_GB2312" w:eastAsia="楷体_GB2312" w:hAnsiTheme="minorEastAsia"/>
          <w:kern w:val="2"/>
          <w:sz w:val="32"/>
        </w:rPr>
      </w:pPr>
      <w:bookmarkStart w:id="41" w:name="_Toc8171"/>
      <w:r>
        <w:rPr>
          <w:rFonts w:hint="eastAsia" w:ascii="楷体_GB2312" w:eastAsia="楷体_GB2312" w:hAnsiTheme="minorEastAsia"/>
          <w:kern w:val="2"/>
          <w:sz w:val="32"/>
        </w:rPr>
        <w:t>（五）</w:t>
      </w:r>
      <w:bookmarkEnd w:id="38"/>
      <w:bookmarkStart w:id="42" w:name="_Toc465149509"/>
      <w:r>
        <w:rPr>
          <w:rFonts w:hint="eastAsia" w:ascii="楷体_GB2312" w:eastAsia="楷体_GB2312" w:hAnsiTheme="minorEastAsia"/>
          <w:kern w:val="2"/>
          <w:sz w:val="32"/>
        </w:rPr>
        <w:t>绩效评价方法</w:t>
      </w:r>
      <w:bookmarkEnd w:id="39"/>
      <w:bookmarkEnd w:id="41"/>
      <w:bookmarkEnd w:id="42"/>
    </w:p>
    <w:p w14:paraId="09E4B1E2">
      <w:pPr>
        <w:spacing w:after="0" w:line="360" w:lineRule="auto"/>
        <w:ind w:firstLine="640" w:firstLineChars="200"/>
        <w:jc w:val="both"/>
        <w:textAlignment w:val="baseline"/>
        <w:rPr>
          <w:rFonts w:ascii="仿宋_GB2312" w:eastAsia="仿宋_GB2312" w:cs="DengXian-Regular"/>
          <w:sz w:val="32"/>
          <w:szCs w:val="32"/>
        </w:rPr>
      </w:pPr>
      <w:bookmarkStart w:id="43" w:name="_Toc422314152"/>
      <w:bookmarkStart w:id="44" w:name="_Toc421623217"/>
      <w:bookmarkStart w:id="45" w:name="_Toc465149510"/>
      <w:bookmarkStart w:id="46" w:name="_Toc492652780"/>
      <w:r>
        <w:rPr>
          <w:rFonts w:ascii="仿宋_GB2312" w:eastAsia="仿宋_GB2312" w:cs="DengXian-Regular"/>
          <w:sz w:val="32"/>
          <w:szCs w:val="32"/>
        </w:rPr>
        <w:t>本次评价采取</w:t>
      </w:r>
      <w:r>
        <w:rPr>
          <w:rFonts w:hint="eastAsia" w:ascii="仿宋_GB2312" w:eastAsia="仿宋_GB2312" w:cs="DengXian-Regular"/>
          <w:sz w:val="32"/>
          <w:szCs w:val="32"/>
        </w:rPr>
        <w:t>目标比较法、</w:t>
      </w:r>
      <w:r>
        <w:rPr>
          <w:rFonts w:ascii="仿宋_GB2312" w:eastAsia="仿宋_GB2312" w:cs="DengXian-Regular"/>
          <w:sz w:val="32"/>
          <w:szCs w:val="32"/>
        </w:rPr>
        <w:t>定量和定性评价相结合和综合评价相结合</w:t>
      </w:r>
      <w:r>
        <w:rPr>
          <w:rFonts w:hint="eastAsia" w:ascii="仿宋_GB2312" w:eastAsia="仿宋_GB2312" w:cs="DengXian-Regular"/>
          <w:sz w:val="32"/>
          <w:szCs w:val="32"/>
        </w:rPr>
        <w:t>的方式</w:t>
      </w:r>
      <w:r>
        <w:rPr>
          <w:rFonts w:ascii="仿宋_GB2312" w:eastAsia="仿宋_GB2312" w:cs="DengXian-Regular"/>
          <w:sz w:val="32"/>
          <w:szCs w:val="32"/>
        </w:rPr>
        <w:t>，运用审查、</w:t>
      </w:r>
      <w:r>
        <w:rPr>
          <w:rFonts w:hint="eastAsia" w:ascii="仿宋_GB2312" w:eastAsia="仿宋_GB2312" w:cs="DengXian-Regular"/>
          <w:sz w:val="32"/>
          <w:szCs w:val="32"/>
        </w:rPr>
        <w:t>询问查证和问卷调查</w:t>
      </w:r>
      <w:r>
        <w:rPr>
          <w:rFonts w:ascii="仿宋_GB2312" w:eastAsia="仿宋_GB2312" w:cs="DengXian-Regular"/>
          <w:sz w:val="32"/>
          <w:szCs w:val="32"/>
        </w:rPr>
        <w:t>等方法开展</w:t>
      </w:r>
      <w:r>
        <w:rPr>
          <w:rFonts w:hint="eastAsia" w:ascii="仿宋_GB2312" w:eastAsia="仿宋_GB2312" w:cs="DengXian-Regular"/>
          <w:sz w:val="32"/>
          <w:szCs w:val="32"/>
        </w:rPr>
        <w:t>绩效</w:t>
      </w:r>
      <w:r>
        <w:rPr>
          <w:rFonts w:ascii="仿宋_GB2312" w:eastAsia="仿宋_GB2312" w:cs="DengXian-Regular"/>
          <w:sz w:val="32"/>
          <w:szCs w:val="32"/>
        </w:rPr>
        <w:t>评价工作。</w:t>
      </w:r>
      <w:bookmarkEnd w:id="43"/>
      <w:bookmarkEnd w:id="44"/>
    </w:p>
    <w:p w14:paraId="2B78D082">
      <w:pPr>
        <w:spacing w:after="0" w:line="360" w:lineRule="auto"/>
        <w:ind w:firstLine="640" w:firstLineChars="200"/>
        <w:jc w:val="both"/>
        <w:textAlignment w:val="baseline"/>
        <w:rPr>
          <w:rFonts w:ascii="仿宋_GB2312" w:eastAsia="仿宋_GB2312" w:cs="DengXian-Regular"/>
          <w:sz w:val="32"/>
          <w:szCs w:val="32"/>
        </w:rPr>
      </w:pPr>
      <w:bookmarkStart w:id="47" w:name="_Toc422314153"/>
      <w:bookmarkStart w:id="48" w:name="_Toc421623218"/>
      <w:r>
        <w:rPr>
          <w:rFonts w:ascii="仿宋_GB2312" w:eastAsia="仿宋_GB2312" w:cs="DengXian-Regular"/>
          <w:sz w:val="32"/>
          <w:szCs w:val="32"/>
        </w:rPr>
        <w:t>1</w:t>
      </w:r>
      <w:r>
        <w:rPr>
          <w:rFonts w:hint="eastAsia" w:ascii="仿宋_GB2312" w:eastAsia="仿宋_GB2312" w:cs="DengXian-Regular"/>
          <w:sz w:val="32"/>
          <w:szCs w:val="32"/>
        </w:rPr>
        <w:t>.</w:t>
      </w:r>
      <w:r>
        <w:rPr>
          <w:rFonts w:ascii="仿宋_GB2312" w:eastAsia="仿宋_GB2312" w:cs="DengXian-Regular"/>
          <w:sz w:val="32"/>
          <w:szCs w:val="32"/>
        </w:rPr>
        <w:t>审查法：通过审查被评价单位的</w:t>
      </w:r>
      <w:r>
        <w:rPr>
          <w:rFonts w:hint="eastAsia" w:ascii="仿宋_GB2312" w:eastAsia="仿宋_GB2312" w:cs="DengXian-Regular"/>
          <w:sz w:val="32"/>
          <w:szCs w:val="32"/>
        </w:rPr>
        <w:t>预算文本</w:t>
      </w:r>
      <w:r>
        <w:rPr>
          <w:rFonts w:ascii="仿宋_GB2312" w:eastAsia="仿宋_GB2312" w:cs="DengXian-Regular"/>
          <w:sz w:val="32"/>
          <w:szCs w:val="32"/>
        </w:rPr>
        <w:t>、</w:t>
      </w:r>
      <w:r>
        <w:rPr>
          <w:rFonts w:hint="eastAsia" w:ascii="仿宋_GB2312" w:eastAsia="仿宋_GB2312" w:cs="DengXian-Regular"/>
          <w:sz w:val="32"/>
          <w:szCs w:val="32"/>
        </w:rPr>
        <w:t>决算文本</w:t>
      </w:r>
      <w:r>
        <w:rPr>
          <w:rFonts w:ascii="仿宋_GB2312" w:eastAsia="仿宋_GB2312" w:cs="DengXian-Regular"/>
          <w:sz w:val="32"/>
          <w:szCs w:val="32"/>
        </w:rPr>
        <w:t>、</w:t>
      </w:r>
      <w:r>
        <w:rPr>
          <w:rFonts w:hint="eastAsia" w:ascii="仿宋_GB2312" w:eastAsia="仿宋_GB2312" w:cs="DengXian-Regular"/>
          <w:sz w:val="32"/>
          <w:szCs w:val="32"/>
        </w:rPr>
        <w:t>会计账簿、支出凭证、项目完成情况</w:t>
      </w:r>
      <w:r>
        <w:rPr>
          <w:rFonts w:ascii="仿宋_GB2312" w:eastAsia="仿宋_GB2312" w:cs="DengXian-Regular"/>
          <w:sz w:val="32"/>
          <w:szCs w:val="32"/>
        </w:rPr>
        <w:t>等</w:t>
      </w:r>
      <w:r>
        <w:rPr>
          <w:rFonts w:hint="eastAsia" w:ascii="仿宋_GB2312" w:eastAsia="仿宋_GB2312" w:cs="DengXian-Regular"/>
          <w:sz w:val="32"/>
          <w:szCs w:val="32"/>
        </w:rPr>
        <w:t>相关</w:t>
      </w:r>
      <w:r>
        <w:rPr>
          <w:rFonts w:ascii="仿宋_GB2312" w:eastAsia="仿宋_GB2312" w:cs="DengXian-Regular"/>
          <w:sz w:val="32"/>
          <w:szCs w:val="32"/>
        </w:rPr>
        <w:t>资料，分析资金</w:t>
      </w:r>
      <w:r>
        <w:rPr>
          <w:rFonts w:hint="eastAsia" w:ascii="仿宋_GB2312" w:eastAsia="仿宋_GB2312" w:cs="DengXian-Regular"/>
          <w:sz w:val="32"/>
          <w:szCs w:val="32"/>
        </w:rPr>
        <w:t>收</w:t>
      </w:r>
      <w:r>
        <w:rPr>
          <w:rFonts w:ascii="仿宋_GB2312" w:eastAsia="仿宋_GB2312" w:cs="DengXian-Regular"/>
          <w:sz w:val="32"/>
          <w:szCs w:val="32"/>
        </w:rPr>
        <w:t>支的合理性</w:t>
      </w:r>
      <w:r>
        <w:rPr>
          <w:rFonts w:hint="eastAsia" w:ascii="仿宋_GB2312" w:eastAsia="仿宋_GB2312" w:cs="DengXian-Regular"/>
          <w:sz w:val="32"/>
          <w:szCs w:val="32"/>
        </w:rPr>
        <w:t>和</w:t>
      </w:r>
      <w:r>
        <w:rPr>
          <w:rFonts w:ascii="仿宋_GB2312" w:eastAsia="仿宋_GB2312" w:cs="DengXian-Regular"/>
          <w:sz w:val="32"/>
          <w:szCs w:val="32"/>
        </w:rPr>
        <w:t>合规性</w:t>
      </w:r>
      <w:r>
        <w:rPr>
          <w:rFonts w:hint="eastAsia" w:ascii="仿宋_GB2312" w:eastAsia="仿宋_GB2312" w:cs="DengXian-Regular"/>
          <w:sz w:val="32"/>
          <w:szCs w:val="32"/>
        </w:rPr>
        <w:t>、预算执行及管理情况、绩效目标和指标的设置及完成情况、部门整体效益</w:t>
      </w:r>
      <w:r>
        <w:rPr>
          <w:rFonts w:ascii="仿宋_GB2312" w:eastAsia="仿宋_GB2312" w:cs="DengXian-Regular"/>
          <w:sz w:val="32"/>
          <w:szCs w:val="32"/>
        </w:rPr>
        <w:t>。</w:t>
      </w:r>
      <w:bookmarkEnd w:id="47"/>
      <w:bookmarkEnd w:id="48"/>
    </w:p>
    <w:p w14:paraId="4EF9850F">
      <w:pPr>
        <w:spacing w:after="0" w:line="360" w:lineRule="auto"/>
        <w:ind w:firstLine="640" w:firstLineChars="200"/>
        <w:jc w:val="both"/>
        <w:textAlignment w:val="baseline"/>
        <w:rPr>
          <w:rFonts w:ascii="仿宋_GB2312" w:eastAsia="仿宋_GB2312" w:cs="DengXian-Regular"/>
          <w:sz w:val="32"/>
          <w:szCs w:val="32"/>
        </w:rPr>
      </w:pPr>
      <w:bookmarkStart w:id="49" w:name="_Toc421623220"/>
      <w:bookmarkStart w:id="50" w:name="_Toc422314155"/>
      <w:r>
        <w:rPr>
          <w:rFonts w:hint="eastAsia" w:ascii="仿宋_GB2312" w:eastAsia="仿宋_GB2312" w:cs="DengXian-Regular"/>
          <w:sz w:val="32"/>
          <w:szCs w:val="32"/>
        </w:rPr>
        <w:t>2.询问查证</w:t>
      </w:r>
      <w:r>
        <w:rPr>
          <w:rFonts w:ascii="仿宋_GB2312" w:eastAsia="仿宋_GB2312" w:cs="DengXian-Regular"/>
          <w:sz w:val="32"/>
          <w:szCs w:val="32"/>
        </w:rPr>
        <w:t>法：</w:t>
      </w:r>
      <w:r>
        <w:rPr>
          <w:rFonts w:hint="eastAsia" w:ascii="仿宋_GB2312" w:eastAsia="仿宋_GB2312" w:cs="DengXian-Regular"/>
          <w:sz w:val="32"/>
          <w:szCs w:val="32"/>
        </w:rPr>
        <w:t>在比较分析相关资料的基础上，通过询问的形式，核查项目资料是否真实、合理，从而对部门整体支出情况作出初步的判断和评价</w:t>
      </w:r>
      <w:r>
        <w:rPr>
          <w:rFonts w:ascii="仿宋_GB2312" w:eastAsia="仿宋_GB2312" w:cs="DengXian-Regular"/>
          <w:sz w:val="32"/>
          <w:szCs w:val="32"/>
        </w:rPr>
        <w:t>。</w:t>
      </w:r>
      <w:bookmarkEnd w:id="49"/>
      <w:bookmarkEnd w:id="50"/>
    </w:p>
    <w:p w14:paraId="6029B9BF">
      <w:pPr>
        <w:spacing w:after="0" w:line="360" w:lineRule="auto"/>
        <w:ind w:firstLine="640" w:firstLineChars="200"/>
        <w:jc w:val="both"/>
        <w:textAlignment w:val="baseline"/>
        <w:rPr>
          <w:rFonts w:ascii="仿宋_GB2312" w:eastAsia="仿宋_GB2312" w:cs="DengXian-Regular"/>
          <w:sz w:val="32"/>
          <w:szCs w:val="32"/>
        </w:rPr>
      </w:pPr>
      <w:bookmarkStart w:id="51" w:name="_Toc421623221"/>
      <w:bookmarkStart w:id="52" w:name="_Toc422314156"/>
      <w:r>
        <w:rPr>
          <w:rFonts w:hint="eastAsia" w:ascii="仿宋_GB2312" w:eastAsia="仿宋_GB2312" w:cs="DengXian-Regular"/>
          <w:sz w:val="32"/>
          <w:szCs w:val="32"/>
        </w:rPr>
        <w:t>3.问卷调查</w:t>
      </w:r>
      <w:r>
        <w:rPr>
          <w:rFonts w:ascii="仿宋_GB2312" w:eastAsia="仿宋_GB2312" w:cs="DengXian-Regular"/>
          <w:sz w:val="32"/>
          <w:szCs w:val="32"/>
        </w:rPr>
        <w:t>法：通过</w:t>
      </w:r>
      <w:r>
        <w:rPr>
          <w:rFonts w:hint="eastAsia" w:ascii="仿宋_GB2312" w:eastAsia="仿宋_GB2312" w:cs="DengXian-Regular"/>
          <w:sz w:val="32"/>
          <w:szCs w:val="32"/>
        </w:rPr>
        <w:t>设计调查问卷，在一定范围内随机发放，并收集分析调查问卷，</w:t>
      </w:r>
      <w:r>
        <w:rPr>
          <w:rFonts w:ascii="仿宋_GB2312" w:eastAsia="仿宋_GB2312" w:cs="DengXian-Regular"/>
          <w:sz w:val="32"/>
          <w:szCs w:val="32"/>
        </w:rPr>
        <w:t>对财政支出的效果进行</w:t>
      </w:r>
      <w:r>
        <w:rPr>
          <w:rFonts w:hint="eastAsia" w:ascii="仿宋_GB2312" w:eastAsia="仿宋_GB2312" w:cs="DengXian-Regular"/>
          <w:sz w:val="32"/>
          <w:szCs w:val="32"/>
        </w:rPr>
        <w:t>评价</w:t>
      </w:r>
      <w:r>
        <w:rPr>
          <w:rFonts w:ascii="仿宋_GB2312" w:eastAsia="仿宋_GB2312" w:cs="DengXian-Regular"/>
          <w:sz w:val="32"/>
          <w:szCs w:val="32"/>
        </w:rPr>
        <w:t>，</w:t>
      </w:r>
      <w:r>
        <w:rPr>
          <w:rFonts w:hint="eastAsia" w:ascii="仿宋_GB2312" w:eastAsia="仿宋_GB2312" w:cs="DengXian-Regular"/>
          <w:sz w:val="32"/>
          <w:szCs w:val="32"/>
        </w:rPr>
        <w:t>了解服务对象对部门履职效果</w:t>
      </w:r>
      <w:r>
        <w:rPr>
          <w:rFonts w:ascii="仿宋_GB2312" w:eastAsia="仿宋_GB2312" w:cs="DengXian-Regular"/>
          <w:sz w:val="32"/>
          <w:szCs w:val="32"/>
        </w:rPr>
        <w:t>的满意</w:t>
      </w:r>
      <w:r>
        <w:rPr>
          <w:rFonts w:hint="eastAsia" w:ascii="仿宋_GB2312" w:eastAsia="仿宋_GB2312" w:cs="DengXian-Regular"/>
          <w:sz w:val="32"/>
          <w:szCs w:val="32"/>
        </w:rPr>
        <w:t>程</w:t>
      </w:r>
      <w:r>
        <w:rPr>
          <w:rFonts w:ascii="仿宋_GB2312" w:eastAsia="仿宋_GB2312" w:cs="DengXian-Regular"/>
          <w:sz w:val="32"/>
          <w:szCs w:val="32"/>
        </w:rPr>
        <w:t>度。</w:t>
      </w:r>
      <w:bookmarkEnd w:id="51"/>
      <w:bookmarkEnd w:id="52"/>
      <w:bookmarkStart w:id="53" w:name="_Toc20821"/>
    </w:p>
    <w:p w14:paraId="086FB1E4">
      <w:pPr>
        <w:spacing w:after="0" w:line="360" w:lineRule="auto"/>
        <w:ind w:firstLine="643" w:firstLineChars="200"/>
        <w:jc w:val="both"/>
        <w:textAlignment w:val="baseline"/>
        <w:rPr>
          <w:rFonts w:ascii="楷体_GB2312" w:eastAsia="楷体_GB2312" w:hAnsiTheme="minorEastAsia"/>
          <w:b/>
          <w:bCs/>
          <w:kern w:val="2"/>
          <w:sz w:val="32"/>
        </w:rPr>
      </w:pPr>
      <w:r>
        <w:rPr>
          <w:rFonts w:hint="eastAsia" w:ascii="楷体_GB2312" w:eastAsia="楷体_GB2312" w:hAnsiTheme="minorEastAsia"/>
          <w:b/>
          <w:bCs/>
          <w:kern w:val="2"/>
          <w:sz w:val="32"/>
        </w:rPr>
        <w:t>（六）绩效评价工作过程</w:t>
      </w:r>
      <w:bookmarkEnd w:id="45"/>
      <w:bookmarkEnd w:id="46"/>
      <w:bookmarkEnd w:id="53"/>
    </w:p>
    <w:p w14:paraId="689A2BE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本次绩效评价工作经过了前期准备、绩效评价实施方案和指标体系制定、组织实施、绩效评价报告撰写四个阶段。</w:t>
      </w:r>
    </w:p>
    <w:p w14:paraId="35E704B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1.前期准备阶段</w:t>
      </w:r>
    </w:p>
    <w:p w14:paraId="065B5BB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经充分收集相关资料，主要包括部门职责、工作活动、预决算文本、相关管理制度、资金使用等相关资料，为制定绩效评价实施方案和指标体系奠定了基础。</w:t>
      </w:r>
    </w:p>
    <w:p w14:paraId="59D63B9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2.制定绩效评价实施方案和体系</w:t>
      </w:r>
    </w:p>
    <w:p w14:paraId="0EE3EBF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基于对留村镇政府相关资料的收集，制定绩效评价实施方案和体系,确定最终方案。</w:t>
      </w:r>
    </w:p>
    <w:p w14:paraId="59438A5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3.组织实施阶段</w:t>
      </w:r>
    </w:p>
    <w:p w14:paraId="7015854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绩效评价实施方案和指标体系，对留村镇政府开展评价工作，包括查看预决算文本及部门工作活动绩效目标和指标；比对预决算的调整及执行情况；核查固定资产管理的规范性；核查明细账与决算报表项目的一致性；对项目产出情况进行了解查看；随机选取服务对象进行满意度调查；对一些专业的问题咨询相关专家等。根据收集的数据、资料进行核对、比较、计算，对部门整体支出进行评分。</w:t>
      </w:r>
    </w:p>
    <w:p w14:paraId="55E3801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4.撰写绩效评价报告</w:t>
      </w:r>
      <w:bookmarkStart w:id="54" w:name="_Toc492652781"/>
      <w:bookmarkStart w:id="55" w:name="_Toc465149511"/>
    </w:p>
    <w:p w14:paraId="7BE1B46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在完成对各评价指标评分定级的基础上，开始进行报告撰写工作。</w:t>
      </w:r>
    </w:p>
    <w:p w14:paraId="71DA39DB">
      <w:pPr>
        <w:pStyle w:val="3"/>
        <w:spacing w:before="0" w:after="0" w:line="360" w:lineRule="auto"/>
        <w:ind w:firstLine="643" w:firstLineChars="200"/>
        <w:rPr>
          <w:rFonts w:ascii="黑体"/>
        </w:rPr>
      </w:pPr>
      <w:bookmarkStart w:id="56" w:name="_Toc6467"/>
      <w:r>
        <w:rPr>
          <w:rFonts w:hint="eastAsia" w:ascii="黑体"/>
        </w:rPr>
        <w:t>四、</w:t>
      </w:r>
      <w:bookmarkEnd w:id="54"/>
      <w:bookmarkEnd w:id="55"/>
      <w:bookmarkStart w:id="57" w:name="_Toc492652782"/>
      <w:r>
        <w:rPr>
          <w:rFonts w:hint="eastAsia" w:ascii="黑体"/>
        </w:rPr>
        <w:t>绩效评价评分情况</w:t>
      </w:r>
      <w:bookmarkEnd w:id="56"/>
    </w:p>
    <w:bookmarkEnd w:id="57"/>
    <w:p w14:paraId="09C5CE66">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留村镇政府部门整体支出绩效评价总得分为</w:t>
      </w:r>
      <w:r>
        <w:rPr>
          <w:rFonts w:ascii="仿宋_GB2312" w:eastAsia="仿宋_GB2312" w:cs="DengXian-Regular"/>
          <w:sz w:val="32"/>
          <w:szCs w:val="32"/>
        </w:rPr>
        <w:t>96</w:t>
      </w:r>
      <w:r>
        <w:rPr>
          <w:rFonts w:hint="eastAsia" w:ascii="仿宋_GB2312" w:eastAsia="仿宋_GB2312" w:cs="DengXian-Regular"/>
          <w:sz w:val="32"/>
          <w:szCs w:val="32"/>
        </w:rPr>
        <w:t>分，综合绩效评价等级为“优”。各项得分情况如下</w:t>
      </w:r>
      <w:r>
        <w:rPr>
          <w:rFonts w:hint="eastAsia" w:ascii="仿宋_GB2312" w:eastAsia="仿宋_GB2312" w:cs="Times New Roman" w:hAnsiTheme="minorEastAsia"/>
          <w:sz w:val="32"/>
          <w:szCs w:val="32"/>
          <w:u w:color="000000"/>
        </w:rPr>
        <w:t>：</w:t>
      </w:r>
      <w:r>
        <w:rPr>
          <w:rFonts w:ascii="仿宋_GB2312" w:eastAsia="仿宋_GB2312" w:cs="Times New Roman" w:hAnsiTheme="minorEastAsia"/>
          <w:sz w:val="32"/>
          <w:szCs w:val="32"/>
          <w:u w:color="000000"/>
        </w:rPr>
        <w:t xml:space="preserve"> </w:t>
      </w:r>
    </w:p>
    <w:p w14:paraId="1D5AB14E">
      <w:pPr>
        <w:pStyle w:val="4"/>
        <w:spacing w:before="0" w:after="0"/>
        <w:ind w:firstLine="643" w:firstLineChars="200"/>
        <w:jc w:val="both"/>
        <w:rPr>
          <w:rFonts w:ascii="楷体_GB2312" w:eastAsia="楷体_GB2312" w:hAnsiTheme="minorEastAsia"/>
          <w:kern w:val="2"/>
          <w:sz w:val="32"/>
        </w:rPr>
      </w:pPr>
      <w:bookmarkStart w:id="58" w:name="_Toc492652783"/>
      <w:bookmarkStart w:id="59" w:name="_Toc4390"/>
      <w:r>
        <w:rPr>
          <w:rFonts w:hint="eastAsia" w:ascii="楷体_GB2312" w:eastAsia="楷体_GB2312" w:hAnsiTheme="minorEastAsia"/>
          <w:kern w:val="2"/>
          <w:sz w:val="32"/>
        </w:rPr>
        <w:t>（一）</w:t>
      </w:r>
      <w:bookmarkEnd w:id="58"/>
      <w:r>
        <w:rPr>
          <w:rFonts w:hint="eastAsia" w:ascii="楷体_GB2312" w:eastAsia="楷体_GB2312" w:hAnsiTheme="minorEastAsia"/>
          <w:kern w:val="2"/>
          <w:sz w:val="32"/>
        </w:rPr>
        <w:t>投入（12分）</w:t>
      </w:r>
      <w:bookmarkEnd w:id="59"/>
    </w:p>
    <w:p w14:paraId="0E2A1BAF">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该一级指标包含绩效目标设定和预算配置两个二级指标，主要反映绩效目标设定是否合理、科学，绩效指标的制定是否清晰、可衡量，预算编制是否完整，项目预算是否细化及在职人员控制情况。</w:t>
      </w:r>
      <w:r>
        <w:rPr>
          <w:rFonts w:hint="eastAsia" w:ascii="仿宋_GB2312" w:eastAsia="仿宋_GB2312" w:cs="Times New Roman" w:hAnsiTheme="minorEastAsia"/>
          <w:sz w:val="32"/>
          <w:szCs w:val="32"/>
          <w:u w:color="000000"/>
        </w:rPr>
        <w:tab/>
      </w:r>
    </w:p>
    <w:p w14:paraId="4AD0884A">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表2  投入指标及得分情况表</w:t>
      </w:r>
    </w:p>
    <w:tbl>
      <w:tblPr>
        <w:tblStyle w:val="23"/>
        <w:tblW w:w="0" w:type="auto"/>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9"/>
        <w:gridCol w:w="1418"/>
        <w:gridCol w:w="1701"/>
        <w:gridCol w:w="1276"/>
        <w:gridCol w:w="1134"/>
      </w:tblGrid>
      <w:tr w14:paraId="4EAB0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Align w:val="center"/>
          </w:tcPr>
          <w:p w14:paraId="104BE346">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一级指标</w:t>
            </w:r>
          </w:p>
        </w:tc>
        <w:tc>
          <w:tcPr>
            <w:tcW w:w="1418" w:type="dxa"/>
            <w:vAlign w:val="center"/>
          </w:tcPr>
          <w:p w14:paraId="159976B3">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二级指标</w:t>
            </w:r>
          </w:p>
        </w:tc>
        <w:tc>
          <w:tcPr>
            <w:tcW w:w="1701" w:type="dxa"/>
            <w:vAlign w:val="center"/>
          </w:tcPr>
          <w:p w14:paraId="35594739">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三级指标</w:t>
            </w:r>
          </w:p>
        </w:tc>
        <w:tc>
          <w:tcPr>
            <w:tcW w:w="1276" w:type="dxa"/>
            <w:vAlign w:val="center"/>
          </w:tcPr>
          <w:p w14:paraId="3CD45B2A">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分值权重</w:t>
            </w:r>
          </w:p>
        </w:tc>
        <w:tc>
          <w:tcPr>
            <w:tcW w:w="1134" w:type="dxa"/>
            <w:vAlign w:val="center"/>
          </w:tcPr>
          <w:p w14:paraId="6DF30B6A">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得分</w:t>
            </w:r>
          </w:p>
        </w:tc>
      </w:tr>
      <w:tr w14:paraId="468A7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restart"/>
            <w:vAlign w:val="center"/>
          </w:tcPr>
          <w:p w14:paraId="24C3EA5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投入</w:t>
            </w:r>
          </w:p>
          <w:p w14:paraId="1B10BF71">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（12分）</w:t>
            </w:r>
          </w:p>
        </w:tc>
        <w:tc>
          <w:tcPr>
            <w:tcW w:w="1418" w:type="dxa"/>
            <w:vMerge w:val="restart"/>
            <w:vAlign w:val="center"/>
          </w:tcPr>
          <w:p w14:paraId="5849FF3A">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绩效目标设定（6分）</w:t>
            </w:r>
          </w:p>
        </w:tc>
        <w:tc>
          <w:tcPr>
            <w:tcW w:w="1701" w:type="dxa"/>
            <w:vAlign w:val="center"/>
          </w:tcPr>
          <w:p w14:paraId="4460039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绩效目标合理性</w:t>
            </w:r>
          </w:p>
        </w:tc>
        <w:tc>
          <w:tcPr>
            <w:tcW w:w="1276" w:type="dxa"/>
            <w:vAlign w:val="center"/>
          </w:tcPr>
          <w:p w14:paraId="238AC92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47DD607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1577C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19628804">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4DC63D2D">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1A045D5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绩效目标科学性</w:t>
            </w:r>
          </w:p>
        </w:tc>
        <w:tc>
          <w:tcPr>
            <w:tcW w:w="1276" w:type="dxa"/>
            <w:vAlign w:val="center"/>
          </w:tcPr>
          <w:p w14:paraId="6DF2333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19F3074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w:t>
            </w:r>
          </w:p>
        </w:tc>
      </w:tr>
      <w:tr w14:paraId="14752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0F773804">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6A196200">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5A56C1F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绩效指标明确性</w:t>
            </w:r>
          </w:p>
        </w:tc>
        <w:tc>
          <w:tcPr>
            <w:tcW w:w="1276" w:type="dxa"/>
            <w:vAlign w:val="center"/>
          </w:tcPr>
          <w:p w14:paraId="78E907D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2749EC0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6697E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7291088D">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restart"/>
            <w:vAlign w:val="center"/>
          </w:tcPr>
          <w:p w14:paraId="70E4DCC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预算配置</w:t>
            </w:r>
          </w:p>
          <w:p w14:paraId="4BC56B1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（6分）</w:t>
            </w:r>
          </w:p>
        </w:tc>
        <w:tc>
          <w:tcPr>
            <w:tcW w:w="1701" w:type="dxa"/>
            <w:vAlign w:val="center"/>
          </w:tcPr>
          <w:p w14:paraId="23E52A0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预算编制完整性</w:t>
            </w:r>
          </w:p>
        </w:tc>
        <w:tc>
          <w:tcPr>
            <w:tcW w:w="1276" w:type="dxa"/>
            <w:vAlign w:val="center"/>
          </w:tcPr>
          <w:p w14:paraId="39EF828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46323EE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1EDF0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60811327">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7F117190">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1F2211E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项目预算细化率</w:t>
            </w:r>
          </w:p>
        </w:tc>
        <w:tc>
          <w:tcPr>
            <w:tcW w:w="1276" w:type="dxa"/>
            <w:vAlign w:val="center"/>
          </w:tcPr>
          <w:p w14:paraId="6A68E83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38779F25">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1</w:t>
            </w:r>
          </w:p>
        </w:tc>
      </w:tr>
      <w:tr w14:paraId="1B6A9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5954E0AE">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38165549">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19BB1AC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在职人员控制率</w:t>
            </w:r>
          </w:p>
        </w:tc>
        <w:tc>
          <w:tcPr>
            <w:tcW w:w="1276" w:type="dxa"/>
            <w:vAlign w:val="center"/>
          </w:tcPr>
          <w:p w14:paraId="4D931EE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13DD261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6628D6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977" w:type="dxa"/>
            <w:gridSpan w:val="2"/>
            <w:vAlign w:val="center"/>
          </w:tcPr>
          <w:p w14:paraId="76EFB6E6">
            <w:pPr>
              <w:spacing w:line="420" w:lineRule="exact"/>
              <w:ind w:firstLine="420" w:firstLineChars="200"/>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合计</w:t>
            </w:r>
          </w:p>
        </w:tc>
        <w:tc>
          <w:tcPr>
            <w:tcW w:w="1701" w:type="dxa"/>
            <w:vAlign w:val="center"/>
          </w:tcPr>
          <w:p w14:paraId="5B6BFAE1">
            <w:pPr>
              <w:spacing w:line="420" w:lineRule="exact"/>
              <w:ind w:firstLine="420" w:firstLineChars="200"/>
              <w:jc w:val="center"/>
              <w:rPr>
                <w:rFonts w:cs="宋体" w:asciiTheme="minorEastAsia" w:hAnsiTheme="minorEastAsia" w:eastAsiaTheme="minorEastAsia"/>
                <w:sz w:val="21"/>
                <w:szCs w:val="21"/>
                <w:highlight w:val="yellow"/>
              </w:rPr>
            </w:pPr>
          </w:p>
        </w:tc>
        <w:tc>
          <w:tcPr>
            <w:tcW w:w="1276" w:type="dxa"/>
            <w:vAlign w:val="center"/>
          </w:tcPr>
          <w:p w14:paraId="509B347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12</w:t>
            </w:r>
          </w:p>
        </w:tc>
        <w:tc>
          <w:tcPr>
            <w:tcW w:w="1134" w:type="dxa"/>
            <w:vAlign w:val="center"/>
          </w:tcPr>
          <w:p w14:paraId="2E4C79A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w:t>
            </w:r>
            <w:r>
              <w:rPr>
                <w:rFonts w:cs="宋体" w:asciiTheme="minorEastAsia" w:hAnsiTheme="minorEastAsia" w:eastAsiaTheme="minorEastAsia"/>
                <w:sz w:val="21"/>
                <w:szCs w:val="21"/>
              </w:rPr>
              <w:t>0</w:t>
            </w:r>
          </w:p>
        </w:tc>
      </w:tr>
    </w:tbl>
    <w:p w14:paraId="12E0C465">
      <w:pPr>
        <w:spacing w:after="0" w:line="360" w:lineRule="auto"/>
        <w:ind w:firstLine="640" w:firstLineChars="200"/>
        <w:jc w:val="both"/>
        <w:textAlignment w:val="baseline"/>
        <w:rPr>
          <w:rFonts w:ascii="仿宋_GB2312" w:eastAsia="仿宋_GB2312" w:cs="DengXian-Regular"/>
          <w:sz w:val="32"/>
          <w:szCs w:val="32"/>
        </w:rPr>
      </w:pPr>
      <w:bookmarkStart w:id="60" w:name="_Toc465149513"/>
      <w:bookmarkStart w:id="61" w:name="_Toc464638478"/>
      <w:r>
        <w:rPr>
          <w:rFonts w:hint="eastAsia" w:ascii="仿宋_GB2312" w:eastAsia="仿宋_GB2312" w:cs="DengXian-Regular"/>
          <w:sz w:val="32"/>
          <w:szCs w:val="32"/>
        </w:rPr>
        <w:t>1.绩效目标设定（6分）</w:t>
      </w:r>
    </w:p>
    <w:p w14:paraId="79E9822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（1）绩效目标合理性(2分)</w:t>
      </w:r>
    </w:p>
    <w:p w14:paraId="3066FA0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职责设定是否符合“三定”方案中所赋予的职责；工作活动是否与部门职责、工作规划和重点工作相关；工作活动项下确定的预算项目是否合理，是否与工作活动密切相关；工作活动和项目预算安排是否合理。</w:t>
      </w:r>
    </w:p>
    <w:p w14:paraId="5FBC9F0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对比保定市徐水区委办公室及保定市徐水区人民政府办公室印发的《保定市徐水区留村镇政府职能配置内设机构和人员编制规定》和徐水区留村镇政府2022年预算文本—部门职责工作活动绩效目标，评价工作组认为留村镇政府部门职责符合“三定”方案中所赋予的职责，绩效目标设立依据充分，符合客观实际，与部门职责、工作规划和重点工作相关，工作活动和项目预算安排合理。</w:t>
      </w:r>
    </w:p>
    <w:p w14:paraId="2FB063A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14:paraId="373C5D9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（2）绩效目标科学性（2分）</w:t>
      </w:r>
    </w:p>
    <w:p w14:paraId="031CEF5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批复的部门年度发展规划目标和部门职责分类绩效目标是否充分，是否与部门履职、年度工作任务相符；工作活动是否有明确的绩效目标，绩效目标是否与部门职责目标、部门年度工作目标一致，是否能体现工作活动的产出和效果。</w:t>
      </w:r>
    </w:p>
    <w:p w14:paraId="5A6D288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根据区留村镇政府2022年预算文本—部门职责工作活动绩效目标（详见附件4），绩效目标与部门履职、年度工作任务相符；工作活动有明确的绩效目标，绩效目标与部门职责目标、部门年度工作目标一致。</w:t>
      </w:r>
    </w:p>
    <w:p w14:paraId="6E630EF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该项指标实际得分2分。</w:t>
      </w:r>
    </w:p>
    <w:p w14:paraId="2C91543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（3）绩效目标明确性（2分）</w:t>
      </w:r>
    </w:p>
    <w:p w14:paraId="46A97B6D">
      <w:pPr>
        <w:spacing w:after="0" w:line="360" w:lineRule="auto"/>
        <w:ind w:firstLine="640" w:firstLineChars="200"/>
        <w:jc w:val="both"/>
        <w:textAlignment w:val="baseline"/>
        <w:rPr>
          <w:rFonts w:ascii="仿宋_GB2312" w:eastAsia="仿宋_GB2312" w:cs="DengXian-Regular"/>
          <w:sz w:val="32"/>
          <w:szCs w:val="32"/>
          <w:highlight w:val="yellow"/>
        </w:rPr>
      </w:pPr>
      <w:r>
        <w:rPr>
          <w:rFonts w:hint="eastAsia" w:ascii="仿宋_GB2312" w:eastAsia="仿宋_GB2312" w:cs="DengXian-Regular"/>
          <w:sz w:val="32"/>
          <w:szCs w:val="32"/>
        </w:rPr>
        <w:t>该指标主要评价是否将部门整体的绩效目标细化分解为具体的工作任务，工作活动、预算项目绩效指标是否清晰、细化、可评价、可衡量；工作活动、预算项目绩效指标的评价标准是否清晰、可衡量；是否与部门年度的任务数或计划数相对应。</w:t>
      </w:r>
    </w:p>
    <w:p w14:paraId="32E5E4B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根据留村镇政府2022年预算文本—部门职责工作活动绩效目标,该指标实际得分</w:t>
      </w:r>
      <w:r>
        <w:rPr>
          <w:rFonts w:ascii="仿宋_GB2312" w:eastAsia="仿宋_GB2312" w:cs="DengXian-Regular"/>
          <w:sz w:val="32"/>
          <w:szCs w:val="32"/>
        </w:rPr>
        <w:t>1</w:t>
      </w:r>
      <w:r>
        <w:rPr>
          <w:rFonts w:hint="eastAsia" w:ascii="仿宋_GB2312" w:eastAsia="仿宋_GB2312" w:cs="DengXian-Regular"/>
          <w:sz w:val="32"/>
          <w:szCs w:val="32"/>
        </w:rPr>
        <w:t>分。</w:t>
      </w:r>
    </w:p>
    <w:p w14:paraId="31159BD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2.预算配置（6分）</w:t>
      </w:r>
    </w:p>
    <w:p w14:paraId="5AD343B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（1）预算编制完整性（2分）</w:t>
      </w:r>
    </w:p>
    <w:p w14:paraId="6E9E22C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该指标主要评价部门所有收入是否全部纳入部门预算，部门支出预算是否统筹各类支出，按基本支出、项目支出分别编制。</w:t>
      </w:r>
    </w:p>
    <w:p w14:paraId="7C4F5B1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根据留村镇政府2022年预算文本及相关会计资料，区留村镇所有收入均已纳入部门预算，部门支出按基本支出、项目支出分别编制。</w:t>
      </w:r>
    </w:p>
    <w:p w14:paraId="73A4393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1</w:t>
      </w:r>
      <w:r>
        <w:rPr>
          <w:rFonts w:hint="eastAsia" w:ascii="仿宋_GB2312" w:eastAsia="仿宋_GB2312" w:cs="DengXian-Regular"/>
          <w:sz w:val="32"/>
          <w:szCs w:val="32"/>
        </w:rPr>
        <w:t>分。</w:t>
      </w:r>
    </w:p>
    <w:p w14:paraId="1071A65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（2）项目预算细化率（2分）</w:t>
      </w:r>
    </w:p>
    <w:p w14:paraId="78C59A0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该指标主要评价编报的项目支出是否细化到具体用款单位和项目的资金额度，通过项目预算细化率衡量。</w:t>
      </w:r>
    </w:p>
    <w:p w14:paraId="27BB73C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项目预算细化率=细化的项目金额/实际编报的项目金额×100%。</w:t>
      </w:r>
    </w:p>
    <w:p w14:paraId="2B85424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根据留村镇政府2022年预算文本—部门项目支出预算表，留村镇政府2022年预算项目共</w:t>
      </w:r>
      <w:r>
        <w:rPr>
          <w:rFonts w:ascii="仿宋_GB2312" w:eastAsia="仿宋_GB2312" w:cs="DengXian-Regular"/>
          <w:sz w:val="32"/>
          <w:szCs w:val="32"/>
        </w:rPr>
        <w:t>27</w:t>
      </w:r>
      <w:r>
        <w:rPr>
          <w:rFonts w:hint="eastAsia" w:ascii="仿宋_GB2312" w:eastAsia="仿宋_GB2312" w:cs="DengXian-Regular"/>
          <w:sz w:val="32"/>
          <w:szCs w:val="32"/>
        </w:rPr>
        <w:t>个（详见附件2-2-2），涉及资金</w:t>
      </w:r>
      <w:r>
        <w:rPr>
          <w:rFonts w:ascii="仿宋_GB2312" w:eastAsia="仿宋_GB2312" w:cs="DengXian-Regular"/>
          <w:sz w:val="32"/>
          <w:szCs w:val="32"/>
        </w:rPr>
        <w:t>487.39</w:t>
      </w:r>
      <w:r>
        <w:rPr>
          <w:rFonts w:hint="eastAsia" w:ascii="仿宋_GB2312" w:eastAsia="仿宋_GB2312" w:cs="DengXian-Regular"/>
          <w:sz w:val="32"/>
          <w:szCs w:val="32"/>
        </w:rPr>
        <w:t>万元，所有项目均细化到具体用款单位及项目资金额度。项目预算细化率=（</w:t>
      </w:r>
      <w:r>
        <w:rPr>
          <w:rFonts w:ascii="仿宋_GB2312" w:eastAsia="仿宋_GB2312" w:cs="DengXian-Regular"/>
          <w:sz w:val="32"/>
          <w:szCs w:val="32"/>
        </w:rPr>
        <w:t>487.39</w:t>
      </w:r>
      <w:r>
        <w:rPr>
          <w:rFonts w:hint="eastAsia" w:ascii="仿宋_GB2312" w:eastAsia="仿宋_GB2312" w:cs="DengXian-Regular"/>
          <w:sz w:val="32"/>
          <w:szCs w:val="32"/>
        </w:rPr>
        <w:t>/</w:t>
      </w:r>
      <w:r>
        <w:rPr>
          <w:rFonts w:ascii="仿宋_GB2312" w:eastAsia="仿宋_GB2312" w:cs="DengXian-Regular"/>
          <w:sz w:val="32"/>
          <w:szCs w:val="32"/>
        </w:rPr>
        <w:t>487.39</w:t>
      </w:r>
      <w:r>
        <w:rPr>
          <w:rFonts w:hint="eastAsia" w:ascii="仿宋_GB2312" w:eastAsia="仿宋_GB2312" w:cs="DengXian-Regular"/>
          <w:sz w:val="32"/>
          <w:szCs w:val="32"/>
        </w:rPr>
        <w:t>）*100%=100%</w:t>
      </w:r>
    </w:p>
    <w:p w14:paraId="6F67AC9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2</w:t>
      </w:r>
      <w:r>
        <w:rPr>
          <w:rFonts w:hint="eastAsia" w:ascii="仿宋_GB2312" w:eastAsia="仿宋_GB2312" w:cs="DengXian-Regular"/>
          <w:sz w:val="32"/>
          <w:szCs w:val="32"/>
        </w:rPr>
        <w:t>分。</w:t>
      </w:r>
    </w:p>
    <w:p w14:paraId="44A2E5F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（3）在职人员控制率（2分）</w:t>
      </w:r>
    </w:p>
    <w:p w14:paraId="5FDFB82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该指标主要考核截至2022年底区留村镇政府在职人员控制情况，通过在职人员控制率衡量。</w:t>
      </w:r>
    </w:p>
    <w:p w14:paraId="5F3A910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在职人员控制率=决算在职人员/编制数×100%。</w:t>
      </w:r>
    </w:p>
    <w:p w14:paraId="2E8816A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根据保定市徐水区委办公室及保定市徐水区人民政府办公室关于印发《保定市徐水区留村镇政府职能配置内设机构和人员编制规定》的通知，徐水区留村镇政府编制为</w:t>
      </w:r>
      <w:r>
        <w:rPr>
          <w:rFonts w:ascii="仿宋_GB2312" w:eastAsia="仿宋_GB2312" w:cs="DengXian-Regular"/>
          <w:sz w:val="32"/>
          <w:szCs w:val="32"/>
        </w:rPr>
        <w:t>54</w:t>
      </w:r>
      <w:r>
        <w:rPr>
          <w:rFonts w:hint="eastAsia" w:ascii="仿宋_GB2312" w:eastAsia="仿宋_GB2312" w:cs="DengXian-Regular"/>
          <w:sz w:val="32"/>
          <w:szCs w:val="32"/>
        </w:rPr>
        <w:t>人，根据留村镇政府2022年决算文本-部门基本情况表，截至2022年底，在职人员</w:t>
      </w:r>
      <w:r>
        <w:rPr>
          <w:rFonts w:ascii="仿宋_GB2312" w:eastAsia="仿宋_GB2312" w:cs="DengXian-Regular"/>
          <w:sz w:val="32"/>
          <w:szCs w:val="32"/>
        </w:rPr>
        <w:t>87</w:t>
      </w:r>
      <w:r>
        <w:rPr>
          <w:rFonts w:hint="eastAsia" w:ascii="仿宋_GB2312" w:eastAsia="仿宋_GB2312" w:cs="DengXian-Regular"/>
          <w:sz w:val="32"/>
          <w:szCs w:val="32"/>
        </w:rPr>
        <w:t>人，在职人员控制率=（</w:t>
      </w:r>
      <w:r>
        <w:rPr>
          <w:rFonts w:ascii="仿宋_GB2312" w:eastAsia="仿宋_GB2312" w:cs="DengXian-Regular"/>
          <w:sz w:val="32"/>
          <w:szCs w:val="32"/>
        </w:rPr>
        <w:t>86/54</w:t>
      </w:r>
      <w:r>
        <w:rPr>
          <w:rFonts w:hint="eastAsia" w:ascii="仿宋_GB2312" w:eastAsia="仿宋_GB2312" w:cs="DengXian-Regular"/>
          <w:sz w:val="32"/>
          <w:szCs w:val="32"/>
        </w:rPr>
        <w:t>）*100%=</w:t>
      </w:r>
      <w:r>
        <w:rPr>
          <w:rFonts w:ascii="仿宋_GB2312" w:eastAsia="仿宋_GB2312" w:cs="DengXian-Regular"/>
          <w:sz w:val="32"/>
          <w:szCs w:val="32"/>
        </w:rPr>
        <w:t>159.26</w:t>
      </w:r>
      <w:r>
        <w:rPr>
          <w:rFonts w:hint="eastAsia" w:ascii="仿宋_GB2312" w:eastAsia="仿宋_GB2312" w:cs="DengXian-Regular"/>
          <w:sz w:val="32"/>
          <w:szCs w:val="32"/>
        </w:rPr>
        <w:t>%。</w:t>
      </w:r>
    </w:p>
    <w:p w14:paraId="13569C2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1</w:t>
      </w:r>
      <w:r>
        <w:rPr>
          <w:rFonts w:hint="eastAsia" w:ascii="仿宋_GB2312" w:eastAsia="仿宋_GB2312" w:cs="DengXian-Regular"/>
          <w:sz w:val="32"/>
          <w:szCs w:val="32"/>
        </w:rPr>
        <w:t>分。</w:t>
      </w:r>
    </w:p>
    <w:bookmarkEnd w:id="60"/>
    <w:bookmarkEnd w:id="61"/>
    <w:p w14:paraId="3C4CA4C2">
      <w:pPr>
        <w:pStyle w:val="4"/>
        <w:spacing w:before="0" w:after="0"/>
        <w:ind w:firstLine="643" w:firstLineChars="200"/>
        <w:jc w:val="both"/>
        <w:rPr>
          <w:rFonts w:ascii="楷体" w:hAnsi="楷体" w:eastAsia="楷体"/>
          <w:sz w:val="32"/>
        </w:rPr>
      </w:pPr>
      <w:bookmarkStart w:id="62" w:name="_Toc19940"/>
      <w:r>
        <w:rPr>
          <w:rFonts w:hint="eastAsia" w:ascii="楷体" w:hAnsi="楷体" w:eastAsia="楷体"/>
          <w:sz w:val="32"/>
        </w:rPr>
        <w:t>（二）过程（48分）</w:t>
      </w:r>
      <w:bookmarkEnd w:id="62"/>
    </w:p>
    <w:p w14:paraId="0D64E48A">
      <w:pPr>
        <w:spacing w:after="0" w:line="360" w:lineRule="auto"/>
        <w:ind w:firstLine="640" w:firstLineChars="200"/>
        <w:jc w:val="both"/>
        <w:textAlignment w:val="baseline"/>
        <w:rPr>
          <w:rFonts w:ascii="仿宋_GB2312" w:eastAsia="仿宋_GB2312" w:cs="DengXian-Regular"/>
          <w:sz w:val="32"/>
          <w:szCs w:val="32"/>
        </w:rPr>
      </w:pPr>
      <w:bookmarkStart w:id="63" w:name="_Toc464638480"/>
      <w:r>
        <w:rPr>
          <w:rFonts w:hint="eastAsia" w:ascii="仿宋_GB2312" w:eastAsia="仿宋_GB2312" w:cs="DengXian-Regular"/>
          <w:sz w:val="32"/>
          <w:szCs w:val="32"/>
        </w:rPr>
        <w:t>该一级指标包含预算执行、预算管理和绩效评价三个二级指标，主要反映预算调整、收入支出完成情况，“三公”经费、政府采购执行情况，财务管理是否规范、资金使用是否合规，决算真实性。</w:t>
      </w:r>
    </w:p>
    <w:p w14:paraId="23C9DA14">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表3  过程指标及得分情况表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57"/>
        <w:gridCol w:w="1388"/>
        <w:gridCol w:w="2277"/>
        <w:gridCol w:w="1155"/>
        <w:gridCol w:w="1276"/>
      </w:tblGrid>
      <w:tr w14:paraId="5605B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Align w:val="center"/>
          </w:tcPr>
          <w:p w14:paraId="0ED1F11E">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388" w:type="dxa"/>
            <w:vAlign w:val="center"/>
          </w:tcPr>
          <w:p w14:paraId="1273A568">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277" w:type="dxa"/>
            <w:vAlign w:val="center"/>
          </w:tcPr>
          <w:p w14:paraId="35210243">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55" w:type="dxa"/>
            <w:vAlign w:val="center"/>
          </w:tcPr>
          <w:p w14:paraId="36D0EA17">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276" w:type="dxa"/>
            <w:vAlign w:val="center"/>
          </w:tcPr>
          <w:p w14:paraId="6A2EEC06">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2DF89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restart"/>
            <w:vAlign w:val="center"/>
          </w:tcPr>
          <w:p w14:paraId="516EB64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过程（48分）</w:t>
            </w:r>
          </w:p>
        </w:tc>
        <w:tc>
          <w:tcPr>
            <w:tcW w:w="1388" w:type="dxa"/>
            <w:vMerge w:val="restart"/>
            <w:vAlign w:val="center"/>
          </w:tcPr>
          <w:p w14:paraId="2AC5844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预算执行</w:t>
            </w:r>
          </w:p>
          <w:p w14:paraId="181A0F5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（24分）</w:t>
            </w:r>
          </w:p>
        </w:tc>
        <w:tc>
          <w:tcPr>
            <w:tcW w:w="2277" w:type="dxa"/>
            <w:vAlign w:val="center"/>
          </w:tcPr>
          <w:p w14:paraId="6631F2F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预算收入调整率</w:t>
            </w:r>
          </w:p>
        </w:tc>
        <w:tc>
          <w:tcPr>
            <w:tcW w:w="1155" w:type="dxa"/>
            <w:vAlign w:val="center"/>
          </w:tcPr>
          <w:p w14:paraId="2DD3824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14:paraId="567D9C6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78E8C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1B9677BF">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3A36EABB">
            <w:pPr>
              <w:spacing w:line="420" w:lineRule="exact"/>
              <w:jc w:val="center"/>
              <w:rPr>
                <w:rFonts w:cs="宋体" w:asciiTheme="minorEastAsia" w:hAnsiTheme="minorEastAsia" w:eastAsiaTheme="minorEastAsia"/>
                <w:sz w:val="21"/>
                <w:szCs w:val="21"/>
              </w:rPr>
            </w:pPr>
          </w:p>
        </w:tc>
        <w:tc>
          <w:tcPr>
            <w:tcW w:w="2277" w:type="dxa"/>
            <w:vAlign w:val="center"/>
          </w:tcPr>
          <w:p w14:paraId="4FD2862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收入完成率</w:t>
            </w:r>
          </w:p>
        </w:tc>
        <w:tc>
          <w:tcPr>
            <w:tcW w:w="1155" w:type="dxa"/>
            <w:vAlign w:val="center"/>
          </w:tcPr>
          <w:p w14:paraId="6F0E8F4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58DE42C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6E9D4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73211208">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504A5841">
            <w:pPr>
              <w:spacing w:line="420" w:lineRule="exact"/>
              <w:jc w:val="center"/>
              <w:rPr>
                <w:rFonts w:cs="宋体" w:asciiTheme="minorEastAsia" w:hAnsiTheme="minorEastAsia" w:eastAsiaTheme="minorEastAsia"/>
                <w:sz w:val="21"/>
                <w:szCs w:val="21"/>
              </w:rPr>
            </w:pPr>
          </w:p>
        </w:tc>
        <w:tc>
          <w:tcPr>
            <w:tcW w:w="2277" w:type="dxa"/>
            <w:vAlign w:val="center"/>
          </w:tcPr>
          <w:p w14:paraId="5C7FC9B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预算支出调整率</w:t>
            </w:r>
          </w:p>
        </w:tc>
        <w:tc>
          <w:tcPr>
            <w:tcW w:w="1155" w:type="dxa"/>
            <w:vAlign w:val="center"/>
          </w:tcPr>
          <w:p w14:paraId="070843A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14:paraId="011F360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6A538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06E8A212">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1883268B">
            <w:pPr>
              <w:spacing w:line="420" w:lineRule="exact"/>
              <w:jc w:val="center"/>
              <w:rPr>
                <w:rFonts w:cs="宋体" w:asciiTheme="minorEastAsia" w:hAnsiTheme="minorEastAsia" w:eastAsiaTheme="minorEastAsia"/>
                <w:sz w:val="21"/>
                <w:szCs w:val="21"/>
              </w:rPr>
            </w:pPr>
          </w:p>
        </w:tc>
        <w:tc>
          <w:tcPr>
            <w:tcW w:w="2277" w:type="dxa"/>
            <w:vAlign w:val="center"/>
          </w:tcPr>
          <w:p w14:paraId="5798540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财政拨款支出完成率</w:t>
            </w:r>
          </w:p>
        </w:tc>
        <w:tc>
          <w:tcPr>
            <w:tcW w:w="1155" w:type="dxa"/>
            <w:vAlign w:val="center"/>
          </w:tcPr>
          <w:p w14:paraId="49F7A92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66CEC3E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65D37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78DAB43E">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3E30AB67">
            <w:pPr>
              <w:spacing w:line="420" w:lineRule="exact"/>
              <w:jc w:val="center"/>
              <w:rPr>
                <w:rFonts w:cs="宋体" w:asciiTheme="minorEastAsia" w:hAnsiTheme="minorEastAsia" w:eastAsiaTheme="minorEastAsia"/>
                <w:sz w:val="21"/>
                <w:szCs w:val="21"/>
              </w:rPr>
            </w:pPr>
          </w:p>
        </w:tc>
        <w:tc>
          <w:tcPr>
            <w:tcW w:w="2277" w:type="dxa"/>
            <w:vAlign w:val="center"/>
          </w:tcPr>
          <w:p w14:paraId="42557A5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“三公经费”控制率</w:t>
            </w:r>
          </w:p>
        </w:tc>
        <w:tc>
          <w:tcPr>
            <w:tcW w:w="1155" w:type="dxa"/>
            <w:vAlign w:val="center"/>
          </w:tcPr>
          <w:p w14:paraId="0D3E3EE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35577BB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38C42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6FBA9697">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60D01981">
            <w:pPr>
              <w:spacing w:line="420" w:lineRule="exact"/>
              <w:jc w:val="center"/>
              <w:rPr>
                <w:rFonts w:cs="宋体" w:asciiTheme="minorEastAsia" w:hAnsiTheme="minorEastAsia" w:eastAsiaTheme="minorEastAsia"/>
                <w:sz w:val="21"/>
                <w:szCs w:val="21"/>
              </w:rPr>
            </w:pPr>
          </w:p>
        </w:tc>
        <w:tc>
          <w:tcPr>
            <w:tcW w:w="2277" w:type="dxa"/>
            <w:vAlign w:val="center"/>
          </w:tcPr>
          <w:p w14:paraId="762FA4F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政府采购执行率</w:t>
            </w:r>
          </w:p>
        </w:tc>
        <w:tc>
          <w:tcPr>
            <w:tcW w:w="1155" w:type="dxa"/>
            <w:vAlign w:val="center"/>
          </w:tcPr>
          <w:p w14:paraId="5DB17D9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72EA618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19C68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2E87EE9E">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6E392172">
            <w:pPr>
              <w:spacing w:line="420" w:lineRule="exact"/>
              <w:jc w:val="center"/>
              <w:rPr>
                <w:rFonts w:cs="宋体" w:asciiTheme="minorEastAsia" w:hAnsiTheme="minorEastAsia" w:eastAsiaTheme="minorEastAsia"/>
                <w:sz w:val="21"/>
                <w:szCs w:val="21"/>
              </w:rPr>
            </w:pPr>
          </w:p>
        </w:tc>
        <w:tc>
          <w:tcPr>
            <w:tcW w:w="2277" w:type="dxa"/>
            <w:vAlign w:val="center"/>
          </w:tcPr>
          <w:p w14:paraId="3E622FC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资金使用合规性</w:t>
            </w:r>
          </w:p>
        </w:tc>
        <w:tc>
          <w:tcPr>
            <w:tcW w:w="1155" w:type="dxa"/>
            <w:vAlign w:val="center"/>
          </w:tcPr>
          <w:p w14:paraId="728765A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165DEEA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5FF8F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2F42E65D">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0A93A554">
            <w:pPr>
              <w:spacing w:line="420" w:lineRule="exact"/>
              <w:jc w:val="center"/>
              <w:rPr>
                <w:rFonts w:cs="宋体" w:asciiTheme="minorEastAsia" w:hAnsiTheme="minorEastAsia" w:eastAsiaTheme="minorEastAsia"/>
                <w:sz w:val="21"/>
                <w:szCs w:val="21"/>
              </w:rPr>
            </w:pPr>
          </w:p>
        </w:tc>
        <w:tc>
          <w:tcPr>
            <w:tcW w:w="2277" w:type="dxa"/>
            <w:vAlign w:val="center"/>
          </w:tcPr>
          <w:p w14:paraId="6C94552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决算真实性</w:t>
            </w:r>
          </w:p>
        </w:tc>
        <w:tc>
          <w:tcPr>
            <w:tcW w:w="1155" w:type="dxa"/>
            <w:vAlign w:val="center"/>
          </w:tcPr>
          <w:p w14:paraId="7FE8B88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632DFE6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38591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5A4AF675">
            <w:pPr>
              <w:spacing w:line="420" w:lineRule="exact"/>
              <w:jc w:val="center"/>
              <w:rPr>
                <w:rFonts w:cs="宋体" w:asciiTheme="minorEastAsia" w:hAnsiTheme="minorEastAsia" w:eastAsiaTheme="minorEastAsia"/>
                <w:sz w:val="21"/>
                <w:szCs w:val="21"/>
              </w:rPr>
            </w:pPr>
          </w:p>
        </w:tc>
        <w:tc>
          <w:tcPr>
            <w:tcW w:w="1388" w:type="dxa"/>
            <w:vMerge w:val="restart"/>
            <w:vAlign w:val="center"/>
          </w:tcPr>
          <w:p w14:paraId="1A14EA7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预算管理</w:t>
            </w:r>
          </w:p>
          <w:p w14:paraId="457874B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（16分）</w:t>
            </w:r>
          </w:p>
        </w:tc>
        <w:tc>
          <w:tcPr>
            <w:tcW w:w="2277" w:type="dxa"/>
            <w:vAlign w:val="center"/>
          </w:tcPr>
          <w:p w14:paraId="36218E6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管理制度健全性</w:t>
            </w:r>
          </w:p>
        </w:tc>
        <w:tc>
          <w:tcPr>
            <w:tcW w:w="1155" w:type="dxa"/>
            <w:vAlign w:val="center"/>
          </w:tcPr>
          <w:p w14:paraId="78B0D6A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2DF6083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27CBB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4E19F885">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44710064">
            <w:pPr>
              <w:spacing w:line="420" w:lineRule="exact"/>
              <w:jc w:val="center"/>
              <w:rPr>
                <w:rFonts w:cs="宋体" w:asciiTheme="minorEastAsia" w:hAnsiTheme="minorEastAsia" w:eastAsiaTheme="minorEastAsia"/>
                <w:sz w:val="21"/>
                <w:szCs w:val="21"/>
              </w:rPr>
            </w:pPr>
          </w:p>
        </w:tc>
        <w:tc>
          <w:tcPr>
            <w:tcW w:w="2277" w:type="dxa"/>
            <w:vAlign w:val="center"/>
          </w:tcPr>
          <w:p w14:paraId="149CD66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预决算信息公开</w:t>
            </w:r>
          </w:p>
        </w:tc>
        <w:tc>
          <w:tcPr>
            <w:tcW w:w="1155" w:type="dxa"/>
            <w:vAlign w:val="center"/>
          </w:tcPr>
          <w:p w14:paraId="0798A56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6F903AE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717EE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44A6BB88">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43CADE94">
            <w:pPr>
              <w:spacing w:line="420" w:lineRule="exact"/>
              <w:jc w:val="center"/>
              <w:rPr>
                <w:rFonts w:cs="宋体" w:asciiTheme="minorEastAsia" w:hAnsiTheme="minorEastAsia" w:eastAsiaTheme="minorEastAsia"/>
                <w:sz w:val="21"/>
                <w:szCs w:val="21"/>
              </w:rPr>
            </w:pPr>
          </w:p>
        </w:tc>
        <w:tc>
          <w:tcPr>
            <w:tcW w:w="2277" w:type="dxa"/>
            <w:vAlign w:val="center"/>
          </w:tcPr>
          <w:p w14:paraId="524E2C3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基础信息完善性</w:t>
            </w:r>
          </w:p>
        </w:tc>
        <w:tc>
          <w:tcPr>
            <w:tcW w:w="1155" w:type="dxa"/>
            <w:vAlign w:val="center"/>
          </w:tcPr>
          <w:p w14:paraId="7EA3024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304BF73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56CC3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0F97A6FB">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1E261864">
            <w:pPr>
              <w:spacing w:line="420" w:lineRule="exact"/>
              <w:jc w:val="center"/>
              <w:rPr>
                <w:rFonts w:cs="宋体" w:asciiTheme="minorEastAsia" w:hAnsiTheme="minorEastAsia" w:eastAsiaTheme="minorEastAsia"/>
                <w:sz w:val="21"/>
                <w:szCs w:val="21"/>
              </w:rPr>
            </w:pPr>
          </w:p>
        </w:tc>
        <w:tc>
          <w:tcPr>
            <w:tcW w:w="2277" w:type="dxa"/>
            <w:vAlign w:val="center"/>
          </w:tcPr>
          <w:p w14:paraId="39E456B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资产管理规范性</w:t>
            </w:r>
          </w:p>
        </w:tc>
        <w:tc>
          <w:tcPr>
            <w:tcW w:w="1155" w:type="dxa"/>
            <w:vAlign w:val="center"/>
          </w:tcPr>
          <w:p w14:paraId="47698A1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40144A0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1CCC0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7" w:hRule="exact"/>
          <w:jc w:val="center"/>
        </w:trPr>
        <w:tc>
          <w:tcPr>
            <w:tcW w:w="1557" w:type="dxa"/>
            <w:vMerge w:val="continue"/>
            <w:vAlign w:val="center"/>
          </w:tcPr>
          <w:p w14:paraId="28BE3BE7">
            <w:pPr>
              <w:spacing w:line="420" w:lineRule="exact"/>
              <w:jc w:val="center"/>
              <w:rPr>
                <w:rFonts w:cs="宋体" w:asciiTheme="minorEastAsia" w:hAnsiTheme="minorEastAsia" w:eastAsiaTheme="minorEastAsia"/>
                <w:sz w:val="21"/>
                <w:szCs w:val="21"/>
              </w:rPr>
            </w:pPr>
          </w:p>
        </w:tc>
        <w:tc>
          <w:tcPr>
            <w:tcW w:w="1388" w:type="dxa"/>
            <w:vMerge w:val="restart"/>
            <w:vAlign w:val="center"/>
          </w:tcPr>
          <w:p w14:paraId="58D81B9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w:t>
            </w:r>
          </w:p>
          <w:p w14:paraId="0DA84E0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（8分）</w:t>
            </w:r>
          </w:p>
        </w:tc>
        <w:tc>
          <w:tcPr>
            <w:tcW w:w="2277" w:type="dxa"/>
            <w:vAlign w:val="center"/>
          </w:tcPr>
          <w:p w14:paraId="6D4C9D2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绩效自评覆盖率</w:t>
            </w:r>
          </w:p>
        </w:tc>
        <w:tc>
          <w:tcPr>
            <w:tcW w:w="1155" w:type="dxa"/>
            <w:vAlign w:val="center"/>
          </w:tcPr>
          <w:p w14:paraId="517AC0E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7FC5292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1A7B0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2" w:hRule="exact"/>
          <w:jc w:val="center"/>
        </w:trPr>
        <w:tc>
          <w:tcPr>
            <w:tcW w:w="1557" w:type="dxa"/>
            <w:vMerge w:val="continue"/>
            <w:vAlign w:val="center"/>
          </w:tcPr>
          <w:p w14:paraId="1FA063A6">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5440DB0E">
            <w:pPr>
              <w:spacing w:line="420" w:lineRule="exact"/>
              <w:jc w:val="center"/>
              <w:rPr>
                <w:rFonts w:cs="宋体" w:asciiTheme="minorEastAsia" w:hAnsiTheme="minorEastAsia" w:eastAsiaTheme="minorEastAsia"/>
                <w:sz w:val="21"/>
                <w:szCs w:val="21"/>
              </w:rPr>
            </w:pPr>
          </w:p>
        </w:tc>
        <w:tc>
          <w:tcPr>
            <w:tcW w:w="2277" w:type="dxa"/>
            <w:vAlign w:val="center"/>
          </w:tcPr>
          <w:p w14:paraId="3EBD048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绩效评价优等率</w:t>
            </w:r>
          </w:p>
        </w:tc>
        <w:tc>
          <w:tcPr>
            <w:tcW w:w="1155" w:type="dxa"/>
            <w:vAlign w:val="center"/>
          </w:tcPr>
          <w:p w14:paraId="2FA0E10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53303E5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01D2B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2945" w:type="dxa"/>
            <w:gridSpan w:val="2"/>
            <w:vAlign w:val="center"/>
          </w:tcPr>
          <w:p w14:paraId="482818F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277" w:type="dxa"/>
            <w:vAlign w:val="center"/>
          </w:tcPr>
          <w:p w14:paraId="24491B64">
            <w:pPr>
              <w:spacing w:line="420" w:lineRule="exact"/>
              <w:jc w:val="center"/>
              <w:rPr>
                <w:rFonts w:cs="宋体" w:asciiTheme="minorEastAsia" w:hAnsiTheme="minorEastAsia" w:eastAsiaTheme="minorEastAsia"/>
                <w:sz w:val="21"/>
                <w:szCs w:val="21"/>
              </w:rPr>
            </w:pPr>
          </w:p>
        </w:tc>
        <w:tc>
          <w:tcPr>
            <w:tcW w:w="1155" w:type="dxa"/>
            <w:vAlign w:val="center"/>
          </w:tcPr>
          <w:p w14:paraId="591FFD0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48</w:t>
            </w:r>
          </w:p>
        </w:tc>
        <w:tc>
          <w:tcPr>
            <w:tcW w:w="1276" w:type="dxa"/>
            <w:vAlign w:val="center"/>
          </w:tcPr>
          <w:p w14:paraId="5DFFB0A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r>
              <w:rPr>
                <w:rFonts w:cs="宋体" w:asciiTheme="minorEastAsia" w:hAnsiTheme="minorEastAsia" w:eastAsiaTheme="minorEastAsia"/>
                <w:sz w:val="21"/>
                <w:szCs w:val="21"/>
              </w:rPr>
              <w:t>8</w:t>
            </w:r>
          </w:p>
        </w:tc>
      </w:tr>
      <w:bookmarkEnd w:id="63"/>
    </w:tbl>
    <w:p w14:paraId="4F6BF914">
      <w:pPr>
        <w:spacing w:after="0" w:line="360" w:lineRule="auto"/>
        <w:ind w:firstLine="640" w:firstLineChars="200"/>
        <w:jc w:val="both"/>
        <w:textAlignment w:val="baseline"/>
        <w:rPr>
          <w:rFonts w:ascii="仿宋_GB2312" w:eastAsia="仿宋_GB2312" w:cs="DengXian-Regular"/>
          <w:sz w:val="32"/>
          <w:szCs w:val="32"/>
        </w:rPr>
      </w:pPr>
      <w:bookmarkStart w:id="64" w:name="_Toc465149514"/>
      <w:bookmarkStart w:id="65" w:name="_Toc464638487"/>
      <w:r>
        <w:rPr>
          <w:rFonts w:hint="eastAsia" w:ascii="仿宋_GB2312" w:eastAsia="仿宋_GB2312" w:cs="DengXian-Regular"/>
          <w:sz w:val="32"/>
          <w:szCs w:val="32"/>
        </w:rPr>
        <w:t>1.预算执行（24分）</w:t>
      </w:r>
    </w:p>
    <w:p w14:paraId="4003AB8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（1）预算收入调整率（2分）</w:t>
      </w:r>
    </w:p>
    <w:p w14:paraId="0B38998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该指标主要评价预算收入的调整情况，进而衡量预算收入编制的准确性，通过预算收入调整率衡量。</w:t>
      </w:r>
    </w:p>
    <w:p w14:paraId="4136E34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预算收入调整率=（调整预算数-年初预算数）/年初预算数*100%</w:t>
      </w:r>
    </w:p>
    <w:p w14:paraId="77ED75C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根据留村镇的预算指标文件，其中：徐财预指[2022]</w:t>
      </w:r>
      <w:r>
        <w:rPr>
          <w:rFonts w:ascii="仿宋_GB2312" w:eastAsia="仿宋_GB2312" w:cs="DengXian-Regular"/>
          <w:sz w:val="32"/>
          <w:szCs w:val="32"/>
        </w:rPr>
        <w:t>1-1309</w:t>
      </w:r>
      <w:r>
        <w:rPr>
          <w:rFonts w:hint="eastAsia" w:ascii="仿宋_GB2312" w:eastAsia="仿宋_GB2312" w:cs="DengXian-Regular"/>
          <w:sz w:val="32"/>
          <w:szCs w:val="32"/>
        </w:rPr>
        <w:t>号追加留村镇胡家营村农村公益事业建设财政奖补项目资金2</w:t>
      </w:r>
      <w:r>
        <w:rPr>
          <w:rFonts w:ascii="仿宋_GB2312" w:eastAsia="仿宋_GB2312" w:cs="DengXian-Regular"/>
          <w:sz w:val="32"/>
          <w:szCs w:val="32"/>
        </w:rPr>
        <w:t>9.994328</w:t>
      </w:r>
      <w:r>
        <w:rPr>
          <w:rFonts w:hint="eastAsia" w:ascii="仿宋_GB2312" w:eastAsia="仿宋_GB2312" w:cs="DengXian-Regular"/>
          <w:sz w:val="32"/>
          <w:szCs w:val="32"/>
        </w:rPr>
        <w:t>万元；徐财预指[2022]1-13</w:t>
      </w:r>
      <w:r>
        <w:rPr>
          <w:rFonts w:ascii="仿宋_GB2312" w:eastAsia="仿宋_GB2312" w:cs="DengXian-Regular"/>
          <w:sz w:val="32"/>
          <w:szCs w:val="32"/>
        </w:rPr>
        <w:t>08</w:t>
      </w:r>
      <w:r>
        <w:rPr>
          <w:rFonts w:hint="eastAsia" w:ascii="仿宋_GB2312" w:eastAsia="仿宋_GB2312" w:cs="DengXian-Regular"/>
          <w:sz w:val="32"/>
          <w:szCs w:val="32"/>
        </w:rPr>
        <w:t>号追加留村镇东村农村公益事业建设奖补项目资金2</w:t>
      </w:r>
      <w:r>
        <w:rPr>
          <w:rFonts w:ascii="仿宋_GB2312" w:eastAsia="仿宋_GB2312" w:cs="DengXian-Regular"/>
          <w:sz w:val="32"/>
          <w:szCs w:val="32"/>
        </w:rPr>
        <w:t>9.931629</w:t>
      </w:r>
      <w:r>
        <w:rPr>
          <w:rFonts w:hint="eastAsia" w:ascii="仿宋_GB2312" w:eastAsia="仿宋_GB2312" w:cs="DengXian-Regular"/>
          <w:sz w:val="32"/>
          <w:szCs w:val="32"/>
        </w:rPr>
        <w:t>万元；徐财预指[2022]1-13</w:t>
      </w:r>
      <w:r>
        <w:rPr>
          <w:rFonts w:ascii="仿宋_GB2312" w:eastAsia="仿宋_GB2312" w:cs="DengXian-Regular"/>
          <w:sz w:val="32"/>
          <w:szCs w:val="32"/>
        </w:rPr>
        <w:t>04</w:t>
      </w:r>
      <w:r>
        <w:rPr>
          <w:rFonts w:hint="eastAsia" w:ascii="仿宋_GB2312" w:eastAsia="仿宋_GB2312" w:cs="DengXian-Regular"/>
          <w:sz w:val="32"/>
          <w:szCs w:val="32"/>
        </w:rPr>
        <w:t>号追加留村镇留村农村公益事业建设奖补项目资金2</w:t>
      </w:r>
      <w:r>
        <w:rPr>
          <w:rFonts w:ascii="仿宋_GB2312" w:eastAsia="仿宋_GB2312" w:cs="DengXian-Regular"/>
          <w:sz w:val="32"/>
          <w:szCs w:val="32"/>
        </w:rPr>
        <w:t>9.9430</w:t>
      </w:r>
      <w:r>
        <w:rPr>
          <w:rFonts w:hint="eastAsia" w:ascii="仿宋_GB2312" w:eastAsia="仿宋_GB2312" w:cs="DengXian-Regular"/>
          <w:sz w:val="32"/>
          <w:szCs w:val="32"/>
        </w:rPr>
        <w:t>万元；徐财预指[2022]1-13</w:t>
      </w:r>
      <w:r>
        <w:rPr>
          <w:rFonts w:ascii="仿宋_GB2312" w:eastAsia="仿宋_GB2312" w:cs="DengXian-Regular"/>
          <w:sz w:val="32"/>
          <w:szCs w:val="32"/>
        </w:rPr>
        <w:t>05</w:t>
      </w:r>
      <w:r>
        <w:rPr>
          <w:rFonts w:hint="eastAsia" w:ascii="仿宋_GB2312" w:eastAsia="仿宋_GB2312" w:cs="DengXian-Regular"/>
          <w:sz w:val="32"/>
          <w:szCs w:val="32"/>
        </w:rPr>
        <w:t>号追加留村镇仪村农村公益事业建设奖补项目资金</w:t>
      </w:r>
      <w:r>
        <w:rPr>
          <w:rFonts w:ascii="仿宋_GB2312" w:eastAsia="仿宋_GB2312" w:cs="DengXian-Regular"/>
          <w:sz w:val="32"/>
          <w:szCs w:val="32"/>
        </w:rPr>
        <w:t>29.5083</w:t>
      </w:r>
      <w:r>
        <w:rPr>
          <w:rFonts w:hint="eastAsia" w:ascii="仿宋_GB2312" w:eastAsia="仿宋_GB2312" w:cs="DengXian-Regular"/>
          <w:sz w:val="32"/>
          <w:szCs w:val="32"/>
        </w:rPr>
        <w:t>万元；徐财预指[</w:t>
      </w:r>
      <w:r>
        <w:rPr>
          <w:rFonts w:ascii="仿宋_GB2312" w:eastAsia="仿宋_GB2312" w:cs="DengXian-Regular"/>
          <w:sz w:val="32"/>
          <w:szCs w:val="32"/>
        </w:rPr>
        <w:t>2022]2-1222</w:t>
      </w:r>
      <w:r>
        <w:rPr>
          <w:rFonts w:hint="eastAsia" w:ascii="仿宋_GB2312" w:eastAsia="仿宋_GB2312" w:cs="DengXian-Regular"/>
          <w:sz w:val="32"/>
          <w:szCs w:val="32"/>
        </w:rPr>
        <w:t>号追加2022年中央补助地方美术馆、公共图书馆、文化馆（站）免费开放补助资金</w:t>
      </w:r>
      <w:r>
        <w:rPr>
          <w:rFonts w:ascii="仿宋_GB2312" w:eastAsia="仿宋_GB2312" w:cs="DengXian-Regular"/>
          <w:sz w:val="32"/>
          <w:szCs w:val="32"/>
        </w:rPr>
        <w:t>3</w:t>
      </w:r>
      <w:r>
        <w:rPr>
          <w:rFonts w:hint="eastAsia" w:ascii="仿宋_GB2312" w:eastAsia="仿宋_GB2312" w:cs="DengXian-Regular"/>
          <w:sz w:val="32"/>
          <w:szCs w:val="32"/>
        </w:rPr>
        <w:t>万元；徐财预指[</w:t>
      </w:r>
      <w:r>
        <w:rPr>
          <w:rFonts w:ascii="仿宋_GB2312" w:eastAsia="仿宋_GB2312" w:cs="DengXian-Regular"/>
          <w:sz w:val="32"/>
          <w:szCs w:val="32"/>
        </w:rPr>
        <w:t>2022]2-1223</w:t>
      </w:r>
      <w:r>
        <w:rPr>
          <w:rFonts w:hint="eastAsia" w:ascii="仿宋_GB2312" w:eastAsia="仿宋_GB2312" w:cs="DengXian-Regular"/>
          <w:sz w:val="32"/>
          <w:szCs w:val="32"/>
        </w:rPr>
        <w:t>号2</w:t>
      </w:r>
      <w:r>
        <w:rPr>
          <w:rFonts w:ascii="仿宋_GB2312" w:eastAsia="仿宋_GB2312" w:cs="DengXian-Regular"/>
          <w:sz w:val="32"/>
          <w:szCs w:val="32"/>
        </w:rPr>
        <w:t>022</w:t>
      </w:r>
      <w:r>
        <w:rPr>
          <w:rFonts w:hint="eastAsia" w:ascii="仿宋_GB2312" w:eastAsia="仿宋_GB2312" w:cs="DengXian-Regular"/>
          <w:sz w:val="32"/>
          <w:szCs w:val="32"/>
        </w:rPr>
        <w:t>年省级“三馆一站”免费开放补助资金0</w:t>
      </w:r>
      <w:r>
        <w:rPr>
          <w:rFonts w:ascii="仿宋_GB2312" w:eastAsia="仿宋_GB2312" w:cs="DengXian-Regular"/>
          <w:sz w:val="32"/>
          <w:szCs w:val="32"/>
        </w:rPr>
        <w:t>.5</w:t>
      </w:r>
      <w:r>
        <w:rPr>
          <w:rFonts w:hint="eastAsia" w:ascii="仿宋_GB2312" w:eastAsia="仿宋_GB2312" w:cs="DengXian-Regular"/>
          <w:sz w:val="32"/>
          <w:szCs w:val="32"/>
        </w:rPr>
        <w:t>万元；徐财预指[2022]</w:t>
      </w:r>
      <w:r>
        <w:rPr>
          <w:rFonts w:ascii="仿宋_GB2312" w:eastAsia="仿宋_GB2312" w:cs="DengXian-Regular"/>
          <w:sz w:val="32"/>
          <w:szCs w:val="32"/>
        </w:rPr>
        <w:t>3</w:t>
      </w:r>
      <w:r>
        <w:rPr>
          <w:rFonts w:hint="eastAsia" w:ascii="仿宋_GB2312" w:eastAsia="仿宋_GB2312" w:cs="DengXian-Regular"/>
          <w:sz w:val="32"/>
          <w:szCs w:val="32"/>
        </w:rPr>
        <w:t>-</w:t>
      </w:r>
      <w:r>
        <w:rPr>
          <w:rFonts w:ascii="仿宋_GB2312" w:eastAsia="仿宋_GB2312" w:cs="DengXian-Regular"/>
          <w:sz w:val="32"/>
          <w:szCs w:val="32"/>
        </w:rPr>
        <w:t>1069</w:t>
      </w:r>
      <w:r>
        <w:rPr>
          <w:rFonts w:hint="eastAsia" w:ascii="仿宋_GB2312" w:eastAsia="仿宋_GB2312" w:cs="DengXian-Regular"/>
          <w:sz w:val="32"/>
          <w:szCs w:val="32"/>
        </w:rPr>
        <w:t>号第四季度政法稳定经费5万元；徐财预指[2022]1-</w:t>
      </w:r>
      <w:r>
        <w:rPr>
          <w:rFonts w:ascii="仿宋_GB2312" w:eastAsia="仿宋_GB2312" w:cs="DengXian-Regular"/>
          <w:sz w:val="32"/>
          <w:szCs w:val="32"/>
        </w:rPr>
        <w:t>1319</w:t>
      </w:r>
      <w:r>
        <w:rPr>
          <w:rFonts w:hint="eastAsia" w:ascii="仿宋_GB2312" w:eastAsia="仿宋_GB2312" w:cs="DengXian-Regular"/>
          <w:sz w:val="32"/>
          <w:szCs w:val="32"/>
        </w:rPr>
        <w:t>号追加疫情防控工作经费</w:t>
      </w:r>
      <w:r>
        <w:rPr>
          <w:rFonts w:ascii="仿宋_GB2312" w:eastAsia="仿宋_GB2312" w:cs="DengXian-Regular"/>
          <w:sz w:val="32"/>
          <w:szCs w:val="32"/>
        </w:rPr>
        <w:t>7.5</w:t>
      </w:r>
      <w:r>
        <w:rPr>
          <w:rFonts w:hint="eastAsia" w:ascii="仿宋_GB2312" w:eastAsia="仿宋_GB2312" w:cs="DengXian-Regular"/>
          <w:sz w:val="32"/>
          <w:szCs w:val="32"/>
        </w:rPr>
        <w:t>万元；徐财预指[2022]1-1</w:t>
      </w:r>
      <w:r>
        <w:rPr>
          <w:rFonts w:ascii="仿宋_GB2312" w:eastAsia="仿宋_GB2312" w:cs="DengXian-Regular"/>
          <w:sz w:val="32"/>
          <w:szCs w:val="32"/>
        </w:rPr>
        <w:t>298</w:t>
      </w:r>
      <w:r>
        <w:rPr>
          <w:rFonts w:hint="eastAsia" w:ascii="仿宋_GB2312" w:eastAsia="仿宋_GB2312" w:cs="DengXian-Regular"/>
          <w:sz w:val="32"/>
          <w:szCs w:val="32"/>
        </w:rPr>
        <w:t>号追加驻村工作队经费</w:t>
      </w:r>
      <w:r>
        <w:rPr>
          <w:rFonts w:ascii="仿宋_GB2312" w:eastAsia="仿宋_GB2312" w:cs="DengXian-Regular"/>
          <w:sz w:val="32"/>
          <w:szCs w:val="32"/>
        </w:rPr>
        <w:t>4</w:t>
      </w:r>
      <w:r>
        <w:rPr>
          <w:rFonts w:hint="eastAsia" w:ascii="仿宋_GB2312" w:eastAsia="仿宋_GB2312" w:cs="DengXian-Regular"/>
          <w:sz w:val="32"/>
          <w:szCs w:val="32"/>
        </w:rPr>
        <w:t>万元；徐财预指[2022]1-1</w:t>
      </w:r>
      <w:r>
        <w:rPr>
          <w:rFonts w:ascii="仿宋_GB2312" w:eastAsia="仿宋_GB2312" w:cs="DengXian-Regular"/>
          <w:sz w:val="32"/>
          <w:szCs w:val="32"/>
        </w:rPr>
        <w:t>131</w:t>
      </w:r>
      <w:r>
        <w:rPr>
          <w:rFonts w:hint="eastAsia" w:ascii="仿宋_GB2312" w:eastAsia="仿宋_GB2312" w:cs="DengXian-Regular"/>
          <w:sz w:val="32"/>
          <w:szCs w:val="32"/>
        </w:rPr>
        <w:t>号追加驻村工作队经费</w:t>
      </w:r>
      <w:r>
        <w:rPr>
          <w:rFonts w:ascii="仿宋_GB2312" w:eastAsia="仿宋_GB2312" w:cs="DengXian-Regular"/>
          <w:sz w:val="32"/>
          <w:szCs w:val="32"/>
        </w:rPr>
        <w:t>4</w:t>
      </w:r>
      <w:r>
        <w:rPr>
          <w:rFonts w:hint="eastAsia" w:ascii="仿宋_GB2312" w:eastAsia="仿宋_GB2312" w:cs="DengXian-Regular"/>
          <w:sz w:val="32"/>
          <w:szCs w:val="32"/>
        </w:rPr>
        <w:t>万元；徐财预指[2022]3-10</w:t>
      </w:r>
      <w:r>
        <w:rPr>
          <w:rFonts w:ascii="仿宋_GB2312" w:eastAsia="仿宋_GB2312" w:cs="DengXian-Regular"/>
          <w:sz w:val="32"/>
          <w:szCs w:val="32"/>
        </w:rPr>
        <w:t>39</w:t>
      </w:r>
      <w:r>
        <w:rPr>
          <w:rFonts w:hint="eastAsia" w:ascii="仿宋_GB2312" w:eastAsia="仿宋_GB2312" w:cs="DengXian-Regular"/>
          <w:sz w:val="32"/>
          <w:szCs w:val="32"/>
        </w:rPr>
        <w:t>号追加化解重点疑难信访案件专项经费</w:t>
      </w:r>
      <w:r>
        <w:rPr>
          <w:rFonts w:ascii="仿宋_GB2312" w:eastAsia="仿宋_GB2312" w:cs="DengXian-Regular"/>
          <w:sz w:val="32"/>
          <w:szCs w:val="32"/>
        </w:rPr>
        <w:t>4</w:t>
      </w:r>
      <w:r>
        <w:rPr>
          <w:rFonts w:hint="eastAsia" w:ascii="仿宋_GB2312" w:eastAsia="仿宋_GB2312" w:cs="DengXian-Regular"/>
          <w:sz w:val="32"/>
          <w:szCs w:val="32"/>
        </w:rPr>
        <w:t>万元；徐财预指[2022]3-10</w:t>
      </w:r>
      <w:r>
        <w:rPr>
          <w:rFonts w:ascii="仿宋_GB2312" w:eastAsia="仿宋_GB2312" w:cs="DengXian-Regular"/>
          <w:sz w:val="32"/>
          <w:szCs w:val="32"/>
        </w:rPr>
        <w:t>51</w:t>
      </w:r>
      <w:r>
        <w:rPr>
          <w:rFonts w:hint="eastAsia" w:ascii="仿宋_GB2312" w:eastAsia="仿宋_GB2312" w:cs="DengXian-Regular"/>
          <w:sz w:val="32"/>
          <w:szCs w:val="32"/>
        </w:rPr>
        <w:t>号追加2</w:t>
      </w:r>
      <w:r>
        <w:rPr>
          <w:rFonts w:ascii="仿宋_GB2312" w:eastAsia="仿宋_GB2312" w:cs="DengXian-Regular"/>
          <w:sz w:val="32"/>
          <w:szCs w:val="32"/>
        </w:rPr>
        <w:t>022</w:t>
      </w:r>
      <w:r>
        <w:rPr>
          <w:rFonts w:hint="eastAsia" w:ascii="仿宋_GB2312" w:eastAsia="仿宋_GB2312" w:cs="DengXian-Regular"/>
          <w:sz w:val="32"/>
          <w:szCs w:val="32"/>
        </w:rPr>
        <w:t>年第三季度政法稳定经费5万元；徐财预指[2022]</w:t>
      </w:r>
      <w:r>
        <w:rPr>
          <w:rFonts w:ascii="仿宋_GB2312" w:eastAsia="仿宋_GB2312" w:cs="DengXian-Regular"/>
          <w:sz w:val="32"/>
          <w:szCs w:val="32"/>
        </w:rPr>
        <w:t>1</w:t>
      </w:r>
      <w:r>
        <w:rPr>
          <w:rFonts w:hint="eastAsia" w:ascii="仿宋_GB2312" w:eastAsia="仿宋_GB2312" w:cs="DengXian-Regular"/>
          <w:sz w:val="32"/>
          <w:szCs w:val="32"/>
        </w:rPr>
        <w:t>-1</w:t>
      </w:r>
      <w:r>
        <w:rPr>
          <w:rFonts w:ascii="仿宋_GB2312" w:eastAsia="仿宋_GB2312" w:cs="DengXian-Regular"/>
          <w:sz w:val="32"/>
          <w:szCs w:val="32"/>
        </w:rPr>
        <w:t>274</w:t>
      </w:r>
      <w:r>
        <w:rPr>
          <w:rFonts w:hint="eastAsia" w:ascii="仿宋_GB2312" w:eastAsia="仿宋_GB2312" w:cs="DengXian-Regular"/>
          <w:sz w:val="32"/>
          <w:szCs w:val="32"/>
        </w:rPr>
        <w:t>号追加生活困难“三线”铁路建设民兵补贴</w:t>
      </w:r>
      <w:r>
        <w:rPr>
          <w:rFonts w:ascii="仿宋_GB2312" w:eastAsia="仿宋_GB2312" w:cs="DengXian-Regular"/>
          <w:sz w:val="32"/>
          <w:szCs w:val="32"/>
        </w:rPr>
        <w:t>30.94</w:t>
      </w:r>
      <w:r>
        <w:rPr>
          <w:rFonts w:hint="eastAsia" w:ascii="仿宋_GB2312" w:eastAsia="仿宋_GB2312" w:cs="DengXian-Regular"/>
          <w:sz w:val="32"/>
          <w:szCs w:val="32"/>
        </w:rPr>
        <w:t>万元。</w:t>
      </w:r>
    </w:p>
    <w:p w14:paraId="48CDCF1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留村镇政府2022年度预算收入的追加数为</w:t>
      </w:r>
      <w:r>
        <w:rPr>
          <w:rFonts w:ascii="仿宋_GB2312" w:eastAsia="仿宋_GB2312" w:cs="DengXian-Regular"/>
          <w:sz w:val="32"/>
          <w:szCs w:val="32"/>
        </w:rPr>
        <w:t>178.31257</w:t>
      </w:r>
      <w:r>
        <w:rPr>
          <w:rFonts w:hint="eastAsia" w:ascii="仿宋_GB2312" w:eastAsia="仿宋_GB2312" w:cs="DengXian-Regular"/>
          <w:sz w:val="32"/>
          <w:szCs w:val="32"/>
        </w:rPr>
        <w:t>万元，年初预算数为</w:t>
      </w:r>
      <w:r>
        <w:rPr>
          <w:rFonts w:ascii="仿宋_GB2312" w:eastAsia="仿宋_GB2312" w:cs="DengXian-Regular"/>
          <w:sz w:val="32"/>
          <w:szCs w:val="32"/>
        </w:rPr>
        <w:t>2151.567319</w:t>
      </w:r>
      <w:r>
        <w:rPr>
          <w:rFonts w:hint="eastAsia" w:ascii="仿宋_GB2312" w:eastAsia="仿宋_GB2312" w:cs="DengXian-Regular"/>
          <w:sz w:val="32"/>
          <w:szCs w:val="32"/>
        </w:rPr>
        <w:t>万元，预算收入调整率为</w:t>
      </w:r>
      <w:r>
        <w:rPr>
          <w:rFonts w:ascii="仿宋_GB2312" w:eastAsia="仿宋_GB2312" w:cs="DengXian-Regular"/>
          <w:sz w:val="32"/>
          <w:szCs w:val="32"/>
        </w:rPr>
        <w:t>8.29</w:t>
      </w:r>
      <w:r>
        <w:rPr>
          <w:rFonts w:hint="eastAsia" w:ascii="仿宋_GB2312" w:eastAsia="仿宋_GB2312" w:cs="DengXian-Regular"/>
          <w:sz w:val="32"/>
          <w:szCs w:val="32"/>
        </w:rPr>
        <w:t>%，预算调整增加了</w:t>
      </w:r>
      <w:r>
        <w:rPr>
          <w:rFonts w:ascii="仿宋_GB2312" w:eastAsia="仿宋_GB2312" w:cs="DengXian-Regular"/>
          <w:sz w:val="32"/>
          <w:szCs w:val="32"/>
        </w:rPr>
        <w:t>8</w:t>
      </w:r>
      <w:r>
        <w:rPr>
          <w:rFonts w:hint="eastAsia" w:ascii="仿宋_GB2312" w:eastAsia="仿宋_GB2312" w:cs="DengXian-Regular"/>
          <w:sz w:val="32"/>
          <w:szCs w:val="32"/>
        </w:rPr>
        <w:t>个百分点，扣5.33*0.1*</w:t>
      </w:r>
      <w:r>
        <w:rPr>
          <w:rFonts w:ascii="仿宋_GB2312" w:eastAsia="仿宋_GB2312" w:cs="DengXian-Regular"/>
          <w:sz w:val="32"/>
          <w:szCs w:val="32"/>
        </w:rPr>
        <w:t>8</w:t>
      </w:r>
      <w:r>
        <w:rPr>
          <w:rFonts w:hint="eastAsia" w:ascii="仿宋_GB2312" w:eastAsia="仿宋_GB2312" w:cs="DengXian-Regular"/>
          <w:sz w:val="32"/>
          <w:szCs w:val="32"/>
        </w:rPr>
        <w:t>=</w:t>
      </w:r>
      <w:r>
        <w:rPr>
          <w:rFonts w:ascii="仿宋_GB2312" w:eastAsia="仿宋_GB2312" w:cs="DengXian-Regular"/>
          <w:sz w:val="32"/>
          <w:szCs w:val="32"/>
        </w:rPr>
        <w:t>4.264</w:t>
      </w:r>
      <w:r>
        <w:rPr>
          <w:rFonts w:hint="eastAsia" w:ascii="仿宋_GB2312" w:eastAsia="仿宋_GB2312" w:cs="DengXian-Regular"/>
          <w:sz w:val="32"/>
          <w:szCs w:val="32"/>
        </w:rPr>
        <w:t>分。</w:t>
      </w:r>
    </w:p>
    <w:p w14:paraId="30C2AC4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ascii="仿宋_GB2312" w:eastAsia="仿宋_GB2312" w:cs="DengXian-Regular"/>
          <w:sz w:val="32"/>
          <w:szCs w:val="32"/>
        </w:rPr>
        <w:t>1</w:t>
      </w:r>
      <w:r>
        <w:rPr>
          <w:rFonts w:hint="eastAsia" w:ascii="仿宋_GB2312" w:eastAsia="仿宋_GB2312" w:cs="DengXian-Regular"/>
          <w:sz w:val="32"/>
          <w:szCs w:val="32"/>
        </w:rPr>
        <w:t>分。</w:t>
      </w:r>
    </w:p>
    <w:p w14:paraId="0294D4E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（2）收入完成率（4分）</w:t>
      </w:r>
    </w:p>
    <w:p w14:paraId="4EB4FA4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该指标主要评价部门预算收入的完成情况，用以反映部门预算收入的完成程度，通过收入完成率衡量。</w:t>
      </w:r>
    </w:p>
    <w:p w14:paraId="272B9D8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收入完成率=（决算收入/预算收入）×100%。</w:t>
      </w:r>
    </w:p>
    <w:p w14:paraId="25F3880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根据留村镇政府2022年预算文本、决算文本，2022年收入预算数</w:t>
      </w:r>
      <w:r>
        <w:rPr>
          <w:rFonts w:ascii="仿宋_GB2312" w:eastAsia="仿宋_GB2312" w:cs="DengXian-Regular"/>
          <w:sz w:val="32"/>
          <w:szCs w:val="32"/>
        </w:rPr>
        <w:t>2151.56</w:t>
      </w:r>
      <w:r>
        <w:rPr>
          <w:rFonts w:hint="eastAsia" w:ascii="仿宋_GB2312" w:eastAsia="仿宋_GB2312" w:cs="DengXian-Regular"/>
          <w:sz w:val="32"/>
          <w:szCs w:val="32"/>
        </w:rPr>
        <w:t>万元，收入决算数</w:t>
      </w:r>
      <w:r>
        <w:rPr>
          <w:rFonts w:ascii="仿宋_GB2312" w:eastAsia="仿宋_GB2312" w:cs="DengXian-Regular"/>
          <w:sz w:val="32"/>
          <w:szCs w:val="32"/>
        </w:rPr>
        <w:t>2151.59</w:t>
      </w:r>
      <w:r>
        <w:rPr>
          <w:rFonts w:hint="eastAsia" w:ascii="仿宋_GB2312" w:eastAsia="仿宋_GB2312" w:cs="DengXian-Regular"/>
          <w:sz w:val="32"/>
          <w:szCs w:val="32"/>
        </w:rPr>
        <w:t>万元，收入完成率=（</w:t>
      </w:r>
      <w:r>
        <w:rPr>
          <w:rFonts w:ascii="仿宋_GB2312" w:eastAsia="仿宋_GB2312" w:cs="DengXian-Regular"/>
          <w:sz w:val="32"/>
          <w:szCs w:val="32"/>
        </w:rPr>
        <w:t>2151.56</w:t>
      </w:r>
      <w:r>
        <w:rPr>
          <w:rFonts w:hint="eastAsia" w:ascii="仿宋_GB2312" w:eastAsia="仿宋_GB2312" w:cs="DengXian-Regular"/>
          <w:sz w:val="32"/>
          <w:szCs w:val="32"/>
        </w:rPr>
        <w:t>/</w:t>
      </w:r>
      <w:r>
        <w:rPr>
          <w:rFonts w:ascii="仿宋_GB2312" w:eastAsia="仿宋_GB2312" w:cs="DengXian-Regular"/>
          <w:sz w:val="32"/>
          <w:szCs w:val="32"/>
        </w:rPr>
        <w:t>2151.59</w:t>
      </w:r>
      <w:r>
        <w:rPr>
          <w:rFonts w:hint="eastAsia" w:ascii="仿宋_GB2312" w:eastAsia="仿宋_GB2312" w:cs="DengXian-Regular"/>
          <w:sz w:val="32"/>
          <w:szCs w:val="32"/>
        </w:rPr>
        <w:t>）*100%=</w:t>
      </w:r>
      <w:r>
        <w:rPr>
          <w:rFonts w:ascii="仿宋_GB2312" w:eastAsia="仿宋_GB2312" w:cs="DengXian-Regular"/>
          <w:sz w:val="32"/>
          <w:szCs w:val="32"/>
        </w:rPr>
        <w:t>82.4</w:t>
      </w:r>
      <w:r>
        <w:rPr>
          <w:rFonts w:hint="eastAsia" w:ascii="仿宋_GB2312" w:eastAsia="仿宋_GB2312" w:cs="DengXian-Regular"/>
          <w:sz w:val="32"/>
          <w:szCs w:val="32"/>
        </w:rPr>
        <w:t>%。</w:t>
      </w:r>
    </w:p>
    <w:p w14:paraId="214E48F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4</w:t>
      </w:r>
      <w:r>
        <w:rPr>
          <w:rFonts w:hint="eastAsia" w:ascii="仿宋_GB2312" w:eastAsia="仿宋_GB2312" w:cs="DengXian-Regular"/>
          <w:sz w:val="32"/>
          <w:szCs w:val="32"/>
        </w:rPr>
        <w:t>分。</w:t>
      </w:r>
    </w:p>
    <w:p w14:paraId="68EF94D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（3）预算支出调整率（2分）</w:t>
      </w:r>
    </w:p>
    <w:p w14:paraId="28C314A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该指标主要评价预算支出的调整情况，进而衡量预算支出编制的准确性，通过预算支出调整率衡量。</w:t>
      </w:r>
    </w:p>
    <w:p w14:paraId="7D99F26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预算支出调整率=（调整预算数-年初预算数）/年初预算数*100%</w:t>
      </w:r>
    </w:p>
    <w:p w14:paraId="70B3ACC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根据留村镇政府提供的保定市财政局下发的预算指标文件，其中：徐财预指[2022]</w:t>
      </w:r>
      <w:r>
        <w:rPr>
          <w:rFonts w:ascii="仿宋_GB2312" w:eastAsia="仿宋_GB2312" w:cs="DengXian-Regular"/>
          <w:sz w:val="32"/>
          <w:szCs w:val="32"/>
        </w:rPr>
        <w:t>1-1309</w:t>
      </w:r>
      <w:r>
        <w:rPr>
          <w:rFonts w:hint="eastAsia" w:ascii="仿宋_GB2312" w:eastAsia="仿宋_GB2312" w:cs="DengXian-Regular"/>
          <w:sz w:val="32"/>
          <w:szCs w:val="32"/>
        </w:rPr>
        <w:t>号追加留村镇胡家营村农村公益事业建设财政奖补项目资金2</w:t>
      </w:r>
      <w:r>
        <w:rPr>
          <w:rFonts w:ascii="仿宋_GB2312" w:eastAsia="仿宋_GB2312" w:cs="DengXian-Regular"/>
          <w:sz w:val="32"/>
          <w:szCs w:val="32"/>
        </w:rPr>
        <w:t>9.994328</w:t>
      </w:r>
      <w:r>
        <w:rPr>
          <w:rFonts w:hint="eastAsia" w:ascii="仿宋_GB2312" w:eastAsia="仿宋_GB2312" w:cs="DengXian-Regular"/>
          <w:sz w:val="32"/>
          <w:szCs w:val="32"/>
        </w:rPr>
        <w:t>万元；徐财预指[2022]1-13</w:t>
      </w:r>
      <w:r>
        <w:rPr>
          <w:rFonts w:ascii="仿宋_GB2312" w:eastAsia="仿宋_GB2312" w:cs="DengXian-Regular"/>
          <w:sz w:val="32"/>
          <w:szCs w:val="32"/>
        </w:rPr>
        <w:t>08</w:t>
      </w:r>
      <w:r>
        <w:rPr>
          <w:rFonts w:hint="eastAsia" w:ascii="仿宋_GB2312" w:eastAsia="仿宋_GB2312" w:cs="DengXian-Regular"/>
          <w:sz w:val="32"/>
          <w:szCs w:val="32"/>
        </w:rPr>
        <w:t>号追加留村镇东村农村公益事业建设奖补项目资金2</w:t>
      </w:r>
      <w:r>
        <w:rPr>
          <w:rFonts w:ascii="仿宋_GB2312" w:eastAsia="仿宋_GB2312" w:cs="DengXian-Regular"/>
          <w:sz w:val="32"/>
          <w:szCs w:val="32"/>
        </w:rPr>
        <w:t>9.931629</w:t>
      </w:r>
      <w:r>
        <w:rPr>
          <w:rFonts w:hint="eastAsia" w:ascii="仿宋_GB2312" w:eastAsia="仿宋_GB2312" w:cs="DengXian-Regular"/>
          <w:sz w:val="32"/>
          <w:szCs w:val="32"/>
        </w:rPr>
        <w:t>万元；徐财预指[2022]1-13</w:t>
      </w:r>
      <w:r>
        <w:rPr>
          <w:rFonts w:ascii="仿宋_GB2312" w:eastAsia="仿宋_GB2312" w:cs="DengXian-Regular"/>
          <w:sz w:val="32"/>
          <w:szCs w:val="32"/>
        </w:rPr>
        <w:t>04</w:t>
      </w:r>
      <w:r>
        <w:rPr>
          <w:rFonts w:hint="eastAsia" w:ascii="仿宋_GB2312" w:eastAsia="仿宋_GB2312" w:cs="DengXian-Regular"/>
          <w:sz w:val="32"/>
          <w:szCs w:val="32"/>
        </w:rPr>
        <w:t>号追加留村镇留村农村公益事业建设奖补项目资金2</w:t>
      </w:r>
      <w:r>
        <w:rPr>
          <w:rFonts w:ascii="仿宋_GB2312" w:eastAsia="仿宋_GB2312" w:cs="DengXian-Regular"/>
          <w:sz w:val="32"/>
          <w:szCs w:val="32"/>
        </w:rPr>
        <w:t>9.9430</w:t>
      </w:r>
      <w:r>
        <w:rPr>
          <w:rFonts w:hint="eastAsia" w:ascii="仿宋_GB2312" w:eastAsia="仿宋_GB2312" w:cs="DengXian-Regular"/>
          <w:sz w:val="32"/>
          <w:szCs w:val="32"/>
        </w:rPr>
        <w:t>万元；徐财预指[2022]1-13</w:t>
      </w:r>
      <w:r>
        <w:rPr>
          <w:rFonts w:ascii="仿宋_GB2312" w:eastAsia="仿宋_GB2312" w:cs="DengXian-Regular"/>
          <w:sz w:val="32"/>
          <w:szCs w:val="32"/>
        </w:rPr>
        <w:t>05</w:t>
      </w:r>
      <w:r>
        <w:rPr>
          <w:rFonts w:hint="eastAsia" w:ascii="仿宋_GB2312" w:eastAsia="仿宋_GB2312" w:cs="DengXian-Regular"/>
          <w:sz w:val="32"/>
          <w:szCs w:val="32"/>
        </w:rPr>
        <w:t>号追加留村镇仪村农村公益事业建设奖补项目资金</w:t>
      </w:r>
      <w:r>
        <w:rPr>
          <w:rFonts w:ascii="仿宋_GB2312" w:eastAsia="仿宋_GB2312" w:cs="DengXian-Regular"/>
          <w:sz w:val="32"/>
          <w:szCs w:val="32"/>
        </w:rPr>
        <w:t>29.5083</w:t>
      </w:r>
      <w:r>
        <w:rPr>
          <w:rFonts w:hint="eastAsia" w:ascii="仿宋_GB2312" w:eastAsia="仿宋_GB2312" w:cs="DengXian-Regular"/>
          <w:sz w:val="32"/>
          <w:szCs w:val="32"/>
        </w:rPr>
        <w:t>万元；徐财预指[</w:t>
      </w:r>
      <w:r>
        <w:rPr>
          <w:rFonts w:ascii="仿宋_GB2312" w:eastAsia="仿宋_GB2312" w:cs="DengXian-Regular"/>
          <w:sz w:val="32"/>
          <w:szCs w:val="32"/>
        </w:rPr>
        <w:t>2022]2-1222</w:t>
      </w:r>
      <w:r>
        <w:rPr>
          <w:rFonts w:hint="eastAsia" w:ascii="仿宋_GB2312" w:eastAsia="仿宋_GB2312" w:cs="DengXian-Regular"/>
          <w:sz w:val="32"/>
          <w:szCs w:val="32"/>
        </w:rPr>
        <w:t>号追加2022年中央补助地方美术馆、公共图书馆、文化馆（站）免费开放补助资金</w:t>
      </w:r>
      <w:r>
        <w:rPr>
          <w:rFonts w:ascii="仿宋_GB2312" w:eastAsia="仿宋_GB2312" w:cs="DengXian-Regular"/>
          <w:sz w:val="32"/>
          <w:szCs w:val="32"/>
        </w:rPr>
        <w:t>3</w:t>
      </w:r>
      <w:r>
        <w:rPr>
          <w:rFonts w:hint="eastAsia" w:ascii="仿宋_GB2312" w:eastAsia="仿宋_GB2312" w:cs="DengXian-Regular"/>
          <w:sz w:val="32"/>
          <w:szCs w:val="32"/>
        </w:rPr>
        <w:t>万元；徐财预指[</w:t>
      </w:r>
      <w:r>
        <w:rPr>
          <w:rFonts w:ascii="仿宋_GB2312" w:eastAsia="仿宋_GB2312" w:cs="DengXian-Regular"/>
          <w:sz w:val="32"/>
          <w:szCs w:val="32"/>
        </w:rPr>
        <w:t>2022]2-1223</w:t>
      </w:r>
      <w:r>
        <w:rPr>
          <w:rFonts w:hint="eastAsia" w:ascii="仿宋_GB2312" w:eastAsia="仿宋_GB2312" w:cs="DengXian-Regular"/>
          <w:sz w:val="32"/>
          <w:szCs w:val="32"/>
        </w:rPr>
        <w:t>号2</w:t>
      </w:r>
      <w:r>
        <w:rPr>
          <w:rFonts w:ascii="仿宋_GB2312" w:eastAsia="仿宋_GB2312" w:cs="DengXian-Regular"/>
          <w:sz w:val="32"/>
          <w:szCs w:val="32"/>
        </w:rPr>
        <w:t>022</w:t>
      </w:r>
      <w:r>
        <w:rPr>
          <w:rFonts w:hint="eastAsia" w:ascii="仿宋_GB2312" w:eastAsia="仿宋_GB2312" w:cs="DengXian-Regular"/>
          <w:sz w:val="32"/>
          <w:szCs w:val="32"/>
        </w:rPr>
        <w:t>年省级“三馆一站”免费开放补助资金0</w:t>
      </w:r>
      <w:r>
        <w:rPr>
          <w:rFonts w:ascii="仿宋_GB2312" w:eastAsia="仿宋_GB2312" w:cs="DengXian-Regular"/>
          <w:sz w:val="32"/>
          <w:szCs w:val="32"/>
        </w:rPr>
        <w:t>.5</w:t>
      </w:r>
      <w:r>
        <w:rPr>
          <w:rFonts w:hint="eastAsia" w:ascii="仿宋_GB2312" w:eastAsia="仿宋_GB2312" w:cs="DengXian-Regular"/>
          <w:sz w:val="32"/>
          <w:szCs w:val="32"/>
        </w:rPr>
        <w:t>万元；徐财预指[2022]</w:t>
      </w:r>
      <w:r>
        <w:rPr>
          <w:rFonts w:ascii="仿宋_GB2312" w:eastAsia="仿宋_GB2312" w:cs="DengXian-Regular"/>
          <w:sz w:val="32"/>
          <w:szCs w:val="32"/>
        </w:rPr>
        <w:t>3</w:t>
      </w:r>
      <w:r>
        <w:rPr>
          <w:rFonts w:hint="eastAsia" w:ascii="仿宋_GB2312" w:eastAsia="仿宋_GB2312" w:cs="DengXian-Regular"/>
          <w:sz w:val="32"/>
          <w:szCs w:val="32"/>
        </w:rPr>
        <w:t>-</w:t>
      </w:r>
      <w:r>
        <w:rPr>
          <w:rFonts w:ascii="仿宋_GB2312" w:eastAsia="仿宋_GB2312" w:cs="DengXian-Regular"/>
          <w:sz w:val="32"/>
          <w:szCs w:val="32"/>
        </w:rPr>
        <w:t>1069</w:t>
      </w:r>
      <w:r>
        <w:rPr>
          <w:rFonts w:hint="eastAsia" w:ascii="仿宋_GB2312" w:eastAsia="仿宋_GB2312" w:cs="DengXian-Regular"/>
          <w:sz w:val="32"/>
          <w:szCs w:val="32"/>
        </w:rPr>
        <w:t>号第四季度政法稳定经费5万元；徐财预指[2022]1-</w:t>
      </w:r>
      <w:r>
        <w:rPr>
          <w:rFonts w:ascii="仿宋_GB2312" w:eastAsia="仿宋_GB2312" w:cs="DengXian-Regular"/>
          <w:sz w:val="32"/>
          <w:szCs w:val="32"/>
        </w:rPr>
        <w:t>1319</w:t>
      </w:r>
      <w:r>
        <w:rPr>
          <w:rFonts w:hint="eastAsia" w:ascii="仿宋_GB2312" w:eastAsia="仿宋_GB2312" w:cs="DengXian-Regular"/>
          <w:sz w:val="32"/>
          <w:szCs w:val="32"/>
        </w:rPr>
        <w:t>号追加疫情防控工作经费</w:t>
      </w:r>
      <w:r>
        <w:rPr>
          <w:rFonts w:ascii="仿宋_GB2312" w:eastAsia="仿宋_GB2312" w:cs="DengXian-Regular"/>
          <w:sz w:val="32"/>
          <w:szCs w:val="32"/>
        </w:rPr>
        <w:t>7.5</w:t>
      </w:r>
      <w:r>
        <w:rPr>
          <w:rFonts w:hint="eastAsia" w:ascii="仿宋_GB2312" w:eastAsia="仿宋_GB2312" w:cs="DengXian-Regular"/>
          <w:sz w:val="32"/>
          <w:szCs w:val="32"/>
        </w:rPr>
        <w:t>万元；徐财预指[2022]1-1</w:t>
      </w:r>
      <w:r>
        <w:rPr>
          <w:rFonts w:ascii="仿宋_GB2312" w:eastAsia="仿宋_GB2312" w:cs="DengXian-Regular"/>
          <w:sz w:val="32"/>
          <w:szCs w:val="32"/>
        </w:rPr>
        <w:t>298</w:t>
      </w:r>
      <w:r>
        <w:rPr>
          <w:rFonts w:hint="eastAsia" w:ascii="仿宋_GB2312" w:eastAsia="仿宋_GB2312" w:cs="DengXian-Regular"/>
          <w:sz w:val="32"/>
          <w:szCs w:val="32"/>
        </w:rPr>
        <w:t>号追加驻村工作队经费</w:t>
      </w:r>
      <w:r>
        <w:rPr>
          <w:rFonts w:ascii="仿宋_GB2312" w:eastAsia="仿宋_GB2312" w:cs="DengXian-Regular"/>
          <w:sz w:val="32"/>
          <w:szCs w:val="32"/>
        </w:rPr>
        <w:t>4</w:t>
      </w:r>
      <w:r>
        <w:rPr>
          <w:rFonts w:hint="eastAsia" w:ascii="仿宋_GB2312" w:eastAsia="仿宋_GB2312" w:cs="DengXian-Regular"/>
          <w:sz w:val="32"/>
          <w:szCs w:val="32"/>
        </w:rPr>
        <w:t>万元；徐财预指[2022]1-1</w:t>
      </w:r>
      <w:r>
        <w:rPr>
          <w:rFonts w:ascii="仿宋_GB2312" w:eastAsia="仿宋_GB2312" w:cs="DengXian-Regular"/>
          <w:sz w:val="32"/>
          <w:szCs w:val="32"/>
        </w:rPr>
        <w:t>131</w:t>
      </w:r>
      <w:r>
        <w:rPr>
          <w:rFonts w:hint="eastAsia" w:ascii="仿宋_GB2312" w:eastAsia="仿宋_GB2312" w:cs="DengXian-Regular"/>
          <w:sz w:val="32"/>
          <w:szCs w:val="32"/>
        </w:rPr>
        <w:t>号追加驻村工作队经费</w:t>
      </w:r>
      <w:r>
        <w:rPr>
          <w:rFonts w:ascii="仿宋_GB2312" w:eastAsia="仿宋_GB2312" w:cs="DengXian-Regular"/>
          <w:sz w:val="32"/>
          <w:szCs w:val="32"/>
        </w:rPr>
        <w:t>4</w:t>
      </w:r>
      <w:r>
        <w:rPr>
          <w:rFonts w:hint="eastAsia" w:ascii="仿宋_GB2312" w:eastAsia="仿宋_GB2312" w:cs="DengXian-Regular"/>
          <w:sz w:val="32"/>
          <w:szCs w:val="32"/>
        </w:rPr>
        <w:t>万元；徐财预指[2022]3-10</w:t>
      </w:r>
      <w:r>
        <w:rPr>
          <w:rFonts w:ascii="仿宋_GB2312" w:eastAsia="仿宋_GB2312" w:cs="DengXian-Regular"/>
          <w:sz w:val="32"/>
          <w:szCs w:val="32"/>
        </w:rPr>
        <w:t>39</w:t>
      </w:r>
      <w:r>
        <w:rPr>
          <w:rFonts w:hint="eastAsia" w:ascii="仿宋_GB2312" w:eastAsia="仿宋_GB2312" w:cs="DengXian-Regular"/>
          <w:sz w:val="32"/>
          <w:szCs w:val="32"/>
        </w:rPr>
        <w:t>号追加化解重点疑难信访案件专项经费</w:t>
      </w:r>
      <w:r>
        <w:rPr>
          <w:rFonts w:ascii="仿宋_GB2312" w:eastAsia="仿宋_GB2312" w:cs="DengXian-Regular"/>
          <w:sz w:val="32"/>
          <w:szCs w:val="32"/>
        </w:rPr>
        <w:t>4</w:t>
      </w:r>
      <w:r>
        <w:rPr>
          <w:rFonts w:hint="eastAsia" w:ascii="仿宋_GB2312" w:eastAsia="仿宋_GB2312" w:cs="DengXian-Regular"/>
          <w:sz w:val="32"/>
          <w:szCs w:val="32"/>
        </w:rPr>
        <w:t>万元；徐财预指[2022]3-10</w:t>
      </w:r>
      <w:r>
        <w:rPr>
          <w:rFonts w:ascii="仿宋_GB2312" w:eastAsia="仿宋_GB2312" w:cs="DengXian-Regular"/>
          <w:sz w:val="32"/>
          <w:szCs w:val="32"/>
        </w:rPr>
        <w:t>51</w:t>
      </w:r>
      <w:r>
        <w:rPr>
          <w:rFonts w:hint="eastAsia" w:ascii="仿宋_GB2312" w:eastAsia="仿宋_GB2312" w:cs="DengXian-Regular"/>
          <w:sz w:val="32"/>
          <w:szCs w:val="32"/>
        </w:rPr>
        <w:t>号追加2</w:t>
      </w:r>
      <w:r>
        <w:rPr>
          <w:rFonts w:ascii="仿宋_GB2312" w:eastAsia="仿宋_GB2312" w:cs="DengXian-Regular"/>
          <w:sz w:val="32"/>
          <w:szCs w:val="32"/>
        </w:rPr>
        <w:t>022</w:t>
      </w:r>
      <w:r>
        <w:rPr>
          <w:rFonts w:hint="eastAsia" w:ascii="仿宋_GB2312" w:eastAsia="仿宋_GB2312" w:cs="DengXian-Regular"/>
          <w:sz w:val="32"/>
          <w:szCs w:val="32"/>
        </w:rPr>
        <w:t>年第三季度政法稳定经费5万元；徐财预指[2022]</w:t>
      </w:r>
      <w:r>
        <w:rPr>
          <w:rFonts w:ascii="仿宋_GB2312" w:eastAsia="仿宋_GB2312" w:cs="DengXian-Regular"/>
          <w:sz w:val="32"/>
          <w:szCs w:val="32"/>
        </w:rPr>
        <w:t>1</w:t>
      </w:r>
      <w:r>
        <w:rPr>
          <w:rFonts w:hint="eastAsia" w:ascii="仿宋_GB2312" w:eastAsia="仿宋_GB2312" w:cs="DengXian-Regular"/>
          <w:sz w:val="32"/>
          <w:szCs w:val="32"/>
        </w:rPr>
        <w:t>-1</w:t>
      </w:r>
      <w:r>
        <w:rPr>
          <w:rFonts w:ascii="仿宋_GB2312" w:eastAsia="仿宋_GB2312" w:cs="DengXian-Regular"/>
          <w:sz w:val="32"/>
          <w:szCs w:val="32"/>
        </w:rPr>
        <w:t>274</w:t>
      </w:r>
      <w:r>
        <w:rPr>
          <w:rFonts w:hint="eastAsia" w:ascii="仿宋_GB2312" w:eastAsia="仿宋_GB2312" w:cs="DengXian-Regular"/>
          <w:sz w:val="32"/>
          <w:szCs w:val="32"/>
        </w:rPr>
        <w:t>号追加生活困难“三线”铁路建设民兵补贴</w:t>
      </w:r>
      <w:r>
        <w:rPr>
          <w:rFonts w:ascii="仿宋_GB2312" w:eastAsia="仿宋_GB2312" w:cs="DengXian-Regular"/>
          <w:sz w:val="32"/>
          <w:szCs w:val="32"/>
        </w:rPr>
        <w:t>30.94</w:t>
      </w:r>
      <w:r>
        <w:rPr>
          <w:rFonts w:hint="eastAsia" w:ascii="仿宋_GB2312" w:eastAsia="仿宋_GB2312" w:cs="DengXian-Regular"/>
          <w:sz w:val="32"/>
          <w:szCs w:val="32"/>
        </w:rPr>
        <w:t>万元。</w:t>
      </w:r>
      <w:r>
        <w:rPr>
          <w:rFonts w:ascii="仿宋_GB2312" w:eastAsia="仿宋_GB2312" w:cs="DengXian-Regular"/>
          <w:sz w:val="32"/>
          <w:szCs w:val="32"/>
        </w:rPr>
        <w:t xml:space="preserve"> </w:t>
      </w:r>
    </w:p>
    <w:p w14:paraId="370CA09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留村镇政府2022年度预算支出的追加数合计</w:t>
      </w:r>
      <w:r>
        <w:rPr>
          <w:rFonts w:ascii="仿宋_GB2312" w:eastAsia="仿宋_GB2312" w:cs="DengXian-Regular"/>
          <w:sz w:val="32"/>
          <w:szCs w:val="32"/>
        </w:rPr>
        <w:t>178.31257</w:t>
      </w:r>
      <w:r>
        <w:rPr>
          <w:rFonts w:hint="eastAsia" w:ascii="仿宋_GB2312" w:eastAsia="仿宋_GB2312" w:cs="DengXian-Regular"/>
          <w:sz w:val="32"/>
          <w:szCs w:val="32"/>
        </w:rPr>
        <w:t>万元，年初预算数为</w:t>
      </w:r>
      <w:r>
        <w:rPr>
          <w:rFonts w:ascii="仿宋_GB2312" w:eastAsia="仿宋_GB2312" w:cs="DengXian-Regular"/>
          <w:sz w:val="32"/>
          <w:szCs w:val="32"/>
        </w:rPr>
        <w:t>2151.567319</w:t>
      </w:r>
      <w:r>
        <w:rPr>
          <w:rFonts w:hint="eastAsia" w:ascii="仿宋_GB2312" w:eastAsia="仿宋_GB2312" w:cs="DengXian-Regular"/>
          <w:sz w:val="32"/>
          <w:szCs w:val="32"/>
        </w:rPr>
        <w:t>万元，预算支出调整率为</w:t>
      </w:r>
      <w:r>
        <w:rPr>
          <w:rFonts w:ascii="仿宋_GB2312" w:eastAsia="仿宋_GB2312" w:cs="DengXian-Regular"/>
          <w:sz w:val="32"/>
          <w:szCs w:val="32"/>
        </w:rPr>
        <w:t>8.29</w:t>
      </w:r>
      <w:r>
        <w:rPr>
          <w:rFonts w:hint="eastAsia" w:ascii="仿宋_GB2312" w:eastAsia="仿宋_GB2312" w:cs="DengXian-Regular"/>
          <w:sz w:val="32"/>
          <w:szCs w:val="32"/>
        </w:rPr>
        <w:t>%，预算调整增加了</w:t>
      </w:r>
      <w:r>
        <w:rPr>
          <w:rFonts w:ascii="仿宋_GB2312" w:eastAsia="仿宋_GB2312" w:cs="DengXian-Regular"/>
          <w:sz w:val="32"/>
          <w:szCs w:val="32"/>
        </w:rPr>
        <w:t>2</w:t>
      </w:r>
      <w:r>
        <w:rPr>
          <w:rFonts w:hint="eastAsia" w:ascii="仿宋_GB2312" w:eastAsia="仿宋_GB2312" w:cs="DengXian-Regular"/>
          <w:sz w:val="32"/>
          <w:szCs w:val="32"/>
        </w:rPr>
        <w:t>个百分点，扣5.33*0.1*2=1.07分。该指标实际得分</w:t>
      </w:r>
      <w:r>
        <w:rPr>
          <w:rFonts w:ascii="仿宋_GB2312" w:eastAsia="仿宋_GB2312" w:cs="DengXian-Regular"/>
          <w:sz w:val="32"/>
          <w:szCs w:val="32"/>
        </w:rPr>
        <w:t>1</w:t>
      </w:r>
      <w:r>
        <w:rPr>
          <w:rFonts w:hint="eastAsia" w:ascii="仿宋_GB2312" w:eastAsia="仿宋_GB2312" w:cs="DengXian-Regular"/>
          <w:sz w:val="32"/>
          <w:szCs w:val="32"/>
        </w:rPr>
        <w:t>分。</w:t>
      </w:r>
    </w:p>
    <w:p w14:paraId="48399C5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（4）财政拨款支出完成率（4分）</w:t>
      </w:r>
    </w:p>
    <w:p w14:paraId="7A7EBE8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该指标主要评价部门财政拨款的支出进度，通过财政拨款支出完成率来衡量。</w:t>
      </w:r>
    </w:p>
    <w:p w14:paraId="2F2A8E3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财政拨款支出完成率=（部门决算财政拨款支出/部门决算财政拨款收入）*100%。</w:t>
      </w:r>
    </w:p>
    <w:p w14:paraId="19F6E34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留村镇政府提供的2022年决算文本，部门决算财政拨款支出数万元，财政拨款收入数</w:t>
      </w:r>
      <w:r>
        <w:rPr>
          <w:rFonts w:ascii="仿宋_GB2312" w:eastAsia="仿宋_GB2312" w:cs="DengXian-Regular"/>
          <w:sz w:val="32"/>
          <w:szCs w:val="32"/>
        </w:rPr>
        <w:t>2562.27</w:t>
      </w:r>
      <w:r>
        <w:rPr>
          <w:rFonts w:hint="eastAsia" w:ascii="仿宋_GB2312" w:eastAsia="仿宋_GB2312" w:cs="DengXian-Regular"/>
          <w:sz w:val="32"/>
          <w:szCs w:val="32"/>
        </w:rPr>
        <w:t>万元，财政拨款支出率=（</w:t>
      </w:r>
      <w:r>
        <w:rPr>
          <w:rFonts w:ascii="仿宋_GB2312" w:eastAsia="仿宋_GB2312" w:cs="DengXian-Regular"/>
          <w:sz w:val="32"/>
          <w:szCs w:val="32"/>
        </w:rPr>
        <w:t>2152.26</w:t>
      </w:r>
      <w:r>
        <w:rPr>
          <w:rFonts w:hint="eastAsia" w:ascii="仿宋_GB2312" w:eastAsia="仿宋_GB2312" w:cs="DengXian-Regular"/>
          <w:sz w:val="32"/>
          <w:szCs w:val="32"/>
        </w:rPr>
        <w:t>/</w:t>
      </w:r>
      <w:r>
        <w:rPr>
          <w:rFonts w:ascii="仿宋_GB2312" w:eastAsia="仿宋_GB2312" w:cs="DengXian-Regular"/>
          <w:sz w:val="32"/>
          <w:szCs w:val="32"/>
        </w:rPr>
        <w:t>2152.26</w:t>
      </w:r>
      <w:r>
        <w:rPr>
          <w:rFonts w:hint="eastAsia" w:ascii="仿宋_GB2312" w:eastAsia="仿宋_GB2312" w:cs="DengXian-Regular"/>
          <w:sz w:val="32"/>
          <w:szCs w:val="32"/>
        </w:rPr>
        <w:t>）*100%=</w:t>
      </w:r>
      <w:r>
        <w:rPr>
          <w:rFonts w:ascii="仿宋_GB2312" w:eastAsia="仿宋_GB2312" w:cs="DengXian-Regular"/>
          <w:sz w:val="32"/>
          <w:szCs w:val="32"/>
        </w:rPr>
        <w:t>100</w:t>
      </w:r>
      <w:r>
        <w:rPr>
          <w:rFonts w:hint="eastAsia" w:ascii="仿宋_GB2312" w:eastAsia="仿宋_GB2312" w:cs="DengXian-Regular"/>
          <w:sz w:val="32"/>
          <w:szCs w:val="32"/>
        </w:rPr>
        <w:t>%</w:t>
      </w:r>
      <w:r>
        <w:rPr>
          <w:rFonts w:ascii="Arial" w:hAnsi="Arial" w:eastAsia="仿宋_GB2312" w:cs="Arial"/>
          <w:sz w:val="32"/>
          <w:szCs w:val="32"/>
        </w:rPr>
        <w:t>≥</w:t>
      </w:r>
      <w:r>
        <w:rPr>
          <w:rFonts w:hint="eastAsia" w:ascii="仿宋_GB2312" w:eastAsia="仿宋_GB2312" w:cs="DengXian-Regular"/>
          <w:sz w:val="32"/>
          <w:szCs w:val="32"/>
        </w:rPr>
        <w:t>90%。留村镇2022年年初结转和结余</w:t>
      </w:r>
      <w:r>
        <w:rPr>
          <w:rFonts w:ascii="仿宋_GB2312" w:eastAsia="仿宋_GB2312" w:cs="DengXian-Regular"/>
          <w:sz w:val="32"/>
          <w:szCs w:val="32"/>
        </w:rPr>
        <w:t>0.61</w:t>
      </w:r>
      <w:r>
        <w:rPr>
          <w:rFonts w:hint="eastAsia" w:ascii="仿宋_GB2312" w:eastAsia="仿宋_GB2312" w:cs="DengXian-Regular"/>
          <w:sz w:val="32"/>
          <w:szCs w:val="32"/>
        </w:rPr>
        <w:t>万元，故支出数大于收入数。</w:t>
      </w:r>
    </w:p>
    <w:p w14:paraId="49A1781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4</w:t>
      </w:r>
      <w:r>
        <w:rPr>
          <w:rFonts w:hint="eastAsia" w:ascii="仿宋_GB2312" w:eastAsia="仿宋_GB2312" w:cs="DengXian-Regular"/>
          <w:sz w:val="32"/>
          <w:szCs w:val="32"/>
        </w:rPr>
        <w:t>分。</w:t>
      </w:r>
    </w:p>
    <w:p w14:paraId="09E1247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（5）“三公”经费控制率（3分）</w:t>
      </w:r>
    </w:p>
    <w:p w14:paraId="038F638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该指标主要评价“三公”经费是否得到有效控制，通过“三公”经费控制率来衡量。</w:t>
      </w:r>
    </w:p>
    <w:p w14:paraId="74F009A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“三公”经费控制率=（实际支出数/预算数）*100%。</w:t>
      </w:r>
    </w:p>
    <w:p w14:paraId="5A0D21F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根据留村镇政府2022年预算文本及决算文本，“三公”经费年初预算数</w:t>
      </w:r>
      <w:r>
        <w:rPr>
          <w:rFonts w:ascii="仿宋_GB2312" w:eastAsia="仿宋_GB2312" w:cs="DengXian-Regular"/>
          <w:sz w:val="32"/>
          <w:szCs w:val="32"/>
        </w:rPr>
        <w:t>14.09</w:t>
      </w:r>
      <w:r>
        <w:rPr>
          <w:rFonts w:hint="eastAsia" w:ascii="仿宋_GB2312" w:eastAsia="仿宋_GB2312" w:cs="DengXian-Regular"/>
          <w:sz w:val="32"/>
          <w:szCs w:val="32"/>
        </w:rPr>
        <w:t>万元，年末决算数</w:t>
      </w:r>
      <w:r>
        <w:rPr>
          <w:rFonts w:ascii="仿宋_GB2312" w:eastAsia="仿宋_GB2312" w:cs="DengXian-Regular"/>
          <w:sz w:val="32"/>
          <w:szCs w:val="32"/>
        </w:rPr>
        <w:t>13.6749</w:t>
      </w:r>
      <w:r>
        <w:rPr>
          <w:rFonts w:hint="eastAsia" w:ascii="仿宋_GB2312" w:eastAsia="仿宋_GB2312" w:cs="DengXian-Regular"/>
          <w:sz w:val="32"/>
          <w:szCs w:val="32"/>
        </w:rPr>
        <w:t>万元，“三公”经费控制率=（</w:t>
      </w:r>
      <w:r>
        <w:rPr>
          <w:rFonts w:ascii="仿宋_GB2312" w:eastAsia="仿宋_GB2312" w:cs="DengXian-Regular"/>
          <w:sz w:val="32"/>
          <w:szCs w:val="32"/>
        </w:rPr>
        <w:t>13.6749</w:t>
      </w:r>
      <w:r>
        <w:rPr>
          <w:rFonts w:hint="eastAsia" w:ascii="仿宋_GB2312" w:eastAsia="仿宋_GB2312" w:cs="DengXian-Regular"/>
          <w:sz w:val="32"/>
          <w:szCs w:val="32"/>
        </w:rPr>
        <w:t>/</w:t>
      </w:r>
      <w:r>
        <w:rPr>
          <w:rFonts w:ascii="仿宋_GB2312" w:eastAsia="仿宋_GB2312" w:cs="DengXian-Regular"/>
          <w:sz w:val="32"/>
          <w:szCs w:val="32"/>
        </w:rPr>
        <w:t>14.09</w:t>
      </w:r>
      <w:r>
        <w:rPr>
          <w:rFonts w:hint="eastAsia" w:ascii="仿宋_GB2312" w:eastAsia="仿宋_GB2312" w:cs="DengXian-Regular"/>
          <w:sz w:val="32"/>
          <w:szCs w:val="32"/>
        </w:rPr>
        <w:t>）*100%=</w:t>
      </w:r>
      <w:r>
        <w:rPr>
          <w:rFonts w:ascii="仿宋_GB2312" w:eastAsia="仿宋_GB2312" w:cs="DengXian-Regular"/>
          <w:sz w:val="32"/>
          <w:szCs w:val="32"/>
        </w:rPr>
        <w:t>97.05</w:t>
      </w:r>
      <w:r>
        <w:rPr>
          <w:rFonts w:hint="eastAsia" w:ascii="仿宋_GB2312" w:eastAsia="仿宋_GB2312" w:cs="DengXian-Regular"/>
          <w:sz w:val="32"/>
          <w:szCs w:val="32"/>
        </w:rPr>
        <w:t>%</w:t>
      </w:r>
      <w:r>
        <w:rPr>
          <w:rFonts w:ascii="Arial" w:hAnsi="Arial" w:eastAsia="仿宋_GB2312" w:cs="Arial"/>
          <w:sz w:val="32"/>
          <w:szCs w:val="32"/>
        </w:rPr>
        <w:t>≤</w:t>
      </w:r>
      <w:r>
        <w:rPr>
          <w:rFonts w:hint="eastAsia" w:ascii="仿宋_GB2312" w:eastAsia="仿宋_GB2312" w:cs="DengXian-Regular"/>
          <w:sz w:val="32"/>
          <w:szCs w:val="32"/>
        </w:rPr>
        <w:t>100%。</w:t>
      </w:r>
    </w:p>
    <w:p w14:paraId="4AA3F73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3</w:t>
      </w:r>
      <w:r>
        <w:rPr>
          <w:rFonts w:hint="eastAsia" w:ascii="仿宋_GB2312" w:eastAsia="仿宋_GB2312" w:cs="DengXian-Regular"/>
          <w:sz w:val="32"/>
          <w:szCs w:val="32"/>
        </w:rPr>
        <w:t>分。</w:t>
      </w:r>
    </w:p>
    <w:p w14:paraId="13C9A99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（6）政府采购执行率（3分）</w:t>
      </w:r>
    </w:p>
    <w:p w14:paraId="6028457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该指标主要评价部门是否有效执行政府采购政策，通过政府采购执行率来衡量。</w:t>
      </w:r>
    </w:p>
    <w:p w14:paraId="6A0B7E7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政府采购执行率=（实际政府采购金额/政府采购预算金额）*100%。</w:t>
      </w:r>
    </w:p>
    <w:p w14:paraId="648B1A5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留村镇政府2022年预算文本及决算文本，政府采购年初预算数</w:t>
      </w:r>
      <w:r>
        <w:rPr>
          <w:rFonts w:ascii="仿宋_GB2312" w:eastAsia="仿宋_GB2312" w:cs="DengXian-Regular"/>
          <w:sz w:val="32"/>
          <w:szCs w:val="32"/>
        </w:rPr>
        <w:t>0</w:t>
      </w:r>
      <w:r>
        <w:rPr>
          <w:rFonts w:hint="eastAsia" w:ascii="仿宋_GB2312" w:eastAsia="仿宋_GB2312" w:cs="DengXian-Regular"/>
          <w:sz w:val="32"/>
          <w:szCs w:val="32"/>
        </w:rPr>
        <w:t>万元，年末决算数</w:t>
      </w:r>
      <w:r>
        <w:rPr>
          <w:rFonts w:ascii="仿宋_GB2312" w:eastAsia="仿宋_GB2312" w:cs="DengXian-Regular"/>
          <w:sz w:val="32"/>
          <w:szCs w:val="32"/>
        </w:rPr>
        <w:t>0</w:t>
      </w:r>
      <w:r>
        <w:rPr>
          <w:rFonts w:hint="eastAsia" w:ascii="仿宋_GB2312" w:eastAsia="仿宋_GB2312" w:cs="DengXian-Regular"/>
          <w:sz w:val="32"/>
          <w:szCs w:val="32"/>
        </w:rPr>
        <w:t>万元，政府采购执行率为</w:t>
      </w:r>
      <w:r>
        <w:rPr>
          <w:rFonts w:ascii="仿宋_GB2312" w:eastAsia="仿宋_GB2312" w:cs="DengXian-Regular"/>
          <w:sz w:val="32"/>
          <w:szCs w:val="32"/>
        </w:rPr>
        <w:t>100</w:t>
      </w:r>
      <w:r>
        <w:rPr>
          <w:rFonts w:hint="eastAsia" w:ascii="仿宋_GB2312" w:eastAsia="仿宋_GB2312" w:cs="DengXian-Regular"/>
          <w:sz w:val="32"/>
          <w:szCs w:val="32"/>
        </w:rPr>
        <w:t>%。</w:t>
      </w:r>
    </w:p>
    <w:p w14:paraId="7FFF10F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该指标实际得分为</w:t>
      </w:r>
      <w:r>
        <w:rPr>
          <w:rFonts w:ascii="仿宋_GB2312" w:eastAsia="仿宋_GB2312" w:cs="DengXian-Regular"/>
          <w:sz w:val="32"/>
          <w:szCs w:val="32"/>
        </w:rPr>
        <w:t>3</w:t>
      </w:r>
      <w:r>
        <w:rPr>
          <w:rFonts w:hint="eastAsia" w:ascii="仿宋_GB2312" w:eastAsia="仿宋_GB2312" w:cs="DengXian-Regular"/>
          <w:sz w:val="32"/>
          <w:szCs w:val="32"/>
        </w:rPr>
        <w:t>分。</w:t>
      </w:r>
    </w:p>
    <w:p w14:paraId="355859C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（7）资金使用合规性（3分）</w:t>
      </w:r>
    </w:p>
    <w:p w14:paraId="51F8C6F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该指标主要评价资金使用是否按照相关法律法规和资金管理办法规定的用途使用，财务管理是否符合相关会计准则和财务制度。</w:t>
      </w:r>
    </w:p>
    <w:p w14:paraId="21D2227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留村镇政府2022年明细账、会计凭证等相关资料，留村镇政府资金使用符合相关会计准则和财务制度，资金拨付有完备的审批程序和手续，资金使用符合部门预算批复的用途，未发现截留、挤占、挪用财政资金的情况。</w:t>
      </w:r>
    </w:p>
    <w:p w14:paraId="58B05F0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3</w:t>
      </w:r>
      <w:r>
        <w:rPr>
          <w:rFonts w:hint="eastAsia" w:ascii="仿宋_GB2312" w:eastAsia="仿宋_GB2312" w:cs="DengXian-Regular"/>
          <w:sz w:val="32"/>
          <w:szCs w:val="32"/>
        </w:rPr>
        <w:t>分。</w:t>
      </w:r>
    </w:p>
    <w:p w14:paraId="4F65B3B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（8）决算真实性（3分）</w:t>
      </w:r>
    </w:p>
    <w:p w14:paraId="08348DA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该指标主要评价决算编制数据是否与账表一致，即决算报表数据与会计账簿数据是否一致。</w:t>
      </w:r>
    </w:p>
    <w:p w14:paraId="2221675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经核查留村镇政府2022年决算文本、明细账及总账，留村镇政府决算文本数据均与明细账、总账一致。</w:t>
      </w:r>
    </w:p>
    <w:p w14:paraId="5B8991F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3</w:t>
      </w:r>
      <w:r>
        <w:rPr>
          <w:rFonts w:hint="eastAsia" w:ascii="仿宋_GB2312" w:eastAsia="仿宋_GB2312" w:cs="DengXian-Regular"/>
          <w:sz w:val="32"/>
          <w:szCs w:val="32"/>
        </w:rPr>
        <w:t>分。</w:t>
      </w:r>
    </w:p>
    <w:p w14:paraId="5D73BB2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2.预算管理（16分）</w:t>
      </w:r>
    </w:p>
    <w:p w14:paraId="14DA329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（1）管理制度健全性（4分）</w:t>
      </w:r>
    </w:p>
    <w:p w14:paraId="27686E5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该指标主要评价部门是否制定资金管理办法、财务管理制度、会计核算制度等相关内部控制制度，制度执行是否得到有效执行。</w:t>
      </w:r>
    </w:p>
    <w:p w14:paraId="50A9B9F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留村镇政府工作制度涵盖了财务制度、网络安全制度、公务用车制度等相关制度，经检查留村镇政府付款流程审批单、资产盘点表等资料，留村镇政府已按照相关管理制度的规定执行。</w:t>
      </w:r>
    </w:p>
    <w:p w14:paraId="3F82025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ascii="仿宋_GB2312" w:eastAsia="仿宋_GB2312" w:cs="DengXian-Regular"/>
          <w:sz w:val="32"/>
          <w:szCs w:val="32"/>
        </w:rPr>
        <w:t>4</w:t>
      </w:r>
      <w:r>
        <w:rPr>
          <w:rFonts w:hint="eastAsia" w:ascii="仿宋_GB2312" w:eastAsia="仿宋_GB2312" w:cs="DengXian-Regular"/>
          <w:sz w:val="32"/>
          <w:szCs w:val="32"/>
        </w:rPr>
        <w:t>。</w:t>
      </w:r>
    </w:p>
    <w:p w14:paraId="30ADF96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（2）预决算信息公开性（4分）</w:t>
      </w:r>
    </w:p>
    <w:p w14:paraId="36B1033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该指标主要评价部门是否按照政府信息公开的有关要求在相关网站公开部门预算、预算执行情况、年度工作任务等相关信息。</w:t>
      </w:r>
    </w:p>
    <w:p w14:paraId="42C4D57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留村镇政府2022年按政府信息公开的有关要求在保定市徐水区人民政府网公开了2022年的预决算情况、部门责任清单、行政监督清单等相关信息。</w:t>
      </w:r>
    </w:p>
    <w:p w14:paraId="39AB29E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4</w:t>
      </w:r>
      <w:r>
        <w:rPr>
          <w:rFonts w:hint="eastAsia" w:ascii="仿宋_GB2312" w:eastAsia="仿宋_GB2312" w:cs="DengXian-Regular"/>
          <w:sz w:val="32"/>
          <w:szCs w:val="32"/>
        </w:rPr>
        <w:t>分。</w:t>
      </w:r>
    </w:p>
    <w:p w14:paraId="4FD290A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（3）基础信息完善性（4分）</w:t>
      </w:r>
    </w:p>
    <w:p w14:paraId="01D7E6E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该指标主要评价基础数据信息和财务信息资料是否真实、完整。</w:t>
      </w:r>
    </w:p>
    <w:p w14:paraId="1FC17F8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根据留村镇政府提供的会计账簿、凭证及其他相关资料留村镇政府会计信息资料真实完整，</w:t>
      </w:r>
    </w:p>
    <w:p w14:paraId="036452C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4</w:t>
      </w:r>
      <w:r>
        <w:rPr>
          <w:rFonts w:hint="eastAsia" w:ascii="仿宋_GB2312" w:eastAsia="仿宋_GB2312" w:cs="DengXian-Regular"/>
          <w:sz w:val="32"/>
          <w:szCs w:val="32"/>
        </w:rPr>
        <w:t>分。</w:t>
      </w:r>
    </w:p>
    <w:p w14:paraId="1A321EC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（4）资产管理规范性（4分）</w:t>
      </w:r>
    </w:p>
    <w:p w14:paraId="42C6388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该指标主要评价资产管理是否规范，是否建立资产台账，新增资产是否符合规定程序和规定标准，资产的配置是否合规，资产保存是否完整。</w:t>
      </w:r>
    </w:p>
    <w:p w14:paraId="0D7AFFD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留村镇政府建立了固定资产台账、无形资产台账，资产保存完整，2022年新增资产2</w:t>
      </w:r>
      <w:r>
        <w:rPr>
          <w:rFonts w:ascii="仿宋_GB2312" w:eastAsia="仿宋_GB2312" w:cs="DengXian-Regular"/>
          <w:sz w:val="32"/>
          <w:szCs w:val="32"/>
        </w:rPr>
        <w:t>.1</w:t>
      </w:r>
      <w:r>
        <w:rPr>
          <w:rFonts w:hint="eastAsia" w:ascii="仿宋_GB2312" w:eastAsia="仿宋_GB2312" w:cs="DengXian-Regular"/>
          <w:sz w:val="32"/>
          <w:szCs w:val="32"/>
        </w:rPr>
        <w:t>万元，包含：电脑文件柜空调资产购置手续完备，配置符合要求，资产管理整体较规范。</w:t>
      </w:r>
    </w:p>
    <w:p w14:paraId="1099473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ascii="仿宋_GB2312" w:eastAsia="仿宋_GB2312" w:cs="DengXian-Regular"/>
          <w:sz w:val="32"/>
          <w:szCs w:val="32"/>
        </w:rPr>
        <w:t>4</w:t>
      </w:r>
      <w:r>
        <w:rPr>
          <w:rFonts w:hint="eastAsia" w:ascii="仿宋_GB2312" w:eastAsia="仿宋_GB2312" w:cs="DengXian-Regular"/>
          <w:sz w:val="32"/>
          <w:szCs w:val="32"/>
        </w:rPr>
        <w:t>分。</w:t>
      </w:r>
    </w:p>
    <w:p w14:paraId="358461D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3.绩效评价（8分）</w:t>
      </w:r>
    </w:p>
    <w:p w14:paraId="1E54B23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（1）绩效自评覆盖率（4分）</w:t>
      </w:r>
    </w:p>
    <w:p w14:paraId="4118A0E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该指标主要评价部门是否按相关要求实施绩效自评，通过绩效自评覆盖率来衡量。</w:t>
      </w:r>
    </w:p>
    <w:p w14:paraId="44C6A41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绩效自评覆盖率=（报送相关自评材料的数量/应实施项目绩效自评数量）*100%。</w:t>
      </w:r>
    </w:p>
    <w:p w14:paraId="1D64BA6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根据徐水区财政局《关于开展2022年度财政专项资金部门绩效自评价工作的通知》及徐水区留村镇政府2022年一般项目部门绩效自评表，留村镇政府2022年开展绩效自评的项目数为</w:t>
      </w:r>
      <w:r>
        <w:rPr>
          <w:rFonts w:ascii="仿宋_GB2312" w:eastAsia="仿宋_GB2312" w:cs="DengXian-Regular"/>
          <w:sz w:val="32"/>
          <w:szCs w:val="32"/>
        </w:rPr>
        <w:t>37</w:t>
      </w:r>
      <w:r>
        <w:rPr>
          <w:rFonts w:hint="eastAsia" w:ascii="仿宋_GB2312" w:eastAsia="仿宋_GB2312" w:cs="DengXian-Regular"/>
          <w:sz w:val="32"/>
          <w:szCs w:val="32"/>
        </w:rPr>
        <w:t>个，年初预算文本项目数</w:t>
      </w:r>
      <w:r>
        <w:rPr>
          <w:rFonts w:ascii="仿宋_GB2312" w:eastAsia="仿宋_GB2312" w:cs="DengXian-Regular"/>
          <w:sz w:val="32"/>
          <w:szCs w:val="32"/>
        </w:rPr>
        <w:t>24</w:t>
      </w:r>
      <w:r>
        <w:rPr>
          <w:rFonts w:hint="eastAsia" w:ascii="仿宋_GB2312" w:eastAsia="仿宋_GB2312" w:cs="DengXian-Regular"/>
          <w:sz w:val="32"/>
          <w:szCs w:val="32"/>
        </w:rPr>
        <w:t>个，要求自评项目个数</w:t>
      </w:r>
      <w:r>
        <w:rPr>
          <w:rFonts w:ascii="仿宋_GB2312" w:eastAsia="仿宋_GB2312" w:cs="DengXian-Regular"/>
          <w:sz w:val="32"/>
          <w:szCs w:val="32"/>
        </w:rPr>
        <w:t>37</w:t>
      </w:r>
      <w:r>
        <w:rPr>
          <w:rFonts w:hint="eastAsia" w:ascii="仿宋_GB2312" w:eastAsia="仿宋_GB2312" w:cs="DengXian-Regular"/>
          <w:sz w:val="32"/>
          <w:szCs w:val="32"/>
        </w:rPr>
        <w:t>个，自评覆盖率为</w:t>
      </w:r>
      <w:r>
        <w:rPr>
          <w:rFonts w:ascii="仿宋_GB2312" w:eastAsia="仿宋_GB2312" w:cs="DengXian-Regular"/>
          <w:sz w:val="32"/>
          <w:szCs w:val="32"/>
        </w:rPr>
        <w:t>100</w:t>
      </w:r>
      <w:r>
        <w:rPr>
          <w:rFonts w:hint="eastAsia" w:ascii="仿宋_GB2312" w:eastAsia="仿宋_GB2312" w:cs="DengXian-Regular"/>
          <w:sz w:val="32"/>
          <w:szCs w:val="32"/>
        </w:rPr>
        <w:t>%。</w:t>
      </w:r>
    </w:p>
    <w:p w14:paraId="2BF249A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4</w:t>
      </w:r>
      <w:r>
        <w:rPr>
          <w:rFonts w:hint="eastAsia" w:ascii="仿宋_GB2312" w:eastAsia="仿宋_GB2312" w:cs="DengXian-Regular"/>
          <w:sz w:val="32"/>
          <w:szCs w:val="32"/>
        </w:rPr>
        <w:t>分。</w:t>
      </w:r>
    </w:p>
    <w:p w14:paraId="4967C32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（2）绩效评价优等率（4分）</w:t>
      </w:r>
    </w:p>
    <w:p w14:paraId="615AB1C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该指标主要评价部门开展的绩效评价项目的完成质量，通过绩效评价优等率来衡量。</w:t>
      </w:r>
    </w:p>
    <w:p w14:paraId="352434E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绩效评价优等率=（结果达到优等的数量/参评数量）*100%。</w:t>
      </w:r>
    </w:p>
    <w:p w14:paraId="45FE0D1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留村镇政府2022年参评数量</w:t>
      </w:r>
      <w:r>
        <w:rPr>
          <w:rFonts w:ascii="仿宋_GB2312" w:eastAsia="仿宋_GB2312" w:cs="DengXian-Regular"/>
          <w:sz w:val="32"/>
          <w:szCs w:val="32"/>
        </w:rPr>
        <w:t>37</w:t>
      </w:r>
      <w:r>
        <w:rPr>
          <w:rFonts w:hint="eastAsia" w:ascii="仿宋_GB2312" w:eastAsia="仿宋_GB2312" w:cs="DengXian-Regular"/>
          <w:sz w:val="32"/>
          <w:szCs w:val="32"/>
        </w:rPr>
        <w:t>个，绩效评价结果达到优等的数量</w:t>
      </w:r>
      <w:r>
        <w:rPr>
          <w:rFonts w:ascii="仿宋_GB2312" w:eastAsia="仿宋_GB2312" w:cs="DengXian-Regular"/>
          <w:sz w:val="32"/>
          <w:szCs w:val="32"/>
        </w:rPr>
        <w:t>37</w:t>
      </w:r>
      <w:r>
        <w:rPr>
          <w:rFonts w:hint="eastAsia" w:ascii="仿宋_GB2312" w:eastAsia="仿宋_GB2312" w:cs="DengXian-Regular"/>
          <w:sz w:val="32"/>
          <w:szCs w:val="32"/>
        </w:rPr>
        <w:t>个，绩效评价优等率为</w:t>
      </w:r>
      <w:r>
        <w:rPr>
          <w:rFonts w:ascii="仿宋_GB2312" w:eastAsia="仿宋_GB2312" w:cs="DengXian-Regular"/>
          <w:sz w:val="32"/>
          <w:szCs w:val="32"/>
        </w:rPr>
        <w:t>100</w:t>
      </w:r>
      <w:r>
        <w:rPr>
          <w:rFonts w:hint="eastAsia" w:ascii="仿宋_GB2312" w:eastAsia="仿宋_GB2312" w:cs="DengXian-Regular"/>
          <w:sz w:val="32"/>
          <w:szCs w:val="32"/>
        </w:rPr>
        <w:t>%。</w:t>
      </w:r>
    </w:p>
    <w:p w14:paraId="641E1F8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4</w:t>
      </w:r>
      <w:r>
        <w:rPr>
          <w:rFonts w:hint="eastAsia" w:ascii="仿宋_GB2312" w:eastAsia="仿宋_GB2312" w:cs="DengXian-Regular"/>
          <w:sz w:val="32"/>
          <w:szCs w:val="32"/>
        </w:rPr>
        <w:t>分。</w:t>
      </w:r>
      <w:bookmarkEnd w:id="64"/>
      <w:bookmarkEnd w:id="65"/>
    </w:p>
    <w:p w14:paraId="73C24BCC">
      <w:pPr>
        <w:pStyle w:val="4"/>
        <w:spacing w:before="0" w:after="0"/>
        <w:ind w:firstLine="643" w:firstLineChars="200"/>
        <w:jc w:val="both"/>
        <w:rPr>
          <w:rFonts w:ascii="楷体" w:hAnsi="楷体" w:eastAsia="楷体"/>
          <w:sz w:val="32"/>
        </w:rPr>
      </w:pPr>
      <w:bookmarkStart w:id="66" w:name="_Toc12330"/>
      <w:r>
        <w:rPr>
          <w:rFonts w:hint="eastAsia" w:ascii="楷体" w:hAnsi="楷体" w:eastAsia="楷体"/>
          <w:sz w:val="32"/>
        </w:rPr>
        <w:t>（三）产出（25分）</w:t>
      </w:r>
      <w:bookmarkEnd w:id="66"/>
    </w:p>
    <w:p w14:paraId="7F80ABA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该一级指标包含责任履行一个二级指标，主要反映结转结余率，项目资金使用率，社区矫正人数，社区服刑人员再次犯罪率，法律援助案件办结率。</w:t>
      </w:r>
    </w:p>
    <w:p w14:paraId="7685D4CC">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表4  产出指标及得分情况表</w:t>
      </w:r>
    </w:p>
    <w:tbl>
      <w:tblPr>
        <w:tblStyle w:val="23"/>
        <w:tblW w:w="0" w:type="auto"/>
        <w:jc w:val="center"/>
        <w:tblLayout w:type="fixed"/>
        <w:tblCellMar>
          <w:top w:w="15" w:type="dxa"/>
          <w:left w:w="15" w:type="dxa"/>
          <w:bottom w:w="15" w:type="dxa"/>
          <w:right w:w="15" w:type="dxa"/>
        </w:tblCellMar>
      </w:tblPr>
      <w:tblGrid>
        <w:gridCol w:w="1577"/>
        <w:gridCol w:w="1004"/>
        <w:gridCol w:w="2536"/>
        <w:gridCol w:w="1125"/>
        <w:gridCol w:w="853"/>
      </w:tblGrid>
      <w:tr w14:paraId="79988A3D">
        <w:tblPrEx>
          <w:tblCellMar>
            <w:top w:w="15" w:type="dxa"/>
            <w:left w:w="15" w:type="dxa"/>
            <w:bottom w:w="15" w:type="dxa"/>
            <w:right w:w="15" w:type="dxa"/>
          </w:tblCellMar>
        </w:tblPrEx>
        <w:trPr>
          <w:trHeight w:val="397" w:hRule="exact"/>
          <w:jc w:val="center"/>
        </w:trPr>
        <w:tc>
          <w:tcPr>
            <w:tcW w:w="1577" w:type="dxa"/>
            <w:tcBorders>
              <w:top w:val="single" w:color="000000" w:sz="4" w:space="0"/>
              <w:left w:val="single" w:color="000000" w:sz="4" w:space="0"/>
              <w:bottom w:val="single" w:color="000000" w:sz="4" w:space="0"/>
              <w:right w:val="single" w:color="000000" w:sz="4" w:space="0"/>
            </w:tcBorders>
            <w:vAlign w:val="center"/>
          </w:tcPr>
          <w:p w14:paraId="2595C451">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004" w:type="dxa"/>
            <w:tcBorders>
              <w:top w:val="single" w:color="000000" w:sz="4" w:space="0"/>
              <w:left w:val="single" w:color="000000" w:sz="4" w:space="0"/>
              <w:bottom w:val="single" w:color="000000" w:sz="4" w:space="0"/>
              <w:right w:val="single" w:color="000000" w:sz="4" w:space="0"/>
            </w:tcBorders>
            <w:vAlign w:val="center"/>
          </w:tcPr>
          <w:p w14:paraId="681CC0FF">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536" w:type="dxa"/>
            <w:tcBorders>
              <w:top w:val="single" w:color="000000" w:sz="4" w:space="0"/>
              <w:left w:val="single" w:color="000000" w:sz="4" w:space="0"/>
              <w:bottom w:val="single" w:color="000000" w:sz="4" w:space="0"/>
              <w:right w:val="single" w:color="000000" w:sz="4" w:space="0"/>
            </w:tcBorders>
            <w:vAlign w:val="center"/>
          </w:tcPr>
          <w:p w14:paraId="5FC38287">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25" w:type="dxa"/>
            <w:tcBorders>
              <w:top w:val="single" w:color="000000" w:sz="4" w:space="0"/>
              <w:left w:val="single" w:color="000000" w:sz="4" w:space="0"/>
              <w:bottom w:val="single" w:color="000000" w:sz="4" w:space="0"/>
              <w:right w:val="single" w:color="000000" w:sz="4" w:space="0"/>
            </w:tcBorders>
            <w:vAlign w:val="center"/>
          </w:tcPr>
          <w:p w14:paraId="14994EEB">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853" w:type="dxa"/>
            <w:tcBorders>
              <w:top w:val="single" w:color="000000" w:sz="4" w:space="0"/>
              <w:left w:val="single" w:color="000000" w:sz="4" w:space="0"/>
              <w:bottom w:val="single" w:color="000000" w:sz="4" w:space="0"/>
              <w:right w:val="single" w:color="000000" w:sz="4" w:space="0"/>
            </w:tcBorders>
            <w:vAlign w:val="center"/>
          </w:tcPr>
          <w:p w14:paraId="02084E77">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223B3A65">
        <w:tblPrEx>
          <w:tblCellMar>
            <w:top w:w="15" w:type="dxa"/>
            <w:left w:w="15" w:type="dxa"/>
            <w:bottom w:w="15" w:type="dxa"/>
            <w:right w:w="15" w:type="dxa"/>
          </w:tblCellMar>
        </w:tblPrEx>
        <w:trPr>
          <w:trHeight w:val="397" w:hRule="exact"/>
          <w:jc w:val="center"/>
        </w:trPr>
        <w:tc>
          <w:tcPr>
            <w:tcW w:w="1577" w:type="dxa"/>
            <w:vMerge w:val="restart"/>
            <w:tcBorders>
              <w:top w:val="single" w:color="000000" w:sz="4" w:space="0"/>
              <w:left w:val="single" w:color="000000" w:sz="4" w:space="0"/>
              <w:bottom w:val="single" w:color="000000" w:sz="4" w:space="0"/>
              <w:right w:val="single" w:color="000000" w:sz="4" w:space="0"/>
            </w:tcBorders>
            <w:vAlign w:val="center"/>
          </w:tcPr>
          <w:p w14:paraId="2DD64B2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产出</w:t>
            </w:r>
          </w:p>
          <w:p w14:paraId="5DB5968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（25分）</w:t>
            </w:r>
          </w:p>
        </w:tc>
        <w:tc>
          <w:tcPr>
            <w:tcW w:w="1004" w:type="dxa"/>
            <w:vMerge w:val="restart"/>
            <w:tcBorders>
              <w:top w:val="single" w:color="000000" w:sz="4" w:space="0"/>
              <w:left w:val="single" w:color="000000" w:sz="4" w:space="0"/>
              <w:right w:val="single" w:color="000000" w:sz="4" w:space="0"/>
            </w:tcBorders>
            <w:vAlign w:val="center"/>
          </w:tcPr>
          <w:p w14:paraId="64C30E8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责任履行（25分）</w:t>
            </w:r>
          </w:p>
        </w:tc>
        <w:tc>
          <w:tcPr>
            <w:tcW w:w="2536" w:type="dxa"/>
            <w:tcBorders>
              <w:top w:val="single" w:color="000000" w:sz="4" w:space="0"/>
              <w:left w:val="single" w:color="000000" w:sz="4" w:space="0"/>
              <w:bottom w:val="single" w:color="000000" w:sz="4" w:space="0"/>
              <w:right w:val="single" w:color="000000" w:sz="4" w:space="0"/>
            </w:tcBorders>
            <w:vAlign w:val="center"/>
          </w:tcPr>
          <w:p w14:paraId="3692986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结转结余率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1165A5A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542E4B8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195D3CF9">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2B86EB0D">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2244BDE6">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409240B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项目资金使用率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0831D7B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1503C83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48F96ABE">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0895C277">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74BAC69D">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27E6DC5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社区矫正人数</w:t>
            </w:r>
          </w:p>
        </w:tc>
        <w:tc>
          <w:tcPr>
            <w:tcW w:w="1125" w:type="dxa"/>
            <w:tcBorders>
              <w:top w:val="single" w:color="000000" w:sz="4" w:space="0"/>
              <w:left w:val="single" w:color="000000" w:sz="4" w:space="0"/>
              <w:bottom w:val="single" w:color="000000" w:sz="4" w:space="0"/>
              <w:right w:val="single" w:color="000000" w:sz="4" w:space="0"/>
            </w:tcBorders>
            <w:vAlign w:val="center"/>
          </w:tcPr>
          <w:p w14:paraId="1564854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0729424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72D161F0">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60D93508">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16D5DF23">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0B80CBB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社区服刑人员再次犯罪率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15AB7FF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10044EB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3AD1209C">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51859960">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34F97471">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65D5007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法律援助办结率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76612E6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72782CE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7F062670">
        <w:tblPrEx>
          <w:tblCellMar>
            <w:top w:w="15" w:type="dxa"/>
            <w:left w:w="15" w:type="dxa"/>
            <w:bottom w:w="15" w:type="dxa"/>
            <w:right w:w="15" w:type="dxa"/>
          </w:tblCellMar>
        </w:tblPrEx>
        <w:trPr>
          <w:trHeight w:val="397" w:hRule="exact"/>
          <w:jc w:val="center"/>
        </w:trPr>
        <w:tc>
          <w:tcPr>
            <w:tcW w:w="2581" w:type="dxa"/>
            <w:gridSpan w:val="2"/>
            <w:tcBorders>
              <w:top w:val="single" w:color="000000" w:sz="4" w:space="0"/>
              <w:left w:val="single" w:color="000000" w:sz="4" w:space="0"/>
              <w:bottom w:val="single" w:color="000000" w:sz="4" w:space="0"/>
              <w:right w:val="single" w:color="000000" w:sz="4" w:space="0"/>
            </w:tcBorders>
            <w:vAlign w:val="center"/>
          </w:tcPr>
          <w:p w14:paraId="671C693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536" w:type="dxa"/>
            <w:tcBorders>
              <w:top w:val="single" w:color="000000" w:sz="4" w:space="0"/>
              <w:left w:val="single" w:color="000000" w:sz="4" w:space="0"/>
              <w:bottom w:val="single" w:color="000000" w:sz="4" w:space="0"/>
              <w:right w:val="single" w:color="000000" w:sz="4" w:space="0"/>
            </w:tcBorders>
            <w:vAlign w:val="center"/>
          </w:tcPr>
          <w:p w14:paraId="6EB1FB34">
            <w:pPr>
              <w:spacing w:line="420" w:lineRule="exact"/>
              <w:jc w:val="center"/>
              <w:rPr>
                <w:rFonts w:cs="宋体" w:asciiTheme="minorEastAsia" w:hAnsiTheme="minorEastAsia" w:eastAsiaTheme="minorEastAsia"/>
                <w:sz w:val="21"/>
                <w:szCs w:val="21"/>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5D97AB6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5239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r>
              <w:rPr>
                <w:rFonts w:cs="宋体" w:asciiTheme="minorEastAsia" w:hAnsiTheme="minorEastAsia" w:eastAsiaTheme="minorEastAsia"/>
                <w:sz w:val="21"/>
                <w:szCs w:val="21"/>
              </w:rPr>
              <w:t>5</w:t>
            </w:r>
          </w:p>
        </w:tc>
      </w:tr>
    </w:tbl>
    <w:p w14:paraId="3D51DB02">
      <w:pPr>
        <w:spacing w:after="0" w:line="360" w:lineRule="auto"/>
        <w:ind w:firstLine="640" w:firstLineChars="200"/>
        <w:jc w:val="both"/>
        <w:textAlignment w:val="baseline"/>
        <w:rPr>
          <w:rFonts w:ascii="仿宋_GB2312" w:eastAsia="仿宋_GB2312" w:cs="DengXian-Regular"/>
          <w:sz w:val="32"/>
          <w:szCs w:val="32"/>
        </w:rPr>
      </w:pPr>
      <w:bookmarkStart w:id="67" w:name="_Toc464638518"/>
      <w:bookmarkStart w:id="68" w:name="_Toc465149515"/>
      <w:r>
        <w:rPr>
          <w:rFonts w:hint="eastAsia" w:ascii="仿宋_GB2312" w:eastAsia="仿宋_GB2312" w:cs="DengXian-Regular"/>
          <w:sz w:val="32"/>
          <w:szCs w:val="32"/>
        </w:rPr>
        <w:t>1.结转结余率（5分）</w:t>
      </w:r>
    </w:p>
    <w:p w14:paraId="5797C9E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该指标主要评价部门的结转结余情况，通过结转结余率衡量。</w:t>
      </w:r>
    </w:p>
    <w:p w14:paraId="015E362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结转结余率=（本年结转结余数/决算收入数）*100%。</w:t>
      </w:r>
    </w:p>
    <w:p w14:paraId="5257E46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留村镇政府2022年决算文本及相关资料，留村镇政府2022年结转结余资金</w:t>
      </w:r>
      <w:r>
        <w:rPr>
          <w:rFonts w:ascii="仿宋_GB2312" w:eastAsia="仿宋_GB2312" w:cs="DengXian-Regular"/>
          <w:sz w:val="32"/>
          <w:szCs w:val="32"/>
        </w:rPr>
        <w:t>0.61</w:t>
      </w:r>
      <w:r>
        <w:rPr>
          <w:rFonts w:hint="eastAsia" w:ascii="仿宋_GB2312" w:eastAsia="仿宋_GB2312" w:cs="DengXian-Regular"/>
          <w:sz w:val="32"/>
          <w:szCs w:val="32"/>
        </w:rPr>
        <w:t>万元，决算收入</w:t>
      </w:r>
      <w:r>
        <w:rPr>
          <w:rFonts w:ascii="仿宋_GB2312" w:eastAsia="仿宋_GB2312" w:cs="DengXian-Regular"/>
          <w:sz w:val="32"/>
          <w:szCs w:val="32"/>
        </w:rPr>
        <w:t>2152.26</w:t>
      </w:r>
      <w:r>
        <w:rPr>
          <w:rFonts w:hint="eastAsia" w:ascii="仿宋_GB2312" w:eastAsia="仿宋_GB2312" w:cs="DengXian-Regular"/>
          <w:sz w:val="32"/>
          <w:szCs w:val="32"/>
        </w:rPr>
        <w:t>万元，结转结余率</w:t>
      </w:r>
      <w:r>
        <w:rPr>
          <w:rFonts w:ascii="仿宋_GB2312" w:eastAsia="仿宋_GB2312" w:cs="DengXian-Regular"/>
          <w:sz w:val="32"/>
          <w:szCs w:val="32"/>
        </w:rPr>
        <w:t>0.01</w:t>
      </w:r>
      <w:r>
        <w:rPr>
          <w:rFonts w:hint="eastAsia" w:ascii="仿宋_GB2312" w:eastAsia="仿宋_GB2312" w:cs="DengXian-Regular"/>
          <w:sz w:val="32"/>
          <w:szCs w:val="32"/>
        </w:rPr>
        <w:t>%，小于5%。</w:t>
      </w:r>
    </w:p>
    <w:p w14:paraId="652B378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ascii="仿宋_GB2312" w:eastAsia="仿宋_GB2312" w:cs="DengXian-Regular"/>
          <w:sz w:val="32"/>
          <w:szCs w:val="32"/>
        </w:rPr>
        <w:t>5</w:t>
      </w:r>
      <w:r>
        <w:rPr>
          <w:rFonts w:hint="eastAsia" w:ascii="仿宋_GB2312" w:eastAsia="仿宋_GB2312" w:cs="DengXian-Regular"/>
          <w:sz w:val="32"/>
          <w:szCs w:val="32"/>
        </w:rPr>
        <w:t>分。</w:t>
      </w:r>
    </w:p>
    <w:p w14:paraId="7A86839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2.项目资金使用率（5分）</w:t>
      </w:r>
    </w:p>
    <w:p w14:paraId="632F279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该指标主要评价项目资金的使用效率，通过项目资金使用率来衡量。</w:t>
      </w:r>
    </w:p>
    <w:p w14:paraId="68D46EC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项目资金使用率=（实际支出项目资金总额/计划完整项目资金总数）*100%。</w:t>
      </w:r>
    </w:p>
    <w:p w14:paraId="19F579B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留村镇政府2022年实际支出项目资金总额</w:t>
      </w:r>
      <w:r>
        <w:rPr>
          <w:rFonts w:ascii="仿宋_GB2312" w:eastAsia="仿宋_GB2312" w:cs="DengXian-Regular"/>
          <w:sz w:val="32"/>
          <w:szCs w:val="32"/>
        </w:rPr>
        <w:t>487.39</w:t>
      </w:r>
      <w:r>
        <w:rPr>
          <w:rFonts w:hint="eastAsia" w:ascii="仿宋_GB2312" w:eastAsia="仿宋_GB2312" w:cs="DengXian-Regular"/>
          <w:sz w:val="32"/>
          <w:szCs w:val="32"/>
        </w:rPr>
        <w:t>万元，年初预算共</w:t>
      </w:r>
      <w:r>
        <w:rPr>
          <w:rFonts w:ascii="仿宋_GB2312" w:eastAsia="仿宋_GB2312" w:cs="DengXian-Regular"/>
          <w:sz w:val="32"/>
          <w:szCs w:val="32"/>
        </w:rPr>
        <w:t>24</w:t>
      </w:r>
      <w:r>
        <w:rPr>
          <w:rFonts w:hint="eastAsia" w:ascii="仿宋_GB2312" w:eastAsia="仿宋_GB2312" w:cs="DengXian-Regular"/>
          <w:sz w:val="32"/>
          <w:szCs w:val="32"/>
        </w:rPr>
        <w:t>个项目，预算数4</w:t>
      </w:r>
      <w:r>
        <w:rPr>
          <w:rFonts w:ascii="仿宋_GB2312" w:eastAsia="仿宋_GB2312" w:cs="DengXian-Regular"/>
          <w:sz w:val="32"/>
          <w:szCs w:val="32"/>
        </w:rPr>
        <w:t>87.39</w:t>
      </w:r>
      <w:r>
        <w:rPr>
          <w:rFonts w:hint="eastAsia" w:ascii="仿宋_GB2312" w:eastAsia="仿宋_GB2312" w:cs="DengXian-Regular"/>
          <w:sz w:val="32"/>
          <w:szCs w:val="32"/>
        </w:rPr>
        <w:t>万元，年中追加项目资金</w:t>
      </w:r>
      <w:r>
        <w:rPr>
          <w:rFonts w:ascii="仿宋_GB2312" w:eastAsia="仿宋_GB2312" w:cs="DengXian-Regular"/>
          <w:sz w:val="32"/>
          <w:szCs w:val="32"/>
        </w:rPr>
        <w:t>178.31257</w:t>
      </w:r>
      <w:r>
        <w:rPr>
          <w:rFonts w:hint="eastAsia" w:ascii="仿宋_GB2312" w:eastAsia="仿宋_GB2312" w:cs="DengXian-Regular"/>
          <w:sz w:val="32"/>
          <w:szCs w:val="32"/>
        </w:rPr>
        <w:t>万元，项目资金使用率为</w:t>
      </w:r>
      <w:r>
        <w:rPr>
          <w:rFonts w:ascii="仿宋_GB2312" w:eastAsia="仿宋_GB2312" w:cs="DengXian-Regular"/>
          <w:sz w:val="32"/>
          <w:szCs w:val="32"/>
        </w:rPr>
        <w:t>100</w:t>
      </w:r>
      <w:r>
        <w:rPr>
          <w:rFonts w:hint="eastAsia" w:ascii="仿宋_GB2312" w:eastAsia="仿宋_GB2312" w:cs="DengXian-Regular"/>
          <w:sz w:val="32"/>
          <w:szCs w:val="32"/>
        </w:rPr>
        <w:t>%。</w:t>
      </w:r>
    </w:p>
    <w:p w14:paraId="5DFCCFD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5</w:t>
      </w:r>
      <w:r>
        <w:rPr>
          <w:rFonts w:hint="eastAsia" w:ascii="仿宋_GB2312" w:eastAsia="仿宋_GB2312" w:cs="DengXian-Regular"/>
          <w:sz w:val="32"/>
          <w:szCs w:val="32"/>
        </w:rPr>
        <w:t>分。</w:t>
      </w:r>
    </w:p>
    <w:p w14:paraId="3CB3064D">
      <w:pPr>
        <w:pStyle w:val="4"/>
        <w:spacing w:before="0" w:after="0"/>
        <w:ind w:firstLine="643" w:firstLineChars="200"/>
        <w:jc w:val="both"/>
        <w:rPr>
          <w:rFonts w:ascii="楷体" w:hAnsi="楷体" w:eastAsia="楷体"/>
          <w:sz w:val="32"/>
        </w:rPr>
      </w:pPr>
      <w:bookmarkStart w:id="69" w:name="_Toc28363"/>
      <w:r>
        <w:rPr>
          <w:rFonts w:hint="eastAsia" w:ascii="楷体" w:hAnsi="楷体" w:eastAsia="楷体"/>
          <w:sz w:val="32"/>
        </w:rPr>
        <w:t>（四）效果</w:t>
      </w:r>
      <w:bookmarkEnd w:id="67"/>
      <w:bookmarkEnd w:id="68"/>
      <w:r>
        <w:rPr>
          <w:rFonts w:hint="eastAsia" w:ascii="楷体" w:hAnsi="楷体" w:eastAsia="楷体"/>
          <w:sz w:val="32"/>
        </w:rPr>
        <w:t>（15分）</w:t>
      </w:r>
      <w:bookmarkEnd w:id="69"/>
    </w:p>
    <w:p w14:paraId="40CB0A47">
      <w:pPr>
        <w:spacing w:after="0" w:line="360" w:lineRule="auto"/>
        <w:ind w:firstLine="640" w:firstLineChars="200"/>
        <w:jc w:val="both"/>
        <w:textAlignment w:val="baseline"/>
        <w:rPr>
          <w:rFonts w:ascii="仿宋_GB2312" w:eastAsia="仿宋_GB2312" w:cs="DengXian-Regular"/>
          <w:sz w:val="32"/>
          <w:szCs w:val="32"/>
        </w:rPr>
      </w:pPr>
      <w:bookmarkStart w:id="70" w:name="_Toc464638520"/>
      <w:r>
        <w:rPr>
          <w:rFonts w:hint="eastAsia" w:ascii="仿宋_GB2312" w:eastAsia="仿宋_GB2312" w:cs="DengXian-Regular"/>
          <w:sz w:val="32"/>
          <w:szCs w:val="32"/>
        </w:rPr>
        <w:t>该一级指标包含履职效益一个二级指标。主要反映部门履行职责对社会发展所带来的直接或间接效益及社会公众或部门的服务对象对部门履职效果的满意程度。</w:t>
      </w:r>
    </w:p>
    <w:p w14:paraId="70597274">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表5  效果指标及得分情况表</w:t>
      </w:r>
    </w:p>
    <w:tbl>
      <w:tblPr>
        <w:tblStyle w:val="23"/>
        <w:tblW w:w="0" w:type="auto"/>
        <w:jc w:val="center"/>
        <w:tblLayout w:type="fixed"/>
        <w:tblCellMar>
          <w:top w:w="15" w:type="dxa"/>
          <w:left w:w="15" w:type="dxa"/>
          <w:bottom w:w="15" w:type="dxa"/>
          <w:right w:w="15" w:type="dxa"/>
        </w:tblCellMar>
      </w:tblPr>
      <w:tblGrid>
        <w:gridCol w:w="1468"/>
        <w:gridCol w:w="1155"/>
        <w:gridCol w:w="2130"/>
        <w:gridCol w:w="1200"/>
        <w:gridCol w:w="1045"/>
      </w:tblGrid>
      <w:tr w14:paraId="50526E70">
        <w:tblPrEx>
          <w:tblCellMar>
            <w:top w:w="15" w:type="dxa"/>
            <w:left w:w="15" w:type="dxa"/>
            <w:bottom w:w="15" w:type="dxa"/>
            <w:right w:w="15" w:type="dxa"/>
          </w:tblCellMar>
        </w:tblPrEx>
        <w:trPr>
          <w:trHeight w:val="397" w:hRule="exact"/>
          <w:jc w:val="center"/>
        </w:trPr>
        <w:tc>
          <w:tcPr>
            <w:tcW w:w="1468" w:type="dxa"/>
            <w:tcBorders>
              <w:top w:val="single" w:color="000000" w:sz="4" w:space="0"/>
              <w:left w:val="single" w:color="000000" w:sz="4" w:space="0"/>
              <w:bottom w:val="single" w:color="000000" w:sz="4" w:space="0"/>
              <w:right w:val="single" w:color="000000" w:sz="4" w:space="0"/>
            </w:tcBorders>
            <w:vAlign w:val="center"/>
          </w:tcPr>
          <w:p w14:paraId="72DBF9E4">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155" w:type="dxa"/>
            <w:tcBorders>
              <w:top w:val="single" w:color="000000" w:sz="4" w:space="0"/>
              <w:left w:val="single" w:color="000000" w:sz="4" w:space="0"/>
              <w:bottom w:val="single" w:color="000000" w:sz="4" w:space="0"/>
              <w:right w:val="single" w:color="000000" w:sz="4" w:space="0"/>
            </w:tcBorders>
            <w:vAlign w:val="center"/>
          </w:tcPr>
          <w:p w14:paraId="11AFBF34">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130" w:type="dxa"/>
            <w:tcBorders>
              <w:top w:val="single" w:color="000000" w:sz="4" w:space="0"/>
              <w:left w:val="single" w:color="000000" w:sz="4" w:space="0"/>
              <w:bottom w:val="single" w:color="000000" w:sz="4" w:space="0"/>
              <w:right w:val="single" w:color="000000" w:sz="4" w:space="0"/>
            </w:tcBorders>
            <w:vAlign w:val="center"/>
          </w:tcPr>
          <w:p w14:paraId="423DD277">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200" w:type="dxa"/>
            <w:tcBorders>
              <w:top w:val="single" w:color="000000" w:sz="4" w:space="0"/>
              <w:left w:val="single" w:color="000000" w:sz="4" w:space="0"/>
              <w:bottom w:val="single" w:color="000000" w:sz="4" w:space="0"/>
              <w:right w:val="single" w:color="000000" w:sz="4" w:space="0"/>
            </w:tcBorders>
            <w:vAlign w:val="center"/>
          </w:tcPr>
          <w:p w14:paraId="2F98AD77">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045" w:type="dxa"/>
            <w:tcBorders>
              <w:top w:val="single" w:color="000000" w:sz="4" w:space="0"/>
              <w:left w:val="single" w:color="000000" w:sz="4" w:space="0"/>
              <w:bottom w:val="single" w:color="000000" w:sz="4" w:space="0"/>
              <w:right w:val="single" w:color="000000" w:sz="4" w:space="0"/>
            </w:tcBorders>
            <w:vAlign w:val="center"/>
          </w:tcPr>
          <w:p w14:paraId="3D4BCF70">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2D6C6F0A">
        <w:tblPrEx>
          <w:tblCellMar>
            <w:top w:w="15" w:type="dxa"/>
            <w:left w:w="15" w:type="dxa"/>
            <w:bottom w:w="15" w:type="dxa"/>
            <w:right w:w="15" w:type="dxa"/>
          </w:tblCellMar>
        </w:tblPrEx>
        <w:trPr>
          <w:trHeight w:val="397" w:hRule="exact"/>
          <w:jc w:val="center"/>
        </w:trPr>
        <w:tc>
          <w:tcPr>
            <w:tcW w:w="1468" w:type="dxa"/>
            <w:vMerge w:val="restart"/>
            <w:tcBorders>
              <w:top w:val="single" w:color="000000" w:sz="4" w:space="0"/>
              <w:left w:val="single" w:color="000000" w:sz="4" w:space="0"/>
              <w:bottom w:val="single" w:color="000000" w:sz="4" w:space="0"/>
              <w:right w:val="single" w:color="000000" w:sz="4" w:space="0"/>
            </w:tcBorders>
            <w:vAlign w:val="center"/>
          </w:tcPr>
          <w:p w14:paraId="52233F9C">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项目效果</w:t>
            </w:r>
          </w:p>
          <w:p w14:paraId="4BE212B1">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14:paraId="40C4A82A">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履职效益</w:t>
            </w:r>
          </w:p>
          <w:p w14:paraId="076EEED0">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2130" w:type="dxa"/>
            <w:tcBorders>
              <w:top w:val="single" w:color="000000" w:sz="4" w:space="0"/>
              <w:left w:val="single" w:color="000000" w:sz="4" w:space="0"/>
              <w:bottom w:val="single" w:color="000000" w:sz="4" w:space="0"/>
              <w:right w:val="single" w:color="000000" w:sz="4" w:space="0"/>
            </w:tcBorders>
            <w:vAlign w:val="center"/>
          </w:tcPr>
          <w:p w14:paraId="3B5B18B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部门整体效益</w:t>
            </w:r>
          </w:p>
        </w:tc>
        <w:tc>
          <w:tcPr>
            <w:tcW w:w="1200" w:type="dxa"/>
            <w:tcBorders>
              <w:top w:val="single" w:color="000000" w:sz="4" w:space="0"/>
              <w:left w:val="single" w:color="000000" w:sz="4" w:space="0"/>
              <w:bottom w:val="single" w:color="000000" w:sz="4" w:space="0"/>
              <w:right w:val="single" w:color="000000" w:sz="4" w:space="0"/>
            </w:tcBorders>
            <w:vAlign w:val="center"/>
          </w:tcPr>
          <w:p w14:paraId="53B5769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c>
          <w:tcPr>
            <w:tcW w:w="1045" w:type="dxa"/>
            <w:tcBorders>
              <w:top w:val="single" w:color="000000" w:sz="4" w:space="0"/>
              <w:left w:val="single" w:color="000000" w:sz="4" w:space="0"/>
              <w:bottom w:val="single" w:color="000000" w:sz="4" w:space="0"/>
              <w:right w:val="single" w:color="000000" w:sz="4" w:space="0"/>
            </w:tcBorders>
            <w:vAlign w:val="center"/>
          </w:tcPr>
          <w:p w14:paraId="133BEDE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w:t>
            </w:r>
            <w:r>
              <w:rPr>
                <w:rFonts w:cs="宋体" w:asciiTheme="minorEastAsia" w:hAnsiTheme="minorEastAsia" w:eastAsiaTheme="minorEastAsia"/>
                <w:sz w:val="21"/>
                <w:szCs w:val="21"/>
              </w:rPr>
              <w:t>0</w:t>
            </w:r>
          </w:p>
        </w:tc>
      </w:tr>
      <w:tr w14:paraId="183B3A37">
        <w:tblPrEx>
          <w:tblCellMar>
            <w:top w:w="15" w:type="dxa"/>
            <w:left w:w="15" w:type="dxa"/>
            <w:bottom w:w="15" w:type="dxa"/>
            <w:right w:w="15" w:type="dxa"/>
          </w:tblCellMar>
        </w:tblPrEx>
        <w:trPr>
          <w:trHeight w:val="397" w:hRule="exact"/>
          <w:jc w:val="center"/>
        </w:trPr>
        <w:tc>
          <w:tcPr>
            <w:tcW w:w="1468" w:type="dxa"/>
            <w:vMerge w:val="continue"/>
            <w:tcBorders>
              <w:top w:val="single" w:color="000000" w:sz="4" w:space="0"/>
              <w:left w:val="single" w:color="000000" w:sz="4" w:space="0"/>
              <w:bottom w:val="single" w:color="000000" w:sz="4" w:space="0"/>
              <w:right w:val="single" w:color="000000" w:sz="4" w:space="0"/>
            </w:tcBorders>
            <w:vAlign w:val="center"/>
          </w:tcPr>
          <w:p w14:paraId="79ED83E0">
            <w:pPr>
              <w:spacing w:line="420" w:lineRule="exact"/>
              <w:jc w:val="center"/>
              <w:rPr>
                <w:rFonts w:cs="宋体" w:asciiTheme="minorEastAsia" w:hAnsiTheme="minorEastAsia" w:eastAsiaTheme="minorEastAsia"/>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14:paraId="6CA1970D">
            <w:pPr>
              <w:spacing w:line="420" w:lineRule="exact"/>
              <w:jc w:val="center"/>
              <w:rPr>
                <w:rFonts w:cs="宋体" w:asciiTheme="minorEastAsia" w:hAnsiTheme="minorEastAsia" w:eastAsiaTheme="minorEastAsia"/>
                <w:sz w:val="21"/>
                <w:szCs w:val="21"/>
              </w:rPr>
            </w:pPr>
          </w:p>
        </w:tc>
        <w:tc>
          <w:tcPr>
            <w:tcW w:w="2130" w:type="dxa"/>
            <w:tcBorders>
              <w:top w:val="single" w:color="000000" w:sz="4" w:space="0"/>
              <w:left w:val="single" w:color="000000" w:sz="4" w:space="0"/>
              <w:bottom w:val="single" w:color="000000" w:sz="4" w:space="0"/>
              <w:right w:val="single" w:color="000000" w:sz="4" w:space="0"/>
            </w:tcBorders>
            <w:vAlign w:val="center"/>
          </w:tcPr>
          <w:p w14:paraId="3F1D0DB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考评满意度</w:t>
            </w:r>
          </w:p>
        </w:tc>
        <w:tc>
          <w:tcPr>
            <w:tcW w:w="1200" w:type="dxa"/>
            <w:tcBorders>
              <w:top w:val="single" w:color="000000" w:sz="4" w:space="0"/>
              <w:left w:val="single" w:color="000000" w:sz="4" w:space="0"/>
              <w:bottom w:val="single" w:color="000000" w:sz="4" w:space="0"/>
              <w:right w:val="single" w:color="000000" w:sz="4" w:space="0"/>
            </w:tcBorders>
            <w:vAlign w:val="center"/>
          </w:tcPr>
          <w:p w14:paraId="09BD66B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1045" w:type="dxa"/>
            <w:tcBorders>
              <w:top w:val="single" w:color="000000" w:sz="4" w:space="0"/>
              <w:left w:val="single" w:color="000000" w:sz="4" w:space="0"/>
              <w:bottom w:val="single" w:color="000000" w:sz="4" w:space="0"/>
              <w:right w:val="single" w:color="000000" w:sz="4" w:space="0"/>
            </w:tcBorders>
            <w:vAlign w:val="center"/>
          </w:tcPr>
          <w:p w14:paraId="482D042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554D9282">
        <w:tblPrEx>
          <w:tblCellMar>
            <w:top w:w="15" w:type="dxa"/>
            <w:left w:w="15" w:type="dxa"/>
            <w:bottom w:w="15" w:type="dxa"/>
            <w:right w:w="15" w:type="dxa"/>
          </w:tblCellMar>
        </w:tblPrEx>
        <w:trPr>
          <w:trHeight w:val="397" w:hRule="exact"/>
          <w:jc w:val="center"/>
        </w:trPr>
        <w:tc>
          <w:tcPr>
            <w:tcW w:w="2623" w:type="dxa"/>
            <w:gridSpan w:val="2"/>
            <w:tcBorders>
              <w:top w:val="single" w:color="000000" w:sz="4" w:space="0"/>
              <w:left w:val="single" w:color="000000" w:sz="4" w:space="0"/>
              <w:bottom w:val="single" w:color="000000" w:sz="4" w:space="0"/>
              <w:right w:val="single" w:color="000000" w:sz="4" w:space="0"/>
            </w:tcBorders>
            <w:vAlign w:val="center"/>
          </w:tcPr>
          <w:p w14:paraId="308E5BB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130" w:type="dxa"/>
            <w:tcBorders>
              <w:top w:val="single" w:color="000000" w:sz="4" w:space="0"/>
              <w:left w:val="single" w:color="000000" w:sz="4" w:space="0"/>
              <w:bottom w:val="single" w:color="000000" w:sz="4" w:space="0"/>
              <w:right w:val="single" w:color="000000" w:sz="4" w:space="0"/>
            </w:tcBorders>
            <w:vAlign w:val="center"/>
          </w:tcPr>
          <w:p w14:paraId="0DA04EE5">
            <w:pPr>
              <w:spacing w:line="420" w:lineRule="exact"/>
              <w:jc w:val="center"/>
              <w:rPr>
                <w:rFonts w:cs="宋体" w:asciiTheme="minorEastAsia" w:hAnsiTheme="minorEastAsia" w:eastAsiaTheme="minorEastAsia"/>
                <w:sz w:val="21"/>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499F24D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w:t>
            </w:r>
          </w:p>
        </w:tc>
        <w:tc>
          <w:tcPr>
            <w:tcW w:w="1045" w:type="dxa"/>
            <w:tcBorders>
              <w:top w:val="single" w:color="000000" w:sz="4" w:space="0"/>
              <w:left w:val="single" w:color="000000" w:sz="4" w:space="0"/>
              <w:bottom w:val="single" w:color="000000" w:sz="4" w:space="0"/>
              <w:right w:val="single" w:color="000000" w:sz="4" w:space="0"/>
            </w:tcBorders>
            <w:vAlign w:val="center"/>
          </w:tcPr>
          <w:p w14:paraId="0F82357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w:t>
            </w:r>
            <w:r>
              <w:rPr>
                <w:rFonts w:cs="宋体" w:asciiTheme="minorEastAsia" w:hAnsiTheme="minorEastAsia" w:eastAsiaTheme="minorEastAsia"/>
                <w:sz w:val="21"/>
                <w:szCs w:val="21"/>
              </w:rPr>
              <w:t>5</w:t>
            </w:r>
          </w:p>
        </w:tc>
      </w:tr>
      <w:bookmarkEnd w:id="70"/>
    </w:tbl>
    <w:p w14:paraId="2D1B4760">
      <w:pPr>
        <w:spacing w:after="0" w:line="360" w:lineRule="auto"/>
        <w:ind w:firstLine="640" w:firstLineChars="200"/>
        <w:jc w:val="both"/>
        <w:textAlignment w:val="baseline"/>
        <w:rPr>
          <w:rFonts w:ascii="仿宋_GB2312" w:eastAsia="仿宋_GB2312" w:cs="DengXian-Regular"/>
          <w:sz w:val="32"/>
          <w:szCs w:val="32"/>
        </w:rPr>
      </w:pPr>
      <w:bookmarkStart w:id="71" w:name="_Toc464638561"/>
      <w:bookmarkStart w:id="72" w:name="_Toc492652784"/>
      <w:bookmarkStart w:id="73" w:name="_Toc465149516"/>
      <w:r>
        <w:rPr>
          <w:rFonts w:hint="eastAsia" w:ascii="仿宋_GB2312" w:eastAsia="仿宋_GB2312" w:cs="DengXian-Regular"/>
          <w:sz w:val="32"/>
          <w:szCs w:val="32"/>
        </w:rPr>
        <w:t>1.部门整体效益（10分）</w:t>
      </w:r>
    </w:p>
    <w:p w14:paraId="4A8D2CD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该指标主要评价部门履行职责对社会发展所带来的直接或间接效益。</w:t>
      </w:r>
    </w:p>
    <w:p w14:paraId="322F31C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经查看留村镇</w:t>
      </w:r>
      <w:r>
        <w:rPr>
          <w:rFonts w:ascii="仿宋_GB2312" w:eastAsia="仿宋_GB2312" w:cs="DengXian-Regular"/>
          <w:sz w:val="32"/>
          <w:szCs w:val="32"/>
        </w:rPr>
        <w:t>政府</w:t>
      </w:r>
      <w:r>
        <w:rPr>
          <w:rFonts w:hint="eastAsia" w:ascii="仿宋_GB2312" w:eastAsia="仿宋_GB2312" w:cs="DengXian-Regular"/>
          <w:sz w:val="32"/>
          <w:szCs w:val="32"/>
        </w:rPr>
        <w:t>提供的相关资料，留村镇</w:t>
      </w:r>
      <w:r>
        <w:rPr>
          <w:rFonts w:ascii="仿宋_GB2312" w:eastAsia="仿宋_GB2312" w:cs="DengXian-Regular"/>
          <w:sz w:val="32"/>
          <w:szCs w:val="32"/>
        </w:rPr>
        <w:t>政府</w:t>
      </w:r>
      <w:r>
        <w:rPr>
          <w:rFonts w:hint="eastAsia" w:ascii="仿宋_GB2312" w:eastAsia="仿宋_GB2312" w:cs="DengXian-Regular"/>
          <w:sz w:val="32"/>
          <w:szCs w:val="32"/>
        </w:rPr>
        <w:t>履行职责对社会发展所带来的社会效益较显著，有效的提高了社会公众的社会公众的安全意识，减少了</w:t>
      </w:r>
      <w:r>
        <w:rPr>
          <w:rFonts w:hint="eastAsia" w:ascii="仿宋_GB2312" w:eastAsia="仿宋_GB2312" w:cs="DengXian-Regular"/>
          <w:sz w:val="32"/>
          <w:szCs w:val="32"/>
          <w:lang w:eastAsia="zh-CN"/>
        </w:rPr>
        <w:t>社会</w:t>
      </w:r>
      <w:r>
        <w:rPr>
          <w:rFonts w:hint="eastAsia" w:ascii="仿宋_GB2312" w:eastAsia="仿宋_GB2312" w:cs="DengXian-Regular"/>
          <w:sz w:val="32"/>
          <w:szCs w:val="32"/>
        </w:rPr>
        <w:t>安全事故因素。</w:t>
      </w:r>
    </w:p>
    <w:p w14:paraId="2E72C75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ascii="仿宋_GB2312" w:eastAsia="仿宋_GB2312" w:cs="DengXian-Regular"/>
          <w:sz w:val="32"/>
          <w:szCs w:val="32"/>
        </w:rPr>
        <w:t>10</w:t>
      </w:r>
      <w:r>
        <w:rPr>
          <w:rFonts w:hint="eastAsia" w:ascii="仿宋_GB2312" w:eastAsia="仿宋_GB2312" w:cs="DengXian-Regular"/>
          <w:sz w:val="32"/>
          <w:szCs w:val="32"/>
        </w:rPr>
        <w:t>分。</w:t>
      </w:r>
    </w:p>
    <w:p w14:paraId="42EBD13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2.考评满意度（5分）</w:t>
      </w:r>
    </w:p>
    <w:p w14:paraId="355D1EB4">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该指标主要评价社会公众或部门的服务对象对部门履职效果的满意程度。</w:t>
      </w:r>
    </w:p>
    <w:p w14:paraId="34811AD5">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针对该指标，我们随机选取了50个调查对象进行了问卷调查，具体调查情况如下：</w:t>
      </w:r>
    </w:p>
    <w:p w14:paraId="4DFE0674">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表6  服务对象满意度调查问卷汇总表</w:t>
      </w:r>
    </w:p>
    <w:p w14:paraId="1130BB0F">
      <w:pPr>
        <w:spacing w:after="0" w:line="540" w:lineRule="exact"/>
        <w:ind w:firstLine="6930" w:firstLineChars="3300"/>
        <w:jc w:val="both"/>
        <w:textAlignment w:val="baseline"/>
        <w:rPr>
          <w:rFonts w:ascii="仿宋_GB2312" w:eastAsia="仿宋_GB2312" w:cs="Times New Roman" w:hAnsiTheme="minorEastAsia"/>
          <w:sz w:val="32"/>
          <w:szCs w:val="32"/>
          <w:u w:color="000000"/>
        </w:rPr>
      </w:pPr>
      <w:r>
        <w:rPr>
          <w:rFonts w:hint="eastAsia" w:asciiTheme="minorEastAsia" w:hAnsiTheme="minorEastAsia" w:eastAsiaTheme="minorEastAsia" w:cstheme="minorEastAsia"/>
          <w:sz w:val="21"/>
          <w:szCs w:val="21"/>
          <w:u w:color="000000"/>
        </w:rPr>
        <w:t>单位：人次</w:t>
      </w:r>
    </w:p>
    <w:tbl>
      <w:tblPr>
        <w:tblStyle w:val="23"/>
        <w:tblW w:w="7948" w:type="dxa"/>
        <w:jc w:val="center"/>
        <w:tblLayout w:type="fixed"/>
        <w:tblCellMar>
          <w:top w:w="15" w:type="dxa"/>
          <w:left w:w="15" w:type="dxa"/>
          <w:bottom w:w="15" w:type="dxa"/>
          <w:right w:w="15" w:type="dxa"/>
        </w:tblCellMar>
      </w:tblPr>
      <w:tblGrid>
        <w:gridCol w:w="2834"/>
        <w:gridCol w:w="1114"/>
        <w:gridCol w:w="1134"/>
        <w:gridCol w:w="1218"/>
        <w:gridCol w:w="767"/>
        <w:gridCol w:w="881"/>
      </w:tblGrid>
      <w:tr w14:paraId="046102BE">
        <w:tblPrEx>
          <w:tblCellMar>
            <w:top w:w="15" w:type="dxa"/>
            <w:left w:w="15" w:type="dxa"/>
            <w:bottom w:w="15" w:type="dxa"/>
            <w:right w:w="15" w:type="dxa"/>
          </w:tblCellMar>
        </w:tblPrEx>
        <w:trPr>
          <w:trHeight w:val="525" w:hRule="atLeast"/>
          <w:jc w:val="center"/>
        </w:trPr>
        <w:tc>
          <w:tcPr>
            <w:tcW w:w="2834" w:type="dxa"/>
            <w:tcBorders>
              <w:top w:val="single" w:color="auto" w:sz="4" w:space="0"/>
              <w:left w:val="single" w:color="auto" w:sz="4" w:space="0"/>
              <w:bottom w:val="single" w:color="auto" w:sz="4" w:space="0"/>
              <w:right w:val="single" w:color="auto" w:sz="4" w:space="0"/>
            </w:tcBorders>
            <w:vAlign w:val="center"/>
          </w:tcPr>
          <w:p w14:paraId="064E6790">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调查项目</w:t>
            </w:r>
          </w:p>
        </w:tc>
        <w:tc>
          <w:tcPr>
            <w:tcW w:w="1114" w:type="dxa"/>
            <w:tcBorders>
              <w:top w:val="single" w:color="auto" w:sz="4" w:space="0"/>
              <w:left w:val="single" w:color="auto" w:sz="4" w:space="0"/>
              <w:bottom w:val="single" w:color="auto" w:sz="4" w:space="0"/>
              <w:right w:val="single" w:color="auto" w:sz="4" w:space="0"/>
            </w:tcBorders>
            <w:vAlign w:val="center"/>
          </w:tcPr>
          <w:p w14:paraId="5AA633FA">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满意</w:t>
            </w:r>
          </w:p>
        </w:tc>
        <w:tc>
          <w:tcPr>
            <w:tcW w:w="1134" w:type="dxa"/>
            <w:tcBorders>
              <w:top w:val="single" w:color="auto" w:sz="4" w:space="0"/>
              <w:left w:val="single" w:color="auto" w:sz="4" w:space="0"/>
              <w:bottom w:val="single" w:color="auto" w:sz="4" w:space="0"/>
              <w:right w:val="single" w:color="auto" w:sz="4" w:space="0"/>
            </w:tcBorders>
            <w:vAlign w:val="center"/>
          </w:tcPr>
          <w:p w14:paraId="6E85CCD7">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一般</w:t>
            </w:r>
          </w:p>
        </w:tc>
        <w:tc>
          <w:tcPr>
            <w:tcW w:w="1218" w:type="dxa"/>
            <w:tcBorders>
              <w:top w:val="single" w:color="auto" w:sz="4" w:space="0"/>
              <w:left w:val="single" w:color="auto" w:sz="4" w:space="0"/>
              <w:bottom w:val="single" w:color="auto" w:sz="4" w:space="0"/>
              <w:right w:val="single" w:color="auto" w:sz="4" w:space="0"/>
            </w:tcBorders>
            <w:vAlign w:val="center"/>
          </w:tcPr>
          <w:p w14:paraId="64DB4E27">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不满意</w:t>
            </w:r>
          </w:p>
        </w:tc>
        <w:tc>
          <w:tcPr>
            <w:tcW w:w="767" w:type="dxa"/>
            <w:tcBorders>
              <w:top w:val="single" w:color="auto" w:sz="4" w:space="0"/>
              <w:left w:val="single" w:color="auto" w:sz="4" w:space="0"/>
              <w:bottom w:val="single" w:color="auto" w:sz="4" w:space="0"/>
              <w:right w:val="single" w:color="auto" w:sz="4" w:space="0"/>
            </w:tcBorders>
            <w:vAlign w:val="center"/>
          </w:tcPr>
          <w:p w14:paraId="7BB5DE3F">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合计</w:t>
            </w:r>
          </w:p>
        </w:tc>
        <w:tc>
          <w:tcPr>
            <w:tcW w:w="881" w:type="dxa"/>
            <w:tcBorders>
              <w:top w:val="single" w:color="auto" w:sz="4" w:space="0"/>
              <w:left w:val="single" w:color="auto" w:sz="4" w:space="0"/>
              <w:bottom w:val="single" w:color="auto" w:sz="4" w:space="0"/>
              <w:right w:val="single" w:color="auto" w:sz="4" w:space="0"/>
            </w:tcBorders>
            <w:vAlign w:val="center"/>
          </w:tcPr>
          <w:p w14:paraId="497037DE">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单项得分</w:t>
            </w:r>
          </w:p>
        </w:tc>
      </w:tr>
      <w:tr w14:paraId="621BC960">
        <w:tblPrEx>
          <w:tblCellMar>
            <w:top w:w="15" w:type="dxa"/>
            <w:left w:w="15" w:type="dxa"/>
            <w:bottom w:w="15" w:type="dxa"/>
            <w:right w:w="15" w:type="dxa"/>
          </w:tblCellMar>
        </w:tblPrEx>
        <w:trPr>
          <w:trHeight w:val="59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379381C6">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安全生产督导</w:t>
            </w:r>
            <w:r>
              <w:rPr>
                <w:rFonts w:cs="Times New Roman" w:asciiTheme="minorEastAsia" w:hAnsiTheme="minorEastAsia" w:eastAsiaTheme="minorEastAsia"/>
                <w:sz w:val="21"/>
                <w:szCs w:val="21"/>
                <w:u w:color="000000"/>
              </w:rPr>
              <w:t>检查</w:t>
            </w:r>
            <w:r>
              <w:rPr>
                <w:rFonts w:hint="eastAsia" w:cs="Times New Roman" w:asciiTheme="minorEastAsia" w:hAnsiTheme="minorEastAsia" w:eastAsiaTheme="minorEastAsia"/>
                <w:sz w:val="21"/>
                <w:szCs w:val="21"/>
                <w:u w:color="000000"/>
              </w:rPr>
              <w:t>工作</w:t>
            </w:r>
          </w:p>
        </w:tc>
        <w:tc>
          <w:tcPr>
            <w:tcW w:w="1114" w:type="dxa"/>
            <w:tcBorders>
              <w:top w:val="single" w:color="000000" w:sz="4" w:space="0"/>
              <w:left w:val="single" w:color="000000" w:sz="4" w:space="0"/>
              <w:bottom w:val="single" w:color="000000" w:sz="4" w:space="0"/>
              <w:right w:val="single" w:color="000000" w:sz="4" w:space="0"/>
            </w:tcBorders>
            <w:vAlign w:val="center"/>
          </w:tcPr>
          <w:p w14:paraId="765246D7">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42</w:t>
            </w:r>
          </w:p>
        </w:tc>
        <w:tc>
          <w:tcPr>
            <w:tcW w:w="1134" w:type="dxa"/>
            <w:tcBorders>
              <w:top w:val="single" w:color="000000" w:sz="4" w:space="0"/>
              <w:left w:val="single" w:color="000000" w:sz="4" w:space="0"/>
              <w:bottom w:val="single" w:color="000000" w:sz="4" w:space="0"/>
              <w:right w:val="single" w:color="000000" w:sz="4" w:space="0"/>
            </w:tcBorders>
            <w:vAlign w:val="center"/>
          </w:tcPr>
          <w:p w14:paraId="561810FB">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8</w:t>
            </w:r>
          </w:p>
        </w:tc>
        <w:tc>
          <w:tcPr>
            <w:tcW w:w="1218" w:type="dxa"/>
            <w:tcBorders>
              <w:top w:val="single" w:color="000000" w:sz="4" w:space="0"/>
              <w:left w:val="single" w:color="000000" w:sz="4" w:space="0"/>
              <w:bottom w:val="single" w:color="000000" w:sz="4" w:space="0"/>
              <w:right w:val="single" w:color="000000" w:sz="4" w:space="0"/>
            </w:tcBorders>
            <w:vAlign w:val="center"/>
          </w:tcPr>
          <w:p w14:paraId="2AB5B019">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x</w:t>
            </w:r>
          </w:p>
        </w:tc>
        <w:tc>
          <w:tcPr>
            <w:tcW w:w="767" w:type="dxa"/>
            <w:tcBorders>
              <w:top w:val="single" w:color="000000" w:sz="4" w:space="0"/>
              <w:left w:val="single" w:color="000000" w:sz="4" w:space="0"/>
              <w:bottom w:val="single" w:color="000000" w:sz="4" w:space="0"/>
              <w:right w:val="single" w:color="000000" w:sz="4" w:space="0"/>
            </w:tcBorders>
            <w:vAlign w:val="center"/>
          </w:tcPr>
          <w:p w14:paraId="7F27AEC9">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3FE9F7B7">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92</w:t>
            </w:r>
          </w:p>
        </w:tc>
      </w:tr>
      <w:tr w14:paraId="515651B7">
        <w:tblPrEx>
          <w:tblCellMar>
            <w:top w:w="15" w:type="dxa"/>
            <w:left w:w="15" w:type="dxa"/>
            <w:bottom w:w="15" w:type="dxa"/>
            <w:right w:w="15" w:type="dxa"/>
          </w:tblCellMar>
        </w:tblPrEx>
        <w:trPr>
          <w:trHeight w:val="51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522EA52D">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党务</w:t>
            </w:r>
            <w:r>
              <w:rPr>
                <w:rFonts w:cs="Times New Roman" w:asciiTheme="minorEastAsia" w:hAnsiTheme="minorEastAsia" w:eastAsiaTheme="minorEastAsia"/>
                <w:sz w:val="21"/>
                <w:szCs w:val="21"/>
                <w:u w:color="000000"/>
              </w:rPr>
              <w:t>政务服务工作是</w:t>
            </w:r>
            <w:r>
              <w:rPr>
                <w:rFonts w:hint="eastAsia" w:cs="Times New Roman" w:asciiTheme="minorEastAsia" w:hAnsiTheme="minorEastAsia" w:eastAsiaTheme="minorEastAsia"/>
                <w:sz w:val="21"/>
                <w:szCs w:val="21"/>
                <w:u w:color="000000"/>
              </w:rPr>
              <w:t>否满意</w:t>
            </w:r>
          </w:p>
        </w:tc>
        <w:tc>
          <w:tcPr>
            <w:tcW w:w="1114" w:type="dxa"/>
            <w:tcBorders>
              <w:top w:val="single" w:color="000000" w:sz="4" w:space="0"/>
              <w:left w:val="single" w:color="000000" w:sz="4" w:space="0"/>
              <w:bottom w:val="single" w:color="000000" w:sz="4" w:space="0"/>
              <w:right w:val="single" w:color="000000" w:sz="4" w:space="0"/>
            </w:tcBorders>
            <w:vAlign w:val="center"/>
          </w:tcPr>
          <w:p w14:paraId="5643FCDB">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1134" w:type="dxa"/>
            <w:tcBorders>
              <w:top w:val="single" w:color="000000" w:sz="4" w:space="0"/>
              <w:left w:val="single" w:color="000000" w:sz="4" w:space="0"/>
              <w:bottom w:val="single" w:color="000000" w:sz="4" w:space="0"/>
              <w:right w:val="single" w:color="000000" w:sz="4" w:space="0"/>
            </w:tcBorders>
            <w:vAlign w:val="center"/>
          </w:tcPr>
          <w:p w14:paraId="00C421AD">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x</w:t>
            </w:r>
          </w:p>
        </w:tc>
        <w:tc>
          <w:tcPr>
            <w:tcW w:w="1218" w:type="dxa"/>
            <w:tcBorders>
              <w:top w:val="single" w:color="000000" w:sz="4" w:space="0"/>
              <w:left w:val="single" w:color="000000" w:sz="4" w:space="0"/>
              <w:bottom w:val="single" w:color="000000" w:sz="4" w:space="0"/>
              <w:right w:val="single" w:color="000000" w:sz="4" w:space="0"/>
            </w:tcBorders>
            <w:vAlign w:val="center"/>
          </w:tcPr>
          <w:p w14:paraId="61ECF504">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x</w:t>
            </w:r>
          </w:p>
        </w:tc>
        <w:tc>
          <w:tcPr>
            <w:tcW w:w="767" w:type="dxa"/>
            <w:tcBorders>
              <w:top w:val="single" w:color="000000" w:sz="4" w:space="0"/>
              <w:left w:val="single" w:color="000000" w:sz="4" w:space="0"/>
              <w:bottom w:val="single" w:color="000000" w:sz="4" w:space="0"/>
              <w:right w:val="single" w:color="000000" w:sz="4" w:space="0"/>
            </w:tcBorders>
            <w:vAlign w:val="center"/>
          </w:tcPr>
          <w:p w14:paraId="22A8F61E">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5F439F21">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100</w:t>
            </w:r>
          </w:p>
        </w:tc>
      </w:tr>
      <w:tr w14:paraId="1424944B">
        <w:tblPrEx>
          <w:tblCellMar>
            <w:top w:w="15" w:type="dxa"/>
            <w:left w:w="15" w:type="dxa"/>
            <w:bottom w:w="15" w:type="dxa"/>
            <w:right w:w="15" w:type="dxa"/>
          </w:tblCellMar>
        </w:tblPrEx>
        <w:trPr>
          <w:trHeight w:val="585"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4C015501">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您对农</w:t>
            </w:r>
            <w:r>
              <w:rPr>
                <w:rFonts w:cs="Times New Roman" w:asciiTheme="minorEastAsia" w:hAnsiTheme="minorEastAsia" w:eastAsiaTheme="minorEastAsia"/>
                <w:sz w:val="21"/>
                <w:szCs w:val="21"/>
                <w:u w:color="000000"/>
              </w:rPr>
              <w:t>村文化活动</w:t>
            </w:r>
            <w:r>
              <w:rPr>
                <w:rFonts w:hint="eastAsia" w:cs="Times New Roman" w:asciiTheme="minorEastAsia" w:hAnsiTheme="minorEastAsia" w:eastAsiaTheme="minorEastAsia"/>
                <w:sz w:val="21"/>
                <w:szCs w:val="21"/>
                <w:u w:color="000000"/>
              </w:rPr>
              <w:t>工作了解程度如何</w:t>
            </w:r>
          </w:p>
        </w:tc>
        <w:tc>
          <w:tcPr>
            <w:tcW w:w="1114" w:type="dxa"/>
            <w:tcBorders>
              <w:top w:val="single" w:color="000000" w:sz="4" w:space="0"/>
              <w:left w:val="single" w:color="000000" w:sz="4" w:space="0"/>
              <w:bottom w:val="single" w:color="000000" w:sz="4" w:space="0"/>
              <w:right w:val="single" w:color="000000" w:sz="4" w:space="0"/>
            </w:tcBorders>
            <w:vAlign w:val="center"/>
          </w:tcPr>
          <w:p w14:paraId="3E475065">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45</w:t>
            </w:r>
          </w:p>
        </w:tc>
        <w:tc>
          <w:tcPr>
            <w:tcW w:w="1134" w:type="dxa"/>
            <w:tcBorders>
              <w:top w:val="single" w:color="000000" w:sz="4" w:space="0"/>
              <w:left w:val="single" w:color="000000" w:sz="4" w:space="0"/>
              <w:bottom w:val="single" w:color="000000" w:sz="4" w:space="0"/>
              <w:right w:val="single" w:color="000000" w:sz="4" w:space="0"/>
            </w:tcBorders>
            <w:vAlign w:val="center"/>
          </w:tcPr>
          <w:p w14:paraId="0473837D">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w:t>
            </w:r>
          </w:p>
        </w:tc>
        <w:tc>
          <w:tcPr>
            <w:tcW w:w="1218" w:type="dxa"/>
            <w:tcBorders>
              <w:top w:val="single" w:color="000000" w:sz="4" w:space="0"/>
              <w:left w:val="single" w:color="000000" w:sz="4" w:space="0"/>
              <w:bottom w:val="single" w:color="000000" w:sz="4" w:space="0"/>
              <w:right w:val="single" w:color="000000" w:sz="4" w:space="0"/>
            </w:tcBorders>
            <w:vAlign w:val="center"/>
          </w:tcPr>
          <w:p w14:paraId="060E3B1D">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x</w:t>
            </w:r>
          </w:p>
        </w:tc>
        <w:tc>
          <w:tcPr>
            <w:tcW w:w="767" w:type="dxa"/>
            <w:tcBorders>
              <w:top w:val="single" w:color="000000" w:sz="4" w:space="0"/>
              <w:left w:val="single" w:color="000000" w:sz="4" w:space="0"/>
              <w:bottom w:val="single" w:color="000000" w:sz="4" w:space="0"/>
              <w:right w:val="single" w:color="000000" w:sz="4" w:space="0"/>
            </w:tcBorders>
            <w:vAlign w:val="center"/>
          </w:tcPr>
          <w:p w14:paraId="3BBD8894">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663F8BA3">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95</w:t>
            </w:r>
          </w:p>
        </w:tc>
      </w:tr>
    </w:tbl>
    <w:p w14:paraId="6DC8A0C8">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调查问卷共分为3个单项，每个单项满分为100分。其中：每一单项满分为100分：满意为100分，一般为50分，不满意为0分。</w:t>
      </w:r>
    </w:p>
    <w:p w14:paraId="56C6127E">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单项满意度得分=总分数/总人数</w:t>
      </w:r>
    </w:p>
    <w:p w14:paraId="0F01BE83">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总体满意度得分=∑1/3各单项满意度得分</w:t>
      </w:r>
    </w:p>
    <w:p w14:paraId="62C27F24">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经计算，总体得分为</w:t>
      </w:r>
      <w:r>
        <w:rPr>
          <w:rFonts w:ascii="仿宋_GB2312" w:eastAsia="仿宋_GB2312" w:cs="Times New Roman" w:hAnsiTheme="minorEastAsia"/>
          <w:sz w:val="32"/>
          <w:szCs w:val="32"/>
          <w:u w:color="000000"/>
        </w:rPr>
        <w:t>95</w:t>
      </w:r>
      <w:r>
        <w:rPr>
          <w:rFonts w:hint="eastAsia" w:ascii="仿宋_GB2312" w:eastAsia="仿宋_GB2312" w:cs="Times New Roman" w:hAnsiTheme="minorEastAsia"/>
          <w:sz w:val="32"/>
          <w:szCs w:val="32"/>
          <w:u w:color="000000"/>
        </w:rPr>
        <w:t>分，小于(大于）90分，评价等级为“优”。</w:t>
      </w:r>
    </w:p>
    <w:p w14:paraId="3A3407E2">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该指标实际得分</w:t>
      </w:r>
      <w:r>
        <w:rPr>
          <w:rFonts w:ascii="仿宋_GB2312" w:eastAsia="仿宋_GB2312" w:cs="Times New Roman" w:hAnsiTheme="minorEastAsia"/>
          <w:sz w:val="32"/>
          <w:szCs w:val="32"/>
          <w:u w:color="000000"/>
        </w:rPr>
        <w:t>5</w:t>
      </w:r>
      <w:r>
        <w:rPr>
          <w:rFonts w:hint="eastAsia" w:ascii="仿宋_GB2312" w:eastAsia="仿宋_GB2312" w:cs="Times New Roman" w:hAnsiTheme="minorEastAsia"/>
          <w:sz w:val="32"/>
          <w:szCs w:val="32"/>
          <w:u w:color="000000"/>
        </w:rPr>
        <w:t>分。</w:t>
      </w:r>
    </w:p>
    <w:p w14:paraId="0E1EED9F">
      <w:pPr>
        <w:pStyle w:val="3"/>
        <w:keepNext w:val="0"/>
        <w:keepLines w:val="0"/>
        <w:suppressLineNumbers/>
        <w:spacing w:before="0" w:after="0" w:line="360" w:lineRule="auto"/>
        <w:ind w:firstLine="643" w:firstLineChars="200"/>
        <w:rPr>
          <w:rFonts w:ascii="黑体"/>
        </w:rPr>
      </w:pPr>
      <w:bookmarkStart w:id="74" w:name="_Toc13757"/>
      <w:r>
        <w:rPr>
          <w:rFonts w:hint="eastAsia" w:ascii="黑体"/>
        </w:rPr>
        <w:t>五、绩效评价发现的问题</w:t>
      </w:r>
      <w:bookmarkEnd w:id="71"/>
      <w:bookmarkEnd w:id="72"/>
      <w:bookmarkEnd w:id="73"/>
      <w:bookmarkEnd w:id="74"/>
      <w:bookmarkStart w:id="75" w:name="_Toc492652789"/>
    </w:p>
    <w:p w14:paraId="4DCAB80B">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通过对各指标得分及扣分原因的分析，</w:t>
      </w:r>
      <w:r>
        <w:rPr>
          <w:rFonts w:hint="eastAsia" w:ascii="仿宋_GB2312" w:eastAsia="仿宋_GB2312" w:cs="DengXian-Regular"/>
          <w:sz w:val="32"/>
          <w:szCs w:val="32"/>
        </w:rPr>
        <w:t>留村镇</w:t>
      </w:r>
      <w:r>
        <w:rPr>
          <w:rFonts w:ascii="仿宋_GB2312" w:eastAsia="仿宋_GB2312" w:cs="DengXian-Regular"/>
          <w:sz w:val="32"/>
          <w:szCs w:val="32"/>
        </w:rPr>
        <w:t>政府</w:t>
      </w:r>
      <w:r>
        <w:rPr>
          <w:rFonts w:hint="eastAsia" w:ascii="仿宋_GB2312" w:eastAsia="仿宋_GB2312" w:cs="Times New Roman" w:hAnsiTheme="minorEastAsia"/>
          <w:sz w:val="32"/>
          <w:szCs w:val="32"/>
          <w:u w:color="000000"/>
        </w:rPr>
        <w:t>2022年部门整体支出基本按相关要求执行预算、决算，完成了绩效目标，资金使用效益良好。通过评价，也发现一些不足之处，具体情况如下：</w:t>
      </w:r>
      <w:bookmarkStart w:id="76" w:name="_Toc20723"/>
    </w:p>
    <w:bookmarkEnd w:id="75"/>
    <w:bookmarkEnd w:id="76"/>
    <w:p w14:paraId="6B60A384">
      <w:pPr>
        <w:spacing w:after="0" w:line="360" w:lineRule="auto"/>
        <w:ind w:firstLine="640" w:firstLineChars="200"/>
        <w:jc w:val="both"/>
        <w:textAlignment w:val="baseline"/>
        <w:rPr>
          <w:rFonts w:ascii="仿宋_GB2312" w:eastAsia="仿宋_GB2312" w:cs="Times New Roman" w:hAnsiTheme="minorEastAsia"/>
          <w:sz w:val="32"/>
          <w:szCs w:val="32"/>
          <w:u w:color="000000"/>
        </w:rPr>
      </w:pPr>
      <w:bookmarkStart w:id="77" w:name="_Toc465149521"/>
      <w:r>
        <w:rPr>
          <w:rFonts w:hint="eastAsia" w:ascii="仿宋_GB2312" w:eastAsia="仿宋_GB2312" w:cs="Times New Roman" w:hAnsiTheme="minorEastAsia"/>
          <w:sz w:val="32"/>
          <w:szCs w:val="32"/>
          <w:u w:color="000000"/>
        </w:rPr>
        <w:t>1.部分绩效指标方面。</w:t>
      </w:r>
      <w:r>
        <w:rPr>
          <w:rFonts w:hint="eastAsia" w:ascii="仿宋_GB2312" w:eastAsia="仿宋_GB2312" w:cs="DengXian-Regular"/>
          <w:sz w:val="32"/>
          <w:szCs w:val="32"/>
        </w:rPr>
        <w:t>增强绩效指标设置的明确性, 将绩效目标细化分解为具体的工作任务数，从而使绩效目标可量化，便于对目标实现情况进行考核。</w:t>
      </w:r>
    </w:p>
    <w:p w14:paraId="2EF94F5F">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2.预算决算比较。</w:t>
      </w:r>
      <w:r>
        <w:rPr>
          <w:rFonts w:hint="eastAsia" w:ascii="仿宋_GB2312" w:eastAsia="仿宋_GB2312" w:cs="DengXian-Regular"/>
          <w:sz w:val="32"/>
          <w:szCs w:val="32"/>
        </w:rPr>
        <w:t>根据具体情况及时调整预算的编制，缩小预算与决算差额。</w:t>
      </w:r>
    </w:p>
    <w:p w14:paraId="42A92731">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3.预算追加方面。</w:t>
      </w:r>
      <w:r>
        <w:rPr>
          <w:rFonts w:hint="eastAsia" w:ascii="仿宋_GB2312" w:eastAsia="仿宋_GB2312" w:cs="DengXian-Regular"/>
          <w:sz w:val="32"/>
          <w:szCs w:val="32"/>
        </w:rPr>
        <w:t>减少中期预算追加，提高预算编制质量，发挥预算约束作用。</w:t>
      </w:r>
    </w:p>
    <w:p w14:paraId="0DD656A4">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4.政府采购方面。</w:t>
      </w:r>
      <w:r>
        <w:rPr>
          <w:rFonts w:hint="eastAsia" w:ascii="仿宋_GB2312" w:eastAsia="仿宋_GB2312" w:cs="DengXian-Regular"/>
          <w:sz w:val="32"/>
          <w:szCs w:val="32"/>
        </w:rPr>
        <w:t>强化政府采购执行，加快预算执行进度，提高政府采购效率。</w:t>
      </w:r>
    </w:p>
    <w:p w14:paraId="76E20F8D">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5.项目资金使用率方面。严格</w:t>
      </w:r>
      <w:r>
        <w:rPr>
          <w:rFonts w:ascii="仿宋_GB2312" w:eastAsia="仿宋_GB2312" w:cs="Times New Roman" w:hAnsiTheme="minorEastAsia"/>
          <w:sz w:val="32"/>
          <w:szCs w:val="32"/>
          <w:u w:color="000000"/>
        </w:rPr>
        <w:t>项目</w:t>
      </w:r>
      <w:r>
        <w:rPr>
          <w:rFonts w:hint="eastAsia" w:ascii="仿宋_GB2312" w:eastAsia="仿宋_GB2312" w:cs="Times New Roman" w:hAnsiTheme="minorEastAsia"/>
          <w:sz w:val="32"/>
          <w:szCs w:val="32"/>
          <w:u w:color="000000"/>
        </w:rPr>
        <w:t>资金</w:t>
      </w:r>
      <w:r>
        <w:rPr>
          <w:rFonts w:ascii="仿宋_GB2312" w:eastAsia="仿宋_GB2312" w:cs="Times New Roman" w:hAnsiTheme="minorEastAsia"/>
          <w:sz w:val="32"/>
          <w:szCs w:val="32"/>
          <w:u w:color="000000"/>
        </w:rPr>
        <w:t>审批，加快项目预算执行进度。</w:t>
      </w:r>
    </w:p>
    <w:p w14:paraId="53CEB26E">
      <w:pPr>
        <w:spacing w:after="0" w:line="360" w:lineRule="auto"/>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附件：1.保定市徐水</w:t>
      </w:r>
      <w:r>
        <w:rPr>
          <w:rFonts w:hint="eastAsia" w:ascii="仿宋_GB2312" w:eastAsia="仿宋_GB2312" w:cs="DengXian-Regular"/>
          <w:sz w:val="32"/>
          <w:szCs w:val="32"/>
        </w:rPr>
        <w:t>区留村镇政府</w:t>
      </w:r>
      <w:r>
        <w:rPr>
          <w:rFonts w:hint="eastAsia" w:ascii="仿宋_GB2312" w:eastAsia="仿宋_GB2312" w:cs="Times New Roman" w:hAnsiTheme="minorEastAsia"/>
          <w:sz w:val="32"/>
          <w:szCs w:val="32"/>
          <w:u w:color="000000"/>
        </w:rPr>
        <w:t>部门基本情况及主要职责</w:t>
      </w:r>
    </w:p>
    <w:p w14:paraId="2793564E">
      <w:pPr>
        <w:spacing w:after="0" w:line="540" w:lineRule="exact"/>
        <w:ind w:firstLine="960" w:firstLineChars="3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w:t>
      </w:r>
      <w:r>
        <w:rPr>
          <w:rFonts w:ascii="仿宋_GB2312" w:eastAsia="仿宋_GB2312" w:cs="Times New Roman" w:hAnsiTheme="minorEastAsia"/>
          <w:sz w:val="32"/>
          <w:szCs w:val="32"/>
          <w:u w:color="000000"/>
        </w:rPr>
        <w:t>2022</w:t>
      </w:r>
      <w:r>
        <w:rPr>
          <w:rFonts w:hint="eastAsia" w:ascii="仿宋_GB2312" w:eastAsia="仿宋_GB2312" w:cs="Times New Roman" w:hAnsiTheme="minorEastAsia"/>
          <w:sz w:val="32"/>
          <w:szCs w:val="32"/>
          <w:u w:color="000000"/>
        </w:rPr>
        <w:t>年度保定市徐水区</w:t>
      </w:r>
      <w:r>
        <w:rPr>
          <w:rFonts w:hint="eastAsia" w:ascii="仿宋_GB2312" w:eastAsia="仿宋_GB2312" w:cs="DengXian-Regular"/>
          <w:sz w:val="32"/>
          <w:szCs w:val="32"/>
        </w:rPr>
        <w:t>留村镇政府</w:t>
      </w:r>
      <w:r>
        <w:rPr>
          <w:rFonts w:hint="eastAsia" w:ascii="仿宋_GB2312" w:eastAsia="仿宋_GB2312" w:cs="Times New Roman" w:hAnsiTheme="minorEastAsia"/>
          <w:sz w:val="32"/>
          <w:szCs w:val="32"/>
          <w:u w:color="000000"/>
        </w:rPr>
        <w:t>收支预算及决算明细表</w:t>
      </w:r>
    </w:p>
    <w:p w14:paraId="6090A5A4">
      <w:pPr>
        <w:spacing w:after="0" w:line="540" w:lineRule="exact"/>
        <w:ind w:firstLine="960" w:firstLineChars="300"/>
        <w:jc w:val="both"/>
        <w:textAlignment w:val="baseline"/>
        <w:rPr>
          <w:rFonts w:ascii="仿宋_GB2312" w:eastAsia="仿宋_GB2312" w:cs="Times New Roman" w:hAnsiTheme="minorEastAsia"/>
          <w:sz w:val="32"/>
          <w:szCs w:val="32"/>
          <w:u w:color="000000"/>
        </w:rPr>
      </w:pPr>
      <w:bookmarkStart w:id="78" w:name="_Toc465149534"/>
      <w:r>
        <w:rPr>
          <w:rFonts w:hint="eastAsia" w:ascii="仿宋_GB2312" w:eastAsia="仿宋_GB2312" w:cs="Times New Roman" w:hAnsiTheme="minorEastAsia"/>
          <w:sz w:val="32"/>
          <w:szCs w:val="32"/>
          <w:u w:color="000000"/>
        </w:rPr>
        <w:t>3.</w:t>
      </w:r>
      <w:bookmarkEnd w:id="78"/>
      <w:r>
        <w:rPr>
          <w:rFonts w:hint="eastAsia" w:ascii="仿宋_GB2312" w:eastAsia="仿宋_GB2312" w:cs="Times New Roman" w:hAnsiTheme="minorEastAsia"/>
          <w:sz w:val="32"/>
          <w:szCs w:val="32"/>
          <w:u w:color="000000"/>
        </w:rPr>
        <w:t>部门整体支出绩效评价指标体系</w:t>
      </w:r>
    </w:p>
    <w:p w14:paraId="7EFB73DC">
      <w:pPr>
        <w:spacing w:after="0" w:line="540" w:lineRule="exact"/>
        <w:ind w:firstLine="960" w:firstLineChars="300"/>
        <w:jc w:val="both"/>
        <w:textAlignment w:val="baseline"/>
        <w:rPr>
          <w:rFonts w:ascii="仿宋_GB2312" w:eastAsia="仿宋_GB2312" w:cs="Times New Roman" w:hAnsiTheme="minorEastAsia"/>
          <w:sz w:val="32"/>
          <w:szCs w:val="32"/>
          <w:u w:color="000000"/>
        </w:rPr>
      </w:pPr>
      <w:bookmarkStart w:id="79" w:name="_Toc465149544"/>
      <w:r>
        <w:rPr>
          <w:rFonts w:hint="eastAsia" w:ascii="仿宋_GB2312" w:eastAsia="仿宋_GB2312" w:cs="Times New Roman" w:hAnsiTheme="minorEastAsia"/>
          <w:sz w:val="32"/>
          <w:szCs w:val="32"/>
          <w:u w:color="000000"/>
        </w:rPr>
        <w:t>4.</w:t>
      </w:r>
      <w:bookmarkEnd w:id="79"/>
      <w:r>
        <w:rPr>
          <w:rFonts w:ascii="仿宋_GB2312" w:eastAsia="仿宋_GB2312" w:cs="Times New Roman" w:hAnsiTheme="minorEastAsia"/>
          <w:sz w:val="32"/>
          <w:szCs w:val="32"/>
          <w:u w:color="000000"/>
        </w:rPr>
        <w:t>2022</w:t>
      </w:r>
      <w:r>
        <w:rPr>
          <w:rFonts w:hint="eastAsia" w:ascii="仿宋_GB2312" w:eastAsia="仿宋_GB2312" w:cs="Times New Roman" w:hAnsiTheme="minorEastAsia"/>
          <w:sz w:val="32"/>
          <w:szCs w:val="32"/>
          <w:u w:color="000000"/>
        </w:rPr>
        <w:t>年徐水区</w:t>
      </w:r>
      <w:r>
        <w:rPr>
          <w:rFonts w:hint="eastAsia" w:ascii="仿宋_GB2312" w:eastAsia="仿宋_GB2312" w:cs="DengXian-Regular"/>
          <w:sz w:val="32"/>
          <w:szCs w:val="32"/>
        </w:rPr>
        <w:t>留村镇政府</w:t>
      </w:r>
      <w:r>
        <w:rPr>
          <w:rFonts w:hint="eastAsia" w:ascii="仿宋_GB2312" w:eastAsia="仿宋_GB2312" w:cs="Times New Roman" w:hAnsiTheme="minorEastAsia"/>
          <w:sz w:val="32"/>
          <w:szCs w:val="32"/>
          <w:u w:color="000000"/>
        </w:rPr>
        <w:t>工作活动绩效目标、绩效指标一览表</w:t>
      </w:r>
      <w:bookmarkEnd w:id="77"/>
    </w:p>
    <w:p w14:paraId="6DB7F17D">
      <w:pPr>
        <w:spacing w:line="540" w:lineRule="exact"/>
        <w:ind w:firstLine="640" w:firstLineChars="200"/>
        <w:jc w:val="both"/>
        <w:textAlignment w:val="baseline"/>
        <w:rPr>
          <w:rFonts w:ascii="仿宋_GB2312" w:eastAsia="仿宋_GB2312" w:cs="Times New Roman" w:hAnsiTheme="minorEastAsia"/>
          <w:sz w:val="32"/>
          <w:szCs w:val="32"/>
          <w:u w:color="000000"/>
        </w:rPr>
      </w:pPr>
    </w:p>
    <w:p w14:paraId="40475BCA">
      <w:pPr>
        <w:spacing w:line="540" w:lineRule="exact"/>
        <w:ind w:firstLine="640" w:firstLineChars="200"/>
        <w:jc w:val="both"/>
        <w:textAlignment w:val="baseline"/>
        <w:rPr>
          <w:rFonts w:ascii="仿宋_GB2312" w:eastAsia="仿宋_GB2312" w:cs="Times New Roman" w:hAnsiTheme="minorEastAsia"/>
          <w:sz w:val="32"/>
          <w:szCs w:val="32"/>
          <w:u w:color="000000"/>
        </w:rPr>
      </w:pPr>
    </w:p>
    <w:p w14:paraId="3B085FD5">
      <w:pPr>
        <w:spacing w:line="540" w:lineRule="exact"/>
        <w:ind w:firstLine="640" w:firstLineChars="200"/>
        <w:jc w:val="both"/>
        <w:textAlignment w:val="baseline"/>
        <w:rPr>
          <w:rFonts w:ascii="仿宋_GB2312" w:eastAsia="仿宋_GB2312" w:cs="Times New Roman" w:hAnsiTheme="minorEastAsia"/>
          <w:sz w:val="32"/>
          <w:szCs w:val="32"/>
          <w:u w:color="000000"/>
        </w:rPr>
      </w:pPr>
    </w:p>
    <w:p w14:paraId="55364167">
      <w:pPr>
        <w:spacing w:line="540" w:lineRule="exact"/>
        <w:ind w:firstLine="640" w:firstLineChars="200"/>
        <w:jc w:val="both"/>
        <w:textAlignment w:val="baseline"/>
        <w:rPr>
          <w:rFonts w:ascii="仿宋_GB2312" w:eastAsia="仿宋_GB2312" w:cs="Times New Roman" w:hAnsiTheme="minorEastAsia"/>
          <w:sz w:val="32"/>
          <w:szCs w:val="32"/>
          <w:u w:color="000000"/>
        </w:rPr>
      </w:pPr>
    </w:p>
    <w:p w14:paraId="4508E750">
      <w:pPr>
        <w:spacing w:line="540" w:lineRule="exact"/>
        <w:ind w:firstLine="640" w:firstLineChars="200"/>
        <w:jc w:val="both"/>
        <w:textAlignment w:val="baseline"/>
        <w:rPr>
          <w:rFonts w:ascii="仿宋_GB2312" w:eastAsia="仿宋_GB2312" w:cs="Times New Roman" w:hAnsiTheme="minorEastAsia"/>
          <w:sz w:val="32"/>
          <w:szCs w:val="32"/>
          <w:u w:color="000000"/>
        </w:rPr>
      </w:pPr>
    </w:p>
    <w:sectPr>
      <w:footerReference r:id="rId5" w:type="default"/>
      <w:pgSz w:w="11906" w:h="16838"/>
      <w:pgMar w:top="1440" w:right="1797" w:bottom="1191" w:left="1797" w:header="709" w:footer="709" w:gutter="0"/>
      <w:pgNumType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DengXian-Regular">
    <w:altName w:val="宋体"/>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2E18D">
    <w:pPr>
      <w:pStyle w:val="14"/>
      <w:jc w:val="center"/>
    </w:pPr>
  </w:p>
  <w:p w14:paraId="6A824E13">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90245">
    <w:pPr>
      <w:pStyle w:val="14"/>
      <w:jc w:val="center"/>
    </w:pPr>
    <w:r>
      <w:fldChar w:fldCharType="begin"/>
    </w:r>
    <w:r>
      <w:instrText xml:space="preserve"> PAGE   \* MERGEFORMAT </w:instrText>
    </w:r>
    <w:r>
      <w:fldChar w:fldCharType="separate"/>
    </w:r>
    <w:r>
      <w:rPr>
        <w:lang w:val="zh-CN"/>
      </w:rPr>
      <w:t>20</w:t>
    </w:r>
    <w:r>
      <w:rPr>
        <w:lang w:val="zh-CN"/>
      </w:rPr>
      <w:fldChar w:fldCharType="end"/>
    </w:r>
  </w:p>
  <w:p w14:paraId="11E9ACDB">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662EDD"/>
    <w:multiLevelType w:val="multilevel"/>
    <w:tmpl w:val="1C662EDD"/>
    <w:lvl w:ilvl="0" w:tentative="0">
      <w:start w:val="1"/>
      <w:numFmt w:val="decimal"/>
      <w:lvlText w:val="%1."/>
      <w:lvlJc w:val="left"/>
      <w:pPr>
        <w:ind w:left="1000" w:hanging="3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hideSpellingErrors/>
  <w:hideGrammaticalErrors/>
  <w:documentProtection w:enforcement="0"/>
  <w:defaultTabStop w:val="720"/>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jE3Yzk4NGZhNDQwMzQxNjY4ZTc5ZmI0NDNkZjVlOGQifQ=="/>
  </w:docVars>
  <w:rsids>
    <w:rsidRoot w:val="00D31D50"/>
    <w:rsid w:val="000027C8"/>
    <w:rsid w:val="00004179"/>
    <w:rsid w:val="0000439F"/>
    <w:rsid w:val="00005DA5"/>
    <w:rsid w:val="00007CA0"/>
    <w:rsid w:val="00015C39"/>
    <w:rsid w:val="000174D3"/>
    <w:rsid w:val="0002415F"/>
    <w:rsid w:val="00024FA8"/>
    <w:rsid w:val="00025620"/>
    <w:rsid w:val="00026F83"/>
    <w:rsid w:val="0002705B"/>
    <w:rsid w:val="000317D7"/>
    <w:rsid w:val="00032B03"/>
    <w:rsid w:val="000334C2"/>
    <w:rsid w:val="0003450B"/>
    <w:rsid w:val="0003465E"/>
    <w:rsid w:val="00034910"/>
    <w:rsid w:val="0003506D"/>
    <w:rsid w:val="000409C0"/>
    <w:rsid w:val="0004123E"/>
    <w:rsid w:val="00044599"/>
    <w:rsid w:val="000446E5"/>
    <w:rsid w:val="00044A25"/>
    <w:rsid w:val="00046CD9"/>
    <w:rsid w:val="00047D7B"/>
    <w:rsid w:val="000509B6"/>
    <w:rsid w:val="00050A62"/>
    <w:rsid w:val="000516BA"/>
    <w:rsid w:val="00051DBC"/>
    <w:rsid w:val="00052010"/>
    <w:rsid w:val="00055FA7"/>
    <w:rsid w:val="00061096"/>
    <w:rsid w:val="000612A2"/>
    <w:rsid w:val="00063117"/>
    <w:rsid w:val="00065B0E"/>
    <w:rsid w:val="00072BF5"/>
    <w:rsid w:val="000752C6"/>
    <w:rsid w:val="00075B78"/>
    <w:rsid w:val="00077648"/>
    <w:rsid w:val="00080E48"/>
    <w:rsid w:val="000830C1"/>
    <w:rsid w:val="00091D50"/>
    <w:rsid w:val="000935D5"/>
    <w:rsid w:val="0009618D"/>
    <w:rsid w:val="00096195"/>
    <w:rsid w:val="0009756F"/>
    <w:rsid w:val="0009791D"/>
    <w:rsid w:val="000A1F67"/>
    <w:rsid w:val="000A2079"/>
    <w:rsid w:val="000A2516"/>
    <w:rsid w:val="000A5467"/>
    <w:rsid w:val="000B09F3"/>
    <w:rsid w:val="000B0C4A"/>
    <w:rsid w:val="000B23E8"/>
    <w:rsid w:val="000B313E"/>
    <w:rsid w:val="000B62FE"/>
    <w:rsid w:val="000B72BC"/>
    <w:rsid w:val="000B78D7"/>
    <w:rsid w:val="000C1EA5"/>
    <w:rsid w:val="000C52FB"/>
    <w:rsid w:val="000C55E6"/>
    <w:rsid w:val="000C6D5A"/>
    <w:rsid w:val="000D09B2"/>
    <w:rsid w:val="000D1AF2"/>
    <w:rsid w:val="000D3A01"/>
    <w:rsid w:val="000D7C38"/>
    <w:rsid w:val="000E0902"/>
    <w:rsid w:val="000E3830"/>
    <w:rsid w:val="000F070B"/>
    <w:rsid w:val="000F3158"/>
    <w:rsid w:val="000F364D"/>
    <w:rsid w:val="000F4432"/>
    <w:rsid w:val="000F465E"/>
    <w:rsid w:val="000F5E8C"/>
    <w:rsid w:val="000F699B"/>
    <w:rsid w:val="001000B2"/>
    <w:rsid w:val="00104C6C"/>
    <w:rsid w:val="0010560E"/>
    <w:rsid w:val="0010612A"/>
    <w:rsid w:val="00106FF7"/>
    <w:rsid w:val="00107111"/>
    <w:rsid w:val="001073D6"/>
    <w:rsid w:val="00107819"/>
    <w:rsid w:val="0011574B"/>
    <w:rsid w:val="00116132"/>
    <w:rsid w:val="00116942"/>
    <w:rsid w:val="00117B9C"/>
    <w:rsid w:val="00117E7D"/>
    <w:rsid w:val="00120EA6"/>
    <w:rsid w:val="00122196"/>
    <w:rsid w:val="0012439D"/>
    <w:rsid w:val="0012587C"/>
    <w:rsid w:val="0013591D"/>
    <w:rsid w:val="00141D98"/>
    <w:rsid w:val="00141DE8"/>
    <w:rsid w:val="00142868"/>
    <w:rsid w:val="00144105"/>
    <w:rsid w:val="00145B4E"/>
    <w:rsid w:val="00152E0D"/>
    <w:rsid w:val="001544E1"/>
    <w:rsid w:val="001551CE"/>
    <w:rsid w:val="00164732"/>
    <w:rsid w:val="00164FE1"/>
    <w:rsid w:val="00167151"/>
    <w:rsid w:val="001703D7"/>
    <w:rsid w:val="001719D0"/>
    <w:rsid w:val="00172245"/>
    <w:rsid w:val="0017403C"/>
    <w:rsid w:val="00174241"/>
    <w:rsid w:val="00176E7D"/>
    <w:rsid w:val="001804B7"/>
    <w:rsid w:val="001827F5"/>
    <w:rsid w:val="00183C43"/>
    <w:rsid w:val="00185652"/>
    <w:rsid w:val="00187750"/>
    <w:rsid w:val="00190292"/>
    <w:rsid w:val="001926B8"/>
    <w:rsid w:val="0019341A"/>
    <w:rsid w:val="0019364A"/>
    <w:rsid w:val="001952EC"/>
    <w:rsid w:val="00196F83"/>
    <w:rsid w:val="001A0F7A"/>
    <w:rsid w:val="001A1677"/>
    <w:rsid w:val="001A435C"/>
    <w:rsid w:val="001A5FD3"/>
    <w:rsid w:val="001B0380"/>
    <w:rsid w:val="001B04A4"/>
    <w:rsid w:val="001B30D5"/>
    <w:rsid w:val="001B382A"/>
    <w:rsid w:val="001B5C88"/>
    <w:rsid w:val="001B6CE6"/>
    <w:rsid w:val="001C046D"/>
    <w:rsid w:val="001C1412"/>
    <w:rsid w:val="001C391F"/>
    <w:rsid w:val="001C3F41"/>
    <w:rsid w:val="001C5135"/>
    <w:rsid w:val="001C796E"/>
    <w:rsid w:val="001D1367"/>
    <w:rsid w:val="001D5041"/>
    <w:rsid w:val="001D5A7C"/>
    <w:rsid w:val="001D76AA"/>
    <w:rsid w:val="001E21EA"/>
    <w:rsid w:val="001E288A"/>
    <w:rsid w:val="001E3ABB"/>
    <w:rsid w:val="001E4C24"/>
    <w:rsid w:val="001E5C43"/>
    <w:rsid w:val="001F00CC"/>
    <w:rsid w:val="001F05CD"/>
    <w:rsid w:val="001F07B6"/>
    <w:rsid w:val="001F0B92"/>
    <w:rsid w:val="001F1094"/>
    <w:rsid w:val="001F2F0E"/>
    <w:rsid w:val="001F33AA"/>
    <w:rsid w:val="001F6236"/>
    <w:rsid w:val="00200041"/>
    <w:rsid w:val="00200051"/>
    <w:rsid w:val="00202D5A"/>
    <w:rsid w:val="00205F02"/>
    <w:rsid w:val="00210442"/>
    <w:rsid w:val="0021307B"/>
    <w:rsid w:val="002142B8"/>
    <w:rsid w:val="002161F4"/>
    <w:rsid w:val="00216746"/>
    <w:rsid w:val="00216E75"/>
    <w:rsid w:val="00221907"/>
    <w:rsid w:val="00222FA8"/>
    <w:rsid w:val="0022532A"/>
    <w:rsid w:val="00227AFB"/>
    <w:rsid w:val="00235741"/>
    <w:rsid w:val="00236B18"/>
    <w:rsid w:val="002401EA"/>
    <w:rsid w:val="00241B9D"/>
    <w:rsid w:val="00242B7A"/>
    <w:rsid w:val="002439D4"/>
    <w:rsid w:val="00245CB2"/>
    <w:rsid w:val="00246A44"/>
    <w:rsid w:val="00250BAC"/>
    <w:rsid w:val="00260245"/>
    <w:rsid w:val="0026252A"/>
    <w:rsid w:val="00262BB1"/>
    <w:rsid w:val="00263D3A"/>
    <w:rsid w:val="002643BE"/>
    <w:rsid w:val="00265325"/>
    <w:rsid w:val="00266E84"/>
    <w:rsid w:val="002679DF"/>
    <w:rsid w:val="002715FC"/>
    <w:rsid w:val="002736FD"/>
    <w:rsid w:val="00274CFA"/>
    <w:rsid w:val="00275677"/>
    <w:rsid w:val="00275A3F"/>
    <w:rsid w:val="0028068C"/>
    <w:rsid w:val="00280F6C"/>
    <w:rsid w:val="00282A89"/>
    <w:rsid w:val="00283F8F"/>
    <w:rsid w:val="002869F9"/>
    <w:rsid w:val="00292F98"/>
    <w:rsid w:val="002939A0"/>
    <w:rsid w:val="002959A3"/>
    <w:rsid w:val="0029626E"/>
    <w:rsid w:val="00296E59"/>
    <w:rsid w:val="00297CEF"/>
    <w:rsid w:val="002A02A9"/>
    <w:rsid w:val="002A0364"/>
    <w:rsid w:val="002A1661"/>
    <w:rsid w:val="002A1A25"/>
    <w:rsid w:val="002A563C"/>
    <w:rsid w:val="002B05EF"/>
    <w:rsid w:val="002B2E34"/>
    <w:rsid w:val="002B76FA"/>
    <w:rsid w:val="002C029E"/>
    <w:rsid w:val="002C2C71"/>
    <w:rsid w:val="002C5831"/>
    <w:rsid w:val="002C5A65"/>
    <w:rsid w:val="002C5B0D"/>
    <w:rsid w:val="002C71F3"/>
    <w:rsid w:val="002D2112"/>
    <w:rsid w:val="002D53D7"/>
    <w:rsid w:val="002D5508"/>
    <w:rsid w:val="002D5FC1"/>
    <w:rsid w:val="002D7AB3"/>
    <w:rsid w:val="002E1D3C"/>
    <w:rsid w:val="002E1F73"/>
    <w:rsid w:val="002E23A4"/>
    <w:rsid w:val="002E269D"/>
    <w:rsid w:val="002E3460"/>
    <w:rsid w:val="002E41DC"/>
    <w:rsid w:val="002E4951"/>
    <w:rsid w:val="002E70AE"/>
    <w:rsid w:val="002E7914"/>
    <w:rsid w:val="002F0C41"/>
    <w:rsid w:val="002F5B6A"/>
    <w:rsid w:val="002F5BF5"/>
    <w:rsid w:val="002F5ECA"/>
    <w:rsid w:val="002F695B"/>
    <w:rsid w:val="00306572"/>
    <w:rsid w:val="003079C7"/>
    <w:rsid w:val="00311F6C"/>
    <w:rsid w:val="003169F3"/>
    <w:rsid w:val="0032078D"/>
    <w:rsid w:val="00321CE0"/>
    <w:rsid w:val="0032231F"/>
    <w:rsid w:val="00323B40"/>
    <w:rsid w:val="00323B43"/>
    <w:rsid w:val="00325BCC"/>
    <w:rsid w:val="003309A3"/>
    <w:rsid w:val="0033306D"/>
    <w:rsid w:val="003345BC"/>
    <w:rsid w:val="00335667"/>
    <w:rsid w:val="00343662"/>
    <w:rsid w:val="00351E3B"/>
    <w:rsid w:val="0035365E"/>
    <w:rsid w:val="00355403"/>
    <w:rsid w:val="003569A8"/>
    <w:rsid w:val="00361FFF"/>
    <w:rsid w:val="00362340"/>
    <w:rsid w:val="003653A5"/>
    <w:rsid w:val="00366971"/>
    <w:rsid w:val="00367DF7"/>
    <w:rsid w:val="00370AFA"/>
    <w:rsid w:val="0037120F"/>
    <w:rsid w:val="0037242E"/>
    <w:rsid w:val="003743E9"/>
    <w:rsid w:val="0037754A"/>
    <w:rsid w:val="0038005F"/>
    <w:rsid w:val="003803CC"/>
    <w:rsid w:val="00382949"/>
    <w:rsid w:val="00391AE3"/>
    <w:rsid w:val="0039206F"/>
    <w:rsid w:val="00396D4C"/>
    <w:rsid w:val="003A02BE"/>
    <w:rsid w:val="003A1765"/>
    <w:rsid w:val="003A22EF"/>
    <w:rsid w:val="003A3C32"/>
    <w:rsid w:val="003A4B70"/>
    <w:rsid w:val="003A4D02"/>
    <w:rsid w:val="003A4D52"/>
    <w:rsid w:val="003A536E"/>
    <w:rsid w:val="003B6DEC"/>
    <w:rsid w:val="003B75FE"/>
    <w:rsid w:val="003B79D3"/>
    <w:rsid w:val="003C2B92"/>
    <w:rsid w:val="003C4104"/>
    <w:rsid w:val="003D126B"/>
    <w:rsid w:val="003D1D33"/>
    <w:rsid w:val="003D22C9"/>
    <w:rsid w:val="003D28AC"/>
    <w:rsid w:val="003D37D8"/>
    <w:rsid w:val="003D7B2A"/>
    <w:rsid w:val="003E266C"/>
    <w:rsid w:val="003E3C05"/>
    <w:rsid w:val="003F282F"/>
    <w:rsid w:val="003F673E"/>
    <w:rsid w:val="00400E89"/>
    <w:rsid w:val="00401AB4"/>
    <w:rsid w:val="00402CA2"/>
    <w:rsid w:val="00402D95"/>
    <w:rsid w:val="00403ADD"/>
    <w:rsid w:val="00407629"/>
    <w:rsid w:val="004108EE"/>
    <w:rsid w:val="00410F1A"/>
    <w:rsid w:val="00412A31"/>
    <w:rsid w:val="004200B9"/>
    <w:rsid w:val="00426133"/>
    <w:rsid w:val="00427113"/>
    <w:rsid w:val="004300B1"/>
    <w:rsid w:val="00430AF8"/>
    <w:rsid w:val="0043148F"/>
    <w:rsid w:val="0043340C"/>
    <w:rsid w:val="0043354D"/>
    <w:rsid w:val="00434EB0"/>
    <w:rsid w:val="004358AB"/>
    <w:rsid w:val="00435DA7"/>
    <w:rsid w:val="004370A2"/>
    <w:rsid w:val="00445C28"/>
    <w:rsid w:val="004468B5"/>
    <w:rsid w:val="0045152E"/>
    <w:rsid w:val="00451E9F"/>
    <w:rsid w:val="00451F41"/>
    <w:rsid w:val="004551F1"/>
    <w:rsid w:val="00456648"/>
    <w:rsid w:val="00457E00"/>
    <w:rsid w:val="00461E7C"/>
    <w:rsid w:val="004639E0"/>
    <w:rsid w:val="00463A6D"/>
    <w:rsid w:val="00465A21"/>
    <w:rsid w:val="0047047F"/>
    <w:rsid w:val="00472C49"/>
    <w:rsid w:val="00474DE3"/>
    <w:rsid w:val="00477959"/>
    <w:rsid w:val="004829BE"/>
    <w:rsid w:val="00486217"/>
    <w:rsid w:val="00486A56"/>
    <w:rsid w:val="00494D73"/>
    <w:rsid w:val="004A19C4"/>
    <w:rsid w:val="004A5564"/>
    <w:rsid w:val="004A6EA4"/>
    <w:rsid w:val="004A790B"/>
    <w:rsid w:val="004B146A"/>
    <w:rsid w:val="004B1E69"/>
    <w:rsid w:val="004B3A37"/>
    <w:rsid w:val="004B4146"/>
    <w:rsid w:val="004B5892"/>
    <w:rsid w:val="004B59DD"/>
    <w:rsid w:val="004B5E88"/>
    <w:rsid w:val="004B5EDE"/>
    <w:rsid w:val="004C0341"/>
    <w:rsid w:val="004C46D3"/>
    <w:rsid w:val="004C5D39"/>
    <w:rsid w:val="004C7656"/>
    <w:rsid w:val="004C7C48"/>
    <w:rsid w:val="004D21B9"/>
    <w:rsid w:val="004D21FF"/>
    <w:rsid w:val="004D2DD5"/>
    <w:rsid w:val="004D41F0"/>
    <w:rsid w:val="004D55F1"/>
    <w:rsid w:val="004D578A"/>
    <w:rsid w:val="004D656B"/>
    <w:rsid w:val="004D7523"/>
    <w:rsid w:val="004E0AA9"/>
    <w:rsid w:val="004E1AEF"/>
    <w:rsid w:val="004E1D01"/>
    <w:rsid w:val="004E3774"/>
    <w:rsid w:val="004E446B"/>
    <w:rsid w:val="004E5448"/>
    <w:rsid w:val="004E5923"/>
    <w:rsid w:val="004E5DFC"/>
    <w:rsid w:val="004E642E"/>
    <w:rsid w:val="004E7ADC"/>
    <w:rsid w:val="004F4875"/>
    <w:rsid w:val="005031BA"/>
    <w:rsid w:val="00504DE7"/>
    <w:rsid w:val="00507211"/>
    <w:rsid w:val="005077C2"/>
    <w:rsid w:val="00507934"/>
    <w:rsid w:val="0051171B"/>
    <w:rsid w:val="00512D1D"/>
    <w:rsid w:val="005131A5"/>
    <w:rsid w:val="00515160"/>
    <w:rsid w:val="00516D5A"/>
    <w:rsid w:val="005170FB"/>
    <w:rsid w:val="0052300D"/>
    <w:rsid w:val="00523B77"/>
    <w:rsid w:val="0052474C"/>
    <w:rsid w:val="00525074"/>
    <w:rsid w:val="00525520"/>
    <w:rsid w:val="005319EE"/>
    <w:rsid w:val="00531BE2"/>
    <w:rsid w:val="00541C07"/>
    <w:rsid w:val="005421AC"/>
    <w:rsid w:val="00544C1A"/>
    <w:rsid w:val="00546D1B"/>
    <w:rsid w:val="0055027D"/>
    <w:rsid w:val="00550901"/>
    <w:rsid w:val="005549FF"/>
    <w:rsid w:val="00554FA1"/>
    <w:rsid w:val="00556934"/>
    <w:rsid w:val="005601FB"/>
    <w:rsid w:val="005607DF"/>
    <w:rsid w:val="00561D46"/>
    <w:rsid w:val="00564377"/>
    <w:rsid w:val="00564538"/>
    <w:rsid w:val="00566517"/>
    <w:rsid w:val="00566A89"/>
    <w:rsid w:val="00567E07"/>
    <w:rsid w:val="005771F7"/>
    <w:rsid w:val="00577B7B"/>
    <w:rsid w:val="00583F7F"/>
    <w:rsid w:val="0058600B"/>
    <w:rsid w:val="00587913"/>
    <w:rsid w:val="00593428"/>
    <w:rsid w:val="00593B65"/>
    <w:rsid w:val="005A15D6"/>
    <w:rsid w:val="005A1A06"/>
    <w:rsid w:val="005A1FD8"/>
    <w:rsid w:val="005A317D"/>
    <w:rsid w:val="005A79F9"/>
    <w:rsid w:val="005C19AF"/>
    <w:rsid w:val="005C3594"/>
    <w:rsid w:val="005C46B7"/>
    <w:rsid w:val="005C7C8B"/>
    <w:rsid w:val="005D5617"/>
    <w:rsid w:val="005D613E"/>
    <w:rsid w:val="005D6591"/>
    <w:rsid w:val="005D6869"/>
    <w:rsid w:val="005D7446"/>
    <w:rsid w:val="005E5F88"/>
    <w:rsid w:val="005F06F5"/>
    <w:rsid w:val="005F46C0"/>
    <w:rsid w:val="005F471D"/>
    <w:rsid w:val="005F720A"/>
    <w:rsid w:val="005F7467"/>
    <w:rsid w:val="005F78E7"/>
    <w:rsid w:val="006007F3"/>
    <w:rsid w:val="0060402C"/>
    <w:rsid w:val="0061252A"/>
    <w:rsid w:val="006135B3"/>
    <w:rsid w:val="006138D4"/>
    <w:rsid w:val="00616C03"/>
    <w:rsid w:val="00616F30"/>
    <w:rsid w:val="00620482"/>
    <w:rsid w:val="006215A2"/>
    <w:rsid w:val="00621F7D"/>
    <w:rsid w:val="00622AD1"/>
    <w:rsid w:val="00623267"/>
    <w:rsid w:val="00625428"/>
    <w:rsid w:val="00626107"/>
    <w:rsid w:val="0062670B"/>
    <w:rsid w:val="00630B86"/>
    <w:rsid w:val="00630F5B"/>
    <w:rsid w:val="00631204"/>
    <w:rsid w:val="00634C66"/>
    <w:rsid w:val="006352D1"/>
    <w:rsid w:val="00636E1A"/>
    <w:rsid w:val="00642BA5"/>
    <w:rsid w:val="006434E0"/>
    <w:rsid w:val="00650C90"/>
    <w:rsid w:val="0065172D"/>
    <w:rsid w:val="0065287D"/>
    <w:rsid w:val="0065671B"/>
    <w:rsid w:val="00656A5A"/>
    <w:rsid w:val="00663A42"/>
    <w:rsid w:val="0066418E"/>
    <w:rsid w:val="0066469F"/>
    <w:rsid w:val="006758A5"/>
    <w:rsid w:val="0067780F"/>
    <w:rsid w:val="00686C30"/>
    <w:rsid w:val="00690FA3"/>
    <w:rsid w:val="0069331D"/>
    <w:rsid w:val="00696DF8"/>
    <w:rsid w:val="0069783E"/>
    <w:rsid w:val="00697E26"/>
    <w:rsid w:val="006A0330"/>
    <w:rsid w:val="006A3AE1"/>
    <w:rsid w:val="006A3B57"/>
    <w:rsid w:val="006A5854"/>
    <w:rsid w:val="006A585F"/>
    <w:rsid w:val="006A6AB2"/>
    <w:rsid w:val="006B010B"/>
    <w:rsid w:val="006B117D"/>
    <w:rsid w:val="006B19B7"/>
    <w:rsid w:val="006B392C"/>
    <w:rsid w:val="006B4CC0"/>
    <w:rsid w:val="006B65B0"/>
    <w:rsid w:val="006C5198"/>
    <w:rsid w:val="006C6A07"/>
    <w:rsid w:val="006C7605"/>
    <w:rsid w:val="006C7A54"/>
    <w:rsid w:val="006E0A3D"/>
    <w:rsid w:val="006E27F1"/>
    <w:rsid w:val="006E5BC8"/>
    <w:rsid w:val="006E7CBA"/>
    <w:rsid w:val="006F222F"/>
    <w:rsid w:val="006F5CBE"/>
    <w:rsid w:val="006F72E5"/>
    <w:rsid w:val="006F7B69"/>
    <w:rsid w:val="0070241F"/>
    <w:rsid w:val="007024A9"/>
    <w:rsid w:val="00703C96"/>
    <w:rsid w:val="007119FC"/>
    <w:rsid w:val="007130D7"/>
    <w:rsid w:val="00713E98"/>
    <w:rsid w:val="00715591"/>
    <w:rsid w:val="00715AE8"/>
    <w:rsid w:val="0072516F"/>
    <w:rsid w:val="00725D44"/>
    <w:rsid w:val="0073034D"/>
    <w:rsid w:val="00731ADC"/>
    <w:rsid w:val="007330F2"/>
    <w:rsid w:val="00733DB0"/>
    <w:rsid w:val="00735043"/>
    <w:rsid w:val="00740444"/>
    <w:rsid w:val="00744577"/>
    <w:rsid w:val="007452CF"/>
    <w:rsid w:val="00746055"/>
    <w:rsid w:val="00746DA9"/>
    <w:rsid w:val="00747086"/>
    <w:rsid w:val="007507CF"/>
    <w:rsid w:val="007515E2"/>
    <w:rsid w:val="00756D66"/>
    <w:rsid w:val="00761D80"/>
    <w:rsid w:val="0076364A"/>
    <w:rsid w:val="00766FC5"/>
    <w:rsid w:val="00770E5B"/>
    <w:rsid w:val="00772930"/>
    <w:rsid w:val="00776E20"/>
    <w:rsid w:val="007814AF"/>
    <w:rsid w:val="007825F0"/>
    <w:rsid w:val="00787F88"/>
    <w:rsid w:val="00793140"/>
    <w:rsid w:val="0079721A"/>
    <w:rsid w:val="007A095C"/>
    <w:rsid w:val="007A0AF8"/>
    <w:rsid w:val="007A283A"/>
    <w:rsid w:val="007A65C8"/>
    <w:rsid w:val="007A6B16"/>
    <w:rsid w:val="007A7AC4"/>
    <w:rsid w:val="007B639C"/>
    <w:rsid w:val="007B7036"/>
    <w:rsid w:val="007C0870"/>
    <w:rsid w:val="007C2D10"/>
    <w:rsid w:val="007C3DF4"/>
    <w:rsid w:val="007C457D"/>
    <w:rsid w:val="007D02A9"/>
    <w:rsid w:val="007D166D"/>
    <w:rsid w:val="007D17C7"/>
    <w:rsid w:val="007D2766"/>
    <w:rsid w:val="007D2FF7"/>
    <w:rsid w:val="007D74D8"/>
    <w:rsid w:val="007E13A4"/>
    <w:rsid w:val="007E20CA"/>
    <w:rsid w:val="007E3988"/>
    <w:rsid w:val="007E4698"/>
    <w:rsid w:val="007E6959"/>
    <w:rsid w:val="007E6991"/>
    <w:rsid w:val="007E7A36"/>
    <w:rsid w:val="007F222D"/>
    <w:rsid w:val="007F3FB7"/>
    <w:rsid w:val="007F518D"/>
    <w:rsid w:val="007F68FE"/>
    <w:rsid w:val="007F7E7E"/>
    <w:rsid w:val="00803C29"/>
    <w:rsid w:val="00804E5E"/>
    <w:rsid w:val="00804FAA"/>
    <w:rsid w:val="00805678"/>
    <w:rsid w:val="00805D26"/>
    <w:rsid w:val="0081553D"/>
    <w:rsid w:val="00815BE9"/>
    <w:rsid w:val="00815C94"/>
    <w:rsid w:val="00815CF6"/>
    <w:rsid w:val="00816990"/>
    <w:rsid w:val="00817981"/>
    <w:rsid w:val="00822851"/>
    <w:rsid w:val="008244AC"/>
    <w:rsid w:val="00824A75"/>
    <w:rsid w:val="00824D91"/>
    <w:rsid w:val="0082509A"/>
    <w:rsid w:val="00825A51"/>
    <w:rsid w:val="00825D53"/>
    <w:rsid w:val="008272DF"/>
    <w:rsid w:val="00831065"/>
    <w:rsid w:val="008337A7"/>
    <w:rsid w:val="00835BCB"/>
    <w:rsid w:val="00836773"/>
    <w:rsid w:val="00836E6A"/>
    <w:rsid w:val="008410D0"/>
    <w:rsid w:val="00841559"/>
    <w:rsid w:val="008450D2"/>
    <w:rsid w:val="0084558B"/>
    <w:rsid w:val="00845924"/>
    <w:rsid w:val="00846107"/>
    <w:rsid w:val="00847E07"/>
    <w:rsid w:val="00851297"/>
    <w:rsid w:val="00851529"/>
    <w:rsid w:val="00852C43"/>
    <w:rsid w:val="00853737"/>
    <w:rsid w:val="008541B8"/>
    <w:rsid w:val="00857249"/>
    <w:rsid w:val="00861067"/>
    <w:rsid w:val="00862AE2"/>
    <w:rsid w:val="00862C25"/>
    <w:rsid w:val="00863CA2"/>
    <w:rsid w:val="00864A80"/>
    <w:rsid w:val="008655ED"/>
    <w:rsid w:val="00866942"/>
    <w:rsid w:val="00871B0D"/>
    <w:rsid w:val="00871B14"/>
    <w:rsid w:val="008735A1"/>
    <w:rsid w:val="00875962"/>
    <w:rsid w:val="00875AD5"/>
    <w:rsid w:val="00880325"/>
    <w:rsid w:val="00882ABD"/>
    <w:rsid w:val="008844A4"/>
    <w:rsid w:val="008857CC"/>
    <w:rsid w:val="0089314F"/>
    <w:rsid w:val="0089328E"/>
    <w:rsid w:val="0089513A"/>
    <w:rsid w:val="00896069"/>
    <w:rsid w:val="00896786"/>
    <w:rsid w:val="008976AB"/>
    <w:rsid w:val="008A255C"/>
    <w:rsid w:val="008A2C15"/>
    <w:rsid w:val="008A3DBA"/>
    <w:rsid w:val="008A483E"/>
    <w:rsid w:val="008A5601"/>
    <w:rsid w:val="008B7726"/>
    <w:rsid w:val="008C08EC"/>
    <w:rsid w:val="008C2997"/>
    <w:rsid w:val="008C443B"/>
    <w:rsid w:val="008C538A"/>
    <w:rsid w:val="008D0618"/>
    <w:rsid w:val="008D1AEB"/>
    <w:rsid w:val="008D1E23"/>
    <w:rsid w:val="008D2A7C"/>
    <w:rsid w:val="008D3031"/>
    <w:rsid w:val="008D4F00"/>
    <w:rsid w:val="008D5474"/>
    <w:rsid w:val="008D7DBC"/>
    <w:rsid w:val="008E08B2"/>
    <w:rsid w:val="008E0AFC"/>
    <w:rsid w:val="008E1E43"/>
    <w:rsid w:val="008E3116"/>
    <w:rsid w:val="008E637F"/>
    <w:rsid w:val="008E66FE"/>
    <w:rsid w:val="008F27DB"/>
    <w:rsid w:val="008F5B6F"/>
    <w:rsid w:val="008F5DB9"/>
    <w:rsid w:val="009002A3"/>
    <w:rsid w:val="0090038C"/>
    <w:rsid w:val="009007EC"/>
    <w:rsid w:val="00900EF5"/>
    <w:rsid w:val="00901EE5"/>
    <w:rsid w:val="0090421D"/>
    <w:rsid w:val="00906447"/>
    <w:rsid w:val="0091349D"/>
    <w:rsid w:val="009141C7"/>
    <w:rsid w:val="00915F16"/>
    <w:rsid w:val="009160EA"/>
    <w:rsid w:val="00916BE3"/>
    <w:rsid w:val="00920597"/>
    <w:rsid w:val="00921E42"/>
    <w:rsid w:val="00922872"/>
    <w:rsid w:val="0092425B"/>
    <w:rsid w:val="00924D39"/>
    <w:rsid w:val="00924FFE"/>
    <w:rsid w:val="009263C3"/>
    <w:rsid w:val="009268AB"/>
    <w:rsid w:val="009364FF"/>
    <w:rsid w:val="00940FC9"/>
    <w:rsid w:val="00942397"/>
    <w:rsid w:val="009425B4"/>
    <w:rsid w:val="00946F52"/>
    <w:rsid w:val="00950F44"/>
    <w:rsid w:val="00952A7D"/>
    <w:rsid w:val="00952BF8"/>
    <w:rsid w:val="00953747"/>
    <w:rsid w:val="0095565A"/>
    <w:rsid w:val="00955918"/>
    <w:rsid w:val="00960439"/>
    <w:rsid w:val="00961D67"/>
    <w:rsid w:val="00962D93"/>
    <w:rsid w:val="009636EF"/>
    <w:rsid w:val="0096408D"/>
    <w:rsid w:val="009651A8"/>
    <w:rsid w:val="009657E9"/>
    <w:rsid w:val="0096666B"/>
    <w:rsid w:val="009666CE"/>
    <w:rsid w:val="0096679C"/>
    <w:rsid w:val="0097114E"/>
    <w:rsid w:val="009719C3"/>
    <w:rsid w:val="0097578E"/>
    <w:rsid w:val="00976E55"/>
    <w:rsid w:val="009814B0"/>
    <w:rsid w:val="00984D41"/>
    <w:rsid w:val="009852BB"/>
    <w:rsid w:val="009853C4"/>
    <w:rsid w:val="0098547C"/>
    <w:rsid w:val="009860B4"/>
    <w:rsid w:val="00986724"/>
    <w:rsid w:val="0098718E"/>
    <w:rsid w:val="00994269"/>
    <w:rsid w:val="0099439A"/>
    <w:rsid w:val="00994737"/>
    <w:rsid w:val="009A0F00"/>
    <w:rsid w:val="009A37AE"/>
    <w:rsid w:val="009A4059"/>
    <w:rsid w:val="009A47EF"/>
    <w:rsid w:val="009B1979"/>
    <w:rsid w:val="009B1E1B"/>
    <w:rsid w:val="009B2CC0"/>
    <w:rsid w:val="009B4C38"/>
    <w:rsid w:val="009C0DAB"/>
    <w:rsid w:val="009C15D5"/>
    <w:rsid w:val="009C1E20"/>
    <w:rsid w:val="009D0378"/>
    <w:rsid w:val="009D0F18"/>
    <w:rsid w:val="009D1EFB"/>
    <w:rsid w:val="009D5964"/>
    <w:rsid w:val="009D6A0C"/>
    <w:rsid w:val="009E0725"/>
    <w:rsid w:val="009E1492"/>
    <w:rsid w:val="009E4B3F"/>
    <w:rsid w:val="009E5877"/>
    <w:rsid w:val="009E73AE"/>
    <w:rsid w:val="009F69B0"/>
    <w:rsid w:val="00A025B8"/>
    <w:rsid w:val="00A0310D"/>
    <w:rsid w:val="00A073F4"/>
    <w:rsid w:val="00A07BBE"/>
    <w:rsid w:val="00A1635F"/>
    <w:rsid w:val="00A16439"/>
    <w:rsid w:val="00A16E93"/>
    <w:rsid w:val="00A21057"/>
    <w:rsid w:val="00A217CE"/>
    <w:rsid w:val="00A21E86"/>
    <w:rsid w:val="00A22BCD"/>
    <w:rsid w:val="00A22DFB"/>
    <w:rsid w:val="00A2428A"/>
    <w:rsid w:val="00A305E3"/>
    <w:rsid w:val="00A353F1"/>
    <w:rsid w:val="00A357B0"/>
    <w:rsid w:val="00A35B22"/>
    <w:rsid w:val="00A42B99"/>
    <w:rsid w:val="00A479B6"/>
    <w:rsid w:val="00A47A38"/>
    <w:rsid w:val="00A50D3C"/>
    <w:rsid w:val="00A532E3"/>
    <w:rsid w:val="00A54D9C"/>
    <w:rsid w:val="00A57200"/>
    <w:rsid w:val="00A57865"/>
    <w:rsid w:val="00A62B31"/>
    <w:rsid w:val="00A64850"/>
    <w:rsid w:val="00A65003"/>
    <w:rsid w:val="00A65202"/>
    <w:rsid w:val="00A73299"/>
    <w:rsid w:val="00A7536B"/>
    <w:rsid w:val="00A80356"/>
    <w:rsid w:val="00A816B6"/>
    <w:rsid w:val="00A82D81"/>
    <w:rsid w:val="00A93493"/>
    <w:rsid w:val="00A96E79"/>
    <w:rsid w:val="00AA2033"/>
    <w:rsid w:val="00AA4A07"/>
    <w:rsid w:val="00AA563F"/>
    <w:rsid w:val="00AA6230"/>
    <w:rsid w:val="00AB4E34"/>
    <w:rsid w:val="00AB632D"/>
    <w:rsid w:val="00AC5444"/>
    <w:rsid w:val="00AC586E"/>
    <w:rsid w:val="00AC70E1"/>
    <w:rsid w:val="00AC7DAC"/>
    <w:rsid w:val="00AD1D29"/>
    <w:rsid w:val="00AD328E"/>
    <w:rsid w:val="00AD5147"/>
    <w:rsid w:val="00AE0837"/>
    <w:rsid w:val="00AE11C8"/>
    <w:rsid w:val="00AE355C"/>
    <w:rsid w:val="00AE4EFC"/>
    <w:rsid w:val="00AE5731"/>
    <w:rsid w:val="00AE6AEC"/>
    <w:rsid w:val="00AE7127"/>
    <w:rsid w:val="00AF6BA2"/>
    <w:rsid w:val="00AF7801"/>
    <w:rsid w:val="00B019E2"/>
    <w:rsid w:val="00B020ED"/>
    <w:rsid w:val="00B036CB"/>
    <w:rsid w:val="00B0526B"/>
    <w:rsid w:val="00B130D5"/>
    <w:rsid w:val="00B13566"/>
    <w:rsid w:val="00B13A54"/>
    <w:rsid w:val="00B14220"/>
    <w:rsid w:val="00B14826"/>
    <w:rsid w:val="00B16868"/>
    <w:rsid w:val="00B17251"/>
    <w:rsid w:val="00B176F7"/>
    <w:rsid w:val="00B20439"/>
    <w:rsid w:val="00B2159A"/>
    <w:rsid w:val="00B21D32"/>
    <w:rsid w:val="00B313B2"/>
    <w:rsid w:val="00B337AE"/>
    <w:rsid w:val="00B34A43"/>
    <w:rsid w:val="00B36912"/>
    <w:rsid w:val="00B371D4"/>
    <w:rsid w:val="00B404A0"/>
    <w:rsid w:val="00B4256A"/>
    <w:rsid w:val="00B432AB"/>
    <w:rsid w:val="00B54D75"/>
    <w:rsid w:val="00B60C2A"/>
    <w:rsid w:val="00B65FC0"/>
    <w:rsid w:val="00B67AE3"/>
    <w:rsid w:val="00B707DD"/>
    <w:rsid w:val="00B719F4"/>
    <w:rsid w:val="00B73995"/>
    <w:rsid w:val="00B74DBC"/>
    <w:rsid w:val="00B75E08"/>
    <w:rsid w:val="00B762DF"/>
    <w:rsid w:val="00B76684"/>
    <w:rsid w:val="00B7698F"/>
    <w:rsid w:val="00B76B05"/>
    <w:rsid w:val="00B85F5F"/>
    <w:rsid w:val="00B86395"/>
    <w:rsid w:val="00B86E2B"/>
    <w:rsid w:val="00B91DEC"/>
    <w:rsid w:val="00B92A56"/>
    <w:rsid w:val="00B931F8"/>
    <w:rsid w:val="00B95DB0"/>
    <w:rsid w:val="00B9722F"/>
    <w:rsid w:val="00B97741"/>
    <w:rsid w:val="00BA0721"/>
    <w:rsid w:val="00BA1883"/>
    <w:rsid w:val="00BA227D"/>
    <w:rsid w:val="00BA3EFA"/>
    <w:rsid w:val="00BA4C84"/>
    <w:rsid w:val="00BC09FC"/>
    <w:rsid w:val="00BC0DD5"/>
    <w:rsid w:val="00BC60E6"/>
    <w:rsid w:val="00BE66AA"/>
    <w:rsid w:val="00BE73B9"/>
    <w:rsid w:val="00BF43A1"/>
    <w:rsid w:val="00BF444F"/>
    <w:rsid w:val="00BF740E"/>
    <w:rsid w:val="00BF77F5"/>
    <w:rsid w:val="00C01D8A"/>
    <w:rsid w:val="00C023EF"/>
    <w:rsid w:val="00C0569E"/>
    <w:rsid w:val="00C15415"/>
    <w:rsid w:val="00C16FE4"/>
    <w:rsid w:val="00C172EB"/>
    <w:rsid w:val="00C22F98"/>
    <w:rsid w:val="00C2363B"/>
    <w:rsid w:val="00C26560"/>
    <w:rsid w:val="00C3062F"/>
    <w:rsid w:val="00C32E7A"/>
    <w:rsid w:val="00C404B9"/>
    <w:rsid w:val="00C408D9"/>
    <w:rsid w:val="00C42DB9"/>
    <w:rsid w:val="00C447FD"/>
    <w:rsid w:val="00C44B90"/>
    <w:rsid w:val="00C51434"/>
    <w:rsid w:val="00C51743"/>
    <w:rsid w:val="00C51A61"/>
    <w:rsid w:val="00C52244"/>
    <w:rsid w:val="00C57393"/>
    <w:rsid w:val="00C64C71"/>
    <w:rsid w:val="00C6528B"/>
    <w:rsid w:val="00C661B3"/>
    <w:rsid w:val="00C70300"/>
    <w:rsid w:val="00C7037D"/>
    <w:rsid w:val="00C70637"/>
    <w:rsid w:val="00C71DC8"/>
    <w:rsid w:val="00C73E69"/>
    <w:rsid w:val="00C74592"/>
    <w:rsid w:val="00C767BA"/>
    <w:rsid w:val="00C8048C"/>
    <w:rsid w:val="00C80C68"/>
    <w:rsid w:val="00C86E9A"/>
    <w:rsid w:val="00C90CE5"/>
    <w:rsid w:val="00C93A3D"/>
    <w:rsid w:val="00C94F0A"/>
    <w:rsid w:val="00CA2A65"/>
    <w:rsid w:val="00CA3203"/>
    <w:rsid w:val="00CA5026"/>
    <w:rsid w:val="00CA6058"/>
    <w:rsid w:val="00CA6BD1"/>
    <w:rsid w:val="00CB1B1B"/>
    <w:rsid w:val="00CB3E03"/>
    <w:rsid w:val="00CB580D"/>
    <w:rsid w:val="00CB6098"/>
    <w:rsid w:val="00CB623E"/>
    <w:rsid w:val="00CC0BA5"/>
    <w:rsid w:val="00CC1F3E"/>
    <w:rsid w:val="00CC236E"/>
    <w:rsid w:val="00CC2B2A"/>
    <w:rsid w:val="00CC6216"/>
    <w:rsid w:val="00CC6A8D"/>
    <w:rsid w:val="00CC70FA"/>
    <w:rsid w:val="00CD37C3"/>
    <w:rsid w:val="00CD3911"/>
    <w:rsid w:val="00CD48EF"/>
    <w:rsid w:val="00CD4BA1"/>
    <w:rsid w:val="00CD59A6"/>
    <w:rsid w:val="00CE33C1"/>
    <w:rsid w:val="00CE3834"/>
    <w:rsid w:val="00CF148C"/>
    <w:rsid w:val="00CF3D94"/>
    <w:rsid w:val="00CF48A3"/>
    <w:rsid w:val="00CF5081"/>
    <w:rsid w:val="00D00773"/>
    <w:rsid w:val="00D058E4"/>
    <w:rsid w:val="00D07178"/>
    <w:rsid w:val="00D11C0B"/>
    <w:rsid w:val="00D11EE9"/>
    <w:rsid w:val="00D13F47"/>
    <w:rsid w:val="00D14E66"/>
    <w:rsid w:val="00D17631"/>
    <w:rsid w:val="00D17CD3"/>
    <w:rsid w:val="00D213D2"/>
    <w:rsid w:val="00D21B22"/>
    <w:rsid w:val="00D21E23"/>
    <w:rsid w:val="00D24AEB"/>
    <w:rsid w:val="00D24AFD"/>
    <w:rsid w:val="00D27902"/>
    <w:rsid w:val="00D27984"/>
    <w:rsid w:val="00D31D50"/>
    <w:rsid w:val="00D323E9"/>
    <w:rsid w:val="00D34F5B"/>
    <w:rsid w:val="00D35023"/>
    <w:rsid w:val="00D403B8"/>
    <w:rsid w:val="00D44B8A"/>
    <w:rsid w:val="00D45B1A"/>
    <w:rsid w:val="00D45C1B"/>
    <w:rsid w:val="00D45E14"/>
    <w:rsid w:val="00D46D59"/>
    <w:rsid w:val="00D51C9A"/>
    <w:rsid w:val="00D5318C"/>
    <w:rsid w:val="00D53371"/>
    <w:rsid w:val="00D53BD5"/>
    <w:rsid w:val="00D54179"/>
    <w:rsid w:val="00D55621"/>
    <w:rsid w:val="00D6000E"/>
    <w:rsid w:val="00D63F9B"/>
    <w:rsid w:val="00D713D6"/>
    <w:rsid w:val="00D72DAF"/>
    <w:rsid w:val="00D75BB9"/>
    <w:rsid w:val="00D76276"/>
    <w:rsid w:val="00D77919"/>
    <w:rsid w:val="00D8083C"/>
    <w:rsid w:val="00D85F8D"/>
    <w:rsid w:val="00D87F81"/>
    <w:rsid w:val="00D90E39"/>
    <w:rsid w:val="00D932C0"/>
    <w:rsid w:val="00D97E89"/>
    <w:rsid w:val="00DA2C05"/>
    <w:rsid w:val="00DA45EE"/>
    <w:rsid w:val="00DA4A0B"/>
    <w:rsid w:val="00DA58A3"/>
    <w:rsid w:val="00DA6999"/>
    <w:rsid w:val="00DB2F5B"/>
    <w:rsid w:val="00DB46CB"/>
    <w:rsid w:val="00DB695F"/>
    <w:rsid w:val="00DC03E7"/>
    <w:rsid w:val="00DC0434"/>
    <w:rsid w:val="00DC35BC"/>
    <w:rsid w:val="00DC3710"/>
    <w:rsid w:val="00DC39F0"/>
    <w:rsid w:val="00DC3B9E"/>
    <w:rsid w:val="00DC4758"/>
    <w:rsid w:val="00DC4FB9"/>
    <w:rsid w:val="00DC545F"/>
    <w:rsid w:val="00DC54A9"/>
    <w:rsid w:val="00DC6139"/>
    <w:rsid w:val="00DC6686"/>
    <w:rsid w:val="00DC6D84"/>
    <w:rsid w:val="00DC7F68"/>
    <w:rsid w:val="00DD0E0B"/>
    <w:rsid w:val="00DD1D7F"/>
    <w:rsid w:val="00DD360A"/>
    <w:rsid w:val="00DD7F91"/>
    <w:rsid w:val="00DE0985"/>
    <w:rsid w:val="00DE42BF"/>
    <w:rsid w:val="00DE4A1A"/>
    <w:rsid w:val="00DE4E11"/>
    <w:rsid w:val="00DE53FE"/>
    <w:rsid w:val="00DE5BF0"/>
    <w:rsid w:val="00DE6ED8"/>
    <w:rsid w:val="00E00A5F"/>
    <w:rsid w:val="00E05D64"/>
    <w:rsid w:val="00E064E5"/>
    <w:rsid w:val="00E07ABB"/>
    <w:rsid w:val="00E07D8F"/>
    <w:rsid w:val="00E13762"/>
    <w:rsid w:val="00E14E2F"/>
    <w:rsid w:val="00E1552D"/>
    <w:rsid w:val="00E1640B"/>
    <w:rsid w:val="00E317A6"/>
    <w:rsid w:val="00E3190E"/>
    <w:rsid w:val="00E31C0E"/>
    <w:rsid w:val="00E31F05"/>
    <w:rsid w:val="00E32285"/>
    <w:rsid w:val="00E34295"/>
    <w:rsid w:val="00E3667E"/>
    <w:rsid w:val="00E4228D"/>
    <w:rsid w:val="00E4254E"/>
    <w:rsid w:val="00E4608C"/>
    <w:rsid w:val="00E502A2"/>
    <w:rsid w:val="00E51331"/>
    <w:rsid w:val="00E521B6"/>
    <w:rsid w:val="00E52931"/>
    <w:rsid w:val="00E52CAE"/>
    <w:rsid w:val="00E53ACE"/>
    <w:rsid w:val="00E5519B"/>
    <w:rsid w:val="00E55FEE"/>
    <w:rsid w:val="00E57BD3"/>
    <w:rsid w:val="00E57D38"/>
    <w:rsid w:val="00E65332"/>
    <w:rsid w:val="00E65F77"/>
    <w:rsid w:val="00E670CD"/>
    <w:rsid w:val="00E67EA9"/>
    <w:rsid w:val="00E7727F"/>
    <w:rsid w:val="00E83519"/>
    <w:rsid w:val="00E91889"/>
    <w:rsid w:val="00E91F0F"/>
    <w:rsid w:val="00E944E2"/>
    <w:rsid w:val="00E95C54"/>
    <w:rsid w:val="00E96103"/>
    <w:rsid w:val="00EA027D"/>
    <w:rsid w:val="00EB22CF"/>
    <w:rsid w:val="00EB3414"/>
    <w:rsid w:val="00EB39DD"/>
    <w:rsid w:val="00EB40E4"/>
    <w:rsid w:val="00EB5521"/>
    <w:rsid w:val="00EB67BA"/>
    <w:rsid w:val="00EC16F8"/>
    <w:rsid w:val="00EC306F"/>
    <w:rsid w:val="00EC408E"/>
    <w:rsid w:val="00EC41F2"/>
    <w:rsid w:val="00EC4E40"/>
    <w:rsid w:val="00EC4EB3"/>
    <w:rsid w:val="00EC5617"/>
    <w:rsid w:val="00EC7C9E"/>
    <w:rsid w:val="00ED1F20"/>
    <w:rsid w:val="00ED230D"/>
    <w:rsid w:val="00ED2440"/>
    <w:rsid w:val="00EE1C0B"/>
    <w:rsid w:val="00EE59D0"/>
    <w:rsid w:val="00EE7FF3"/>
    <w:rsid w:val="00EF26BF"/>
    <w:rsid w:val="00EF4861"/>
    <w:rsid w:val="00EF50C7"/>
    <w:rsid w:val="00EF5E19"/>
    <w:rsid w:val="00EF779D"/>
    <w:rsid w:val="00EF7E82"/>
    <w:rsid w:val="00F01970"/>
    <w:rsid w:val="00F01B91"/>
    <w:rsid w:val="00F06AF6"/>
    <w:rsid w:val="00F079A5"/>
    <w:rsid w:val="00F07F69"/>
    <w:rsid w:val="00F107F9"/>
    <w:rsid w:val="00F111E0"/>
    <w:rsid w:val="00F117D4"/>
    <w:rsid w:val="00F16475"/>
    <w:rsid w:val="00F216C1"/>
    <w:rsid w:val="00F22D55"/>
    <w:rsid w:val="00F24A9A"/>
    <w:rsid w:val="00F2592D"/>
    <w:rsid w:val="00F25C5F"/>
    <w:rsid w:val="00F3182D"/>
    <w:rsid w:val="00F34EF2"/>
    <w:rsid w:val="00F3580F"/>
    <w:rsid w:val="00F406BB"/>
    <w:rsid w:val="00F41DD5"/>
    <w:rsid w:val="00F44AD0"/>
    <w:rsid w:val="00F50379"/>
    <w:rsid w:val="00F55102"/>
    <w:rsid w:val="00F57115"/>
    <w:rsid w:val="00F6298B"/>
    <w:rsid w:val="00F63B02"/>
    <w:rsid w:val="00F65350"/>
    <w:rsid w:val="00F65C21"/>
    <w:rsid w:val="00F700A6"/>
    <w:rsid w:val="00F70B36"/>
    <w:rsid w:val="00F748F7"/>
    <w:rsid w:val="00F760D1"/>
    <w:rsid w:val="00F8151A"/>
    <w:rsid w:val="00F820C5"/>
    <w:rsid w:val="00F83788"/>
    <w:rsid w:val="00F84D69"/>
    <w:rsid w:val="00F85054"/>
    <w:rsid w:val="00F87AEF"/>
    <w:rsid w:val="00F87C14"/>
    <w:rsid w:val="00F94F61"/>
    <w:rsid w:val="00FA17B4"/>
    <w:rsid w:val="00FA3581"/>
    <w:rsid w:val="00FB10B8"/>
    <w:rsid w:val="00FB24BA"/>
    <w:rsid w:val="00FB28C8"/>
    <w:rsid w:val="00FB381D"/>
    <w:rsid w:val="00FB6172"/>
    <w:rsid w:val="00FB6492"/>
    <w:rsid w:val="00FC007D"/>
    <w:rsid w:val="00FC131A"/>
    <w:rsid w:val="00FC224A"/>
    <w:rsid w:val="00FC43D6"/>
    <w:rsid w:val="00FD1A85"/>
    <w:rsid w:val="00FD2208"/>
    <w:rsid w:val="00FD2EC4"/>
    <w:rsid w:val="00FD63D3"/>
    <w:rsid w:val="00FD717D"/>
    <w:rsid w:val="00FE44CF"/>
    <w:rsid w:val="00FE5B8C"/>
    <w:rsid w:val="00FF1239"/>
    <w:rsid w:val="00FF1AC1"/>
    <w:rsid w:val="00FF5DE3"/>
    <w:rsid w:val="00FF62F7"/>
    <w:rsid w:val="00FF6EAF"/>
    <w:rsid w:val="00FF7408"/>
    <w:rsid w:val="01F65399"/>
    <w:rsid w:val="026A1A9F"/>
    <w:rsid w:val="03226A0E"/>
    <w:rsid w:val="04260169"/>
    <w:rsid w:val="04CC4830"/>
    <w:rsid w:val="050945F2"/>
    <w:rsid w:val="050E4034"/>
    <w:rsid w:val="056F4DC0"/>
    <w:rsid w:val="05F86FA8"/>
    <w:rsid w:val="06174B4A"/>
    <w:rsid w:val="06342461"/>
    <w:rsid w:val="065C2670"/>
    <w:rsid w:val="06677EA2"/>
    <w:rsid w:val="06F06056"/>
    <w:rsid w:val="07021FF9"/>
    <w:rsid w:val="071C7BC7"/>
    <w:rsid w:val="075A67A2"/>
    <w:rsid w:val="0840050B"/>
    <w:rsid w:val="086D38AF"/>
    <w:rsid w:val="08C44882"/>
    <w:rsid w:val="08C94E4D"/>
    <w:rsid w:val="0915227D"/>
    <w:rsid w:val="09164C3B"/>
    <w:rsid w:val="099842FD"/>
    <w:rsid w:val="0A3A2559"/>
    <w:rsid w:val="0A805158"/>
    <w:rsid w:val="0AF87126"/>
    <w:rsid w:val="0B4B1CD9"/>
    <w:rsid w:val="0B9B2EBC"/>
    <w:rsid w:val="0BA309DB"/>
    <w:rsid w:val="0BC90D6D"/>
    <w:rsid w:val="0BCB508B"/>
    <w:rsid w:val="0C070B14"/>
    <w:rsid w:val="0C1A22A8"/>
    <w:rsid w:val="0C26236E"/>
    <w:rsid w:val="0C9306BE"/>
    <w:rsid w:val="0CB05CD1"/>
    <w:rsid w:val="0D1B39E9"/>
    <w:rsid w:val="0DCB2021"/>
    <w:rsid w:val="0E3A01CC"/>
    <w:rsid w:val="0E9172D3"/>
    <w:rsid w:val="0EF1422C"/>
    <w:rsid w:val="0F3B23D4"/>
    <w:rsid w:val="0F3B3DD7"/>
    <w:rsid w:val="107B6AE8"/>
    <w:rsid w:val="11195DC6"/>
    <w:rsid w:val="115A70AD"/>
    <w:rsid w:val="116421D6"/>
    <w:rsid w:val="11EA1B00"/>
    <w:rsid w:val="121F5AC5"/>
    <w:rsid w:val="125037BB"/>
    <w:rsid w:val="12521250"/>
    <w:rsid w:val="12524B60"/>
    <w:rsid w:val="12E866AF"/>
    <w:rsid w:val="130C55D8"/>
    <w:rsid w:val="13244A23"/>
    <w:rsid w:val="136F53B3"/>
    <w:rsid w:val="13EE6B6B"/>
    <w:rsid w:val="1472386E"/>
    <w:rsid w:val="148F0FC6"/>
    <w:rsid w:val="151600A7"/>
    <w:rsid w:val="159F345A"/>
    <w:rsid w:val="15E43EF8"/>
    <w:rsid w:val="16A81136"/>
    <w:rsid w:val="16AC4207"/>
    <w:rsid w:val="178A56FB"/>
    <w:rsid w:val="17A8647B"/>
    <w:rsid w:val="18253B4C"/>
    <w:rsid w:val="190F1674"/>
    <w:rsid w:val="19132D2F"/>
    <w:rsid w:val="19210747"/>
    <w:rsid w:val="196E7CB2"/>
    <w:rsid w:val="198759D2"/>
    <w:rsid w:val="19D72BB5"/>
    <w:rsid w:val="1AD212BF"/>
    <w:rsid w:val="1AF900F3"/>
    <w:rsid w:val="1AFC6A2C"/>
    <w:rsid w:val="1BE0351A"/>
    <w:rsid w:val="1C120302"/>
    <w:rsid w:val="1C442FCB"/>
    <w:rsid w:val="1C532B00"/>
    <w:rsid w:val="1CCC12C5"/>
    <w:rsid w:val="1D1B1BAD"/>
    <w:rsid w:val="1D401A6B"/>
    <w:rsid w:val="1DCC5DA5"/>
    <w:rsid w:val="1E8A015B"/>
    <w:rsid w:val="1EA00E4A"/>
    <w:rsid w:val="1F4F1109"/>
    <w:rsid w:val="1F6A0646"/>
    <w:rsid w:val="206A0332"/>
    <w:rsid w:val="2091595B"/>
    <w:rsid w:val="20F51AC3"/>
    <w:rsid w:val="21AE6D2F"/>
    <w:rsid w:val="21C21552"/>
    <w:rsid w:val="21C3713A"/>
    <w:rsid w:val="24DA6297"/>
    <w:rsid w:val="252F3CBE"/>
    <w:rsid w:val="26694CDB"/>
    <w:rsid w:val="282C171E"/>
    <w:rsid w:val="2849297F"/>
    <w:rsid w:val="2936596A"/>
    <w:rsid w:val="2997006D"/>
    <w:rsid w:val="29AC5EF0"/>
    <w:rsid w:val="2B040631"/>
    <w:rsid w:val="2B0B5AF1"/>
    <w:rsid w:val="2B793244"/>
    <w:rsid w:val="2C094BA0"/>
    <w:rsid w:val="2C60205D"/>
    <w:rsid w:val="2C8F5C68"/>
    <w:rsid w:val="2CAD317E"/>
    <w:rsid w:val="2CC97424"/>
    <w:rsid w:val="2D2725F0"/>
    <w:rsid w:val="2D345768"/>
    <w:rsid w:val="2D73679B"/>
    <w:rsid w:val="2E994608"/>
    <w:rsid w:val="2E9C375A"/>
    <w:rsid w:val="2EA60EE0"/>
    <w:rsid w:val="2ED8262F"/>
    <w:rsid w:val="2F242CBD"/>
    <w:rsid w:val="2FB34058"/>
    <w:rsid w:val="300C74C4"/>
    <w:rsid w:val="304B3830"/>
    <w:rsid w:val="307D5A91"/>
    <w:rsid w:val="314A0637"/>
    <w:rsid w:val="317B20C5"/>
    <w:rsid w:val="32A33E31"/>
    <w:rsid w:val="32D048D8"/>
    <w:rsid w:val="32D3622F"/>
    <w:rsid w:val="32D63CF2"/>
    <w:rsid w:val="32F26097"/>
    <w:rsid w:val="3341799D"/>
    <w:rsid w:val="337A399F"/>
    <w:rsid w:val="337F2EFA"/>
    <w:rsid w:val="339029A7"/>
    <w:rsid w:val="33CC5FD9"/>
    <w:rsid w:val="34697607"/>
    <w:rsid w:val="34DC6FBF"/>
    <w:rsid w:val="352019FA"/>
    <w:rsid w:val="35731520"/>
    <w:rsid w:val="35F436C6"/>
    <w:rsid w:val="36037C49"/>
    <w:rsid w:val="36B804EA"/>
    <w:rsid w:val="371766EB"/>
    <w:rsid w:val="3728049C"/>
    <w:rsid w:val="37CD3E9A"/>
    <w:rsid w:val="37D03480"/>
    <w:rsid w:val="37D87189"/>
    <w:rsid w:val="37E87EA7"/>
    <w:rsid w:val="37F761BE"/>
    <w:rsid w:val="380B1A51"/>
    <w:rsid w:val="382056BC"/>
    <w:rsid w:val="38AB6B19"/>
    <w:rsid w:val="39035D73"/>
    <w:rsid w:val="39144BF9"/>
    <w:rsid w:val="39236305"/>
    <w:rsid w:val="397D1814"/>
    <w:rsid w:val="3991694F"/>
    <w:rsid w:val="3A096C45"/>
    <w:rsid w:val="3B3315C9"/>
    <w:rsid w:val="3B3666AA"/>
    <w:rsid w:val="3B5D03F9"/>
    <w:rsid w:val="3B9C69ED"/>
    <w:rsid w:val="3C075E40"/>
    <w:rsid w:val="3C0F314C"/>
    <w:rsid w:val="3C8400FD"/>
    <w:rsid w:val="3C8D5215"/>
    <w:rsid w:val="3C925624"/>
    <w:rsid w:val="3CB96E1E"/>
    <w:rsid w:val="3E2A5A13"/>
    <w:rsid w:val="3E6A5C1B"/>
    <w:rsid w:val="3E951BD3"/>
    <w:rsid w:val="3EB91E59"/>
    <w:rsid w:val="3FA23A80"/>
    <w:rsid w:val="3FB75DF9"/>
    <w:rsid w:val="418368ED"/>
    <w:rsid w:val="425C64FC"/>
    <w:rsid w:val="4278675D"/>
    <w:rsid w:val="431F105C"/>
    <w:rsid w:val="43F003B4"/>
    <w:rsid w:val="446458DA"/>
    <w:rsid w:val="446645C4"/>
    <w:rsid w:val="44E00C2F"/>
    <w:rsid w:val="44F12828"/>
    <w:rsid w:val="453F4EE8"/>
    <w:rsid w:val="457E0C0E"/>
    <w:rsid w:val="45A27895"/>
    <w:rsid w:val="4654463C"/>
    <w:rsid w:val="469D1E1F"/>
    <w:rsid w:val="4703453A"/>
    <w:rsid w:val="47401AE3"/>
    <w:rsid w:val="47847F9B"/>
    <w:rsid w:val="47B6276E"/>
    <w:rsid w:val="47D7714D"/>
    <w:rsid w:val="48CA305E"/>
    <w:rsid w:val="491D1161"/>
    <w:rsid w:val="4945471C"/>
    <w:rsid w:val="49C23604"/>
    <w:rsid w:val="4A6500D9"/>
    <w:rsid w:val="4B4D56DB"/>
    <w:rsid w:val="4BCB58DC"/>
    <w:rsid w:val="4BE87F26"/>
    <w:rsid w:val="4C081E20"/>
    <w:rsid w:val="4C3974A1"/>
    <w:rsid w:val="4C4D743A"/>
    <w:rsid w:val="4C561056"/>
    <w:rsid w:val="4CDC25C4"/>
    <w:rsid w:val="4D2A1AAB"/>
    <w:rsid w:val="4DBE15DE"/>
    <w:rsid w:val="4DFF45BC"/>
    <w:rsid w:val="4E61428A"/>
    <w:rsid w:val="4E7B705D"/>
    <w:rsid w:val="4ECB455C"/>
    <w:rsid w:val="4EF16D21"/>
    <w:rsid w:val="4F4E6BEF"/>
    <w:rsid w:val="4F6745C5"/>
    <w:rsid w:val="4F751E54"/>
    <w:rsid w:val="4FA9510C"/>
    <w:rsid w:val="50891C17"/>
    <w:rsid w:val="520E7D39"/>
    <w:rsid w:val="527310FD"/>
    <w:rsid w:val="52C145B3"/>
    <w:rsid w:val="532C19FA"/>
    <w:rsid w:val="536C046F"/>
    <w:rsid w:val="53777260"/>
    <w:rsid w:val="53BD324D"/>
    <w:rsid w:val="53DA3FDB"/>
    <w:rsid w:val="54B52F23"/>
    <w:rsid w:val="559025B5"/>
    <w:rsid w:val="55BE6F35"/>
    <w:rsid w:val="56AB5747"/>
    <w:rsid w:val="57466A30"/>
    <w:rsid w:val="57E7750E"/>
    <w:rsid w:val="582C3304"/>
    <w:rsid w:val="583E683E"/>
    <w:rsid w:val="584263FC"/>
    <w:rsid w:val="58AA248A"/>
    <w:rsid w:val="592757C1"/>
    <w:rsid w:val="5A097D45"/>
    <w:rsid w:val="5A232744"/>
    <w:rsid w:val="5A8E433F"/>
    <w:rsid w:val="5ACC5639"/>
    <w:rsid w:val="5AFE0937"/>
    <w:rsid w:val="5B022AFF"/>
    <w:rsid w:val="5B1C238B"/>
    <w:rsid w:val="5BB72396"/>
    <w:rsid w:val="5BDA2541"/>
    <w:rsid w:val="5C8E70AE"/>
    <w:rsid w:val="5C9700DF"/>
    <w:rsid w:val="5CFF5AEE"/>
    <w:rsid w:val="5D5260D6"/>
    <w:rsid w:val="5E4106DA"/>
    <w:rsid w:val="5E4B362D"/>
    <w:rsid w:val="5E4B3828"/>
    <w:rsid w:val="5EC32979"/>
    <w:rsid w:val="5EFC5263"/>
    <w:rsid w:val="5F2B51D9"/>
    <w:rsid w:val="5F37440C"/>
    <w:rsid w:val="609E7926"/>
    <w:rsid w:val="60CC769A"/>
    <w:rsid w:val="60F3280A"/>
    <w:rsid w:val="615A0826"/>
    <w:rsid w:val="616E5025"/>
    <w:rsid w:val="62117B48"/>
    <w:rsid w:val="6233066F"/>
    <w:rsid w:val="625714F8"/>
    <w:rsid w:val="62AF2B34"/>
    <w:rsid w:val="62D7081D"/>
    <w:rsid w:val="63687194"/>
    <w:rsid w:val="638E50BC"/>
    <w:rsid w:val="64D27A6F"/>
    <w:rsid w:val="65765688"/>
    <w:rsid w:val="65A40D91"/>
    <w:rsid w:val="66F55A6B"/>
    <w:rsid w:val="67327F2E"/>
    <w:rsid w:val="674609A7"/>
    <w:rsid w:val="67465B30"/>
    <w:rsid w:val="68082611"/>
    <w:rsid w:val="688C533B"/>
    <w:rsid w:val="692F0DD2"/>
    <w:rsid w:val="692F6DB1"/>
    <w:rsid w:val="696B16A5"/>
    <w:rsid w:val="69772905"/>
    <w:rsid w:val="6A360EF4"/>
    <w:rsid w:val="6A736A2C"/>
    <w:rsid w:val="6AC4173D"/>
    <w:rsid w:val="6B3F6E7C"/>
    <w:rsid w:val="6B4F76A1"/>
    <w:rsid w:val="6BB6746F"/>
    <w:rsid w:val="6BFD03AE"/>
    <w:rsid w:val="6BFF6077"/>
    <w:rsid w:val="6C2308EC"/>
    <w:rsid w:val="6C867767"/>
    <w:rsid w:val="6CA34648"/>
    <w:rsid w:val="6D031FFE"/>
    <w:rsid w:val="6D870368"/>
    <w:rsid w:val="6DEF74D5"/>
    <w:rsid w:val="6E9856D0"/>
    <w:rsid w:val="6EB840FC"/>
    <w:rsid w:val="6EE920DC"/>
    <w:rsid w:val="6F377C99"/>
    <w:rsid w:val="6F7E7DE2"/>
    <w:rsid w:val="6FAA433E"/>
    <w:rsid w:val="704F1D50"/>
    <w:rsid w:val="7062369D"/>
    <w:rsid w:val="70D8666D"/>
    <w:rsid w:val="70F82977"/>
    <w:rsid w:val="711203ED"/>
    <w:rsid w:val="712A76BE"/>
    <w:rsid w:val="716D6D00"/>
    <w:rsid w:val="719901C6"/>
    <w:rsid w:val="71B131C3"/>
    <w:rsid w:val="71CC5821"/>
    <w:rsid w:val="71F26BCA"/>
    <w:rsid w:val="720542F1"/>
    <w:rsid w:val="72380013"/>
    <w:rsid w:val="72540D30"/>
    <w:rsid w:val="73426C39"/>
    <w:rsid w:val="73594771"/>
    <w:rsid w:val="740F0E4D"/>
    <w:rsid w:val="7469799F"/>
    <w:rsid w:val="74A66F51"/>
    <w:rsid w:val="74E24705"/>
    <w:rsid w:val="750506F3"/>
    <w:rsid w:val="758944AE"/>
    <w:rsid w:val="758C4507"/>
    <w:rsid w:val="75AA1A6C"/>
    <w:rsid w:val="76C0735A"/>
    <w:rsid w:val="76DE39EB"/>
    <w:rsid w:val="774B42DA"/>
    <w:rsid w:val="77CC2AC5"/>
    <w:rsid w:val="77F70918"/>
    <w:rsid w:val="78AC0F28"/>
    <w:rsid w:val="78AD7E4B"/>
    <w:rsid w:val="7922758B"/>
    <w:rsid w:val="79766799"/>
    <w:rsid w:val="79B255D2"/>
    <w:rsid w:val="79B45BBB"/>
    <w:rsid w:val="79D0307E"/>
    <w:rsid w:val="79DE121D"/>
    <w:rsid w:val="79E249A2"/>
    <w:rsid w:val="7A5C7B4D"/>
    <w:rsid w:val="7B1F1C18"/>
    <w:rsid w:val="7B387938"/>
    <w:rsid w:val="7C341C52"/>
    <w:rsid w:val="7D033238"/>
    <w:rsid w:val="7D2F6ABF"/>
    <w:rsid w:val="7D50024E"/>
    <w:rsid w:val="7D637EF4"/>
    <w:rsid w:val="7E341B98"/>
    <w:rsid w:val="7E51328E"/>
    <w:rsid w:val="7F14576E"/>
    <w:rsid w:val="7FB735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semiHidden="0"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1"/>
    <w:qFormat/>
    <w:uiPriority w:val="99"/>
    <w:pPr>
      <w:keepNext/>
      <w:keepLines/>
      <w:adjustRightInd/>
      <w:snapToGrid/>
      <w:spacing w:before="200" w:line="360" w:lineRule="auto"/>
      <w:jc w:val="center"/>
      <w:textAlignment w:val="baseline"/>
      <w:outlineLvl w:val="0"/>
    </w:pPr>
    <w:rPr>
      <w:rFonts w:ascii="Times New Roman" w:hAnsi="Times New Roman" w:eastAsia="黑体" w:cs="Times New Roman"/>
      <w:b/>
      <w:bCs/>
      <w:color w:val="000000"/>
      <w:kern w:val="44"/>
      <w:sz w:val="36"/>
      <w:szCs w:val="44"/>
      <w:u w:color="000000"/>
    </w:rPr>
  </w:style>
  <w:style w:type="paragraph" w:styleId="3">
    <w:name w:val="heading 2"/>
    <w:basedOn w:val="1"/>
    <w:next w:val="1"/>
    <w:link w:val="32"/>
    <w:qFormat/>
    <w:uiPriority w:val="99"/>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4">
    <w:name w:val="heading 3"/>
    <w:basedOn w:val="1"/>
    <w:next w:val="1"/>
    <w:link w:val="33"/>
    <w:qFormat/>
    <w:uiPriority w:val="99"/>
    <w:pPr>
      <w:keepNext/>
      <w:keepLines/>
      <w:adjustRightInd/>
      <w:snapToGrid/>
      <w:spacing w:before="260" w:after="260" w:line="360" w:lineRule="auto"/>
      <w:textAlignment w:val="baseline"/>
      <w:outlineLvl w:val="2"/>
    </w:pPr>
    <w:rPr>
      <w:rFonts w:ascii="Times New Roman" w:hAnsi="Times New Roman" w:eastAsia="仿宋_GB2312" w:cs="Times New Roman"/>
      <w:b/>
      <w:bCs/>
      <w:sz w:val="30"/>
      <w:szCs w:val="32"/>
      <w:u w:color="000000"/>
    </w:rPr>
  </w:style>
  <w:style w:type="paragraph" w:styleId="5">
    <w:name w:val="heading 4"/>
    <w:basedOn w:val="1"/>
    <w:next w:val="1"/>
    <w:link w:val="34"/>
    <w:unhideWhenUsed/>
    <w:qFormat/>
    <w:uiPriority w:val="0"/>
    <w:pPr>
      <w:keepNext/>
      <w:keepLines/>
      <w:widowControl w:val="0"/>
      <w:adjustRightInd/>
      <w:snapToGrid/>
      <w:spacing w:before="280" w:after="290" w:line="376" w:lineRule="auto"/>
      <w:jc w:val="both"/>
      <w:outlineLvl w:val="3"/>
    </w:pPr>
    <w:rPr>
      <w:rFonts w:asciiTheme="majorHAnsi" w:hAnsiTheme="majorHAnsi" w:eastAsiaTheme="majorEastAsia" w:cstheme="majorBidi"/>
      <w:b/>
      <w:bCs/>
      <w:kern w:val="2"/>
      <w:sz w:val="28"/>
      <w:szCs w:val="28"/>
    </w:rPr>
  </w:style>
  <w:style w:type="paragraph" w:styleId="6">
    <w:name w:val="heading 5"/>
    <w:basedOn w:val="1"/>
    <w:next w:val="1"/>
    <w:link w:val="35"/>
    <w:unhideWhenUsed/>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paragraph" w:styleId="7">
    <w:name w:val="heading 6"/>
    <w:basedOn w:val="1"/>
    <w:next w:val="1"/>
    <w:link w:val="36"/>
    <w:unhideWhenUsed/>
    <w:qFormat/>
    <w:uiPriority w:val="0"/>
    <w:pPr>
      <w:keepNext/>
      <w:keepLines/>
      <w:widowControl w:val="0"/>
      <w:adjustRightInd/>
      <w:snapToGrid/>
      <w:spacing w:before="240" w:after="64" w:line="320" w:lineRule="auto"/>
      <w:jc w:val="both"/>
      <w:outlineLvl w:val="5"/>
    </w:pPr>
    <w:rPr>
      <w:rFonts w:asciiTheme="majorHAnsi" w:hAnsiTheme="majorHAnsi" w:eastAsiaTheme="majorEastAsia" w:cstheme="majorBidi"/>
      <w:b/>
      <w:bCs/>
      <w:kern w:val="2"/>
      <w:sz w:val="24"/>
      <w:szCs w:val="24"/>
    </w:rPr>
  </w:style>
  <w:style w:type="character" w:default="1" w:styleId="24">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8">
    <w:name w:val="Document Map"/>
    <w:basedOn w:val="1"/>
    <w:link w:val="43"/>
    <w:semiHidden/>
    <w:qFormat/>
    <w:uiPriority w:val="99"/>
    <w:pPr>
      <w:widowControl w:val="0"/>
      <w:shd w:val="clear" w:color="auto" w:fill="000080"/>
      <w:adjustRightInd/>
      <w:snapToGrid/>
      <w:spacing w:after="0"/>
      <w:jc w:val="both"/>
    </w:pPr>
    <w:rPr>
      <w:rFonts w:ascii="Times New Roman" w:hAnsi="Times New Roman" w:eastAsia="宋体" w:cs="Times New Roman"/>
      <w:kern w:val="2"/>
      <w:sz w:val="21"/>
      <w:szCs w:val="24"/>
    </w:rPr>
  </w:style>
  <w:style w:type="paragraph" w:styleId="9">
    <w:name w:val="annotation text"/>
    <w:basedOn w:val="1"/>
    <w:link w:val="41"/>
    <w:unhideWhenUsed/>
    <w:qFormat/>
    <w:uiPriority w:val="99"/>
  </w:style>
  <w:style w:type="paragraph" w:styleId="10">
    <w:name w:val="Body Text"/>
    <w:basedOn w:val="1"/>
    <w:link w:val="44"/>
    <w:qFormat/>
    <w:uiPriority w:val="99"/>
    <w:pPr>
      <w:widowControl w:val="0"/>
      <w:adjustRightInd/>
      <w:snapToGrid/>
      <w:spacing w:after="120"/>
      <w:jc w:val="both"/>
    </w:pPr>
    <w:rPr>
      <w:rFonts w:ascii="Times New Roman" w:hAnsi="Times New Roman" w:eastAsia="宋体" w:cs="Times New Roman"/>
      <w:kern w:val="2"/>
      <w:sz w:val="21"/>
      <w:szCs w:val="24"/>
    </w:rPr>
  </w:style>
  <w:style w:type="paragraph" w:styleId="11">
    <w:name w:val="toc 3"/>
    <w:basedOn w:val="1"/>
    <w:next w:val="1"/>
    <w:qFormat/>
    <w:uiPriority w:val="39"/>
    <w:pPr>
      <w:widowControl w:val="0"/>
      <w:adjustRightInd/>
      <w:snapToGrid/>
      <w:spacing w:after="0"/>
      <w:ind w:left="840" w:leftChars="400"/>
      <w:jc w:val="both"/>
    </w:pPr>
    <w:rPr>
      <w:rFonts w:ascii="Times New Roman" w:hAnsi="Times New Roman" w:eastAsia="宋体" w:cs="Times New Roman"/>
      <w:kern w:val="2"/>
      <w:sz w:val="28"/>
      <w:szCs w:val="24"/>
    </w:rPr>
  </w:style>
  <w:style w:type="paragraph" w:styleId="12">
    <w:name w:val="Plain Text"/>
    <w:basedOn w:val="1"/>
    <w:link w:val="45"/>
    <w:qFormat/>
    <w:uiPriority w:val="99"/>
    <w:pPr>
      <w:adjustRightInd/>
      <w:snapToGrid/>
      <w:spacing w:after="0" w:line="351" w:lineRule="atLeast"/>
      <w:ind w:firstLine="419"/>
      <w:jc w:val="both"/>
      <w:textAlignment w:val="baseline"/>
    </w:pPr>
    <w:rPr>
      <w:rFonts w:ascii="宋体" w:hAnsi="Times New Roman" w:eastAsia="宋体" w:cs="Times New Roman"/>
      <w:color w:val="000000"/>
      <w:sz w:val="21"/>
      <w:szCs w:val="20"/>
      <w:u w:color="000000"/>
    </w:rPr>
  </w:style>
  <w:style w:type="paragraph" w:styleId="13">
    <w:name w:val="Balloon Text"/>
    <w:basedOn w:val="1"/>
    <w:link w:val="46"/>
    <w:qFormat/>
    <w:uiPriority w:val="99"/>
    <w:pPr>
      <w:widowControl w:val="0"/>
      <w:adjustRightInd/>
      <w:snapToGrid/>
      <w:spacing w:after="0"/>
      <w:jc w:val="both"/>
    </w:pPr>
    <w:rPr>
      <w:rFonts w:ascii="Times New Roman" w:hAnsi="Times New Roman" w:eastAsia="宋体" w:cs="Times New Roman"/>
      <w:kern w:val="2"/>
      <w:sz w:val="18"/>
      <w:szCs w:val="18"/>
    </w:rPr>
  </w:style>
  <w:style w:type="paragraph" w:styleId="14">
    <w:name w:val="footer"/>
    <w:basedOn w:val="1"/>
    <w:link w:val="38"/>
    <w:unhideWhenUsed/>
    <w:qFormat/>
    <w:uiPriority w:val="99"/>
    <w:pPr>
      <w:tabs>
        <w:tab w:val="center" w:pos="4153"/>
        <w:tab w:val="right" w:pos="8306"/>
      </w:tabs>
    </w:pPr>
    <w:rPr>
      <w:sz w:val="18"/>
      <w:szCs w:val="18"/>
    </w:rPr>
  </w:style>
  <w:style w:type="paragraph" w:styleId="15">
    <w:name w:val="header"/>
    <w:basedOn w:val="1"/>
    <w:link w:val="37"/>
    <w:unhideWhenUsed/>
    <w:qFormat/>
    <w:uiPriority w:val="99"/>
    <w:pPr>
      <w:pBdr>
        <w:bottom w:val="single" w:color="auto" w:sz="6" w:space="1"/>
      </w:pBdr>
      <w:tabs>
        <w:tab w:val="center" w:pos="4153"/>
        <w:tab w:val="right" w:pos="8306"/>
      </w:tabs>
      <w:jc w:val="center"/>
    </w:pPr>
    <w:rPr>
      <w:sz w:val="18"/>
      <w:szCs w:val="18"/>
    </w:rPr>
  </w:style>
  <w:style w:type="paragraph" w:styleId="16">
    <w:name w:val="toc 1"/>
    <w:basedOn w:val="1"/>
    <w:next w:val="1"/>
    <w:qFormat/>
    <w:uiPriority w:val="39"/>
    <w:pPr>
      <w:widowControl w:val="0"/>
      <w:tabs>
        <w:tab w:val="right" w:leader="dot" w:pos="8777"/>
      </w:tabs>
      <w:adjustRightInd/>
      <w:snapToGrid/>
      <w:spacing w:after="0" w:line="360" w:lineRule="auto"/>
      <w:jc w:val="both"/>
    </w:pPr>
    <w:rPr>
      <w:rFonts w:ascii="Times New Roman" w:hAnsi="Times New Roman" w:eastAsia="黑体" w:cs="Times New Roman"/>
      <w:kern w:val="2"/>
      <w:sz w:val="32"/>
      <w:szCs w:val="32"/>
    </w:rPr>
  </w:style>
  <w:style w:type="paragraph" w:styleId="17">
    <w:name w:val="footnote text"/>
    <w:basedOn w:val="1"/>
    <w:link w:val="47"/>
    <w:qFormat/>
    <w:uiPriority w:val="99"/>
    <w:pPr>
      <w:widowControl w:val="0"/>
      <w:adjustRightInd/>
      <w:spacing w:after="0"/>
    </w:pPr>
    <w:rPr>
      <w:rFonts w:ascii="Times New Roman" w:hAnsi="Times New Roman" w:eastAsia="宋体" w:cs="Times New Roman"/>
      <w:kern w:val="2"/>
      <w:sz w:val="18"/>
      <w:szCs w:val="18"/>
    </w:rPr>
  </w:style>
  <w:style w:type="paragraph" w:styleId="18">
    <w:name w:val="toc 2"/>
    <w:basedOn w:val="1"/>
    <w:next w:val="1"/>
    <w:qFormat/>
    <w:uiPriority w:val="39"/>
    <w:pPr>
      <w:widowControl w:val="0"/>
      <w:adjustRightInd/>
      <w:snapToGrid/>
      <w:spacing w:after="0"/>
      <w:ind w:left="420" w:leftChars="200"/>
      <w:jc w:val="both"/>
    </w:pPr>
    <w:rPr>
      <w:rFonts w:ascii="Times New Roman" w:hAnsi="Times New Roman" w:eastAsia="宋体" w:cs="Times New Roman"/>
      <w:kern w:val="2"/>
      <w:sz w:val="30"/>
      <w:szCs w:val="24"/>
    </w:rPr>
  </w:style>
  <w:style w:type="paragraph" w:styleId="19">
    <w:name w:val="HTML Preformatted"/>
    <w:basedOn w:val="1"/>
    <w:link w:val="48"/>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cs="宋体"/>
      <w:sz w:val="24"/>
      <w:szCs w:val="24"/>
    </w:rPr>
  </w:style>
  <w:style w:type="paragraph" w:styleId="20">
    <w:name w:val="Normal (Web)"/>
    <w:basedOn w:val="1"/>
    <w:qFormat/>
    <w:uiPriority w:val="99"/>
    <w:pPr>
      <w:adjustRightInd/>
      <w:snapToGrid/>
      <w:spacing w:before="100" w:beforeAutospacing="1" w:after="100" w:afterAutospacing="1"/>
    </w:pPr>
    <w:rPr>
      <w:rFonts w:ascii="宋体" w:hAnsi="宋体" w:eastAsia="宋体" w:cs="宋体"/>
      <w:sz w:val="24"/>
      <w:szCs w:val="24"/>
    </w:rPr>
  </w:style>
  <w:style w:type="paragraph" w:styleId="21">
    <w:name w:val="Title"/>
    <w:basedOn w:val="1"/>
    <w:next w:val="1"/>
    <w:link w:val="70"/>
    <w:qFormat/>
    <w:uiPriority w:val="0"/>
    <w:pPr>
      <w:widowControl w:val="0"/>
      <w:adjustRightInd/>
      <w:snapToGrid/>
      <w:spacing w:before="240" w:after="60"/>
      <w:jc w:val="center"/>
      <w:outlineLvl w:val="0"/>
    </w:pPr>
    <w:rPr>
      <w:rFonts w:eastAsia="宋体" w:asciiTheme="majorHAnsi" w:hAnsiTheme="majorHAnsi" w:cstheme="majorBidi"/>
      <w:b/>
      <w:bCs/>
      <w:kern w:val="2"/>
      <w:sz w:val="32"/>
      <w:szCs w:val="32"/>
    </w:rPr>
  </w:style>
  <w:style w:type="paragraph" w:styleId="22">
    <w:name w:val="annotation subject"/>
    <w:basedOn w:val="9"/>
    <w:next w:val="9"/>
    <w:link w:val="42"/>
    <w:qFormat/>
    <w:uiPriority w:val="99"/>
    <w:pPr>
      <w:widowControl w:val="0"/>
      <w:adjustRightInd/>
      <w:snapToGrid/>
      <w:spacing w:after="0"/>
    </w:pPr>
    <w:rPr>
      <w:rFonts w:ascii="Times New Roman" w:hAnsi="Times New Roman" w:eastAsia="宋体" w:cs="Times New Roman"/>
      <w:b/>
      <w:bCs/>
      <w:kern w:val="2"/>
      <w:sz w:val="21"/>
      <w:szCs w:val="24"/>
    </w:rPr>
  </w:style>
  <w:style w:type="character" w:styleId="25">
    <w:name w:val="page number"/>
    <w:basedOn w:val="24"/>
    <w:qFormat/>
    <w:uiPriority w:val="99"/>
  </w:style>
  <w:style w:type="character" w:styleId="26">
    <w:name w:val="FollowedHyperlink"/>
    <w:basedOn w:val="24"/>
    <w:unhideWhenUsed/>
    <w:qFormat/>
    <w:uiPriority w:val="99"/>
    <w:rPr>
      <w:color w:val="800080"/>
      <w:u w:val="single"/>
    </w:rPr>
  </w:style>
  <w:style w:type="character" w:styleId="27">
    <w:name w:val="Emphasis"/>
    <w:qFormat/>
    <w:uiPriority w:val="99"/>
    <w:rPr>
      <w:color w:val="CC0000"/>
    </w:rPr>
  </w:style>
  <w:style w:type="character" w:styleId="28">
    <w:name w:val="Hyperlink"/>
    <w:qFormat/>
    <w:uiPriority w:val="99"/>
    <w:rPr>
      <w:color w:val="0000FF"/>
      <w:u w:val="single"/>
    </w:rPr>
  </w:style>
  <w:style w:type="character" w:styleId="29">
    <w:name w:val="annotation reference"/>
    <w:basedOn w:val="24"/>
    <w:qFormat/>
    <w:uiPriority w:val="99"/>
    <w:rPr>
      <w:sz w:val="21"/>
      <w:szCs w:val="21"/>
    </w:rPr>
  </w:style>
  <w:style w:type="character" w:styleId="30">
    <w:name w:val="footnote reference"/>
    <w:basedOn w:val="24"/>
    <w:qFormat/>
    <w:uiPriority w:val="99"/>
    <w:rPr>
      <w:vertAlign w:val="superscript"/>
    </w:rPr>
  </w:style>
  <w:style w:type="character" w:customStyle="1" w:styleId="31">
    <w:name w:val="标题 1 字符"/>
    <w:basedOn w:val="24"/>
    <w:link w:val="2"/>
    <w:qFormat/>
    <w:uiPriority w:val="99"/>
    <w:rPr>
      <w:rFonts w:ascii="Times New Roman" w:hAnsi="Times New Roman" w:eastAsia="黑体" w:cs="Times New Roman"/>
      <w:b/>
      <w:bCs/>
      <w:color w:val="000000"/>
      <w:kern w:val="44"/>
      <w:sz w:val="36"/>
      <w:szCs w:val="44"/>
      <w:u w:color="000000"/>
    </w:rPr>
  </w:style>
  <w:style w:type="character" w:customStyle="1" w:styleId="32">
    <w:name w:val="标题 2 字符"/>
    <w:basedOn w:val="24"/>
    <w:link w:val="3"/>
    <w:qFormat/>
    <w:uiPriority w:val="99"/>
    <w:rPr>
      <w:rFonts w:ascii="Arial" w:hAnsi="Arial" w:eastAsia="黑体" w:cs="Times New Roman"/>
      <w:b/>
      <w:bCs/>
      <w:kern w:val="2"/>
      <w:sz w:val="32"/>
      <w:szCs w:val="32"/>
    </w:rPr>
  </w:style>
  <w:style w:type="character" w:customStyle="1" w:styleId="33">
    <w:name w:val="标题 3 字符"/>
    <w:basedOn w:val="24"/>
    <w:link w:val="4"/>
    <w:qFormat/>
    <w:uiPriority w:val="99"/>
    <w:rPr>
      <w:rFonts w:ascii="Times New Roman" w:hAnsi="Times New Roman" w:eastAsia="仿宋_GB2312" w:cs="Times New Roman"/>
      <w:b/>
      <w:bCs/>
      <w:sz w:val="30"/>
      <w:szCs w:val="32"/>
      <w:u w:color="000000"/>
    </w:rPr>
  </w:style>
  <w:style w:type="character" w:customStyle="1" w:styleId="34">
    <w:name w:val="标题 4 字符"/>
    <w:basedOn w:val="24"/>
    <w:link w:val="5"/>
    <w:qFormat/>
    <w:uiPriority w:val="0"/>
    <w:rPr>
      <w:rFonts w:asciiTheme="majorHAnsi" w:hAnsiTheme="majorHAnsi" w:eastAsiaTheme="majorEastAsia" w:cstheme="majorBidi"/>
      <w:b/>
      <w:bCs/>
      <w:kern w:val="2"/>
      <w:sz w:val="28"/>
      <w:szCs w:val="28"/>
    </w:rPr>
  </w:style>
  <w:style w:type="character" w:customStyle="1" w:styleId="35">
    <w:name w:val="标题 5 字符"/>
    <w:basedOn w:val="24"/>
    <w:link w:val="6"/>
    <w:qFormat/>
    <w:uiPriority w:val="0"/>
    <w:rPr>
      <w:rFonts w:ascii="Times New Roman" w:hAnsi="Times New Roman" w:eastAsia="宋体" w:cs="Times New Roman"/>
      <w:b/>
      <w:bCs/>
      <w:kern w:val="2"/>
      <w:sz w:val="28"/>
      <w:szCs w:val="28"/>
    </w:rPr>
  </w:style>
  <w:style w:type="character" w:customStyle="1" w:styleId="36">
    <w:name w:val="标题 6 字符"/>
    <w:basedOn w:val="24"/>
    <w:link w:val="7"/>
    <w:qFormat/>
    <w:uiPriority w:val="0"/>
    <w:rPr>
      <w:rFonts w:asciiTheme="majorHAnsi" w:hAnsiTheme="majorHAnsi" w:eastAsiaTheme="majorEastAsia" w:cstheme="majorBidi"/>
      <w:b/>
      <w:bCs/>
      <w:kern w:val="2"/>
      <w:sz w:val="24"/>
      <w:szCs w:val="24"/>
    </w:rPr>
  </w:style>
  <w:style w:type="character" w:customStyle="1" w:styleId="37">
    <w:name w:val="页眉 字符"/>
    <w:basedOn w:val="24"/>
    <w:link w:val="15"/>
    <w:qFormat/>
    <w:uiPriority w:val="99"/>
    <w:rPr>
      <w:rFonts w:ascii="Tahoma" w:hAnsi="Tahoma"/>
      <w:sz w:val="18"/>
      <w:szCs w:val="18"/>
    </w:rPr>
  </w:style>
  <w:style w:type="character" w:customStyle="1" w:styleId="38">
    <w:name w:val="页脚 字符"/>
    <w:basedOn w:val="24"/>
    <w:link w:val="14"/>
    <w:qFormat/>
    <w:uiPriority w:val="99"/>
    <w:rPr>
      <w:rFonts w:ascii="Tahoma" w:hAnsi="Tahoma"/>
      <w:sz w:val="18"/>
      <w:szCs w:val="18"/>
    </w:rPr>
  </w:style>
  <w:style w:type="paragraph" w:customStyle="1" w:styleId="39">
    <w:name w:val="标题1"/>
    <w:basedOn w:val="1"/>
    <w:qFormat/>
    <w:uiPriority w:val="0"/>
    <w:pPr>
      <w:widowControl w:val="0"/>
      <w:adjustRightInd/>
      <w:snapToGrid/>
      <w:spacing w:after="0"/>
      <w:ind w:firstLine="640" w:firstLineChars="200"/>
      <w:jc w:val="center"/>
    </w:pPr>
    <w:rPr>
      <w:rFonts w:ascii="Times New Roman" w:hAnsi="Times New Roman" w:eastAsia="黑体" w:cs="Times New Roman"/>
      <w:kern w:val="2"/>
      <w:sz w:val="32"/>
      <w:szCs w:val="21"/>
    </w:rPr>
  </w:style>
  <w:style w:type="paragraph" w:styleId="40">
    <w:name w:val="List Paragraph"/>
    <w:basedOn w:val="1"/>
    <w:qFormat/>
    <w:uiPriority w:val="99"/>
    <w:pPr>
      <w:ind w:firstLine="420" w:firstLineChars="200"/>
    </w:pPr>
  </w:style>
  <w:style w:type="character" w:customStyle="1" w:styleId="41">
    <w:name w:val="批注文字 字符"/>
    <w:basedOn w:val="24"/>
    <w:link w:val="9"/>
    <w:qFormat/>
    <w:uiPriority w:val="99"/>
    <w:rPr>
      <w:rFonts w:ascii="Tahoma" w:hAnsi="Tahoma"/>
    </w:rPr>
  </w:style>
  <w:style w:type="character" w:customStyle="1" w:styleId="42">
    <w:name w:val="批注主题 字符"/>
    <w:basedOn w:val="41"/>
    <w:link w:val="22"/>
    <w:qFormat/>
    <w:uiPriority w:val="99"/>
    <w:rPr>
      <w:rFonts w:ascii="Times New Roman" w:hAnsi="Times New Roman" w:eastAsia="宋体" w:cs="Times New Roman"/>
      <w:b/>
      <w:bCs/>
      <w:kern w:val="2"/>
      <w:sz w:val="21"/>
      <w:szCs w:val="24"/>
    </w:rPr>
  </w:style>
  <w:style w:type="character" w:customStyle="1" w:styleId="43">
    <w:name w:val="文档结构图 字符"/>
    <w:basedOn w:val="24"/>
    <w:link w:val="8"/>
    <w:semiHidden/>
    <w:qFormat/>
    <w:uiPriority w:val="99"/>
    <w:rPr>
      <w:rFonts w:ascii="Times New Roman" w:hAnsi="Times New Roman" w:eastAsia="宋体" w:cs="Times New Roman"/>
      <w:kern w:val="2"/>
      <w:sz w:val="21"/>
      <w:szCs w:val="24"/>
      <w:shd w:val="clear" w:color="auto" w:fill="000080"/>
    </w:rPr>
  </w:style>
  <w:style w:type="character" w:customStyle="1" w:styleId="44">
    <w:name w:val="正文文本 字符"/>
    <w:basedOn w:val="24"/>
    <w:link w:val="10"/>
    <w:qFormat/>
    <w:uiPriority w:val="99"/>
    <w:rPr>
      <w:rFonts w:ascii="Times New Roman" w:hAnsi="Times New Roman" w:eastAsia="宋体" w:cs="Times New Roman"/>
      <w:kern w:val="2"/>
      <w:sz w:val="21"/>
      <w:szCs w:val="24"/>
    </w:rPr>
  </w:style>
  <w:style w:type="character" w:customStyle="1" w:styleId="45">
    <w:name w:val="纯文本 字符"/>
    <w:basedOn w:val="24"/>
    <w:link w:val="12"/>
    <w:qFormat/>
    <w:uiPriority w:val="99"/>
    <w:rPr>
      <w:rFonts w:ascii="宋体" w:hAnsi="Times New Roman" w:eastAsia="宋体" w:cs="Times New Roman"/>
      <w:color w:val="000000"/>
      <w:sz w:val="21"/>
      <w:szCs w:val="20"/>
      <w:u w:color="000000"/>
    </w:rPr>
  </w:style>
  <w:style w:type="character" w:customStyle="1" w:styleId="46">
    <w:name w:val="批注框文本 字符"/>
    <w:basedOn w:val="24"/>
    <w:link w:val="13"/>
    <w:qFormat/>
    <w:uiPriority w:val="99"/>
    <w:rPr>
      <w:rFonts w:ascii="Times New Roman" w:hAnsi="Times New Roman" w:eastAsia="宋体" w:cs="Times New Roman"/>
      <w:kern w:val="2"/>
      <w:sz w:val="18"/>
      <w:szCs w:val="18"/>
    </w:rPr>
  </w:style>
  <w:style w:type="character" w:customStyle="1" w:styleId="47">
    <w:name w:val="脚注文本 字符"/>
    <w:basedOn w:val="24"/>
    <w:link w:val="17"/>
    <w:qFormat/>
    <w:uiPriority w:val="99"/>
    <w:rPr>
      <w:rFonts w:ascii="Times New Roman" w:hAnsi="Times New Roman" w:eastAsia="宋体" w:cs="Times New Roman"/>
      <w:kern w:val="2"/>
      <w:sz w:val="18"/>
      <w:szCs w:val="18"/>
    </w:rPr>
  </w:style>
  <w:style w:type="character" w:customStyle="1" w:styleId="48">
    <w:name w:val="HTML 预设格式 字符"/>
    <w:basedOn w:val="24"/>
    <w:link w:val="19"/>
    <w:qFormat/>
    <w:uiPriority w:val="0"/>
    <w:rPr>
      <w:rFonts w:ascii="宋体" w:hAnsi="宋体" w:eastAsia="宋体" w:cs="宋体"/>
      <w:sz w:val="24"/>
      <w:szCs w:val="24"/>
    </w:rPr>
  </w:style>
  <w:style w:type="paragraph" w:customStyle="1" w:styleId="49">
    <w:name w:val="xl69"/>
    <w:basedOn w:val="1"/>
    <w:qFormat/>
    <w:uiPriority w:val="99"/>
    <w:pPr>
      <w:pBdr>
        <w:top w:val="single" w:color="auto" w:sz="8" w:space="0"/>
        <w:left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0">
    <w:name w:val="xl74"/>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1">
    <w:name w:val="xl70"/>
    <w:basedOn w:val="1"/>
    <w:qFormat/>
    <w:uiPriority w:val="99"/>
    <w:pPr>
      <w:pBdr>
        <w:left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2">
    <w:name w:val="font7"/>
    <w:basedOn w:val="1"/>
    <w:qFormat/>
    <w:uiPriority w:val="99"/>
    <w:pPr>
      <w:adjustRightInd/>
      <w:snapToGrid/>
      <w:spacing w:before="100" w:beforeAutospacing="1" w:after="100" w:afterAutospacing="1"/>
    </w:pPr>
    <w:rPr>
      <w:rFonts w:ascii="宋体" w:hAnsi="宋体" w:eastAsia="宋体" w:cs="宋体"/>
      <w:color w:val="000000"/>
      <w:sz w:val="24"/>
      <w:szCs w:val="24"/>
    </w:rPr>
  </w:style>
  <w:style w:type="paragraph" w:customStyle="1" w:styleId="53">
    <w:name w:val="xl72"/>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54">
    <w:name w:val="xl67"/>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5">
    <w:name w:val="font5"/>
    <w:basedOn w:val="1"/>
    <w:qFormat/>
    <w:uiPriority w:val="99"/>
    <w:pPr>
      <w:adjustRightInd/>
      <w:snapToGrid/>
      <w:spacing w:before="100" w:beforeAutospacing="1" w:after="100" w:afterAutospacing="1"/>
    </w:pPr>
    <w:rPr>
      <w:rFonts w:ascii="宋体" w:hAnsi="宋体" w:eastAsia="宋体" w:cs="宋体"/>
      <w:b/>
      <w:bCs/>
      <w:color w:val="000000"/>
      <w:sz w:val="24"/>
      <w:szCs w:val="24"/>
    </w:rPr>
  </w:style>
  <w:style w:type="paragraph" w:customStyle="1" w:styleId="56">
    <w:name w:val="xl65"/>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57">
    <w:name w:val="font6"/>
    <w:basedOn w:val="1"/>
    <w:qFormat/>
    <w:uiPriority w:val="99"/>
    <w:pPr>
      <w:adjustRightInd/>
      <w:snapToGrid/>
      <w:spacing w:before="100" w:beforeAutospacing="1" w:after="100" w:afterAutospacing="1"/>
    </w:pPr>
    <w:rPr>
      <w:rFonts w:ascii="宋体" w:hAnsi="宋体" w:eastAsia="宋体" w:cs="宋体"/>
      <w:color w:val="000000"/>
    </w:rPr>
  </w:style>
  <w:style w:type="paragraph" w:customStyle="1" w:styleId="58">
    <w:name w:val="xl75"/>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9">
    <w:name w:val="Char Char Char Char Char Char1 Char"/>
    <w:basedOn w:val="1"/>
    <w:qFormat/>
    <w:uiPriority w:val="99"/>
    <w:pPr>
      <w:adjustRightInd/>
      <w:snapToGrid/>
      <w:spacing w:after="160" w:line="240" w:lineRule="exact"/>
    </w:pPr>
    <w:rPr>
      <w:rFonts w:ascii="Times New Roman" w:hAnsi="Times New Roman" w:eastAsia="宋体" w:cs="Times New Roman"/>
      <w:kern w:val="2"/>
      <w:sz w:val="21"/>
      <w:szCs w:val="24"/>
    </w:rPr>
  </w:style>
  <w:style w:type="paragraph" w:customStyle="1" w:styleId="60">
    <w:name w:val="xl68"/>
    <w:basedOn w:val="1"/>
    <w:qFormat/>
    <w:uiPriority w:val="99"/>
    <w:pPr>
      <w:pBdr>
        <w:bottom w:val="single" w:color="auto" w:sz="8" w:space="0"/>
        <w:right w:val="single" w:color="auto" w:sz="8" w:space="0"/>
      </w:pBdr>
      <w:adjustRightInd/>
      <w:snapToGrid/>
      <w:spacing w:before="100" w:beforeAutospacing="1" w:after="100" w:afterAutospacing="1"/>
      <w:jc w:val="center"/>
      <w:textAlignment w:val="top"/>
    </w:pPr>
    <w:rPr>
      <w:rFonts w:ascii="宋体" w:hAnsi="宋体" w:eastAsia="宋体" w:cs="宋体"/>
    </w:rPr>
  </w:style>
  <w:style w:type="paragraph" w:customStyle="1" w:styleId="61">
    <w:name w:val="xl66"/>
    <w:basedOn w:val="1"/>
    <w:qFormat/>
    <w:uiPriority w:val="99"/>
    <w:pPr>
      <w:pBdr>
        <w:top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2">
    <w:name w:val="xl73"/>
    <w:basedOn w:val="1"/>
    <w:qFormat/>
    <w:uiPriority w:val="99"/>
    <w:pPr>
      <w:pBdr>
        <w:top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3">
    <w:name w:val="xl71"/>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64">
    <w:name w:val="样式 标题 2 + 行距: 固定值 30 磅"/>
    <w:basedOn w:val="3"/>
    <w:qFormat/>
    <w:uiPriority w:val="99"/>
    <w:pPr>
      <w:widowControl/>
      <w:spacing w:line="600" w:lineRule="exact"/>
      <w:jc w:val="left"/>
      <w:textAlignment w:val="baseline"/>
    </w:pPr>
    <w:rPr>
      <w:rFonts w:eastAsia="楷体_GB2312" w:cs="宋体"/>
      <w:color w:val="000000"/>
      <w:kern w:val="0"/>
      <w:szCs w:val="20"/>
      <w:u w:color="000000"/>
    </w:rPr>
  </w:style>
  <w:style w:type="paragraph" w:customStyle="1" w:styleId="65">
    <w:name w:val="列出段落1"/>
    <w:basedOn w:val="1"/>
    <w:qFormat/>
    <w:uiPriority w:val="99"/>
    <w:pPr>
      <w:widowControl w:val="0"/>
      <w:adjustRightInd/>
      <w:snapToGrid/>
      <w:spacing w:after="0"/>
      <w:ind w:firstLine="420" w:firstLineChars="200"/>
      <w:jc w:val="both"/>
    </w:pPr>
    <w:rPr>
      <w:rFonts w:ascii="Times New Roman" w:hAnsi="Times New Roman" w:eastAsia="宋体" w:cs="Times New Roman"/>
      <w:kern w:val="2"/>
      <w:sz w:val="21"/>
      <w:szCs w:val="24"/>
    </w:rPr>
  </w:style>
  <w:style w:type="paragraph" w:customStyle="1" w:styleId="66">
    <w:name w:val="Char Char"/>
    <w:basedOn w:val="1"/>
    <w:qFormat/>
    <w:uiPriority w:val="0"/>
    <w:pPr>
      <w:widowControl w:val="0"/>
      <w:adjustRightInd/>
      <w:snapToGrid/>
      <w:spacing w:after="0"/>
      <w:jc w:val="both"/>
    </w:pPr>
    <w:rPr>
      <w:rFonts w:ascii="Times New Roman" w:hAnsi="Times New Roman" w:eastAsia="宋体" w:cs="Times New Roman"/>
      <w:kern w:val="2"/>
      <w:sz w:val="21"/>
      <w:szCs w:val="24"/>
    </w:rPr>
  </w:style>
  <w:style w:type="paragraph" w:customStyle="1" w:styleId="67">
    <w:name w:val="Char"/>
    <w:basedOn w:val="1"/>
    <w:qFormat/>
    <w:uiPriority w:val="99"/>
    <w:pPr>
      <w:adjustRightInd/>
      <w:snapToGrid/>
      <w:spacing w:after="160" w:line="240" w:lineRule="exact"/>
    </w:pPr>
    <w:rPr>
      <w:rFonts w:ascii="Calibri" w:hAnsi="Calibri" w:eastAsia="宋体" w:cs="Times New Roman"/>
      <w:kern w:val="2"/>
      <w:sz w:val="21"/>
    </w:rPr>
  </w:style>
  <w:style w:type="paragraph" w:customStyle="1" w:styleId="68">
    <w:name w:val="p"/>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69">
    <w:name w:val="默认段落字体 Para Char Char Char Char"/>
    <w:basedOn w:val="1"/>
    <w:qFormat/>
    <w:uiPriority w:val="99"/>
    <w:pPr>
      <w:widowControl w:val="0"/>
      <w:adjustRightInd/>
      <w:snapToGrid/>
      <w:spacing w:after="0"/>
      <w:jc w:val="both"/>
    </w:pPr>
    <w:rPr>
      <w:rFonts w:ascii="Times New Roman" w:hAnsi="Times New Roman" w:eastAsia="宋体" w:cs="Times New Roman"/>
      <w:sz w:val="21"/>
      <w:szCs w:val="20"/>
      <w:lang w:eastAsia="en-US"/>
    </w:rPr>
  </w:style>
  <w:style w:type="character" w:customStyle="1" w:styleId="70">
    <w:name w:val="标题 字符"/>
    <w:basedOn w:val="24"/>
    <w:link w:val="21"/>
    <w:qFormat/>
    <w:uiPriority w:val="0"/>
    <w:rPr>
      <w:rFonts w:eastAsia="宋体" w:asciiTheme="majorHAnsi" w:hAnsiTheme="majorHAnsi" w:cstheme="majorBidi"/>
      <w:b/>
      <w:bCs/>
      <w:kern w:val="2"/>
      <w:sz w:val="32"/>
      <w:szCs w:val="32"/>
    </w:rPr>
  </w:style>
  <w:style w:type="paragraph" w:customStyle="1" w:styleId="71">
    <w:name w:val="TOC 标题1"/>
    <w:basedOn w:val="2"/>
    <w:next w:val="1"/>
    <w:unhideWhenUsed/>
    <w:qFormat/>
    <w:uiPriority w:val="39"/>
    <w:pPr>
      <w:spacing w:before="480" w:after="0" w:line="276" w:lineRule="auto"/>
      <w:jc w:val="left"/>
      <w:textAlignment w:val="auto"/>
      <w:outlineLvl w:val="9"/>
    </w:pPr>
    <w:rPr>
      <w:rFonts w:asciiTheme="majorHAnsi" w:hAnsiTheme="majorHAnsi" w:eastAsiaTheme="majorEastAsia" w:cstheme="majorBidi"/>
      <w:color w:val="366091" w:themeColor="accent1" w:themeShade="BF"/>
      <w:kern w:val="0"/>
      <w:sz w:val="28"/>
      <w:szCs w:val="28"/>
    </w:rPr>
  </w:style>
  <w:style w:type="character" w:customStyle="1" w:styleId="72">
    <w:name w:val="font01"/>
    <w:basedOn w:val="24"/>
    <w:qFormat/>
    <w:uiPriority w:val="0"/>
    <w:rPr>
      <w:rFonts w:hint="eastAsia" w:ascii="宋体" w:hAnsi="宋体" w:eastAsia="宋体" w:cs="宋体"/>
      <w:b/>
      <w:color w:val="000000"/>
      <w:sz w:val="32"/>
      <w:szCs w:val="32"/>
      <w:u w:val="none"/>
    </w:rPr>
  </w:style>
  <w:style w:type="character" w:customStyle="1" w:styleId="73">
    <w:name w:val="font21"/>
    <w:basedOn w:val="24"/>
    <w:autoRedefine/>
    <w:qFormat/>
    <w:uiPriority w:val="0"/>
    <w:rPr>
      <w:rFonts w:hint="default" w:ascii="Times New Roman" w:hAnsi="Times New Roman" w:cs="Times New Roman"/>
      <w:b/>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en-US" sz="1400" b="0" i="0" u="none" strike="noStrike" kern="1200" spc="0" baseline="0">
                <a:solidFill>
                  <a:sysClr val="windowText" lastClr="000000">
                    <a:lumMod val="65000"/>
                    <a:lumOff val="35000"/>
                  </a:sysClr>
                </a:solidFill>
                <a:latin typeface="+mn-lt"/>
                <a:ea typeface="+mn-ea"/>
                <a:cs typeface="+mn-cs"/>
              </a:rPr>
              <a:t>2022</a:t>
            </a:r>
            <a:r>
              <a:rPr lang="zh-CN" altLang="en-US"/>
              <a:t>年决算收入结构图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2019年决算收入结构图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Pt>
            <c:idx val="9"/>
            <c:bubble3D val="0"/>
            <c:spPr>
              <a:solidFill>
                <a:schemeClr val="accent4">
                  <a:lumMod val="60000"/>
                </a:schemeClr>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单位    万元</c:v>
                </c:pt>
                <c:pt idx="1">
                  <c:v>公共安全支出</c:v>
                </c:pt>
                <c:pt idx="2">
                  <c:v>社会保障和就业支出</c:v>
                </c:pt>
                <c:pt idx="3">
                  <c:v>医疗卫生与计划生育支出</c:v>
                </c:pt>
                <c:pt idx="4">
                  <c:v>住房保障支出</c:v>
                </c:pt>
                <c:pt idx="5">
                  <c:v>一般公共服务支出</c:v>
                </c:pt>
                <c:pt idx="6">
                  <c:v>文化旅游体育与传媒支出</c:v>
                </c:pt>
                <c:pt idx="7">
                  <c:v>节能环保支出</c:v>
                </c:pt>
                <c:pt idx="8">
                  <c:v>农林水支出</c:v>
                </c:pt>
                <c:pt idx="9">
                  <c:v>城乡社区支出</c:v>
                </c:pt>
              </c:strCache>
            </c:strRef>
          </c:cat>
          <c:val>
            <c:numRef>
              <c:f>Sheet1!$B$2:$B$11</c:f>
              <c:numCache>
                <c:formatCode>General</c:formatCode>
                <c:ptCount val="10"/>
                <c:pt idx="1">
                  <c:v>7.29</c:v>
                </c:pt>
                <c:pt idx="2">
                  <c:v>197.48</c:v>
                </c:pt>
                <c:pt idx="3">
                  <c:v>45.03</c:v>
                </c:pt>
                <c:pt idx="4">
                  <c:v>67.59</c:v>
                </c:pt>
                <c:pt idx="5">
                  <c:v>1484.99</c:v>
                </c:pt>
                <c:pt idx="6">
                  <c:v>5</c:v>
                </c:pt>
                <c:pt idx="7">
                  <c:v>10</c:v>
                </c:pt>
                <c:pt idx="8">
                  <c:v>303.58</c:v>
                </c:pt>
                <c:pt idx="9">
                  <c:v>17.45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9186c68-c35e-4cf8-910a-d6960de6797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en-US" sz="1400" b="0" i="0" u="none" strike="noStrike" kern="1200" spc="0" baseline="0">
                <a:solidFill>
                  <a:sysClr val="windowText" lastClr="000000">
                    <a:lumMod val="65000"/>
                    <a:lumOff val="35000"/>
                  </a:sysClr>
                </a:solidFill>
                <a:latin typeface="+mn-lt"/>
                <a:ea typeface="+mn-ea"/>
                <a:cs typeface="+mn-cs"/>
              </a:rPr>
              <a:t>2022</a:t>
            </a:r>
            <a:r>
              <a:rPr lang="zh-CN" altLang="en-US"/>
              <a:t>年度</a:t>
            </a:r>
            <a:r>
              <a:rPr lang="zh-CN" altLang="en-US" sz="1400" b="0" i="0" u="none" strike="noStrike" kern="1200" spc="0" baseline="0">
                <a:solidFill>
                  <a:sysClr val="windowText" lastClr="000000">
                    <a:lumMod val="65000"/>
                    <a:lumOff val="35000"/>
                  </a:sysClr>
                </a:solidFill>
                <a:latin typeface="+mn-lt"/>
                <a:ea typeface="+mn-ea"/>
                <a:cs typeface="+mn-cs"/>
              </a:rPr>
              <a:t>留村镇政府</a:t>
            </a:r>
            <a:r>
              <a:rPr lang="zh-CN" altLang="en-US"/>
              <a:t>预算收入与决算收入对比图</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预算</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Sheet1!$A$2:$A$12</c:f>
              <c:strCache>
                <c:ptCount val="11"/>
                <c:pt idx="0">
                  <c:v>公共安全支出</c:v>
                </c:pt>
                <c:pt idx="1">
                  <c:v>社会保障和就业支出</c:v>
                </c:pt>
                <c:pt idx="2">
                  <c:v>医疗卫生与计划生育支出</c:v>
                </c:pt>
                <c:pt idx="3">
                  <c:v>住房保障支出</c:v>
                </c:pt>
                <c:pt idx="4">
                  <c:v>一般公共服务支出</c:v>
                </c:pt>
                <c:pt idx="5">
                  <c:v>文化旅游体育与传媒支出</c:v>
                </c:pt>
                <c:pt idx="6">
                  <c:v>节能环保支出</c:v>
                </c:pt>
                <c:pt idx="7">
                  <c:v>城乡社区支出</c:v>
                </c:pt>
                <c:pt idx="8">
                  <c:v>农林水支出</c:v>
                </c:pt>
                <c:pt idx="9">
                  <c:v>交通运输支出</c:v>
                </c:pt>
                <c:pt idx="10">
                  <c:v>灾害防治及应急管理支出</c:v>
                </c:pt>
              </c:strCache>
            </c:strRef>
          </c:cat>
          <c:val>
            <c:numRef>
              <c:f>Sheet1!$B$2:$B$12</c:f>
              <c:numCache>
                <c:formatCode>General</c:formatCode>
                <c:ptCount val="11"/>
                <c:pt idx="0">
                  <c:v>7.29</c:v>
                </c:pt>
                <c:pt idx="1">
                  <c:v>197.48</c:v>
                </c:pt>
                <c:pt idx="2">
                  <c:v>45.03</c:v>
                </c:pt>
                <c:pt idx="3">
                  <c:v>67.59</c:v>
                </c:pt>
                <c:pt idx="4">
                  <c:v>1484.99</c:v>
                </c:pt>
                <c:pt idx="5">
                  <c:v>5</c:v>
                </c:pt>
                <c:pt idx="6">
                  <c:v>10</c:v>
                </c:pt>
                <c:pt idx="7">
                  <c:v>1745</c:v>
                </c:pt>
                <c:pt idx="8">
                  <c:v>303.58</c:v>
                </c:pt>
                <c:pt idx="9">
                  <c:v>11.88</c:v>
                </c:pt>
                <c:pt idx="10">
                  <c:v>1.28</c:v>
                </c:pt>
              </c:numCache>
            </c:numRef>
          </c:val>
        </c:ser>
        <c:ser>
          <c:idx val="1"/>
          <c:order val="1"/>
          <c:tx>
            <c:strRef>
              <c:f>Sheet1!$C$1</c:f>
              <c:strCache>
                <c:ptCount val="1"/>
                <c:pt idx="0">
                  <c:v>决算</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Sheet1!$A$2:$A$12</c:f>
              <c:strCache>
                <c:ptCount val="11"/>
                <c:pt idx="0">
                  <c:v>公共安全支出</c:v>
                </c:pt>
                <c:pt idx="1">
                  <c:v>社会保障和就业支出</c:v>
                </c:pt>
                <c:pt idx="2">
                  <c:v>医疗卫生与计划生育支出</c:v>
                </c:pt>
                <c:pt idx="3">
                  <c:v>住房保障支出</c:v>
                </c:pt>
                <c:pt idx="4">
                  <c:v>一般公共服务支出</c:v>
                </c:pt>
                <c:pt idx="5">
                  <c:v>文化旅游体育与传媒支出</c:v>
                </c:pt>
                <c:pt idx="6">
                  <c:v>节能环保支出</c:v>
                </c:pt>
                <c:pt idx="7">
                  <c:v>城乡社区支出</c:v>
                </c:pt>
                <c:pt idx="8">
                  <c:v>农林水支出</c:v>
                </c:pt>
                <c:pt idx="9">
                  <c:v>交通运输支出</c:v>
                </c:pt>
                <c:pt idx="10">
                  <c:v>灾害防治及应急管理支出</c:v>
                </c:pt>
              </c:strCache>
            </c:strRef>
          </c:cat>
          <c:val>
            <c:numRef>
              <c:f>Sheet1!$C$2:$C$12</c:f>
              <c:numCache>
                <c:formatCode>General</c:formatCode>
                <c:ptCount val="11"/>
                <c:pt idx="0">
                  <c:v>7.29</c:v>
                </c:pt>
                <c:pt idx="1">
                  <c:v>197.48</c:v>
                </c:pt>
                <c:pt idx="2">
                  <c:v>45.03</c:v>
                </c:pt>
                <c:pt idx="3">
                  <c:v>67.59</c:v>
                </c:pt>
                <c:pt idx="4">
                  <c:v>1484.99</c:v>
                </c:pt>
                <c:pt idx="5">
                  <c:v>5</c:v>
                </c:pt>
                <c:pt idx="6">
                  <c:v>10</c:v>
                </c:pt>
                <c:pt idx="7">
                  <c:v>17.45</c:v>
                </c:pt>
                <c:pt idx="8">
                  <c:v>303.58</c:v>
                </c:pt>
                <c:pt idx="9">
                  <c:v>11.88</c:v>
                </c:pt>
                <c:pt idx="10">
                  <c:v>1.28</c:v>
                </c:pt>
              </c:numCache>
            </c:numRef>
          </c:val>
        </c:ser>
        <c:dLbls>
          <c:showLegendKey val="0"/>
          <c:showVal val="0"/>
          <c:showCatName val="0"/>
          <c:showSerName val="0"/>
          <c:showPercent val="0"/>
          <c:showBubbleSize val="0"/>
        </c:dLbls>
        <c:gapWidth val="219"/>
        <c:overlap val="-27"/>
        <c:axId val="1302299407"/>
        <c:axId val="1302303983"/>
      </c:barChart>
      <c:catAx>
        <c:axId val="13022994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02303983"/>
        <c:crosses val="autoZero"/>
        <c:auto val="1"/>
        <c:lblAlgn val="ctr"/>
        <c:lblOffset val="100"/>
        <c:noMultiLvlLbl val="0"/>
      </c:catAx>
      <c:valAx>
        <c:axId val="13023039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02299407"/>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846b38e-abfc-44aa-9cc0-04323ecf24d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en-US" sz="1400" b="0" i="0" u="none" strike="noStrike" kern="1200" spc="0" baseline="0">
                <a:solidFill>
                  <a:sysClr val="windowText" lastClr="000000">
                    <a:lumMod val="65000"/>
                    <a:lumOff val="35000"/>
                  </a:sysClr>
                </a:solidFill>
                <a:latin typeface="+mn-lt"/>
                <a:ea typeface="+mn-ea"/>
                <a:cs typeface="+mn-cs"/>
              </a:rPr>
              <a:t>2022</a:t>
            </a:r>
            <a:r>
              <a:rPr lang="zh-CN" altLang="en-US"/>
              <a:t>年预算支出结构图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2019年决算收入结构图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Pt>
            <c:idx val="9"/>
            <c:bubble3D val="0"/>
            <c:spPr>
              <a:solidFill>
                <a:schemeClr val="accent4">
                  <a:lumMod val="60000"/>
                </a:schemeClr>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单位    万元</c:v>
                </c:pt>
                <c:pt idx="1">
                  <c:v>公共安全支出</c:v>
                </c:pt>
                <c:pt idx="2">
                  <c:v>社会保障和就业支出</c:v>
                </c:pt>
                <c:pt idx="3">
                  <c:v>医疗卫生与计划生育支出</c:v>
                </c:pt>
                <c:pt idx="4">
                  <c:v>住房保障支出</c:v>
                </c:pt>
                <c:pt idx="5">
                  <c:v>一般公共服务支出</c:v>
                </c:pt>
                <c:pt idx="6">
                  <c:v>文化旅游体育与传媒支出</c:v>
                </c:pt>
                <c:pt idx="7">
                  <c:v>节能环保支出</c:v>
                </c:pt>
                <c:pt idx="8">
                  <c:v>农林水支出</c:v>
                </c:pt>
                <c:pt idx="9">
                  <c:v>城乡社区支出</c:v>
                </c:pt>
              </c:strCache>
            </c:strRef>
          </c:cat>
          <c:val>
            <c:numRef>
              <c:f>Sheet1!$B$2:$B$11</c:f>
              <c:numCache>
                <c:formatCode>General</c:formatCode>
                <c:ptCount val="10"/>
                <c:pt idx="1">
                  <c:v>7.29</c:v>
                </c:pt>
                <c:pt idx="2">
                  <c:v>197.48</c:v>
                </c:pt>
                <c:pt idx="3">
                  <c:v>45.03</c:v>
                </c:pt>
                <c:pt idx="4">
                  <c:v>67.59</c:v>
                </c:pt>
                <c:pt idx="5">
                  <c:v>1484.99</c:v>
                </c:pt>
                <c:pt idx="6">
                  <c:v>5</c:v>
                </c:pt>
                <c:pt idx="7">
                  <c:v>10</c:v>
                </c:pt>
                <c:pt idx="8">
                  <c:v>303.58</c:v>
                </c:pt>
                <c:pt idx="9">
                  <c:v>17.45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c29828f-00ae-4334-b2a9-aed291ea4fd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en-US" sz="1400" b="0" i="0" u="none" strike="noStrike" kern="1200" spc="0" baseline="0">
                <a:solidFill>
                  <a:sysClr val="windowText" lastClr="000000">
                    <a:lumMod val="65000"/>
                    <a:lumOff val="35000"/>
                  </a:sysClr>
                </a:solidFill>
                <a:latin typeface="+mn-lt"/>
                <a:ea typeface="+mn-ea"/>
                <a:cs typeface="+mn-cs"/>
              </a:rPr>
              <a:t>2022</a:t>
            </a:r>
            <a:r>
              <a:rPr lang="zh-CN" altLang="en-US"/>
              <a:t>年度</a:t>
            </a:r>
            <a:r>
              <a:rPr lang="zh-CN" altLang="en-US" sz="1400" b="0" i="0" u="none" strike="noStrike" kern="1200" spc="0" baseline="0">
                <a:solidFill>
                  <a:sysClr val="windowText" lastClr="000000">
                    <a:lumMod val="65000"/>
                    <a:lumOff val="35000"/>
                  </a:sysClr>
                </a:solidFill>
                <a:latin typeface="+mn-lt"/>
                <a:ea typeface="+mn-ea"/>
                <a:cs typeface="+mn-cs"/>
              </a:rPr>
              <a:t>留村镇政府</a:t>
            </a:r>
            <a:r>
              <a:rPr lang="zh-CN" altLang="en-US"/>
              <a:t>预算支出与决算支出对比图</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预算</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Sheet1!$A$2:$A$12</c:f>
              <c:strCache>
                <c:ptCount val="11"/>
                <c:pt idx="0">
                  <c:v>公共安全支出</c:v>
                </c:pt>
                <c:pt idx="1">
                  <c:v>社会保障和就业支出</c:v>
                </c:pt>
                <c:pt idx="2">
                  <c:v>医疗卫生与计划生育支出</c:v>
                </c:pt>
                <c:pt idx="3">
                  <c:v>住房保障支出</c:v>
                </c:pt>
                <c:pt idx="4">
                  <c:v>一般公共服务支出</c:v>
                </c:pt>
                <c:pt idx="5">
                  <c:v>文化旅游体育与传媒支出</c:v>
                </c:pt>
                <c:pt idx="6">
                  <c:v>节能环保支出</c:v>
                </c:pt>
                <c:pt idx="7">
                  <c:v>城乡社区支出</c:v>
                </c:pt>
                <c:pt idx="8">
                  <c:v>农林水支出</c:v>
                </c:pt>
                <c:pt idx="9">
                  <c:v>交通运输支出</c:v>
                </c:pt>
                <c:pt idx="10">
                  <c:v>灾害防治及应急管理支出</c:v>
                </c:pt>
              </c:strCache>
            </c:strRef>
          </c:cat>
          <c:val>
            <c:numRef>
              <c:f>Sheet1!$B$2:$B$12</c:f>
              <c:numCache>
                <c:formatCode>General</c:formatCode>
                <c:ptCount val="11"/>
                <c:pt idx="0">
                  <c:v>7.29</c:v>
                </c:pt>
                <c:pt idx="1">
                  <c:v>197.48</c:v>
                </c:pt>
                <c:pt idx="2">
                  <c:v>45.03</c:v>
                </c:pt>
                <c:pt idx="3">
                  <c:v>67.59</c:v>
                </c:pt>
                <c:pt idx="4">
                  <c:v>1484.99</c:v>
                </c:pt>
                <c:pt idx="5">
                  <c:v>5</c:v>
                </c:pt>
                <c:pt idx="6">
                  <c:v>10</c:v>
                </c:pt>
                <c:pt idx="7">
                  <c:v>1745</c:v>
                </c:pt>
                <c:pt idx="8">
                  <c:v>303.58</c:v>
                </c:pt>
                <c:pt idx="9">
                  <c:v>11.88</c:v>
                </c:pt>
                <c:pt idx="10">
                  <c:v>1.28</c:v>
                </c:pt>
              </c:numCache>
            </c:numRef>
          </c:val>
        </c:ser>
        <c:ser>
          <c:idx val="1"/>
          <c:order val="1"/>
          <c:tx>
            <c:strRef>
              <c:f>Sheet1!$C$1</c:f>
              <c:strCache>
                <c:ptCount val="1"/>
                <c:pt idx="0">
                  <c:v>决算</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Sheet1!$A$2:$A$12</c:f>
              <c:strCache>
                <c:ptCount val="11"/>
                <c:pt idx="0">
                  <c:v>公共安全支出</c:v>
                </c:pt>
                <c:pt idx="1">
                  <c:v>社会保障和就业支出</c:v>
                </c:pt>
                <c:pt idx="2">
                  <c:v>医疗卫生与计划生育支出</c:v>
                </c:pt>
                <c:pt idx="3">
                  <c:v>住房保障支出</c:v>
                </c:pt>
                <c:pt idx="4">
                  <c:v>一般公共服务支出</c:v>
                </c:pt>
                <c:pt idx="5">
                  <c:v>文化旅游体育与传媒支出</c:v>
                </c:pt>
                <c:pt idx="6">
                  <c:v>节能环保支出</c:v>
                </c:pt>
                <c:pt idx="7">
                  <c:v>城乡社区支出</c:v>
                </c:pt>
                <c:pt idx="8">
                  <c:v>农林水支出</c:v>
                </c:pt>
                <c:pt idx="9">
                  <c:v>交通运输支出</c:v>
                </c:pt>
                <c:pt idx="10">
                  <c:v>灾害防治及应急管理支出</c:v>
                </c:pt>
              </c:strCache>
            </c:strRef>
          </c:cat>
          <c:val>
            <c:numRef>
              <c:f>Sheet1!$C$2:$C$12</c:f>
              <c:numCache>
                <c:formatCode>General</c:formatCode>
                <c:ptCount val="11"/>
                <c:pt idx="0">
                  <c:v>7.29</c:v>
                </c:pt>
                <c:pt idx="1">
                  <c:v>197.48</c:v>
                </c:pt>
                <c:pt idx="2">
                  <c:v>45.03</c:v>
                </c:pt>
                <c:pt idx="3">
                  <c:v>67.59</c:v>
                </c:pt>
                <c:pt idx="4">
                  <c:v>1484.99</c:v>
                </c:pt>
                <c:pt idx="5">
                  <c:v>5</c:v>
                </c:pt>
                <c:pt idx="6">
                  <c:v>10</c:v>
                </c:pt>
                <c:pt idx="7">
                  <c:v>17.45</c:v>
                </c:pt>
                <c:pt idx="8">
                  <c:v>303.58</c:v>
                </c:pt>
                <c:pt idx="9">
                  <c:v>11.88</c:v>
                </c:pt>
                <c:pt idx="10">
                  <c:v>1.28</c:v>
                </c:pt>
              </c:numCache>
            </c:numRef>
          </c:val>
        </c:ser>
        <c:dLbls>
          <c:showLegendKey val="0"/>
          <c:showVal val="0"/>
          <c:showCatName val="0"/>
          <c:showSerName val="0"/>
          <c:showPercent val="0"/>
          <c:showBubbleSize val="0"/>
        </c:dLbls>
        <c:gapWidth val="219"/>
        <c:overlap val="-27"/>
        <c:axId val="1302299407"/>
        <c:axId val="1302303983"/>
      </c:barChart>
      <c:catAx>
        <c:axId val="13022994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02303983"/>
        <c:crosses val="autoZero"/>
        <c:auto val="1"/>
        <c:lblAlgn val="ctr"/>
        <c:lblOffset val="100"/>
        <c:noMultiLvlLbl val="0"/>
      </c:catAx>
      <c:valAx>
        <c:axId val="13023039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02299407"/>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5e8e8d4-6fef-4455-9016-55bbfa9187f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885AE-4DA9-49B7-9DDF-BD3DD7FA7BD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38</Pages>
  <Words>11129</Words>
  <Characters>12432</Characters>
  <Lines>123</Lines>
  <Paragraphs>34</Paragraphs>
  <TotalTime>5247</TotalTime>
  <ScaleCrop>false</ScaleCrop>
  <LinksUpToDate>false</LinksUpToDate>
  <CharactersWithSpaces>12616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2019-11-18T06:52:00Z</dcterms:created>
  <dc:creator>Administrator</dc:creator>
  <cp:lastModifiedBy>糯米</cp:lastModifiedBy>
  <cp:lastPrinted>2021-07-09T01:47:00Z</cp:lastPrinted>
  <dcterms:modified xsi:type="dcterms:W3CDTF">2025-05-12T01:52:27Z</dcterms:modified>
  <cp:revision>244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6A63255993064946B98475B50AD4411F_12</vt:lpwstr>
  </property>
  <property fmtid="{D5CDD505-2E9C-101B-9397-08002B2CF9AE}" pid="4" name="KSOTemplateDocerSaveRecord">
    <vt:lpwstr>eyJoZGlkIjoiMjE3Yzk4NGZhNDQwMzQxNjY4ZTc5ZmI0NDNkZjVlOGQiLCJ1c2VySWQiOiI0MzAxMzA1MDAifQ==</vt:lpwstr>
  </property>
</Properties>
</file>