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大王店镇人民政府</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numPr>
          <w:ilvl w:val="0"/>
          <w:numId w:val="1"/>
        </w:num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根据《保定市徐水区大王店镇人民政府职能配置、内设机构和人员编制规定》，保定市徐水区大王店镇人民政府的主要职责是：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据《保定市徐水区大王店镇人民政府职能配置、内设机构和人员编制规定》， 保定市徐水区大王店镇人民政府的主要职责是：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根据中共保定市徐水区委办公室、保定市徐水区人民政府办公室印发《保定市徐水区大王店镇主要责任、机构设置和人员编制规定》的通知（徐办字[2020]38号），现将我镇</w:t>
      </w:r>
      <w:r>
        <w:rPr>
          <w:rFonts w:hint="eastAsia" w:ascii="仿宋" w:hAnsi="仿宋" w:eastAsia="仿宋"/>
          <w:sz w:val="32"/>
          <w:szCs w:val="32"/>
          <w:lang w:eastAsia="zh-CN"/>
        </w:rPr>
        <w:t>单位</w:t>
      </w:r>
      <w:r>
        <w:rPr>
          <w:rFonts w:hint="eastAsia" w:ascii="仿宋" w:hAnsi="仿宋" w:eastAsia="仿宋"/>
          <w:sz w:val="32"/>
          <w:szCs w:val="32"/>
        </w:rPr>
        <w:t>概况说明如下：</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(3)、讨论和决定本乡镇经济建设、政治建设、文化建设社会建设、生态文明建设和党的建设以及乡村振兴中的重大问题。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(4)、组织召开本级人民代表大会，充分行使重大事项决定权、监督权和任免权，做好人大代表工作，联系选民、反映群众意见和要求。</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(8)、加强乡镇党委自身建设和村党组织建设，以及其他隶属乡镇党委的党组织建设，抓好发展党员工作，加强党员队伍建设。维护和执行党的纪律，监督党员干部和其他任何工作人员严格遵守国家法律法规。</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(9)、按照干部管理权限，负责对干部的教育、培训、选拔考核和监督工作。协助管理上级有关</w:t>
      </w:r>
      <w:r>
        <w:rPr>
          <w:rFonts w:hint="eastAsia" w:ascii="仿宋" w:hAnsi="仿宋" w:eastAsia="仿宋"/>
          <w:sz w:val="32"/>
          <w:szCs w:val="32"/>
          <w:lang w:eastAsia="zh-CN"/>
        </w:rPr>
        <w:t>单位</w:t>
      </w:r>
      <w:r>
        <w:rPr>
          <w:rFonts w:hint="eastAsia" w:ascii="仿宋" w:hAnsi="仿宋" w:eastAsia="仿宋"/>
          <w:sz w:val="32"/>
          <w:szCs w:val="32"/>
        </w:rPr>
        <w:t>驻乡镇单位的干部。做好人才服务工作。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360" w:lineRule="auto"/>
        <w:ind w:firstLine="640" w:firstLineChars="200"/>
        <w:rPr>
          <w:rFonts w:hint="eastAsia" w:ascii="仿宋" w:hAnsi="仿宋" w:eastAsia="仿宋"/>
          <w:sz w:val="32"/>
          <w:szCs w:val="32"/>
        </w:rPr>
        <w:sectPr>
          <w:pgSz w:w="11900" w:h="16840"/>
          <w:pgMar w:top="1361" w:right="1020" w:bottom="1361" w:left="1020" w:header="720" w:footer="720" w:gutter="0"/>
          <w:pgNumType w:start="1"/>
          <w:cols w:space="720" w:num="1"/>
        </w:sectPr>
      </w:pPr>
      <w:r>
        <w:rPr>
          <w:rFonts w:hint="eastAsia" w:ascii="仿宋" w:hAnsi="仿宋" w:eastAsia="仿宋"/>
          <w:sz w:val="32"/>
          <w:szCs w:val="32"/>
        </w:rPr>
        <w:t>(12)、承办上级党委、人大、政府交办的其他事项。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hint="default" w:ascii="仿宋_GB2312" w:hAnsi="仿宋" w:eastAsia="仿宋_GB2312"/>
                <w:bCs/>
                <w:sz w:val="24"/>
                <w:szCs w:val="24"/>
                <w:lang w:val="en-US"/>
              </w:rPr>
            </w:pPr>
            <w:r>
              <w:rPr>
                <w:rFonts w:hint="default" w:ascii="仿宋_GB2312" w:hAnsi="仿宋" w:eastAsia="仿宋_GB2312"/>
                <w:bCs/>
                <w:sz w:val="24"/>
                <w:szCs w:val="24"/>
                <w:lang w:val="en-US"/>
              </w:rPr>
              <w:t>1</w:t>
            </w:r>
          </w:p>
        </w:tc>
        <w:tc>
          <w:tcPr>
            <w:tcW w:w="2692" w:type="dxa"/>
            <w:tcBorders>
              <w:top w:val="single" w:color="auto" w:sz="4" w:space="0"/>
              <w:bottom w:val="single" w:color="auto" w:sz="4" w:space="0"/>
            </w:tcBorders>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大王店镇事业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916.15</w:t>
      </w:r>
      <w:r>
        <w:rPr>
          <w:rFonts w:ascii="仿宋" w:hAnsi="仿宋" w:eastAsia="仿宋"/>
          <w:sz w:val="32"/>
          <w:szCs w:val="32"/>
        </w:rPr>
        <w:t>万元,其中：一般公共预算收入</w:t>
      </w:r>
      <w:r>
        <w:rPr>
          <w:rFonts w:hint="default" w:ascii="仿宋" w:hAnsi="仿宋" w:eastAsia="仿宋"/>
          <w:sz w:val="32"/>
          <w:szCs w:val="32"/>
          <w:lang w:val="en-US"/>
        </w:rPr>
        <w:t>916.15</w:t>
      </w:r>
      <w:r>
        <w:rPr>
          <w:rFonts w:ascii="仿宋" w:hAnsi="仿宋" w:eastAsia="仿宋"/>
          <w:sz w:val="32"/>
          <w:szCs w:val="32"/>
        </w:rPr>
        <w:t>万元，基金预算收入</w:t>
      </w:r>
      <w:r>
        <w:rPr>
          <w:rFonts w:hint="default" w:ascii="仿宋" w:hAnsi="仿宋" w:eastAsia="仿宋"/>
          <w:sz w:val="32"/>
          <w:szCs w:val="32"/>
          <w:lang w:val="en-US"/>
        </w:rPr>
        <w:t>0</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916.15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916.15</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886.16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29.99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default" w:ascii="仿宋" w:hAnsi="仿宋" w:eastAsia="仿宋"/>
          <w:sz w:val="32"/>
          <w:szCs w:val="32"/>
          <w:lang w:val="en-US"/>
        </w:rPr>
        <w:t>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916.15</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default" w:ascii="仿宋" w:hAnsi="仿宋" w:eastAsia="仿宋"/>
          <w:sz w:val="32"/>
          <w:szCs w:val="32"/>
          <w:lang w:val="en-US"/>
        </w:rPr>
        <w:t>310.50</w:t>
      </w:r>
      <w:r>
        <w:rPr>
          <w:rFonts w:ascii="仿宋" w:hAnsi="仿宋" w:eastAsia="仿宋"/>
          <w:sz w:val="32"/>
          <w:szCs w:val="32"/>
        </w:rPr>
        <w:t>万元。其中:基本支出</w:t>
      </w:r>
      <w:r>
        <w:rPr>
          <w:rFonts w:hint="eastAsia" w:ascii="仿宋" w:hAnsi="仿宋" w:eastAsia="仿宋"/>
          <w:sz w:val="32"/>
          <w:szCs w:val="32"/>
          <w:lang w:eastAsia="zh-CN"/>
        </w:rPr>
        <w:t>减少</w:t>
      </w:r>
      <w:r>
        <w:rPr>
          <w:rFonts w:hint="default" w:ascii="仿宋" w:hAnsi="仿宋" w:eastAsia="仿宋"/>
          <w:sz w:val="32"/>
          <w:szCs w:val="32"/>
          <w:lang w:val="en-US"/>
        </w:rPr>
        <w:t>310.50</w:t>
      </w:r>
      <w:r>
        <w:rPr>
          <w:rFonts w:ascii="仿宋" w:hAnsi="仿宋" w:eastAsia="仿宋"/>
          <w:sz w:val="32"/>
          <w:szCs w:val="32"/>
        </w:rPr>
        <w:t>万元，主要原因是</w:t>
      </w:r>
      <w:r>
        <w:rPr>
          <w:rFonts w:hint="eastAsia" w:ascii="仿宋" w:hAnsi="仿宋" w:eastAsia="仿宋"/>
          <w:sz w:val="32"/>
          <w:szCs w:val="32"/>
          <w:lang w:eastAsia="zh-CN"/>
        </w:rPr>
        <w:t>有人员调出</w:t>
      </w:r>
      <w:r>
        <w:rPr>
          <w:rFonts w:ascii="仿宋" w:hAnsi="仿宋" w:eastAsia="仿宋"/>
          <w:sz w:val="32"/>
          <w:szCs w:val="32"/>
        </w:rPr>
        <w:t>；项目支出减少</w:t>
      </w:r>
      <w:r>
        <w:rPr>
          <w:rFonts w:hint="default" w:ascii="仿宋" w:hAnsi="仿宋" w:eastAsia="仿宋"/>
          <w:sz w:val="32"/>
          <w:szCs w:val="32"/>
          <w:lang w:val="en-US"/>
        </w:rPr>
        <w:t>0</w:t>
      </w:r>
      <w:r>
        <w:rPr>
          <w:rFonts w:ascii="仿宋" w:hAnsi="仿宋" w:eastAsia="仿宋"/>
          <w:sz w:val="32"/>
          <w:szCs w:val="32"/>
        </w:rPr>
        <w:t>万元，主要原因</w:t>
      </w:r>
      <w:r>
        <w:rPr>
          <w:rFonts w:hint="eastAsia" w:ascii="仿宋" w:hAnsi="仿宋" w:eastAsia="仿宋"/>
          <w:sz w:val="32"/>
          <w:szCs w:val="32"/>
          <w:lang w:eastAsia="zh-CN"/>
        </w:rPr>
        <w:t>无</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29.99</w:t>
      </w:r>
      <w:r>
        <w:rPr>
          <w:rFonts w:ascii="仿宋" w:hAnsi="仿宋" w:eastAsia="仿宋"/>
          <w:sz w:val="32"/>
          <w:szCs w:val="32"/>
        </w:rPr>
        <w:t>万元，其中办公费</w:t>
      </w:r>
      <w:r>
        <w:rPr>
          <w:rFonts w:hint="default" w:ascii="仿宋" w:hAnsi="仿宋" w:eastAsia="仿宋"/>
          <w:sz w:val="32"/>
          <w:szCs w:val="32"/>
          <w:lang w:val="en-US"/>
        </w:rPr>
        <w:t>17.17</w:t>
      </w:r>
      <w:r>
        <w:rPr>
          <w:rFonts w:ascii="仿宋" w:hAnsi="仿宋" w:eastAsia="仿宋"/>
          <w:sz w:val="32"/>
          <w:szCs w:val="32"/>
        </w:rPr>
        <w:t>万元，邮电费</w:t>
      </w:r>
      <w:r>
        <w:rPr>
          <w:rFonts w:hint="default" w:ascii="仿宋" w:hAnsi="仿宋" w:eastAsia="仿宋"/>
          <w:sz w:val="32"/>
          <w:szCs w:val="32"/>
          <w:lang w:val="en-US"/>
        </w:rPr>
        <w:t>0.86</w:t>
      </w:r>
      <w:r>
        <w:rPr>
          <w:rFonts w:ascii="仿宋" w:hAnsi="仿宋" w:eastAsia="仿宋"/>
          <w:sz w:val="32"/>
          <w:szCs w:val="32"/>
        </w:rPr>
        <w:t>万元，工会经费、福利费</w:t>
      </w:r>
      <w:r>
        <w:rPr>
          <w:rFonts w:hint="default" w:ascii="仿宋" w:hAnsi="仿宋" w:eastAsia="仿宋"/>
          <w:sz w:val="32"/>
          <w:szCs w:val="32"/>
          <w:lang w:val="en-US"/>
        </w:rPr>
        <w:t>11.29</w:t>
      </w:r>
      <w:r>
        <w:rPr>
          <w:rFonts w:ascii="仿宋" w:hAnsi="仿宋" w:eastAsia="仿宋"/>
          <w:sz w:val="32"/>
          <w:szCs w:val="32"/>
        </w:rPr>
        <w:t>万元，公务用车运行维护费</w:t>
      </w:r>
      <w:r>
        <w:rPr>
          <w:rFonts w:hint="default" w:ascii="仿宋" w:hAnsi="仿宋" w:eastAsia="仿宋"/>
          <w:sz w:val="32"/>
          <w:szCs w:val="32"/>
          <w:lang w:val="en-US"/>
        </w:rPr>
        <w:t>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0.67</w:t>
      </w:r>
      <w:r>
        <w:rPr>
          <w:rFonts w:ascii="仿宋" w:hAnsi="仿宋" w:eastAsia="仿宋"/>
          <w:sz w:val="32"/>
          <w:szCs w:val="32"/>
        </w:rPr>
        <w:t>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CellMar>
                  <w:top w:w="0" w:type="dxa"/>
                  <w:left w:w="108" w:type="dxa"/>
                  <w:bottom w:w="0" w:type="dxa"/>
                  <w:right w:w="108" w:type="dxa"/>
                </w:tblCellMar>
              </w:tblPrEx>
              <w:trPr>
                <w:trHeight w:val="366"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CellMar>
                  <w:top w:w="0" w:type="dxa"/>
                  <w:left w:w="108" w:type="dxa"/>
                  <w:bottom w:w="0" w:type="dxa"/>
                  <w:right w:w="108" w:type="dxa"/>
                </w:tblCellMar>
              </w:tblPrEx>
              <w:trPr>
                <w:trHeight w:val="351"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CellMar>
                  <w:top w:w="0" w:type="dxa"/>
                  <w:left w:w="108" w:type="dxa"/>
                  <w:bottom w:w="0" w:type="dxa"/>
                  <w:right w:w="108" w:type="dxa"/>
                </w:tblCellMar>
              </w:tblPrEx>
              <w:trPr>
                <w:trHeight w:val="384"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hint="eastAsia"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cs="Times New Roman"/>
          <w:sz w:val="28"/>
        </w:rPr>
      </w:pPr>
      <w:bookmarkStart w:id="0" w:name="_Toc66979573"/>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紧紧围绕区委、区政府的重要部署，深入贯彻落实党的十九届四中全会精神和习近平新时代中国特色社会主义思想，全面提升党建工作，加强党风廉政建设；围绕培育现代农业园区，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秸杆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扎实推动建档立卡扶贫工作，保证建档立卡户脱贫不脱政策，防止返贫。扎实做好人大、政协、工会、共青团、武装、环保、土地、教育、卫生等各项工作，努力实现全镇各项事业持续发展。</w:t>
      </w:r>
    </w:p>
    <w:p>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1" w:name="_Toc66979575"/>
      <w:r>
        <w:rPr>
          <w:rFonts w:hint="eastAsia" w:ascii="方正黑体_GBK" w:hAnsi="等线" w:eastAsia="方正黑体_GBK" w:cs="Times New Roman"/>
          <w:sz w:val="28"/>
          <w:lang w:eastAsia="zh-CN"/>
        </w:rPr>
        <w:t>二</w:t>
      </w:r>
      <w:r>
        <w:rPr>
          <w:rFonts w:ascii="方正黑体_GBK" w:hAnsi="等线" w:eastAsia="方正黑体_GBK" w:cs="Times New Roman"/>
          <w:sz w:val="28"/>
        </w:rPr>
        <w:t>、工作保障措施</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按照《关于全面实施预算绩效管理的实施意见》（冀发〔</w:t>
      </w:r>
      <w:r>
        <w:rPr>
          <w:rFonts w:ascii="Times New Roman" w:hAnsi="等线" w:eastAsia="方正仿宋_GBK" w:cs="Times New Roman"/>
          <w:sz w:val="28"/>
        </w:rPr>
        <w:t>2018</w:t>
      </w:r>
      <w:r>
        <w:rPr>
          <w:rFonts w:hint="eastAsia" w:ascii="Times New Roman" w:hAnsi="微软雅黑" w:eastAsia="方正仿宋_GBK" w:cs="微软雅黑"/>
          <w:sz w:val="28"/>
        </w:rPr>
        <w:t>〕</w:t>
      </w:r>
      <w:r>
        <w:rPr>
          <w:rFonts w:ascii="Times New Roman" w:hAnsi="等线" w:eastAsia="方正仿宋_GBK" w:cs="Times New Roman"/>
          <w:sz w:val="28"/>
        </w:rPr>
        <w:t>54</w:t>
      </w:r>
      <w:r>
        <w:rPr>
          <w:rFonts w:hint="eastAsia" w:ascii="Times New Roman" w:hAnsi="微软雅黑" w:eastAsia="方正仿宋_GBK" w:cs="微软雅黑"/>
          <w:sz w:val="28"/>
        </w:rPr>
        <w:t>号）和《河北省省级</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预算绩效管理办法》冀财绩〔</w:t>
      </w:r>
      <w:r>
        <w:rPr>
          <w:rFonts w:ascii="Times New Roman" w:hAnsi="等线" w:eastAsia="方正仿宋_GBK" w:cs="Times New Roman"/>
          <w:sz w:val="28"/>
        </w:rPr>
        <w:t>2019</w:t>
      </w:r>
      <w:r>
        <w:rPr>
          <w:rFonts w:hint="eastAsia" w:ascii="Times New Roman" w:hAnsi="微软雅黑" w:eastAsia="方正仿宋_GBK" w:cs="微软雅黑"/>
          <w:sz w:val="28"/>
        </w:rPr>
        <w:t>〕</w:t>
      </w:r>
      <w:r>
        <w:rPr>
          <w:rFonts w:ascii="Times New Roman" w:hAnsi="等线" w:eastAsia="方正仿宋_GBK" w:cs="Times New Roman"/>
          <w:sz w:val="28"/>
        </w:rPr>
        <w:t>4</w:t>
      </w:r>
      <w:r>
        <w:rPr>
          <w:rFonts w:hint="eastAsia" w:ascii="Times New Roman" w:hAnsi="微软雅黑" w:eastAsia="方正仿宋_GBK" w:cs="微软雅黑"/>
          <w:sz w:val="28"/>
        </w:rPr>
        <w:t>号）等文件精神，紧紧围绕区委、区政府的重要部署，制定切实有效的工作保障措施，科学确定总体绩效目标和分项绩效目标，强化预算绩效日常监督，推进我镇预算绩效管理科学化、制度化和规范化。</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（一）强化政治理论武装，健全完善制度机制</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预算绩效实时监控、绩效自评和重点项目评价等工作，确保全年绩效目标圆满完成。</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（二）加强预算支出管理，确保支出进度达标</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细编预算，将项目细化到可执行程度，确保批复即可执行。调整优化支出结构，按规定对</w:t>
      </w:r>
      <w:r>
        <w:rPr>
          <w:rFonts w:ascii="Times New Roman" w:hAnsi="等线" w:eastAsia="方正仿宋_GBK" w:cs="Times New Roman"/>
          <w:sz w:val="28"/>
        </w:rPr>
        <w:t>“</w:t>
      </w:r>
      <w:r>
        <w:rPr>
          <w:rFonts w:hint="eastAsia" w:ascii="Times New Roman" w:hAnsi="微软雅黑" w:eastAsia="方正仿宋_GBK" w:cs="微软雅黑"/>
          <w:sz w:val="28"/>
        </w:rPr>
        <w:t>三公</w:t>
      </w:r>
      <w:r>
        <w:rPr>
          <w:rFonts w:ascii="Times New Roman" w:hAnsi="等线" w:eastAsia="方正仿宋_GBK" w:cs="Times New Roman"/>
          <w:sz w:val="28"/>
        </w:rPr>
        <w:t>”</w:t>
      </w:r>
      <w:r>
        <w:rPr>
          <w:rFonts w:hint="eastAsia" w:ascii="Times New Roman" w:hAnsi="微软雅黑" w:eastAsia="方正仿宋_GBK" w:cs="微软雅黑"/>
          <w:sz w:val="28"/>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（三）加强内部监督管理，确保资金安全有效</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（四）加强宣传培训调研，确保绩效目标实现</w:t>
      </w:r>
    </w:p>
    <w:p>
      <w:pPr>
        <w:spacing w:line="500" w:lineRule="exact"/>
        <w:ind w:firstLine="560" w:firstLineChars="200"/>
        <w:jc w:val="left"/>
        <w:rPr>
          <w:rFonts w:hint="eastAsia" w:ascii="Times New Roman" w:hAnsi="微软雅黑" w:eastAsia="方正仿宋_GBK" w:cs="微软雅黑"/>
          <w:sz w:val="28"/>
        </w:rPr>
      </w:pPr>
      <w:r>
        <w:rPr>
          <w:rFonts w:hint="eastAsia" w:ascii="Times New Roman" w:hAnsi="微软雅黑" w:eastAsia="方正仿宋_GBK" w:cs="微软雅黑"/>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line="500" w:lineRule="exact"/>
        <w:ind w:firstLine="560" w:firstLineChars="200"/>
        <w:jc w:val="left"/>
        <w:rPr>
          <w:rFonts w:hint="eastAsia" w:ascii="Times New Roman" w:hAnsi="微软雅黑" w:eastAsia="方正仿宋_GBK" w:cs="微软雅黑"/>
          <w:sz w:val="28"/>
        </w:r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tbl>
      <w:tblPr>
        <w:tblStyle w:val="5"/>
        <w:tblW w:w="101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1"/>
        <w:gridCol w:w="691"/>
        <w:gridCol w:w="684"/>
        <w:gridCol w:w="933"/>
        <w:gridCol w:w="643"/>
        <w:gridCol w:w="342"/>
        <w:gridCol w:w="557"/>
        <w:gridCol w:w="691"/>
        <w:gridCol w:w="691"/>
        <w:gridCol w:w="691"/>
        <w:gridCol w:w="855"/>
        <w:gridCol w:w="851"/>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tblHeader/>
          <w:jc w:val="center"/>
        </w:trPr>
        <w:tc>
          <w:tcPr>
            <w:tcW w:w="5711"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cs="Times New Roman"/>
                <w:sz w:val="24"/>
              </w:rPr>
            </w:pPr>
            <w:r>
              <w:rPr>
                <w:rFonts w:hint="eastAsia" w:ascii="方正小标宋_GBK" w:hAnsi="等线" w:cs="Times New Roman"/>
                <w:sz w:val="24"/>
              </w:rPr>
              <w:t>保</w:t>
            </w:r>
            <w:r>
              <w:rPr>
                <w:rFonts w:ascii="方正小标宋_GBK" w:hAnsi="等线" w:cs="Times New Roman"/>
                <w:sz w:val="24"/>
              </w:rPr>
              <w:t>定市徐水区大王店镇人民政府</w:t>
            </w:r>
          </w:p>
        </w:tc>
        <w:tc>
          <w:tcPr>
            <w:tcW w:w="4487"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tblHeader/>
          <w:jc w:val="center"/>
        </w:trPr>
        <w:tc>
          <w:tcPr>
            <w:tcW w:w="2552"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68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933"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643"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342"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55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4487"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5" w:hRule="atLeast"/>
          <w:tblHeader/>
          <w:jc w:val="center"/>
        </w:trPr>
        <w:tc>
          <w:tcPr>
            <w:tcW w:w="186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6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684"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33"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643"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342"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55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6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6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6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855"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85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708"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186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84" w:type="dxa"/>
            <w:shd w:val="clear" w:color="auto" w:fill="auto"/>
            <w:vAlign w:val="center"/>
          </w:tcPr>
          <w:p>
            <w:pPr>
              <w:spacing w:line="300" w:lineRule="exact"/>
              <w:jc w:val="left"/>
              <w:rPr>
                <w:rFonts w:ascii="方正书宋_GBK" w:hAnsi="等线" w:eastAsia="方正书宋_GBK" w:cs="Times New Roman"/>
                <w:b/>
              </w:rPr>
            </w:pPr>
          </w:p>
        </w:tc>
        <w:tc>
          <w:tcPr>
            <w:tcW w:w="933" w:type="dxa"/>
            <w:shd w:val="clear" w:color="auto" w:fill="auto"/>
            <w:vAlign w:val="center"/>
          </w:tcPr>
          <w:p>
            <w:pPr>
              <w:spacing w:line="300" w:lineRule="exact"/>
              <w:jc w:val="left"/>
              <w:rPr>
                <w:rFonts w:ascii="方正书宋_GBK" w:hAnsi="等线" w:eastAsia="方正书宋_GBK" w:cs="Times New Roman"/>
                <w:b/>
              </w:rPr>
            </w:pPr>
          </w:p>
        </w:tc>
        <w:tc>
          <w:tcPr>
            <w:tcW w:w="643" w:type="dxa"/>
            <w:shd w:val="clear" w:color="auto" w:fill="auto"/>
            <w:vAlign w:val="center"/>
          </w:tcPr>
          <w:p>
            <w:pPr>
              <w:spacing w:line="300" w:lineRule="exact"/>
              <w:jc w:val="center"/>
              <w:rPr>
                <w:rFonts w:ascii="方正书宋_GBK" w:hAnsi="等线" w:eastAsia="方正书宋_GBK" w:cs="Times New Roman"/>
                <w:b/>
              </w:rPr>
            </w:pPr>
          </w:p>
        </w:tc>
        <w:tc>
          <w:tcPr>
            <w:tcW w:w="342" w:type="dxa"/>
            <w:shd w:val="clear" w:color="auto" w:fill="auto"/>
            <w:vAlign w:val="center"/>
          </w:tcPr>
          <w:p>
            <w:pPr>
              <w:spacing w:line="300" w:lineRule="exact"/>
              <w:jc w:val="right"/>
              <w:rPr>
                <w:rFonts w:ascii="方正书宋_GBK" w:hAnsi="等线" w:eastAsia="方正书宋_GBK" w:cs="Times New Roman"/>
                <w:b/>
              </w:rPr>
            </w:pPr>
          </w:p>
        </w:tc>
        <w:tc>
          <w:tcPr>
            <w:tcW w:w="557"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855" w:type="dxa"/>
            <w:shd w:val="clear" w:color="auto" w:fill="auto"/>
            <w:vAlign w:val="center"/>
          </w:tcPr>
          <w:p>
            <w:pPr>
              <w:spacing w:line="300" w:lineRule="exact"/>
              <w:jc w:val="right"/>
              <w:rPr>
                <w:rFonts w:ascii="方正书宋_GBK" w:hAnsi="等线" w:eastAsia="方正书宋_GBK" w:cs="Times New Roman"/>
                <w:b/>
              </w:rPr>
            </w:pPr>
          </w:p>
        </w:tc>
        <w:tc>
          <w:tcPr>
            <w:tcW w:w="851" w:type="dxa"/>
            <w:shd w:val="clear" w:color="auto" w:fill="auto"/>
            <w:vAlign w:val="center"/>
          </w:tcPr>
          <w:p>
            <w:pPr>
              <w:spacing w:line="300" w:lineRule="exact"/>
              <w:jc w:val="right"/>
              <w:rPr>
                <w:rFonts w:ascii="方正书宋_GBK" w:hAnsi="等线" w:eastAsia="方正书宋_GBK" w:cs="Times New Roman"/>
                <w:b/>
              </w:rPr>
            </w:pPr>
          </w:p>
        </w:tc>
        <w:tc>
          <w:tcPr>
            <w:tcW w:w="708"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pPr>
              <w:spacing w:line="300" w:lineRule="exact"/>
              <w:jc w:val="lef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84" w:type="dxa"/>
            <w:shd w:val="clear" w:color="auto" w:fill="auto"/>
            <w:vAlign w:val="center"/>
          </w:tcPr>
          <w:p>
            <w:pPr>
              <w:spacing w:line="300" w:lineRule="exact"/>
              <w:jc w:val="left"/>
              <w:rPr>
                <w:rFonts w:ascii="方正书宋_GBK" w:hAnsi="等线" w:eastAsia="方正书宋_GBK" w:cs="Times New Roman"/>
                <w:b/>
              </w:rPr>
            </w:pPr>
          </w:p>
        </w:tc>
        <w:tc>
          <w:tcPr>
            <w:tcW w:w="933" w:type="dxa"/>
            <w:shd w:val="clear" w:color="auto" w:fill="auto"/>
            <w:vAlign w:val="center"/>
          </w:tcPr>
          <w:p>
            <w:pPr>
              <w:spacing w:line="300" w:lineRule="exact"/>
              <w:jc w:val="left"/>
              <w:rPr>
                <w:rFonts w:ascii="方正书宋_GBK" w:hAnsi="等线" w:eastAsia="方正书宋_GBK" w:cs="Times New Roman"/>
                <w:b/>
              </w:rPr>
            </w:pPr>
          </w:p>
        </w:tc>
        <w:tc>
          <w:tcPr>
            <w:tcW w:w="643" w:type="dxa"/>
            <w:shd w:val="clear" w:color="auto" w:fill="auto"/>
            <w:vAlign w:val="center"/>
          </w:tcPr>
          <w:p>
            <w:pPr>
              <w:spacing w:line="300" w:lineRule="exact"/>
              <w:jc w:val="center"/>
              <w:rPr>
                <w:rFonts w:ascii="方正书宋_GBK" w:hAnsi="等线" w:eastAsia="方正书宋_GBK" w:cs="Times New Roman"/>
                <w:b/>
              </w:rPr>
            </w:pPr>
          </w:p>
        </w:tc>
        <w:tc>
          <w:tcPr>
            <w:tcW w:w="342" w:type="dxa"/>
            <w:shd w:val="clear" w:color="auto" w:fill="auto"/>
            <w:vAlign w:val="center"/>
          </w:tcPr>
          <w:p>
            <w:pPr>
              <w:spacing w:line="300" w:lineRule="exact"/>
              <w:jc w:val="right"/>
              <w:rPr>
                <w:rFonts w:ascii="方正书宋_GBK" w:hAnsi="等线" w:eastAsia="方正书宋_GBK" w:cs="Times New Roman"/>
                <w:b/>
              </w:rPr>
            </w:pPr>
          </w:p>
        </w:tc>
        <w:tc>
          <w:tcPr>
            <w:tcW w:w="557"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691" w:type="dxa"/>
            <w:shd w:val="clear" w:color="auto" w:fill="auto"/>
            <w:vAlign w:val="center"/>
          </w:tcPr>
          <w:p>
            <w:pPr>
              <w:spacing w:line="300" w:lineRule="exact"/>
              <w:jc w:val="right"/>
              <w:rPr>
                <w:rFonts w:ascii="方正书宋_GBK" w:hAnsi="等线" w:eastAsia="方正书宋_GBK" w:cs="Times New Roman"/>
                <w:b/>
              </w:rPr>
            </w:pPr>
          </w:p>
        </w:tc>
        <w:tc>
          <w:tcPr>
            <w:tcW w:w="855" w:type="dxa"/>
            <w:shd w:val="clear" w:color="auto" w:fill="auto"/>
            <w:vAlign w:val="center"/>
          </w:tcPr>
          <w:p>
            <w:pPr>
              <w:spacing w:line="300" w:lineRule="exact"/>
              <w:jc w:val="right"/>
              <w:rPr>
                <w:rFonts w:ascii="方正书宋_GBK" w:hAnsi="等线" w:eastAsia="方正书宋_GBK" w:cs="Times New Roman"/>
                <w:b/>
              </w:rPr>
            </w:pPr>
          </w:p>
        </w:tc>
        <w:tc>
          <w:tcPr>
            <w:tcW w:w="851" w:type="dxa"/>
            <w:shd w:val="clear" w:color="auto" w:fill="auto"/>
            <w:vAlign w:val="center"/>
          </w:tcPr>
          <w:p>
            <w:pPr>
              <w:spacing w:line="300" w:lineRule="exact"/>
              <w:jc w:val="right"/>
              <w:rPr>
                <w:rFonts w:ascii="方正书宋_GBK" w:hAnsi="等线" w:eastAsia="方正书宋_GBK" w:cs="Times New Roman"/>
                <w:b/>
              </w:rPr>
            </w:pPr>
          </w:p>
        </w:tc>
        <w:tc>
          <w:tcPr>
            <w:tcW w:w="708"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 w:hRule="atLeast"/>
          <w:jc w:val="center"/>
        </w:trPr>
        <w:tc>
          <w:tcPr>
            <w:tcW w:w="1861" w:type="dxa"/>
            <w:shd w:val="clear" w:color="auto" w:fill="auto"/>
            <w:vAlign w:val="center"/>
          </w:tcPr>
          <w:p>
            <w:pPr>
              <w:spacing w:line="300" w:lineRule="exact"/>
              <w:jc w:val="lef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84" w:type="dxa"/>
            <w:shd w:val="clear" w:color="auto" w:fill="auto"/>
            <w:vAlign w:val="center"/>
          </w:tcPr>
          <w:p>
            <w:pPr>
              <w:spacing w:line="300" w:lineRule="exact"/>
              <w:jc w:val="left"/>
              <w:rPr>
                <w:rFonts w:ascii="方正书宋_GBK" w:hAnsi="等线" w:eastAsia="方正书宋_GBK" w:cs="Times New Roman"/>
              </w:rPr>
            </w:pPr>
          </w:p>
        </w:tc>
        <w:tc>
          <w:tcPr>
            <w:tcW w:w="933" w:type="dxa"/>
            <w:shd w:val="clear" w:color="auto" w:fill="auto"/>
            <w:vAlign w:val="center"/>
          </w:tcPr>
          <w:p>
            <w:pPr>
              <w:spacing w:line="300" w:lineRule="exact"/>
              <w:jc w:val="left"/>
              <w:rPr>
                <w:rFonts w:ascii="方正书宋_GBK" w:hAnsi="等线" w:eastAsia="方正书宋_GBK" w:cs="Times New Roman"/>
              </w:rPr>
            </w:pPr>
          </w:p>
        </w:tc>
        <w:tc>
          <w:tcPr>
            <w:tcW w:w="643" w:type="dxa"/>
            <w:shd w:val="clear" w:color="auto" w:fill="auto"/>
            <w:vAlign w:val="center"/>
          </w:tcPr>
          <w:p>
            <w:pPr>
              <w:spacing w:line="300" w:lineRule="exact"/>
              <w:jc w:val="center"/>
              <w:rPr>
                <w:rFonts w:ascii="方正书宋_GBK" w:hAnsi="等线" w:eastAsia="方正书宋_GBK" w:cs="Times New Roman"/>
              </w:rPr>
            </w:pPr>
          </w:p>
        </w:tc>
        <w:tc>
          <w:tcPr>
            <w:tcW w:w="342" w:type="dxa"/>
            <w:shd w:val="clear" w:color="auto" w:fill="auto"/>
            <w:vAlign w:val="center"/>
          </w:tcPr>
          <w:p>
            <w:pPr>
              <w:spacing w:line="300" w:lineRule="exact"/>
              <w:jc w:val="right"/>
              <w:rPr>
                <w:rFonts w:ascii="方正书宋_GBK" w:hAnsi="等线" w:eastAsia="方正书宋_GBK" w:cs="Times New Roman"/>
              </w:rPr>
            </w:pPr>
          </w:p>
        </w:tc>
        <w:tc>
          <w:tcPr>
            <w:tcW w:w="557"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855" w:type="dxa"/>
            <w:shd w:val="clear" w:color="auto" w:fill="auto"/>
            <w:vAlign w:val="center"/>
          </w:tcPr>
          <w:p>
            <w:pPr>
              <w:spacing w:line="300" w:lineRule="exact"/>
              <w:jc w:val="right"/>
              <w:rPr>
                <w:rFonts w:ascii="方正书宋_GBK" w:hAnsi="等线" w:eastAsia="方正书宋_GBK" w:cs="Times New Roman"/>
              </w:rPr>
            </w:pPr>
          </w:p>
        </w:tc>
        <w:tc>
          <w:tcPr>
            <w:tcW w:w="851" w:type="dxa"/>
            <w:shd w:val="clear" w:color="auto" w:fill="auto"/>
            <w:vAlign w:val="center"/>
          </w:tcPr>
          <w:p>
            <w:pPr>
              <w:spacing w:line="300" w:lineRule="exact"/>
              <w:jc w:val="right"/>
              <w:rPr>
                <w:rFonts w:ascii="方正书宋_GBK" w:hAnsi="等线" w:eastAsia="方正书宋_GBK" w:cs="Times New Roman"/>
              </w:rPr>
            </w:pPr>
          </w:p>
        </w:tc>
        <w:tc>
          <w:tcPr>
            <w:tcW w:w="708"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pPr>
              <w:spacing w:line="300" w:lineRule="exact"/>
              <w:jc w:val="lef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84" w:type="dxa"/>
            <w:shd w:val="clear" w:color="auto" w:fill="auto"/>
            <w:vAlign w:val="center"/>
          </w:tcPr>
          <w:p>
            <w:pPr>
              <w:spacing w:line="300" w:lineRule="exact"/>
              <w:jc w:val="left"/>
              <w:rPr>
                <w:rFonts w:ascii="方正书宋_GBK" w:hAnsi="等线" w:cs="Times New Roman"/>
              </w:rPr>
            </w:pPr>
          </w:p>
        </w:tc>
        <w:tc>
          <w:tcPr>
            <w:tcW w:w="933" w:type="dxa"/>
            <w:shd w:val="clear" w:color="auto" w:fill="auto"/>
            <w:vAlign w:val="center"/>
          </w:tcPr>
          <w:p>
            <w:pPr>
              <w:spacing w:line="300" w:lineRule="exact"/>
              <w:jc w:val="left"/>
              <w:rPr>
                <w:rFonts w:ascii="方正书宋_GBK" w:hAnsi="等线" w:eastAsia="方正书宋_GBK" w:cs="Times New Roman"/>
              </w:rPr>
            </w:pPr>
          </w:p>
        </w:tc>
        <w:tc>
          <w:tcPr>
            <w:tcW w:w="643" w:type="dxa"/>
            <w:shd w:val="clear" w:color="auto" w:fill="auto"/>
            <w:vAlign w:val="center"/>
          </w:tcPr>
          <w:p>
            <w:pPr>
              <w:spacing w:line="300" w:lineRule="exact"/>
              <w:jc w:val="center"/>
              <w:rPr>
                <w:rFonts w:ascii="方正书宋_GBK" w:hAnsi="等线" w:cs="Times New Roman"/>
              </w:rPr>
            </w:pPr>
          </w:p>
        </w:tc>
        <w:tc>
          <w:tcPr>
            <w:tcW w:w="342" w:type="dxa"/>
            <w:shd w:val="clear" w:color="auto" w:fill="auto"/>
            <w:vAlign w:val="center"/>
          </w:tcPr>
          <w:p>
            <w:pPr>
              <w:spacing w:line="300" w:lineRule="exact"/>
              <w:jc w:val="right"/>
              <w:rPr>
                <w:rFonts w:ascii="方正书宋_GBK" w:hAnsi="等线" w:eastAsia="方正书宋_GBK" w:cs="Times New Roman"/>
              </w:rPr>
            </w:pPr>
          </w:p>
        </w:tc>
        <w:tc>
          <w:tcPr>
            <w:tcW w:w="557"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691" w:type="dxa"/>
            <w:shd w:val="clear" w:color="auto" w:fill="auto"/>
            <w:vAlign w:val="center"/>
          </w:tcPr>
          <w:p>
            <w:pPr>
              <w:spacing w:line="300" w:lineRule="exact"/>
              <w:jc w:val="right"/>
              <w:rPr>
                <w:rFonts w:ascii="方正书宋_GBK" w:hAnsi="等线" w:eastAsia="方正书宋_GBK" w:cs="Times New Roman"/>
              </w:rPr>
            </w:pPr>
          </w:p>
        </w:tc>
        <w:tc>
          <w:tcPr>
            <w:tcW w:w="855" w:type="dxa"/>
            <w:shd w:val="clear" w:color="auto" w:fill="auto"/>
            <w:vAlign w:val="center"/>
          </w:tcPr>
          <w:p>
            <w:pPr>
              <w:spacing w:line="300" w:lineRule="exact"/>
              <w:jc w:val="right"/>
              <w:rPr>
                <w:rFonts w:ascii="方正书宋_GBK" w:hAnsi="等线" w:eastAsia="方正书宋_GBK" w:cs="Times New Roman"/>
              </w:rPr>
            </w:pPr>
          </w:p>
        </w:tc>
        <w:tc>
          <w:tcPr>
            <w:tcW w:w="851" w:type="dxa"/>
            <w:shd w:val="clear" w:color="auto" w:fill="auto"/>
            <w:vAlign w:val="center"/>
          </w:tcPr>
          <w:p>
            <w:pPr>
              <w:spacing w:line="300" w:lineRule="exact"/>
              <w:jc w:val="right"/>
              <w:rPr>
                <w:rFonts w:ascii="方正书宋_GBK" w:hAnsi="等线" w:eastAsia="方正书宋_GBK" w:cs="Times New Roman"/>
              </w:rPr>
            </w:pPr>
          </w:p>
        </w:tc>
        <w:tc>
          <w:tcPr>
            <w:tcW w:w="708" w:type="dxa"/>
            <w:shd w:val="clear" w:color="auto" w:fill="auto"/>
            <w:vAlign w:val="center"/>
          </w:tcPr>
          <w:p>
            <w:pPr>
              <w:spacing w:line="300" w:lineRule="exact"/>
              <w:jc w:val="right"/>
              <w:rPr>
                <w:rFonts w:ascii="方正书宋_GBK" w:hAnsi="等线" w:eastAsia="方正书宋_GBK" w:cs="Times New Roman"/>
              </w:rPr>
            </w:pPr>
          </w:p>
        </w:tc>
      </w:tr>
    </w:tbl>
    <w:p>
      <w:pPr>
        <w:spacing w:line="360" w:lineRule="auto"/>
        <w:rPr>
          <w:rFonts w:hint="eastAsia" w:ascii="仿宋" w:hAnsi="仿宋" w:eastAsia="仿宋"/>
          <w:sz w:val="32"/>
          <w:szCs w:val="32"/>
        </w:rPr>
      </w:pP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0</w:t>
      </w:r>
      <w:r>
        <w:rPr>
          <w:rFonts w:hint="eastAsia" w:ascii="仿宋" w:hAnsi="仿宋" w:eastAsia="仿宋"/>
          <w:sz w:val="32"/>
          <w:szCs w:val="32"/>
        </w:rPr>
        <w:t>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bl>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bookmarkStart w:id="2" w:name="_GoBack"/>
      <w:bookmarkEnd w:id="2"/>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E77D"/>
    <w:multiLevelType w:val="singleLevel"/>
    <w:tmpl w:val="002EE7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1E52303"/>
    <w:rsid w:val="02ED47A3"/>
    <w:rsid w:val="0A214432"/>
    <w:rsid w:val="0AA50B81"/>
    <w:rsid w:val="0E5055E0"/>
    <w:rsid w:val="12A715D2"/>
    <w:rsid w:val="27733670"/>
    <w:rsid w:val="2A9656F8"/>
    <w:rsid w:val="32AF1BDC"/>
    <w:rsid w:val="3CA01D42"/>
    <w:rsid w:val="4A7845FC"/>
    <w:rsid w:val="4D4A589B"/>
    <w:rsid w:val="51130B81"/>
    <w:rsid w:val="537B0F80"/>
    <w:rsid w:val="5E952000"/>
    <w:rsid w:val="5EA66CEA"/>
    <w:rsid w:val="5EB007B5"/>
    <w:rsid w:val="62C00C65"/>
    <w:rsid w:val="69D46D96"/>
    <w:rsid w:val="69DB4883"/>
    <w:rsid w:val="72502EAF"/>
    <w:rsid w:val="75085AE6"/>
    <w:rsid w:val="76AE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Words>
  <Characters>1562</Characters>
  <Lines>13</Lines>
  <Paragraphs>3</Paragraphs>
  <TotalTime>1</TotalTime>
  <ScaleCrop>false</ScaleCrop>
  <LinksUpToDate>false</LinksUpToDate>
  <CharactersWithSpaces>1833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2022-07-20T03:14:30Z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76EAFEA3433E47EF9BBEB116C4FC5C2C</vt:lpwstr>
  </property>
</Properties>
</file>