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4E498">
      <w:pPr>
        <w:jc w:val="center"/>
        <w:rPr>
          <w:b/>
          <w:sz w:val="44"/>
          <w:szCs w:val="44"/>
        </w:rPr>
      </w:pPr>
      <w:r>
        <w:rPr>
          <w:rFonts w:hint="eastAsia"/>
          <w:b/>
          <w:sz w:val="44"/>
          <w:szCs w:val="44"/>
        </w:rPr>
        <w:t>第一部分</w:t>
      </w:r>
      <w:r>
        <w:rPr>
          <w:b/>
          <w:sz w:val="44"/>
          <w:szCs w:val="44"/>
        </w:rPr>
        <w:t xml:space="preserve">  </w:t>
      </w:r>
      <w:r>
        <w:rPr>
          <w:rFonts w:hint="eastAsia"/>
          <w:b/>
          <w:sz w:val="44"/>
          <w:szCs w:val="44"/>
        </w:rPr>
        <w:t>保定市徐水区质量技术监督局部门概况</w:t>
      </w:r>
    </w:p>
    <w:p w14:paraId="388C4E69">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一、部门职责</w:t>
      </w:r>
    </w:p>
    <w:p w14:paraId="1BA4637C">
      <w:pPr>
        <w:pStyle w:val="13"/>
        <w:widowControl/>
        <w:spacing w:line="600" w:lineRule="exact"/>
        <w:ind w:firstLine="560" w:firstLineChars="200"/>
        <w:jc w:val="both"/>
        <w:rPr>
          <w:rFonts w:hAnsi="宋体" w:cs="仿宋_GB2312"/>
          <w:sz w:val="28"/>
          <w:szCs w:val="28"/>
        </w:rPr>
      </w:pPr>
      <w:r>
        <w:rPr>
          <w:rFonts w:hint="eastAsia" w:hAnsi="宋体" w:cs="仿宋_GB2312"/>
          <w:sz w:val="28"/>
          <w:szCs w:val="28"/>
        </w:rPr>
        <w:t>根据保定市徐水区人民政府办公室关于印发《保定市徐水区质量技术监督局主要职责、内设机构和人员编制规定的通知》（徐政办</w:t>
      </w:r>
      <w:r>
        <w:rPr>
          <w:rFonts w:hAnsi="宋体" w:cs="仿宋_GB2312"/>
          <w:sz w:val="28"/>
          <w:szCs w:val="28"/>
        </w:rPr>
        <w:t>[2015]22</w:t>
      </w:r>
      <w:r>
        <w:rPr>
          <w:rFonts w:hint="eastAsia" w:hAnsi="宋体" w:cs="仿宋_GB2312"/>
          <w:sz w:val="28"/>
          <w:szCs w:val="28"/>
        </w:rPr>
        <w:t>号），我局部门职责如下：</w:t>
      </w:r>
    </w:p>
    <w:p w14:paraId="24274C64">
      <w:pPr>
        <w:tabs>
          <w:tab w:val="center" w:pos="4381"/>
        </w:tabs>
        <w:adjustRightInd w:val="0"/>
        <w:snapToGrid w:val="0"/>
        <w:spacing w:line="700" w:lineRule="exact"/>
        <w:ind w:firstLine="280" w:firstLineChars="100"/>
        <w:rPr>
          <w:rFonts w:ascii="宋体"/>
          <w:sz w:val="28"/>
          <w:szCs w:val="28"/>
        </w:rPr>
      </w:pPr>
      <w:r>
        <w:rPr>
          <w:rFonts w:hint="eastAsia" w:ascii="宋体" w:hAnsi="宋体"/>
          <w:sz w:val="28"/>
          <w:szCs w:val="28"/>
        </w:rPr>
        <w:t>（一）负责拟订提高本辖区质量水平的发展规划及政策措施并组织实施，负责与质量技术监督有关的技术规范工作。</w:t>
      </w:r>
      <w:r>
        <w:rPr>
          <w:rFonts w:ascii="宋体"/>
          <w:sz w:val="28"/>
          <w:szCs w:val="28"/>
        </w:rPr>
        <w:tab/>
      </w:r>
    </w:p>
    <w:p w14:paraId="1046B735">
      <w:pPr>
        <w:adjustRightInd w:val="0"/>
        <w:snapToGrid w:val="0"/>
        <w:spacing w:line="700" w:lineRule="exact"/>
        <w:ind w:firstLine="280" w:firstLineChars="100"/>
        <w:rPr>
          <w:rFonts w:ascii="宋体"/>
          <w:sz w:val="28"/>
          <w:szCs w:val="28"/>
        </w:rPr>
      </w:pPr>
      <w:r>
        <w:rPr>
          <w:rFonts w:hint="eastAsia" w:ascii="宋体" w:hAnsi="宋体"/>
          <w:sz w:val="28"/>
          <w:szCs w:val="28"/>
        </w:rPr>
        <w:t>（二）负责辖区内质量宏观管理工作。拟订并组织实施质量发展规划和质量奖励制度，推进名牌发展战略，参与本辖区产品质量诚信体系建设工作，会同有关部门组织实施重大工程设备质量监理单位的监督管理事宜，按职责范围组织产品质量事故调查，监督管理产品防伪工作。</w:t>
      </w:r>
    </w:p>
    <w:p w14:paraId="218B09E9">
      <w:pPr>
        <w:adjustRightInd w:val="0"/>
        <w:snapToGrid w:val="0"/>
        <w:spacing w:line="700" w:lineRule="exact"/>
        <w:ind w:firstLine="420" w:firstLineChars="150"/>
        <w:rPr>
          <w:rFonts w:ascii="宋体"/>
          <w:sz w:val="28"/>
          <w:szCs w:val="28"/>
        </w:rPr>
      </w:pPr>
      <w:r>
        <w:rPr>
          <w:rFonts w:hint="eastAsia" w:ascii="宋体" w:hAnsi="宋体"/>
          <w:sz w:val="28"/>
          <w:szCs w:val="28"/>
        </w:rPr>
        <w:t>（三）负责本辖区产品质量监督工作。组织开展辖区内产品质量监督抽查工作，负责本辖区内工业产品生产许可证管理和纤维产品质量监督检验工作，承担产品质量仲裁检验，组织开展产品质量安全专项整治工作，依法查处产品质量违法行为，按分工打击假冒伪劣违法活动，组织协调辖区内有关专项打假活动。</w:t>
      </w:r>
    </w:p>
    <w:p w14:paraId="0CCB4A5A">
      <w:pPr>
        <w:adjustRightInd w:val="0"/>
        <w:snapToGrid w:val="0"/>
        <w:spacing w:line="700" w:lineRule="exact"/>
        <w:ind w:firstLine="280" w:firstLineChars="100"/>
        <w:rPr>
          <w:rFonts w:ascii="宋体"/>
          <w:sz w:val="28"/>
          <w:szCs w:val="28"/>
        </w:rPr>
      </w:pPr>
      <w:r>
        <w:rPr>
          <w:rFonts w:hint="eastAsia" w:ascii="宋体" w:hAnsi="宋体"/>
          <w:sz w:val="28"/>
          <w:szCs w:val="28"/>
        </w:rPr>
        <w:t>（四）负责监督管理标准化工作。贯彻国家和省标准化工作的法律、法规、方针、政策，并</w:t>
      </w:r>
      <w:r>
        <w:rPr>
          <w:rFonts w:hint="eastAsia" w:ascii="宋体" w:hAnsi="宋体"/>
          <w:sz w:val="28"/>
          <w:szCs w:val="28"/>
          <w:lang w:eastAsia="zh-CN"/>
        </w:rPr>
        <w:t>制订</w:t>
      </w:r>
      <w:r>
        <w:rPr>
          <w:rFonts w:hint="eastAsia" w:ascii="宋体" w:hAnsi="宋体"/>
          <w:sz w:val="28"/>
          <w:szCs w:val="28"/>
        </w:rPr>
        <w:t>具体实施办法；</w:t>
      </w:r>
      <w:r>
        <w:rPr>
          <w:rFonts w:hint="eastAsia" w:ascii="宋体" w:hAnsi="宋体"/>
          <w:sz w:val="28"/>
          <w:szCs w:val="28"/>
          <w:lang w:eastAsia="zh-CN"/>
        </w:rPr>
        <w:t>制订</w:t>
      </w:r>
      <w:r>
        <w:rPr>
          <w:rFonts w:hint="eastAsia" w:ascii="宋体" w:hAnsi="宋体"/>
          <w:sz w:val="28"/>
          <w:szCs w:val="28"/>
        </w:rPr>
        <w:t>标准化工作的规划、计划，对标准实施情况进行监督；指导有关行政主管部门的标准化工作；组织</w:t>
      </w:r>
      <w:r>
        <w:rPr>
          <w:rFonts w:hint="eastAsia" w:ascii="宋体" w:hAnsi="宋体"/>
          <w:sz w:val="28"/>
          <w:szCs w:val="28"/>
          <w:lang w:eastAsia="zh-CN"/>
        </w:rPr>
        <w:t>制订</w:t>
      </w:r>
      <w:r>
        <w:rPr>
          <w:rFonts w:hint="eastAsia" w:ascii="宋体" w:hAnsi="宋体"/>
          <w:sz w:val="28"/>
          <w:szCs w:val="28"/>
        </w:rPr>
        <w:t>有关标准；管理企业产品标准备案，监督企业按标准组织生产；管理辖区内商品条形码工作。</w:t>
      </w:r>
    </w:p>
    <w:p w14:paraId="2F94D02B">
      <w:pPr>
        <w:adjustRightInd w:val="0"/>
        <w:snapToGrid w:val="0"/>
        <w:spacing w:line="700" w:lineRule="exact"/>
        <w:ind w:firstLine="280" w:firstLineChars="100"/>
        <w:rPr>
          <w:rFonts w:ascii="宋体"/>
          <w:sz w:val="28"/>
          <w:szCs w:val="28"/>
        </w:rPr>
      </w:pPr>
      <w:r>
        <w:rPr>
          <w:rFonts w:hint="eastAsia" w:ascii="宋体" w:hAnsi="宋体"/>
          <w:sz w:val="28"/>
          <w:szCs w:val="28"/>
        </w:rPr>
        <w:t>（五）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2E65F1F1">
      <w:pPr>
        <w:adjustRightInd w:val="0"/>
        <w:snapToGrid w:val="0"/>
        <w:spacing w:line="700" w:lineRule="exact"/>
        <w:ind w:firstLine="280" w:firstLineChars="100"/>
        <w:rPr>
          <w:rFonts w:ascii="宋体"/>
          <w:sz w:val="28"/>
          <w:szCs w:val="28"/>
        </w:rPr>
      </w:pPr>
      <w:r>
        <w:rPr>
          <w:rFonts w:hint="eastAsia" w:ascii="宋体" w:hAnsi="宋体"/>
          <w:sz w:val="28"/>
          <w:szCs w:val="28"/>
        </w:rPr>
        <w:t>（六）负责认证认可工作。依法费本辖区内实验室和检查机构进行监督管理，对认证认可相关的社会中介服务机构实施监督管理，协调和监督强制性的认证和资源认证工作，引导企业按照国际惯例进行各种认证。</w:t>
      </w:r>
    </w:p>
    <w:p w14:paraId="58BB92C6">
      <w:pPr>
        <w:adjustRightInd w:val="0"/>
        <w:snapToGrid w:val="0"/>
        <w:spacing w:line="700" w:lineRule="exact"/>
        <w:ind w:firstLine="280" w:firstLineChars="100"/>
        <w:rPr>
          <w:rFonts w:ascii="宋体"/>
          <w:sz w:val="28"/>
          <w:szCs w:val="28"/>
        </w:rPr>
      </w:pPr>
      <w:r>
        <w:rPr>
          <w:rFonts w:hint="eastAsia" w:ascii="宋体" w:hAnsi="宋体"/>
          <w:sz w:val="28"/>
          <w:szCs w:val="28"/>
        </w:rPr>
        <w:t>（七）承担本辖区特种设备安全监督管理工作，监督检查高耗能特种设备节能标准的执行情况。</w:t>
      </w:r>
    </w:p>
    <w:p w14:paraId="221BBB6D">
      <w:pPr>
        <w:adjustRightInd w:val="0"/>
        <w:snapToGrid w:val="0"/>
        <w:spacing w:line="700" w:lineRule="exact"/>
        <w:ind w:firstLine="280" w:firstLineChars="100"/>
        <w:rPr>
          <w:rFonts w:ascii="宋体"/>
          <w:sz w:val="28"/>
          <w:szCs w:val="28"/>
        </w:rPr>
      </w:pPr>
      <w:r>
        <w:rPr>
          <w:rFonts w:hint="eastAsia" w:ascii="宋体" w:hAnsi="宋体"/>
          <w:sz w:val="28"/>
          <w:szCs w:val="28"/>
        </w:rPr>
        <w:t>（八）</w:t>
      </w:r>
      <w:r>
        <w:rPr>
          <w:rFonts w:hint="eastAsia" w:ascii="宋体" w:hAnsi="宋体"/>
          <w:sz w:val="28"/>
          <w:szCs w:val="28"/>
          <w:lang w:eastAsia="zh-CN"/>
        </w:rPr>
        <w:t>制订</w:t>
      </w:r>
      <w:r>
        <w:rPr>
          <w:rFonts w:hint="eastAsia" w:ascii="宋体" w:hAnsi="宋体"/>
          <w:sz w:val="28"/>
          <w:szCs w:val="28"/>
        </w:rPr>
        <w:t>质量技术监督和科技发展和技术机构建设规划，组织有关科研和技术引进工作。</w:t>
      </w:r>
    </w:p>
    <w:p w14:paraId="248AA65F">
      <w:pPr>
        <w:adjustRightInd w:val="0"/>
        <w:snapToGrid w:val="0"/>
        <w:spacing w:line="700" w:lineRule="exact"/>
        <w:ind w:firstLine="280" w:firstLineChars="100"/>
        <w:rPr>
          <w:rFonts w:ascii="宋体"/>
          <w:sz w:val="28"/>
          <w:szCs w:val="28"/>
        </w:rPr>
      </w:pPr>
      <w:r>
        <w:rPr>
          <w:rFonts w:hint="eastAsia" w:ascii="宋体" w:hAnsi="宋体"/>
          <w:sz w:val="28"/>
          <w:szCs w:val="28"/>
        </w:rPr>
        <w:t>（九）承办区政府交办的其他事项。</w:t>
      </w:r>
    </w:p>
    <w:p w14:paraId="39353156">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二、部门决算单位构成</w:t>
      </w:r>
    </w:p>
    <w:p w14:paraId="49D44976">
      <w:pPr>
        <w:adjustRightInd w:val="0"/>
        <w:snapToGrid w:val="0"/>
        <w:spacing w:line="600" w:lineRule="exact"/>
        <w:ind w:firstLine="560" w:firstLineChars="200"/>
        <w:rPr>
          <w:snapToGrid w:val="0"/>
          <w:kern w:val="0"/>
          <w:sz w:val="28"/>
          <w:szCs w:val="28"/>
        </w:rPr>
      </w:pPr>
      <w:r>
        <w:rPr>
          <w:rFonts w:hint="eastAsia"/>
          <w:snapToGrid w:val="0"/>
          <w:kern w:val="0"/>
          <w:sz w:val="28"/>
          <w:szCs w:val="28"/>
        </w:rPr>
        <w:t>根据上述职责，我单位独立核算机构</w:t>
      </w:r>
      <w:r>
        <w:rPr>
          <w:snapToGrid w:val="0"/>
          <w:kern w:val="0"/>
          <w:sz w:val="28"/>
          <w:szCs w:val="28"/>
        </w:rPr>
        <w:t>2</w:t>
      </w:r>
      <w:r>
        <w:rPr>
          <w:rFonts w:hint="eastAsia"/>
          <w:snapToGrid w:val="0"/>
          <w:kern w:val="0"/>
          <w:sz w:val="28"/>
          <w:szCs w:val="28"/>
        </w:rPr>
        <w:t>个。其中局机关内设</w:t>
      </w:r>
      <w:r>
        <w:rPr>
          <w:snapToGrid w:val="0"/>
          <w:kern w:val="0"/>
          <w:sz w:val="28"/>
          <w:szCs w:val="28"/>
        </w:rPr>
        <w:t>6</w:t>
      </w:r>
      <w:r>
        <w:rPr>
          <w:rFonts w:hint="eastAsia"/>
          <w:snapToGrid w:val="0"/>
          <w:kern w:val="0"/>
          <w:sz w:val="28"/>
          <w:szCs w:val="28"/>
        </w:rPr>
        <w:t>个机构，分别是综合管理股、质量管理股、计量标准股、质量管理股、特种设备安全监察股、稽查队；下属事业单位</w:t>
      </w:r>
      <w:r>
        <w:rPr>
          <w:snapToGrid w:val="0"/>
          <w:kern w:val="0"/>
          <w:sz w:val="28"/>
          <w:szCs w:val="28"/>
        </w:rPr>
        <w:t>1</w:t>
      </w:r>
      <w:r>
        <w:rPr>
          <w:rFonts w:hint="eastAsia"/>
          <w:snapToGrid w:val="0"/>
          <w:kern w:val="0"/>
          <w:sz w:val="28"/>
          <w:szCs w:val="28"/>
        </w:rPr>
        <w:t>个，保定市徐水区质量技术监督检验所。</w:t>
      </w:r>
    </w:p>
    <w:p w14:paraId="2163DD12">
      <w:pPr>
        <w:adjustRightInd w:val="0"/>
        <w:snapToGrid w:val="0"/>
        <w:spacing w:line="600" w:lineRule="exact"/>
        <w:ind w:firstLine="560" w:firstLineChars="200"/>
        <w:rPr>
          <w:snapToGrid w:val="0"/>
          <w:kern w:val="0"/>
          <w:sz w:val="28"/>
          <w:szCs w:val="28"/>
        </w:rPr>
      </w:pPr>
      <w:r>
        <w:rPr>
          <w:rFonts w:hint="eastAsia"/>
          <w:snapToGrid w:val="0"/>
          <w:kern w:val="0"/>
          <w:sz w:val="28"/>
          <w:szCs w:val="28"/>
        </w:rPr>
        <w:t>年末实有人数</w:t>
      </w:r>
      <w:r>
        <w:rPr>
          <w:snapToGrid w:val="0"/>
          <w:kern w:val="0"/>
          <w:sz w:val="28"/>
          <w:szCs w:val="28"/>
        </w:rPr>
        <w:t>83</w:t>
      </w:r>
      <w:r>
        <w:rPr>
          <w:rFonts w:hint="eastAsia"/>
          <w:snapToGrid w:val="0"/>
          <w:kern w:val="0"/>
          <w:sz w:val="28"/>
          <w:szCs w:val="28"/>
        </w:rPr>
        <w:t>人，其中在职人员</w:t>
      </w:r>
      <w:r>
        <w:rPr>
          <w:snapToGrid w:val="0"/>
          <w:kern w:val="0"/>
          <w:sz w:val="28"/>
          <w:szCs w:val="28"/>
        </w:rPr>
        <w:t>76</w:t>
      </w:r>
      <w:r>
        <w:rPr>
          <w:rFonts w:hint="eastAsia"/>
          <w:snapToGrid w:val="0"/>
          <w:kern w:val="0"/>
          <w:sz w:val="28"/>
          <w:szCs w:val="28"/>
        </w:rPr>
        <w:t>人，离休人员</w:t>
      </w:r>
      <w:r>
        <w:rPr>
          <w:snapToGrid w:val="0"/>
          <w:kern w:val="0"/>
          <w:sz w:val="28"/>
          <w:szCs w:val="28"/>
        </w:rPr>
        <w:t>0</w:t>
      </w:r>
      <w:r>
        <w:rPr>
          <w:rFonts w:hint="eastAsia"/>
          <w:snapToGrid w:val="0"/>
          <w:kern w:val="0"/>
          <w:sz w:val="28"/>
          <w:szCs w:val="28"/>
        </w:rPr>
        <w:t>人，退休人员</w:t>
      </w:r>
      <w:r>
        <w:rPr>
          <w:snapToGrid w:val="0"/>
          <w:kern w:val="0"/>
          <w:sz w:val="28"/>
          <w:szCs w:val="28"/>
        </w:rPr>
        <w:t>7</w:t>
      </w:r>
      <w:r>
        <w:rPr>
          <w:rFonts w:hint="eastAsia"/>
          <w:snapToGrid w:val="0"/>
          <w:kern w:val="0"/>
          <w:sz w:val="28"/>
          <w:szCs w:val="28"/>
        </w:rPr>
        <w:t>人。</w:t>
      </w:r>
    </w:p>
    <w:p w14:paraId="23DCFDF0">
      <w:pPr>
        <w:jc w:val="center"/>
        <w:rPr>
          <w:b/>
          <w:sz w:val="44"/>
          <w:szCs w:val="44"/>
        </w:rPr>
      </w:pPr>
      <w:r>
        <w:rPr>
          <w:rFonts w:hint="eastAsia"/>
          <w:b/>
          <w:sz w:val="44"/>
          <w:szCs w:val="44"/>
        </w:rPr>
        <w:t>第二部分保定市徐水区质量技术监督局部门</w:t>
      </w:r>
      <w:r>
        <w:rPr>
          <w:b/>
          <w:sz w:val="44"/>
          <w:szCs w:val="44"/>
        </w:rPr>
        <w:t>2017</w:t>
      </w:r>
      <w:r>
        <w:rPr>
          <w:rFonts w:hint="eastAsia"/>
          <w:b/>
          <w:sz w:val="44"/>
          <w:szCs w:val="44"/>
        </w:rPr>
        <w:t>年部门决算情况说明</w:t>
      </w:r>
    </w:p>
    <w:p w14:paraId="3E961E1C">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一、收入支出决算总体情况说明</w:t>
      </w:r>
    </w:p>
    <w:p w14:paraId="2132DFAF">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年本年收入总计</w:t>
      </w:r>
      <w:r>
        <w:rPr>
          <w:snapToGrid w:val="0"/>
          <w:kern w:val="0"/>
          <w:sz w:val="28"/>
          <w:szCs w:val="28"/>
        </w:rPr>
        <w:t>1827.33</w:t>
      </w:r>
      <w:r>
        <w:rPr>
          <w:rFonts w:hint="eastAsia"/>
          <w:snapToGrid w:val="0"/>
          <w:kern w:val="0"/>
          <w:sz w:val="28"/>
          <w:szCs w:val="28"/>
        </w:rPr>
        <w:t>万元，较上年增长</w:t>
      </w:r>
      <w:r>
        <w:rPr>
          <w:snapToGrid w:val="0"/>
          <w:kern w:val="0"/>
          <w:sz w:val="28"/>
          <w:szCs w:val="28"/>
        </w:rPr>
        <w:t>37.8%</w:t>
      </w:r>
      <w:r>
        <w:rPr>
          <w:rFonts w:hint="eastAsia"/>
          <w:snapToGrid w:val="0"/>
          <w:kern w:val="0"/>
          <w:sz w:val="28"/>
          <w:szCs w:val="28"/>
        </w:rPr>
        <w:t>，增收</w:t>
      </w:r>
      <w:r>
        <w:rPr>
          <w:snapToGrid w:val="0"/>
          <w:kern w:val="0"/>
          <w:sz w:val="28"/>
          <w:szCs w:val="28"/>
        </w:rPr>
        <w:t>501.22</w:t>
      </w:r>
      <w:r>
        <w:rPr>
          <w:rFonts w:hint="eastAsia"/>
          <w:snapToGrid w:val="0"/>
          <w:kern w:val="0"/>
          <w:sz w:val="28"/>
          <w:szCs w:val="28"/>
        </w:rPr>
        <w:t>万元，原因：本年度专用设备购置经费增加，精神文明奖和绩效奖额度提高，人员经费增加；本年支出总计</w:t>
      </w:r>
      <w:r>
        <w:rPr>
          <w:snapToGrid w:val="0"/>
          <w:kern w:val="0"/>
          <w:sz w:val="28"/>
          <w:szCs w:val="28"/>
        </w:rPr>
        <w:t>1637.12</w:t>
      </w:r>
      <w:r>
        <w:rPr>
          <w:rFonts w:hint="eastAsia"/>
          <w:snapToGrid w:val="0"/>
          <w:kern w:val="0"/>
          <w:sz w:val="28"/>
          <w:szCs w:val="28"/>
        </w:rPr>
        <w:t>万元，较上年增长</w:t>
      </w:r>
      <w:r>
        <w:rPr>
          <w:snapToGrid w:val="0"/>
          <w:kern w:val="0"/>
          <w:sz w:val="28"/>
          <w:szCs w:val="28"/>
        </w:rPr>
        <w:t>12.89%</w:t>
      </w:r>
      <w:r>
        <w:rPr>
          <w:rFonts w:hint="eastAsia"/>
          <w:snapToGrid w:val="0"/>
          <w:kern w:val="0"/>
          <w:sz w:val="28"/>
          <w:szCs w:val="28"/>
        </w:rPr>
        <w:t>，增支</w:t>
      </w:r>
      <w:r>
        <w:rPr>
          <w:snapToGrid w:val="0"/>
          <w:kern w:val="0"/>
          <w:sz w:val="28"/>
          <w:szCs w:val="28"/>
        </w:rPr>
        <w:t>186.93</w:t>
      </w:r>
      <w:r>
        <w:rPr>
          <w:rFonts w:hint="eastAsia"/>
          <w:snapToGrid w:val="0"/>
          <w:kern w:val="0"/>
          <w:sz w:val="28"/>
          <w:szCs w:val="28"/>
        </w:rPr>
        <w:t>万元，原因：专用设备购置经费增加；年末结转结余</w:t>
      </w:r>
      <w:r>
        <w:rPr>
          <w:snapToGrid w:val="0"/>
          <w:kern w:val="0"/>
          <w:sz w:val="28"/>
          <w:szCs w:val="28"/>
        </w:rPr>
        <w:t>270.19</w:t>
      </w:r>
      <w:r>
        <w:rPr>
          <w:rFonts w:hint="eastAsia"/>
          <w:snapToGrid w:val="0"/>
          <w:kern w:val="0"/>
          <w:sz w:val="28"/>
          <w:szCs w:val="28"/>
        </w:rPr>
        <w:t>万元。</w:t>
      </w:r>
    </w:p>
    <w:p w14:paraId="0B2A60CC">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二、收入决算情况说明</w:t>
      </w:r>
    </w:p>
    <w:p w14:paraId="75805012">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年度收入总计</w:t>
      </w:r>
      <w:r>
        <w:rPr>
          <w:snapToGrid w:val="0"/>
          <w:kern w:val="0"/>
          <w:sz w:val="28"/>
          <w:szCs w:val="28"/>
        </w:rPr>
        <w:t>1827.33</w:t>
      </w:r>
      <w:r>
        <w:rPr>
          <w:rFonts w:hint="eastAsia"/>
          <w:snapToGrid w:val="0"/>
          <w:kern w:val="0"/>
          <w:sz w:val="28"/>
          <w:szCs w:val="28"/>
        </w:rPr>
        <w:t>万元，其中财政拨款收入</w:t>
      </w:r>
      <w:r>
        <w:rPr>
          <w:snapToGrid w:val="0"/>
          <w:kern w:val="0"/>
          <w:sz w:val="28"/>
          <w:szCs w:val="28"/>
        </w:rPr>
        <w:t>1827.08</w:t>
      </w:r>
      <w:r>
        <w:rPr>
          <w:rFonts w:hint="eastAsia"/>
          <w:snapToGrid w:val="0"/>
          <w:kern w:val="0"/>
          <w:sz w:val="28"/>
          <w:szCs w:val="28"/>
        </w:rPr>
        <w:t>万元，较上年增长</w:t>
      </w:r>
      <w:r>
        <w:rPr>
          <w:snapToGrid w:val="0"/>
          <w:kern w:val="0"/>
          <w:sz w:val="28"/>
          <w:szCs w:val="28"/>
        </w:rPr>
        <w:t>37.78%</w:t>
      </w:r>
      <w:r>
        <w:rPr>
          <w:rFonts w:hint="eastAsia"/>
          <w:snapToGrid w:val="0"/>
          <w:kern w:val="0"/>
          <w:sz w:val="28"/>
          <w:szCs w:val="28"/>
        </w:rPr>
        <w:t>，增收</w:t>
      </w:r>
      <w:r>
        <w:rPr>
          <w:snapToGrid w:val="0"/>
          <w:kern w:val="0"/>
          <w:sz w:val="28"/>
          <w:szCs w:val="28"/>
        </w:rPr>
        <w:t>501.00</w:t>
      </w:r>
      <w:r>
        <w:rPr>
          <w:rFonts w:hint="eastAsia"/>
          <w:snapToGrid w:val="0"/>
          <w:kern w:val="0"/>
          <w:sz w:val="28"/>
          <w:szCs w:val="28"/>
        </w:rPr>
        <w:t>万元，主要原因：本年度专用设备购置经费增加，精神文明奖和绩效奖额度提高，人员经费增加；上级补助收入0万元，较上年增长0</w:t>
      </w:r>
      <w:r>
        <w:rPr>
          <w:snapToGrid w:val="0"/>
          <w:kern w:val="0"/>
          <w:sz w:val="28"/>
          <w:szCs w:val="28"/>
        </w:rPr>
        <w:t>%</w:t>
      </w:r>
      <w:r>
        <w:rPr>
          <w:rFonts w:hint="eastAsia"/>
          <w:snapToGrid w:val="0"/>
          <w:kern w:val="0"/>
          <w:sz w:val="28"/>
          <w:szCs w:val="28"/>
        </w:rPr>
        <w:t>，增收0万元，主要原因：无；事业收入0万元，较上年增长0</w:t>
      </w:r>
      <w:r>
        <w:rPr>
          <w:snapToGrid w:val="0"/>
          <w:kern w:val="0"/>
          <w:sz w:val="28"/>
          <w:szCs w:val="28"/>
        </w:rPr>
        <w:t>%</w:t>
      </w:r>
      <w:r>
        <w:rPr>
          <w:rFonts w:hint="eastAsia"/>
          <w:snapToGrid w:val="0"/>
          <w:kern w:val="0"/>
          <w:sz w:val="28"/>
          <w:szCs w:val="28"/>
        </w:rPr>
        <w:t>,增收0万元，主要原因：无；其他收入</w:t>
      </w:r>
      <w:r>
        <w:rPr>
          <w:snapToGrid w:val="0"/>
          <w:kern w:val="0"/>
          <w:sz w:val="28"/>
          <w:szCs w:val="28"/>
        </w:rPr>
        <w:t>0.25</w:t>
      </w:r>
      <w:r>
        <w:rPr>
          <w:rFonts w:hint="eastAsia"/>
          <w:snapToGrid w:val="0"/>
          <w:kern w:val="0"/>
          <w:sz w:val="28"/>
          <w:szCs w:val="28"/>
        </w:rPr>
        <w:t>万元，较上年增长</w:t>
      </w:r>
      <w:r>
        <w:rPr>
          <w:snapToGrid w:val="0"/>
          <w:kern w:val="0"/>
          <w:sz w:val="28"/>
          <w:szCs w:val="28"/>
        </w:rPr>
        <w:t>734.02%</w:t>
      </w:r>
      <w:r>
        <w:rPr>
          <w:rFonts w:hint="eastAsia"/>
          <w:snapToGrid w:val="0"/>
          <w:kern w:val="0"/>
          <w:sz w:val="28"/>
          <w:szCs w:val="28"/>
        </w:rPr>
        <w:t>，增收</w:t>
      </w:r>
      <w:r>
        <w:rPr>
          <w:snapToGrid w:val="0"/>
          <w:kern w:val="0"/>
          <w:sz w:val="28"/>
          <w:szCs w:val="28"/>
        </w:rPr>
        <w:t>0.22</w:t>
      </w:r>
      <w:r>
        <w:rPr>
          <w:rFonts w:hint="eastAsia"/>
          <w:snapToGrid w:val="0"/>
          <w:kern w:val="0"/>
          <w:sz w:val="28"/>
          <w:szCs w:val="28"/>
        </w:rPr>
        <w:t>万元，主要原因：银行利息收入增加。</w:t>
      </w:r>
    </w:p>
    <w:p w14:paraId="25403D8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三、支出决算情况说明</w:t>
      </w:r>
    </w:p>
    <w:p w14:paraId="4275FB69">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年度支出总计</w:t>
      </w:r>
      <w:r>
        <w:rPr>
          <w:snapToGrid w:val="0"/>
          <w:kern w:val="0"/>
          <w:sz w:val="28"/>
          <w:szCs w:val="28"/>
        </w:rPr>
        <w:t>1637.12</w:t>
      </w:r>
      <w:r>
        <w:rPr>
          <w:rFonts w:hint="eastAsia"/>
          <w:snapToGrid w:val="0"/>
          <w:kern w:val="0"/>
          <w:sz w:val="28"/>
          <w:szCs w:val="28"/>
        </w:rPr>
        <w:t>万元，其中基本支出</w:t>
      </w:r>
      <w:r>
        <w:rPr>
          <w:snapToGrid w:val="0"/>
          <w:kern w:val="0"/>
          <w:sz w:val="28"/>
          <w:szCs w:val="28"/>
        </w:rPr>
        <w:t>898.76</w:t>
      </w:r>
      <w:r>
        <w:rPr>
          <w:rFonts w:hint="eastAsia"/>
          <w:snapToGrid w:val="0"/>
          <w:kern w:val="0"/>
          <w:sz w:val="28"/>
          <w:szCs w:val="28"/>
        </w:rPr>
        <w:t>万元，占总支出</w:t>
      </w:r>
      <w:r>
        <w:rPr>
          <w:snapToGrid w:val="0"/>
          <w:kern w:val="0"/>
          <w:sz w:val="28"/>
          <w:szCs w:val="28"/>
        </w:rPr>
        <w:t>55%</w:t>
      </w:r>
      <w:r>
        <w:rPr>
          <w:rFonts w:hint="eastAsia"/>
          <w:snapToGrid w:val="0"/>
          <w:kern w:val="0"/>
          <w:sz w:val="28"/>
          <w:szCs w:val="28"/>
        </w:rPr>
        <w:t>；项目支出</w:t>
      </w:r>
      <w:r>
        <w:rPr>
          <w:snapToGrid w:val="0"/>
          <w:kern w:val="0"/>
          <w:sz w:val="28"/>
          <w:szCs w:val="28"/>
        </w:rPr>
        <w:t>738.36</w:t>
      </w:r>
      <w:r>
        <w:rPr>
          <w:rFonts w:hint="eastAsia"/>
          <w:snapToGrid w:val="0"/>
          <w:kern w:val="0"/>
          <w:sz w:val="28"/>
          <w:szCs w:val="28"/>
        </w:rPr>
        <w:t>万元，占总支出</w:t>
      </w:r>
      <w:r>
        <w:rPr>
          <w:snapToGrid w:val="0"/>
          <w:kern w:val="0"/>
          <w:sz w:val="28"/>
          <w:szCs w:val="28"/>
        </w:rPr>
        <w:t>45%</w:t>
      </w:r>
      <w:r>
        <w:rPr>
          <w:rFonts w:hint="eastAsia"/>
          <w:snapToGrid w:val="0"/>
          <w:kern w:val="0"/>
          <w:sz w:val="28"/>
          <w:szCs w:val="28"/>
        </w:rPr>
        <w:t>。</w:t>
      </w:r>
    </w:p>
    <w:p w14:paraId="6CE81113">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四、财政拨款收入支出决算总体情况说明</w:t>
      </w:r>
    </w:p>
    <w:p w14:paraId="4D1B9725">
      <w:pPr>
        <w:adjustRightInd w:val="0"/>
        <w:snapToGrid w:val="0"/>
        <w:spacing w:line="600" w:lineRule="exact"/>
        <w:ind w:left="210" w:leftChars="100" w:firstLine="420" w:firstLineChars="150"/>
        <w:rPr>
          <w:snapToGrid w:val="0"/>
          <w:kern w:val="0"/>
          <w:sz w:val="28"/>
          <w:szCs w:val="28"/>
        </w:rPr>
      </w:pP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年度财政拨款收入总计</w:t>
      </w:r>
      <w:r>
        <w:rPr>
          <w:snapToGrid w:val="0"/>
          <w:kern w:val="0"/>
          <w:sz w:val="28"/>
          <w:szCs w:val="28"/>
        </w:rPr>
        <w:t>1827.08</w:t>
      </w:r>
      <w:r>
        <w:rPr>
          <w:rFonts w:hint="eastAsia"/>
          <w:snapToGrid w:val="0"/>
          <w:kern w:val="0"/>
          <w:sz w:val="28"/>
          <w:szCs w:val="28"/>
        </w:rPr>
        <w:t>万元，年初预算数为1199.14万元，占年初预算数的152.37%，主要原因：检验专用设备购置调增481万元，精神文明奖及目标绩效奖等人员经费增加。上年决算数为1326.08万元，较上年增长</w:t>
      </w:r>
      <w:r>
        <w:rPr>
          <w:snapToGrid w:val="0"/>
          <w:kern w:val="0"/>
          <w:sz w:val="28"/>
          <w:szCs w:val="28"/>
        </w:rPr>
        <w:t>37.78%</w:t>
      </w:r>
      <w:r>
        <w:rPr>
          <w:rFonts w:hint="eastAsia"/>
          <w:snapToGrid w:val="0"/>
          <w:kern w:val="0"/>
          <w:sz w:val="28"/>
          <w:szCs w:val="28"/>
        </w:rPr>
        <w:t>，增收</w:t>
      </w:r>
      <w:r>
        <w:rPr>
          <w:snapToGrid w:val="0"/>
          <w:kern w:val="0"/>
          <w:sz w:val="28"/>
          <w:szCs w:val="28"/>
        </w:rPr>
        <w:t>501</w:t>
      </w:r>
      <w:r>
        <w:rPr>
          <w:rFonts w:hint="eastAsia"/>
          <w:snapToGrid w:val="0"/>
          <w:kern w:val="0"/>
          <w:sz w:val="28"/>
          <w:szCs w:val="28"/>
        </w:rPr>
        <w:t>万元；主要原因：购置专用设备经费和人员经费增加。</w:t>
      </w:r>
    </w:p>
    <w:p w14:paraId="153B39B5">
      <w:pPr>
        <w:adjustRightInd w:val="0"/>
        <w:snapToGrid w:val="0"/>
        <w:spacing w:line="600" w:lineRule="exact"/>
        <w:ind w:left="210" w:leftChars="100" w:firstLine="420" w:firstLineChars="150"/>
        <w:rPr>
          <w:snapToGrid w:val="0"/>
          <w:kern w:val="0"/>
          <w:sz w:val="28"/>
          <w:szCs w:val="28"/>
        </w:rPr>
      </w:pPr>
      <w:r>
        <w:rPr>
          <w:rFonts w:hint="eastAsia"/>
          <w:snapToGrid w:val="0"/>
          <w:kern w:val="0"/>
          <w:sz w:val="28"/>
          <w:szCs w:val="28"/>
        </w:rPr>
        <w:t>财政拨款支出总计</w:t>
      </w:r>
      <w:r>
        <w:rPr>
          <w:snapToGrid w:val="0"/>
          <w:kern w:val="0"/>
          <w:sz w:val="28"/>
          <w:szCs w:val="28"/>
        </w:rPr>
        <w:t>1636.87</w:t>
      </w:r>
      <w:r>
        <w:rPr>
          <w:rFonts w:hint="eastAsia"/>
          <w:snapToGrid w:val="0"/>
          <w:kern w:val="0"/>
          <w:sz w:val="28"/>
          <w:szCs w:val="28"/>
        </w:rPr>
        <w:t>万元，年初预算数为1199.14万元，占年初预算数的136.5%，主要原因：购置专用设备经费和人员经费支出。上年决算数为1326.11万元，增加较上年增长</w:t>
      </w:r>
      <w:r>
        <w:rPr>
          <w:snapToGrid w:val="0"/>
          <w:kern w:val="0"/>
          <w:sz w:val="28"/>
          <w:szCs w:val="28"/>
        </w:rPr>
        <w:t>12.86%</w:t>
      </w:r>
      <w:r>
        <w:rPr>
          <w:rFonts w:hint="eastAsia"/>
          <w:snapToGrid w:val="0"/>
          <w:kern w:val="0"/>
          <w:sz w:val="28"/>
          <w:szCs w:val="28"/>
        </w:rPr>
        <w:t>，增支</w:t>
      </w:r>
      <w:r>
        <w:rPr>
          <w:snapToGrid w:val="0"/>
          <w:kern w:val="0"/>
          <w:sz w:val="28"/>
          <w:szCs w:val="28"/>
        </w:rPr>
        <w:t>186.71</w:t>
      </w:r>
      <w:r>
        <w:rPr>
          <w:rFonts w:hint="eastAsia"/>
          <w:snapToGrid w:val="0"/>
          <w:kern w:val="0"/>
          <w:sz w:val="28"/>
          <w:szCs w:val="28"/>
        </w:rPr>
        <w:t>万元，主要原因是：检验专用设备购置增加。</w:t>
      </w:r>
    </w:p>
    <w:p w14:paraId="5E5BF12B">
      <w:pPr>
        <w:adjustRightInd w:val="0"/>
        <w:snapToGrid w:val="0"/>
        <w:spacing w:line="600" w:lineRule="exact"/>
        <w:ind w:left="210" w:leftChars="100" w:firstLine="420" w:firstLineChars="150"/>
        <w:rPr>
          <w:snapToGrid w:val="0"/>
          <w:kern w:val="0"/>
          <w:sz w:val="28"/>
          <w:szCs w:val="28"/>
        </w:rPr>
      </w:pPr>
      <w:r>
        <w:rPr>
          <w:rFonts w:hint="eastAsia"/>
          <w:snapToGrid w:val="0"/>
          <w:kern w:val="0"/>
          <w:sz w:val="28"/>
          <w:szCs w:val="28"/>
        </w:rPr>
        <w:t>本部门年末财政拨款结转结余</w:t>
      </w:r>
      <w:r>
        <w:rPr>
          <w:snapToGrid w:val="0"/>
          <w:kern w:val="0"/>
          <w:sz w:val="28"/>
          <w:szCs w:val="28"/>
        </w:rPr>
        <w:t>270.19</w:t>
      </w:r>
      <w:r>
        <w:rPr>
          <w:rFonts w:hint="eastAsia"/>
          <w:snapToGrid w:val="0"/>
          <w:kern w:val="0"/>
          <w:sz w:val="28"/>
          <w:szCs w:val="28"/>
        </w:rPr>
        <w:t>万元。</w:t>
      </w:r>
    </w:p>
    <w:p w14:paraId="12562F07">
      <w:pPr>
        <w:adjustRightInd w:val="0"/>
        <w:snapToGrid w:val="0"/>
        <w:spacing w:line="600" w:lineRule="exact"/>
        <w:ind w:firstLine="560" w:firstLineChars="200"/>
        <w:rPr>
          <w:snapToGrid w:val="0"/>
          <w:kern w:val="0"/>
          <w:sz w:val="28"/>
          <w:szCs w:val="28"/>
        </w:rPr>
      </w:pPr>
      <w:r>
        <w:rPr>
          <w:snapToGrid w:val="0"/>
          <w:kern w:val="0"/>
          <w:sz w:val="28"/>
          <w:szCs w:val="28"/>
        </w:rPr>
        <w:t>2017</w:t>
      </w:r>
      <w:r>
        <w:rPr>
          <w:rFonts w:hint="eastAsia"/>
          <w:snapToGrid w:val="0"/>
          <w:kern w:val="0"/>
          <w:sz w:val="28"/>
          <w:szCs w:val="28"/>
        </w:rPr>
        <w:t>年财政拨款支出年初预算数为</w:t>
      </w:r>
      <w:r>
        <w:rPr>
          <w:snapToGrid w:val="0"/>
          <w:kern w:val="0"/>
          <w:sz w:val="28"/>
          <w:szCs w:val="28"/>
        </w:rPr>
        <w:t>1199.14</w:t>
      </w:r>
      <w:r>
        <w:rPr>
          <w:rFonts w:hint="eastAsia"/>
          <w:snapToGrid w:val="0"/>
          <w:kern w:val="0"/>
          <w:sz w:val="28"/>
          <w:szCs w:val="28"/>
        </w:rPr>
        <w:t>万元，本年支出决算数为</w:t>
      </w:r>
      <w:r>
        <w:rPr>
          <w:snapToGrid w:val="0"/>
          <w:kern w:val="0"/>
          <w:sz w:val="28"/>
          <w:szCs w:val="28"/>
        </w:rPr>
        <w:t>1637.12</w:t>
      </w:r>
      <w:r>
        <w:rPr>
          <w:rFonts w:hint="eastAsia"/>
          <w:snapToGrid w:val="0"/>
          <w:kern w:val="0"/>
          <w:sz w:val="28"/>
          <w:szCs w:val="28"/>
        </w:rPr>
        <w:t>万元，占年初预算数的</w:t>
      </w:r>
      <w:r>
        <w:rPr>
          <w:snapToGrid w:val="0"/>
          <w:kern w:val="0"/>
          <w:sz w:val="28"/>
          <w:szCs w:val="28"/>
        </w:rPr>
        <w:t>136.52%</w:t>
      </w:r>
      <w:r>
        <w:rPr>
          <w:rFonts w:hint="eastAsia"/>
          <w:snapToGrid w:val="0"/>
          <w:kern w:val="0"/>
          <w:sz w:val="28"/>
          <w:szCs w:val="28"/>
        </w:rPr>
        <w:t>，主要原因：专用设备购置经费调增，发放物业补贴和通讯补贴，经费增加。</w:t>
      </w:r>
    </w:p>
    <w:p w14:paraId="056C0186">
      <w:pPr>
        <w:adjustRightInd w:val="0"/>
        <w:snapToGrid w:val="0"/>
        <w:spacing w:line="600" w:lineRule="exact"/>
        <w:ind w:firstLine="560" w:firstLineChars="200"/>
        <w:rPr>
          <w:rFonts w:hint="eastAsia"/>
          <w:snapToGrid w:val="0"/>
          <w:kern w:val="0"/>
          <w:sz w:val="28"/>
          <w:szCs w:val="28"/>
        </w:rPr>
      </w:pPr>
      <w:r>
        <w:rPr>
          <w:rFonts w:hint="eastAsia"/>
          <w:snapToGrid w:val="0"/>
          <w:kern w:val="0"/>
          <w:sz w:val="28"/>
          <w:szCs w:val="28"/>
        </w:rPr>
        <w:t>我单位无国有资本经营、政府性基金口径预算收支。</w:t>
      </w:r>
    </w:p>
    <w:p w14:paraId="0FD3C48F">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五、一般公共预算财政拨款“三公”经费支出决算情况说明</w:t>
      </w:r>
    </w:p>
    <w:p w14:paraId="25038127">
      <w:pPr>
        <w:adjustRightInd w:val="0"/>
        <w:snapToGrid w:val="0"/>
        <w:spacing w:line="560" w:lineRule="exact"/>
        <w:ind w:firstLine="560" w:firstLineChars="200"/>
        <w:rPr>
          <w:snapToGrid w:val="0"/>
          <w:kern w:val="0"/>
          <w:sz w:val="28"/>
          <w:szCs w:val="28"/>
        </w:rPr>
      </w:pPr>
      <w:r>
        <w:rPr>
          <w:snapToGrid w:val="0"/>
          <w:kern w:val="0"/>
          <w:sz w:val="28"/>
          <w:szCs w:val="28"/>
        </w:rPr>
        <w:t>2017</w:t>
      </w:r>
      <w:r>
        <w:rPr>
          <w:rFonts w:hint="eastAsia"/>
          <w:snapToGrid w:val="0"/>
          <w:kern w:val="0"/>
          <w:sz w:val="28"/>
          <w:szCs w:val="28"/>
        </w:rPr>
        <w:t>年，在做好各项工作的前提下，节省各项开支，尤其严格控制“三公”经费的支出，全年一般公共预算财政拨款“三公”经费支出合计</w:t>
      </w:r>
      <w:r>
        <w:rPr>
          <w:snapToGrid w:val="0"/>
          <w:kern w:val="0"/>
          <w:sz w:val="28"/>
          <w:szCs w:val="28"/>
        </w:rPr>
        <w:t>29.25</w:t>
      </w:r>
      <w:r>
        <w:rPr>
          <w:rFonts w:hint="eastAsia"/>
          <w:snapToGrid w:val="0"/>
          <w:kern w:val="0"/>
          <w:sz w:val="28"/>
          <w:szCs w:val="28"/>
        </w:rPr>
        <w:t>万元，较</w:t>
      </w:r>
      <w:r>
        <w:rPr>
          <w:snapToGrid w:val="0"/>
          <w:kern w:val="0"/>
          <w:sz w:val="28"/>
          <w:szCs w:val="28"/>
        </w:rPr>
        <w:t>2016</w:t>
      </w:r>
      <w:r>
        <w:rPr>
          <w:rFonts w:hint="eastAsia"/>
          <w:snapToGrid w:val="0"/>
          <w:kern w:val="0"/>
          <w:sz w:val="28"/>
          <w:szCs w:val="28"/>
        </w:rPr>
        <w:t>年减少</w:t>
      </w:r>
      <w:r>
        <w:rPr>
          <w:snapToGrid w:val="0"/>
          <w:kern w:val="0"/>
          <w:sz w:val="28"/>
          <w:szCs w:val="28"/>
        </w:rPr>
        <w:t>16.66</w:t>
      </w:r>
      <w:r>
        <w:rPr>
          <w:rFonts w:hint="eastAsia"/>
          <w:snapToGrid w:val="0"/>
          <w:kern w:val="0"/>
          <w:sz w:val="28"/>
          <w:szCs w:val="28"/>
        </w:rPr>
        <w:t>万元，减少</w:t>
      </w:r>
      <w:r>
        <w:rPr>
          <w:snapToGrid w:val="0"/>
          <w:kern w:val="0"/>
          <w:sz w:val="28"/>
          <w:szCs w:val="28"/>
        </w:rPr>
        <w:t>36.29%</w:t>
      </w:r>
      <w:r>
        <w:rPr>
          <w:rFonts w:hint="eastAsia"/>
          <w:snapToGrid w:val="0"/>
          <w:kern w:val="0"/>
          <w:sz w:val="28"/>
          <w:szCs w:val="28"/>
        </w:rPr>
        <w:t>。</w:t>
      </w:r>
    </w:p>
    <w:p w14:paraId="5C67B634">
      <w:pPr>
        <w:adjustRightInd w:val="0"/>
        <w:snapToGrid w:val="0"/>
        <w:spacing w:line="56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年因公出国（境）费本年支出</w:t>
      </w:r>
      <w:r>
        <w:rPr>
          <w:snapToGrid w:val="0"/>
          <w:kern w:val="0"/>
          <w:sz w:val="28"/>
          <w:szCs w:val="28"/>
        </w:rPr>
        <w:t>0</w:t>
      </w:r>
      <w:r>
        <w:rPr>
          <w:rFonts w:hint="eastAsia"/>
          <w:snapToGrid w:val="0"/>
          <w:kern w:val="0"/>
          <w:sz w:val="28"/>
          <w:szCs w:val="28"/>
        </w:rPr>
        <w:t>万元，较预算压减</w:t>
      </w:r>
      <w:r>
        <w:rPr>
          <w:snapToGrid w:val="0"/>
          <w:kern w:val="0"/>
          <w:sz w:val="28"/>
          <w:szCs w:val="28"/>
        </w:rPr>
        <w:t>0</w:t>
      </w:r>
      <w:r>
        <w:rPr>
          <w:rFonts w:hint="eastAsia"/>
          <w:snapToGrid w:val="0"/>
          <w:kern w:val="0"/>
          <w:sz w:val="28"/>
          <w:szCs w:val="28"/>
        </w:rPr>
        <w:t>万元，与</w:t>
      </w:r>
      <w:r>
        <w:rPr>
          <w:snapToGrid w:val="0"/>
          <w:kern w:val="0"/>
          <w:sz w:val="28"/>
          <w:szCs w:val="28"/>
        </w:rPr>
        <w:t>2016</w:t>
      </w:r>
      <w:r>
        <w:rPr>
          <w:rFonts w:hint="eastAsia"/>
          <w:snapToGrid w:val="0"/>
          <w:kern w:val="0"/>
          <w:sz w:val="28"/>
          <w:szCs w:val="28"/>
        </w:rPr>
        <w:t>年持平，主要原因：无。因公出国（境）团组0个，因公出国（境）人次数0个。</w:t>
      </w:r>
    </w:p>
    <w:p w14:paraId="771DF5AE">
      <w:pPr>
        <w:adjustRightInd w:val="0"/>
        <w:snapToGrid w:val="0"/>
        <w:spacing w:line="600" w:lineRule="exact"/>
        <w:ind w:firstLine="420" w:firstLineChars="150"/>
        <w:rPr>
          <w:snapToGrid w:val="0"/>
          <w:kern w:val="0"/>
          <w:sz w:val="28"/>
          <w:szCs w:val="28"/>
        </w:rPr>
      </w:pPr>
      <w:r>
        <w:rPr>
          <w:snapToGrid w:val="0"/>
          <w:kern w:val="0"/>
          <w:sz w:val="28"/>
          <w:szCs w:val="28"/>
        </w:rPr>
        <w:t>2</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年度公务用车购置及运行维护费本年支出</w:t>
      </w:r>
      <w:r>
        <w:rPr>
          <w:snapToGrid w:val="0"/>
          <w:kern w:val="0"/>
          <w:sz w:val="28"/>
          <w:szCs w:val="28"/>
        </w:rPr>
        <w:t>28.99</w:t>
      </w:r>
      <w:r>
        <w:rPr>
          <w:rFonts w:hint="eastAsia"/>
          <w:snapToGrid w:val="0"/>
          <w:kern w:val="0"/>
          <w:sz w:val="28"/>
          <w:szCs w:val="28"/>
        </w:rPr>
        <w:t>万元。（</w:t>
      </w:r>
      <w:r>
        <w:rPr>
          <w:snapToGrid w:val="0"/>
          <w:kern w:val="0"/>
          <w:sz w:val="28"/>
          <w:szCs w:val="28"/>
        </w:rPr>
        <w:t>2017</w:t>
      </w:r>
      <w:r>
        <w:rPr>
          <w:rFonts w:hint="eastAsia"/>
          <w:snapToGrid w:val="0"/>
          <w:kern w:val="0"/>
          <w:sz w:val="28"/>
          <w:szCs w:val="28"/>
        </w:rPr>
        <w:t>年度末购置公务用车</w:t>
      </w:r>
      <w:r>
        <w:rPr>
          <w:snapToGrid w:val="0"/>
          <w:kern w:val="0"/>
          <w:sz w:val="28"/>
          <w:szCs w:val="28"/>
        </w:rPr>
        <w:t>0</w:t>
      </w:r>
      <w:r>
        <w:rPr>
          <w:rFonts w:hint="eastAsia"/>
          <w:snapToGrid w:val="0"/>
          <w:kern w:val="0"/>
          <w:sz w:val="28"/>
          <w:szCs w:val="28"/>
        </w:rPr>
        <w:t>辆，年末公务用车保有量</w:t>
      </w:r>
      <w:r>
        <w:rPr>
          <w:snapToGrid w:val="0"/>
          <w:kern w:val="0"/>
          <w:sz w:val="28"/>
          <w:szCs w:val="28"/>
        </w:rPr>
        <w:t>17</w:t>
      </w:r>
      <w:r>
        <w:rPr>
          <w:rFonts w:hint="eastAsia"/>
          <w:snapToGrid w:val="0"/>
          <w:kern w:val="0"/>
          <w:sz w:val="28"/>
          <w:szCs w:val="28"/>
        </w:rPr>
        <w:t>辆。）</w:t>
      </w:r>
    </w:p>
    <w:p w14:paraId="04BF8780">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万元；较预算压减</w:t>
      </w:r>
      <w:r>
        <w:rPr>
          <w:snapToGrid w:val="0"/>
          <w:kern w:val="0"/>
          <w:sz w:val="28"/>
          <w:szCs w:val="28"/>
        </w:rPr>
        <w:t>0</w:t>
      </w:r>
      <w:r>
        <w:rPr>
          <w:rFonts w:hint="eastAsia"/>
          <w:snapToGrid w:val="0"/>
          <w:kern w:val="0"/>
          <w:sz w:val="28"/>
          <w:szCs w:val="28"/>
        </w:rPr>
        <w:t>万元，与</w:t>
      </w:r>
      <w:r>
        <w:rPr>
          <w:snapToGrid w:val="0"/>
          <w:kern w:val="0"/>
          <w:sz w:val="28"/>
          <w:szCs w:val="28"/>
        </w:rPr>
        <w:t>2016</w:t>
      </w:r>
      <w:r>
        <w:rPr>
          <w:rFonts w:hint="eastAsia"/>
          <w:snapToGrid w:val="0"/>
          <w:kern w:val="0"/>
          <w:sz w:val="28"/>
          <w:szCs w:val="28"/>
        </w:rPr>
        <w:t>年持平。</w:t>
      </w:r>
    </w:p>
    <w:p w14:paraId="4EEFC876">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w:t>
      </w:r>
      <w:r>
        <w:rPr>
          <w:snapToGrid w:val="0"/>
          <w:kern w:val="0"/>
          <w:sz w:val="28"/>
          <w:szCs w:val="28"/>
        </w:rPr>
        <w:t>28.99</w:t>
      </w:r>
      <w:r>
        <w:rPr>
          <w:rFonts w:hint="eastAsia"/>
          <w:snapToGrid w:val="0"/>
          <w:kern w:val="0"/>
          <w:sz w:val="28"/>
          <w:szCs w:val="28"/>
        </w:rPr>
        <w:t>万元；较预算压减</w:t>
      </w:r>
      <w:r>
        <w:rPr>
          <w:snapToGrid w:val="0"/>
          <w:kern w:val="0"/>
          <w:sz w:val="28"/>
          <w:szCs w:val="28"/>
        </w:rPr>
        <w:t>10.01</w:t>
      </w:r>
      <w:r>
        <w:rPr>
          <w:rFonts w:hint="eastAsia"/>
          <w:snapToGrid w:val="0"/>
          <w:kern w:val="0"/>
          <w:sz w:val="28"/>
          <w:szCs w:val="28"/>
        </w:rPr>
        <w:t>万元，减少</w:t>
      </w:r>
      <w:r>
        <w:rPr>
          <w:snapToGrid w:val="0"/>
          <w:kern w:val="0"/>
          <w:sz w:val="28"/>
          <w:szCs w:val="28"/>
        </w:rPr>
        <w:t>25.67%</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年减少</w:t>
      </w:r>
      <w:r>
        <w:rPr>
          <w:snapToGrid w:val="0"/>
          <w:kern w:val="0"/>
          <w:sz w:val="28"/>
          <w:szCs w:val="28"/>
        </w:rPr>
        <w:t>16.88</w:t>
      </w:r>
      <w:r>
        <w:rPr>
          <w:rFonts w:hint="eastAsia"/>
          <w:snapToGrid w:val="0"/>
          <w:kern w:val="0"/>
          <w:sz w:val="28"/>
          <w:szCs w:val="28"/>
        </w:rPr>
        <w:t>万元，减少</w:t>
      </w:r>
      <w:r>
        <w:rPr>
          <w:snapToGrid w:val="0"/>
          <w:kern w:val="0"/>
          <w:sz w:val="28"/>
          <w:szCs w:val="28"/>
        </w:rPr>
        <w:t>36.8%</w:t>
      </w:r>
      <w:r>
        <w:rPr>
          <w:rFonts w:hint="eastAsia"/>
          <w:snapToGrid w:val="0"/>
          <w:kern w:val="0"/>
          <w:sz w:val="28"/>
          <w:szCs w:val="28"/>
        </w:rPr>
        <w:t>。主要原因：公车改革减少车辆并严格执行国家、省、市厉行节约的规定</w:t>
      </w:r>
      <w:bookmarkStart w:id="0" w:name="_GoBack"/>
      <w:bookmarkEnd w:id="0"/>
      <w:r>
        <w:rPr>
          <w:rFonts w:hint="eastAsia"/>
          <w:snapToGrid w:val="0"/>
          <w:kern w:val="0"/>
          <w:sz w:val="28"/>
          <w:szCs w:val="28"/>
        </w:rPr>
        <w:t>。</w:t>
      </w:r>
    </w:p>
    <w:p w14:paraId="7AD4D0F6">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、本部门</w:t>
      </w:r>
      <w:r>
        <w:rPr>
          <w:snapToGrid w:val="0"/>
          <w:kern w:val="0"/>
          <w:sz w:val="28"/>
          <w:szCs w:val="28"/>
        </w:rPr>
        <w:t>2017</w:t>
      </w:r>
      <w:r>
        <w:rPr>
          <w:rFonts w:hint="eastAsia"/>
          <w:snapToGrid w:val="0"/>
          <w:kern w:val="0"/>
          <w:sz w:val="28"/>
          <w:szCs w:val="28"/>
        </w:rPr>
        <w:t>年公务接待费全年支出</w:t>
      </w:r>
      <w:r>
        <w:rPr>
          <w:snapToGrid w:val="0"/>
          <w:kern w:val="0"/>
          <w:sz w:val="28"/>
          <w:szCs w:val="28"/>
        </w:rPr>
        <w:t>0.27</w:t>
      </w:r>
      <w:r>
        <w:rPr>
          <w:rFonts w:hint="eastAsia"/>
          <w:snapToGrid w:val="0"/>
          <w:kern w:val="0"/>
          <w:sz w:val="28"/>
          <w:szCs w:val="28"/>
        </w:rPr>
        <w:t>万元，较预算减少</w:t>
      </w:r>
      <w:r>
        <w:rPr>
          <w:snapToGrid w:val="0"/>
          <w:kern w:val="0"/>
          <w:sz w:val="28"/>
          <w:szCs w:val="28"/>
        </w:rPr>
        <w:t>2.73</w:t>
      </w:r>
      <w:r>
        <w:rPr>
          <w:rFonts w:hint="eastAsia"/>
          <w:snapToGrid w:val="0"/>
          <w:kern w:val="0"/>
          <w:sz w:val="28"/>
          <w:szCs w:val="28"/>
        </w:rPr>
        <w:t>万元，减少</w:t>
      </w:r>
      <w:r>
        <w:rPr>
          <w:snapToGrid w:val="0"/>
          <w:kern w:val="0"/>
          <w:sz w:val="28"/>
          <w:szCs w:val="28"/>
        </w:rPr>
        <w:t>91%</w:t>
      </w:r>
      <w:r>
        <w:rPr>
          <w:rFonts w:hint="eastAsia"/>
          <w:snapToGrid w:val="0"/>
          <w:kern w:val="0"/>
          <w:sz w:val="28"/>
          <w:szCs w:val="28"/>
        </w:rPr>
        <w:t>；较</w:t>
      </w:r>
      <w:r>
        <w:rPr>
          <w:snapToGrid w:val="0"/>
          <w:kern w:val="0"/>
          <w:sz w:val="28"/>
          <w:szCs w:val="28"/>
        </w:rPr>
        <w:t>2016</w:t>
      </w:r>
      <w:r>
        <w:rPr>
          <w:rFonts w:hint="eastAsia"/>
          <w:snapToGrid w:val="0"/>
          <w:kern w:val="0"/>
          <w:sz w:val="28"/>
          <w:szCs w:val="28"/>
        </w:rPr>
        <w:t>年增加</w:t>
      </w:r>
      <w:r>
        <w:rPr>
          <w:snapToGrid w:val="0"/>
          <w:kern w:val="0"/>
          <w:sz w:val="28"/>
          <w:szCs w:val="28"/>
        </w:rPr>
        <w:t>0.23</w:t>
      </w:r>
      <w:r>
        <w:rPr>
          <w:rFonts w:hint="eastAsia"/>
          <w:snapToGrid w:val="0"/>
          <w:kern w:val="0"/>
          <w:sz w:val="28"/>
          <w:szCs w:val="28"/>
        </w:rPr>
        <w:t>万元，增加</w:t>
      </w:r>
      <w:r>
        <w:rPr>
          <w:snapToGrid w:val="0"/>
          <w:kern w:val="0"/>
          <w:sz w:val="28"/>
          <w:szCs w:val="28"/>
        </w:rPr>
        <w:t>575%</w:t>
      </w:r>
      <w:r>
        <w:rPr>
          <w:rFonts w:hint="eastAsia"/>
          <w:snapToGrid w:val="0"/>
          <w:kern w:val="0"/>
          <w:sz w:val="28"/>
          <w:szCs w:val="28"/>
        </w:rPr>
        <w:t>。主要原因：</w:t>
      </w:r>
      <w:r>
        <w:rPr>
          <w:snapToGrid w:val="0"/>
          <w:kern w:val="0"/>
          <w:sz w:val="28"/>
          <w:szCs w:val="28"/>
        </w:rPr>
        <w:t>2017</w:t>
      </w:r>
      <w:r>
        <w:rPr>
          <w:rFonts w:hint="eastAsia"/>
          <w:snapToGrid w:val="0"/>
          <w:kern w:val="0"/>
          <w:sz w:val="28"/>
          <w:szCs w:val="28"/>
        </w:rPr>
        <w:t>年检验所检验项目认证过程中发生了接待费用。</w:t>
      </w:r>
    </w:p>
    <w:p w14:paraId="3015CC0D">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w:t>
      </w:r>
      <w:r>
        <w:rPr>
          <w:snapToGrid w:val="0"/>
          <w:kern w:val="0"/>
          <w:sz w:val="28"/>
          <w:szCs w:val="28"/>
        </w:rPr>
        <w:t>2</w:t>
      </w:r>
      <w:r>
        <w:rPr>
          <w:rFonts w:hint="eastAsia"/>
          <w:snapToGrid w:val="0"/>
          <w:kern w:val="0"/>
          <w:sz w:val="28"/>
          <w:szCs w:val="28"/>
        </w:rPr>
        <w:t>个，国内公务接待人次</w:t>
      </w:r>
      <w:r>
        <w:rPr>
          <w:snapToGrid w:val="0"/>
          <w:kern w:val="0"/>
          <w:sz w:val="28"/>
          <w:szCs w:val="28"/>
        </w:rPr>
        <w:t>32</w:t>
      </w:r>
      <w:r>
        <w:rPr>
          <w:rFonts w:hint="eastAsia"/>
          <w:snapToGrid w:val="0"/>
          <w:kern w:val="0"/>
          <w:sz w:val="28"/>
          <w:szCs w:val="28"/>
        </w:rPr>
        <w:t>人；国外公务接待批次</w:t>
      </w:r>
      <w:r>
        <w:rPr>
          <w:snapToGrid w:val="0"/>
          <w:kern w:val="0"/>
          <w:sz w:val="28"/>
          <w:szCs w:val="28"/>
        </w:rPr>
        <w:t>0</w:t>
      </w:r>
      <w:r>
        <w:rPr>
          <w:rFonts w:hint="eastAsia"/>
          <w:snapToGrid w:val="0"/>
          <w:kern w:val="0"/>
          <w:sz w:val="28"/>
          <w:szCs w:val="28"/>
        </w:rPr>
        <w:t>个，国外公务接待人次</w:t>
      </w:r>
      <w:r>
        <w:rPr>
          <w:snapToGrid w:val="0"/>
          <w:kern w:val="0"/>
          <w:sz w:val="28"/>
          <w:szCs w:val="28"/>
        </w:rPr>
        <w:t>0</w:t>
      </w:r>
      <w:r>
        <w:rPr>
          <w:rFonts w:hint="eastAsia"/>
          <w:snapToGrid w:val="0"/>
          <w:kern w:val="0"/>
          <w:sz w:val="28"/>
          <w:szCs w:val="28"/>
        </w:rPr>
        <w:t>人。</w:t>
      </w:r>
    </w:p>
    <w:p w14:paraId="3162EDCE">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六、预算绩效管理工作开展情况说明</w:t>
      </w:r>
    </w:p>
    <w:p w14:paraId="4C54DF8E">
      <w:pPr>
        <w:spacing w:line="600" w:lineRule="exact"/>
        <w:ind w:firstLine="420" w:firstLineChars="150"/>
        <w:rPr>
          <w:rFonts w:ascii="宋体" w:hAnsi="宋体"/>
          <w:sz w:val="28"/>
          <w:szCs w:val="28"/>
        </w:rPr>
      </w:pPr>
      <w:r>
        <w:rPr>
          <w:rFonts w:ascii="宋体" w:hAnsi="宋体"/>
          <w:sz w:val="28"/>
          <w:szCs w:val="28"/>
        </w:rPr>
        <w:t xml:space="preserve">（一）预算绩效管理工作开展情况 </w:t>
      </w:r>
    </w:p>
    <w:p w14:paraId="546DBB54">
      <w:pPr>
        <w:spacing w:line="600" w:lineRule="exact"/>
        <w:ind w:left="-17" w:firstLine="560" w:firstLineChars="200"/>
        <w:rPr>
          <w:rFonts w:ascii="宋体" w:hAnsi="宋体"/>
          <w:sz w:val="28"/>
          <w:szCs w:val="28"/>
        </w:rPr>
      </w:pPr>
      <w:r>
        <w:rPr>
          <w:rFonts w:hint="eastAsia" w:ascii="宋体" w:hAnsi="宋体"/>
          <w:sz w:val="28"/>
          <w:szCs w:val="28"/>
        </w:rPr>
        <w:t>根据我区财政预算绩效管理要求，我单位以“部门职责－</w:t>
      </w:r>
      <w:r>
        <w:rPr>
          <w:rFonts w:ascii="宋体" w:hAnsi="宋体"/>
          <w:sz w:val="28"/>
          <w:szCs w:val="28"/>
        </w:rPr>
        <w:t xml:space="preserve">工作活动”为依据，确定部门预算项目和预算额度，清晰描述预算项目开支范围和内容，确定预算项目的绩效目标、绩效指标和评价标准，为预算绩效控制、绩效分析、绩效评价打下好的基础。 </w:t>
      </w:r>
    </w:p>
    <w:p w14:paraId="2D4FC5CF">
      <w:pPr>
        <w:spacing w:line="600" w:lineRule="exact"/>
        <w:ind w:firstLine="420" w:firstLineChars="150"/>
        <w:rPr>
          <w:rFonts w:ascii="宋体" w:hAnsi="宋体"/>
          <w:sz w:val="28"/>
          <w:szCs w:val="28"/>
        </w:rPr>
      </w:pPr>
      <w:r>
        <w:rPr>
          <w:rFonts w:hint="eastAsia" w:ascii="宋体" w:hAnsi="宋体"/>
          <w:sz w:val="28"/>
          <w:szCs w:val="28"/>
        </w:rPr>
        <w:t>（二）预算项目绩效评价开展情况</w:t>
      </w:r>
      <w:r>
        <w:rPr>
          <w:rFonts w:ascii="宋体" w:hAnsi="宋体"/>
          <w:sz w:val="28"/>
          <w:szCs w:val="28"/>
        </w:rPr>
        <w:t xml:space="preserve"> </w:t>
      </w:r>
    </w:p>
    <w:p w14:paraId="0F23B32B">
      <w:pPr>
        <w:spacing w:line="600" w:lineRule="exact"/>
        <w:ind w:left="-17" w:firstLine="560" w:firstLineChars="200"/>
        <w:rPr>
          <w:rFonts w:ascii="宋体" w:hAnsi="宋体"/>
          <w:sz w:val="28"/>
          <w:szCs w:val="28"/>
        </w:rPr>
      </w:pPr>
      <w:r>
        <w:rPr>
          <w:rFonts w:hint="eastAsia" w:ascii="宋体" w:hAnsi="宋体"/>
          <w:sz w:val="28"/>
          <w:szCs w:val="28"/>
        </w:rPr>
        <w:t>按照我区财政预算绩效管理要求，我单位对</w:t>
      </w:r>
      <w:r>
        <w:rPr>
          <w:rFonts w:ascii="宋体" w:hAnsi="宋体"/>
          <w:sz w:val="28"/>
          <w:szCs w:val="28"/>
        </w:rPr>
        <w:t>201</w:t>
      </w:r>
      <w:r>
        <w:rPr>
          <w:rFonts w:hint="eastAsia" w:ascii="宋体" w:hAnsi="宋体"/>
          <w:sz w:val="28"/>
          <w:szCs w:val="28"/>
        </w:rPr>
        <w:t>7</w:t>
      </w:r>
      <w:r>
        <w:rPr>
          <w:rFonts w:ascii="宋体" w:hAnsi="宋体"/>
          <w:sz w:val="28"/>
          <w:szCs w:val="28"/>
        </w:rPr>
        <w:t>年初确定的部门一般公共预算支出专项项目全面开展了绩效自评。</w:t>
      </w:r>
      <w:r>
        <w:rPr>
          <w:rFonts w:hint="eastAsia" w:ascii="宋体" w:hAnsi="宋体"/>
          <w:sz w:val="28"/>
          <w:szCs w:val="28"/>
        </w:rPr>
        <w:t>我部门</w:t>
      </w:r>
      <w:r>
        <w:rPr>
          <w:rFonts w:ascii="宋体" w:hAnsi="宋体"/>
          <w:sz w:val="28"/>
          <w:szCs w:val="28"/>
        </w:rPr>
        <w:t>决算共涉及预算资金</w:t>
      </w:r>
      <w:r>
        <w:rPr>
          <w:rFonts w:hint="eastAsia" w:ascii="宋体" w:hAnsi="宋体" w:cs="宋体"/>
          <w:sz w:val="28"/>
          <w:szCs w:val="28"/>
        </w:rPr>
        <w:t>1637.12万</w:t>
      </w:r>
      <w:r>
        <w:rPr>
          <w:rFonts w:ascii="宋体" w:hAnsi="宋体"/>
          <w:sz w:val="28"/>
          <w:szCs w:val="28"/>
        </w:rPr>
        <w:t>元，绩效自评覆盖率达到100%。</w:t>
      </w:r>
      <w:r>
        <w:rPr>
          <w:rFonts w:hint="eastAsia" w:ascii="宋体" w:hAnsi="宋体"/>
          <w:sz w:val="28"/>
          <w:szCs w:val="28"/>
        </w:rPr>
        <w:t>较好的完成了各项绩效指标，年底通过绩效评价。</w:t>
      </w:r>
      <w:r>
        <w:rPr>
          <w:rFonts w:ascii="宋体" w:hAnsi="宋体"/>
          <w:sz w:val="28"/>
          <w:szCs w:val="28"/>
        </w:rPr>
        <w:t xml:space="preserve"> </w:t>
      </w:r>
    </w:p>
    <w:p w14:paraId="30A81893">
      <w:pPr>
        <w:spacing w:line="600" w:lineRule="exact"/>
        <w:ind w:firstLine="420" w:firstLineChars="150"/>
        <w:rPr>
          <w:rFonts w:ascii="宋体" w:hAnsi="宋体" w:cs="宋体"/>
          <w:sz w:val="28"/>
          <w:szCs w:val="28"/>
        </w:rPr>
      </w:pPr>
      <w:r>
        <w:rPr>
          <w:rFonts w:hint="eastAsia" w:ascii="宋体" w:hAnsi="宋体" w:cs="宋体"/>
          <w:sz w:val="28"/>
          <w:szCs w:val="28"/>
        </w:rPr>
        <w:t xml:space="preserve">（三）预算项目绩效自评选例 </w:t>
      </w:r>
    </w:p>
    <w:p w14:paraId="678C70CD">
      <w:pPr>
        <w:ind w:firstLine="560" w:firstLineChars="200"/>
        <w:rPr>
          <w:snapToGrid w:val="0"/>
          <w:kern w:val="0"/>
          <w:sz w:val="28"/>
          <w:szCs w:val="28"/>
        </w:rPr>
      </w:pPr>
      <w:r>
        <w:rPr>
          <w:rFonts w:hint="eastAsia"/>
          <w:snapToGrid w:val="0"/>
          <w:kern w:val="0"/>
          <w:sz w:val="28"/>
          <w:szCs w:val="28"/>
        </w:rPr>
        <w:t>“质量技术监督管理”项目，通过拟定并组织试试全区质量发展规划和质量奖励制度的推进，推进实施名牌发展战略，提高全区整体质量水平。</w:t>
      </w:r>
      <w:r>
        <w:rPr>
          <w:rFonts w:hint="eastAsia" w:ascii="宋体" w:hAnsi="宋体" w:cs="宋体"/>
          <w:sz w:val="28"/>
          <w:szCs w:val="28"/>
        </w:rPr>
        <w:t>按照要求和项目实施目的，引导河北徐水经济开发区争创“国家知名品牌创建示范区”，培育河北省名牌产品共14个，鼓励企业争创质量效益型企业和服务名牌3家。设定效果指标为有价值情报信息采用率是否达到80%以上。绩效目标自评等级为“优”。</w:t>
      </w:r>
    </w:p>
    <w:p w14:paraId="7951B89D">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七、其他重要事项的说明</w:t>
      </w:r>
    </w:p>
    <w:p w14:paraId="3D041841">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、机关运行经费支出情况说明</w:t>
      </w:r>
    </w:p>
    <w:p w14:paraId="508E5C7F">
      <w:pPr>
        <w:adjustRightInd w:val="0"/>
        <w:snapToGrid w:val="0"/>
        <w:spacing w:line="600" w:lineRule="exact"/>
        <w:ind w:firstLine="560" w:firstLineChars="200"/>
        <w:rPr>
          <w:snapToGrid w:val="0"/>
          <w:kern w:val="0"/>
          <w:sz w:val="28"/>
          <w:szCs w:val="28"/>
        </w:rPr>
      </w:pPr>
      <w:r>
        <w:rPr>
          <w:snapToGrid w:val="0"/>
          <w:kern w:val="0"/>
          <w:sz w:val="28"/>
          <w:szCs w:val="28"/>
        </w:rPr>
        <w:t>2017</w:t>
      </w:r>
      <w:r>
        <w:rPr>
          <w:rFonts w:hint="eastAsia"/>
          <w:snapToGrid w:val="0"/>
          <w:kern w:val="0"/>
          <w:sz w:val="28"/>
          <w:szCs w:val="28"/>
        </w:rPr>
        <w:t>年度公用经费总支出</w:t>
      </w:r>
      <w:r>
        <w:rPr>
          <w:snapToGrid w:val="0"/>
          <w:kern w:val="0"/>
          <w:sz w:val="28"/>
          <w:szCs w:val="28"/>
        </w:rPr>
        <w:t>292.46</w:t>
      </w:r>
      <w:r>
        <w:rPr>
          <w:rFonts w:hint="eastAsia"/>
          <w:snapToGrid w:val="0"/>
          <w:kern w:val="0"/>
          <w:sz w:val="28"/>
          <w:szCs w:val="28"/>
        </w:rPr>
        <w:t>万元，其中办公费</w:t>
      </w:r>
      <w:r>
        <w:rPr>
          <w:snapToGrid w:val="0"/>
          <w:kern w:val="0"/>
          <w:sz w:val="28"/>
          <w:szCs w:val="28"/>
        </w:rPr>
        <w:t>14.96</w:t>
      </w:r>
      <w:r>
        <w:rPr>
          <w:rFonts w:hint="eastAsia"/>
          <w:snapToGrid w:val="0"/>
          <w:kern w:val="0"/>
          <w:sz w:val="28"/>
          <w:szCs w:val="28"/>
        </w:rPr>
        <w:t>万元、印刷费</w:t>
      </w:r>
      <w:r>
        <w:rPr>
          <w:snapToGrid w:val="0"/>
          <w:kern w:val="0"/>
          <w:sz w:val="28"/>
          <w:szCs w:val="28"/>
        </w:rPr>
        <w:t>0.68</w:t>
      </w:r>
      <w:r>
        <w:rPr>
          <w:rFonts w:hint="eastAsia"/>
          <w:snapToGrid w:val="0"/>
          <w:kern w:val="0"/>
          <w:sz w:val="28"/>
          <w:szCs w:val="28"/>
        </w:rPr>
        <w:t>万元、水费</w:t>
      </w:r>
      <w:r>
        <w:rPr>
          <w:snapToGrid w:val="0"/>
          <w:kern w:val="0"/>
          <w:sz w:val="28"/>
          <w:szCs w:val="28"/>
        </w:rPr>
        <w:t>0.6</w:t>
      </w:r>
      <w:r>
        <w:rPr>
          <w:rFonts w:hint="eastAsia"/>
          <w:snapToGrid w:val="0"/>
          <w:kern w:val="0"/>
          <w:sz w:val="28"/>
          <w:szCs w:val="28"/>
        </w:rPr>
        <w:t>万元、电费</w:t>
      </w:r>
      <w:r>
        <w:rPr>
          <w:snapToGrid w:val="0"/>
          <w:kern w:val="0"/>
          <w:sz w:val="28"/>
          <w:szCs w:val="28"/>
        </w:rPr>
        <w:t>9.02</w:t>
      </w:r>
      <w:r>
        <w:rPr>
          <w:rFonts w:hint="eastAsia"/>
          <w:snapToGrid w:val="0"/>
          <w:kern w:val="0"/>
          <w:sz w:val="28"/>
          <w:szCs w:val="28"/>
        </w:rPr>
        <w:t>万元、邮电费</w:t>
      </w:r>
      <w:r>
        <w:rPr>
          <w:snapToGrid w:val="0"/>
          <w:kern w:val="0"/>
          <w:sz w:val="28"/>
          <w:szCs w:val="28"/>
        </w:rPr>
        <w:t>10.18</w:t>
      </w:r>
      <w:r>
        <w:rPr>
          <w:rFonts w:hint="eastAsia"/>
          <w:snapToGrid w:val="0"/>
          <w:kern w:val="0"/>
          <w:sz w:val="28"/>
          <w:szCs w:val="28"/>
        </w:rPr>
        <w:t>万元、取暖费</w:t>
      </w:r>
      <w:r>
        <w:rPr>
          <w:snapToGrid w:val="0"/>
          <w:kern w:val="0"/>
          <w:sz w:val="28"/>
          <w:szCs w:val="28"/>
        </w:rPr>
        <w:t>10</w:t>
      </w:r>
      <w:r>
        <w:rPr>
          <w:rFonts w:hint="eastAsia"/>
          <w:snapToGrid w:val="0"/>
          <w:kern w:val="0"/>
          <w:sz w:val="28"/>
          <w:szCs w:val="28"/>
        </w:rPr>
        <w:t>万元、差旅费</w:t>
      </w:r>
      <w:r>
        <w:rPr>
          <w:snapToGrid w:val="0"/>
          <w:kern w:val="0"/>
          <w:sz w:val="28"/>
          <w:szCs w:val="28"/>
        </w:rPr>
        <w:t>25.7</w:t>
      </w:r>
      <w:r>
        <w:rPr>
          <w:rFonts w:hint="eastAsia"/>
          <w:snapToGrid w:val="0"/>
          <w:kern w:val="0"/>
          <w:sz w:val="28"/>
          <w:szCs w:val="28"/>
        </w:rPr>
        <w:t>万元、维修（护）费</w:t>
      </w:r>
      <w:r>
        <w:rPr>
          <w:snapToGrid w:val="0"/>
          <w:kern w:val="0"/>
          <w:sz w:val="28"/>
          <w:szCs w:val="28"/>
        </w:rPr>
        <w:t>11.42</w:t>
      </w:r>
      <w:r>
        <w:rPr>
          <w:rFonts w:hint="eastAsia"/>
          <w:snapToGrid w:val="0"/>
          <w:kern w:val="0"/>
          <w:sz w:val="28"/>
          <w:szCs w:val="28"/>
        </w:rPr>
        <w:t>万元、会议费</w:t>
      </w:r>
      <w:r>
        <w:rPr>
          <w:snapToGrid w:val="0"/>
          <w:kern w:val="0"/>
          <w:sz w:val="28"/>
          <w:szCs w:val="28"/>
        </w:rPr>
        <w:t>0</w:t>
      </w:r>
      <w:r>
        <w:rPr>
          <w:rFonts w:hint="eastAsia"/>
          <w:snapToGrid w:val="0"/>
          <w:kern w:val="0"/>
          <w:sz w:val="28"/>
          <w:szCs w:val="28"/>
        </w:rPr>
        <w:t>万元、培训费</w:t>
      </w:r>
      <w:r>
        <w:rPr>
          <w:snapToGrid w:val="0"/>
          <w:kern w:val="0"/>
          <w:sz w:val="28"/>
          <w:szCs w:val="28"/>
        </w:rPr>
        <w:t>4.17</w:t>
      </w:r>
      <w:r>
        <w:rPr>
          <w:rFonts w:hint="eastAsia"/>
          <w:snapToGrid w:val="0"/>
          <w:kern w:val="0"/>
          <w:sz w:val="28"/>
          <w:szCs w:val="28"/>
        </w:rPr>
        <w:t>万元、公务接待费</w:t>
      </w:r>
      <w:r>
        <w:rPr>
          <w:snapToGrid w:val="0"/>
          <w:kern w:val="0"/>
          <w:sz w:val="28"/>
          <w:szCs w:val="28"/>
        </w:rPr>
        <w:t>0.27</w:t>
      </w:r>
      <w:r>
        <w:rPr>
          <w:rFonts w:hint="eastAsia"/>
          <w:snapToGrid w:val="0"/>
          <w:kern w:val="0"/>
          <w:sz w:val="28"/>
          <w:szCs w:val="28"/>
        </w:rPr>
        <w:t>万元、工会经费</w:t>
      </w:r>
      <w:r>
        <w:rPr>
          <w:snapToGrid w:val="0"/>
          <w:kern w:val="0"/>
          <w:sz w:val="28"/>
          <w:szCs w:val="28"/>
        </w:rPr>
        <w:t>9.32</w:t>
      </w:r>
      <w:r>
        <w:rPr>
          <w:rFonts w:hint="eastAsia"/>
          <w:snapToGrid w:val="0"/>
          <w:kern w:val="0"/>
          <w:sz w:val="28"/>
          <w:szCs w:val="28"/>
        </w:rPr>
        <w:t>万元、福利费</w:t>
      </w:r>
      <w:r>
        <w:rPr>
          <w:snapToGrid w:val="0"/>
          <w:kern w:val="0"/>
          <w:sz w:val="28"/>
          <w:szCs w:val="28"/>
        </w:rPr>
        <w:t>7.37</w:t>
      </w:r>
      <w:r>
        <w:rPr>
          <w:rFonts w:hint="eastAsia"/>
          <w:snapToGrid w:val="0"/>
          <w:kern w:val="0"/>
          <w:sz w:val="28"/>
          <w:szCs w:val="28"/>
        </w:rPr>
        <w:t>万元、公务用车运行维护费</w:t>
      </w:r>
      <w:r>
        <w:rPr>
          <w:snapToGrid w:val="0"/>
          <w:kern w:val="0"/>
          <w:sz w:val="28"/>
          <w:szCs w:val="28"/>
        </w:rPr>
        <w:t>29.06</w:t>
      </w:r>
      <w:r>
        <w:rPr>
          <w:rFonts w:hint="eastAsia"/>
          <w:snapToGrid w:val="0"/>
          <w:kern w:val="0"/>
          <w:sz w:val="28"/>
          <w:szCs w:val="28"/>
        </w:rPr>
        <w:t>万元、其他交通费用</w:t>
      </w:r>
      <w:r>
        <w:rPr>
          <w:snapToGrid w:val="0"/>
          <w:kern w:val="0"/>
          <w:sz w:val="28"/>
          <w:szCs w:val="28"/>
        </w:rPr>
        <w:t>13.25</w:t>
      </w:r>
      <w:r>
        <w:rPr>
          <w:rFonts w:hint="eastAsia"/>
          <w:snapToGrid w:val="0"/>
          <w:kern w:val="0"/>
          <w:sz w:val="28"/>
          <w:szCs w:val="28"/>
        </w:rPr>
        <w:t>万元等。</w:t>
      </w:r>
    </w:p>
    <w:p w14:paraId="7DF17731">
      <w:pPr>
        <w:pStyle w:val="8"/>
        <w:adjustRightInd w:val="0"/>
        <w:snapToGrid w:val="0"/>
        <w:spacing w:line="600" w:lineRule="exact"/>
        <w:ind w:left="210" w:leftChars="100" w:firstLineChars="150"/>
        <w:rPr>
          <w:snapToGrid w:val="0"/>
          <w:kern w:val="0"/>
          <w:sz w:val="28"/>
          <w:szCs w:val="28"/>
        </w:rPr>
      </w:pPr>
      <w:r>
        <w:rPr>
          <w:snapToGrid w:val="0"/>
          <w:kern w:val="0"/>
          <w:sz w:val="28"/>
          <w:szCs w:val="28"/>
        </w:rPr>
        <w:t>2017</w:t>
      </w:r>
      <w:r>
        <w:rPr>
          <w:rFonts w:hint="eastAsia"/>
          <w:snapToGrid w:val="0"/>
          <w:kern w:val="0"/>
          <w:sz w:val="28"/>
          <w:szCs w:val="28"/>
        </w:rPr>
        <w:t>年本部门机关运行经费支出</w:t>
      </w:r>
      <w:r>
        <w:rPr>
          <w:snapToGrid w:val="0"/>
          <w:kern w:val="0"/>
          <w:sz w:val="28"/>
          <w:szCs w:val="28"/>
        </w:rPr>
        <w:t>60.96</w:t>
      </w:r>
      <w:r>
        <w:rPr>
          <w:rFonts w:hint="eastAsia"/>
          <w:snapToGrid w:val="0"/>
          <w:kern w:val="0"/>
          <w:sz w:val="28"/>
          <w:szCs w:val="28"/>
        </w:rPr>
        <w:t>万元，比</w:t>
      </w:r>
      <w:r>
        <w:rPr>
          <w:snapToGrid w:val="0"/>
          <w:kern w:val="0"/>
          <w:sz w:val="28"/>
          <w:szCs w:val="28"/>
        </w:rPr>
        <w:t>2016</w:t>
      </w:r>
      <w:r>
        <w:rPr>
          <w:rFonts w:hint="eastAsia"/>
          <w:snapToGrid w:val="0"/>
          <w:kern w:val="0"/>
          <w:sz w:val="28"/>
          <w:szCs w:val="28"/>
        </w:rPr>
        <w:t>年增加</w:t>
      </w:r>
      <w:r>
        <w:rPr>
          <w:snapToGrid w:val="0"/>
          <w:kern w:val="0"/>
          <w:sz w:val="28"/>
          <w:szCs w:val="28"/>
        </w:rPr>
        <w:t>17.87</w:t>
      </w:r>
      <w:r>
        <w:rPr>
          <w:rFonts w:hint="eastAsia"/>
          <w:snapToGrid w:val="0"/>
          <w:kern w:val="0"/>
          <w:sz w:val="28"/>
          <w:szCs w:val="28"/>
        </w:rPr>
        <w:t>万元，增长</w:t>
      </w:r>
      <w:r>
        <w:rPr>
          <w:snapToGrid w:val="0"/>
          <w:kern w:val="0"/>
          <w:sz w:val="28"/>
          <w:szCs w:val="28"/>
        </w:rPr>
        <w:t>41.47%</w:t>
      </w:r>
      <w:r>
        <w:rPr>
          <w:rFonts w:hint="eastAsia"/>
          <w:snapToGrid w:val="0"/>
          <w:kern w:val="0"/>
          <w:sz w:val="28"/>
          <w:szCs w:val="28"/>
        </w:rPr>
        <w:t>。主要原因是：</w:t>
      </w:r>
      <w:r>
        <w:rPr>
          <w:snapToGrid w:val="0"/>
          <w:kern w:val="0"/>
          <w:sz w:val="28"/>
          <w:szCs w:val="28"/>
        </w:rPr>
        <w:t>2017</w:t>
      </w:r>
      <w:r>
        <w:rPr>
          <w:rFonts w:hint="eastAsia"/>
          <w:snapToGrid w:val="0"/>
          <w:kern w:val="0"/>
          <w:sz w:val="28"/>
          <w:szCs w:val="28"/>
        </w:rPr>
        <w:t>年发放通讯补贴，邮电费增加；</w:t>
      </w:r>
      <w:r>
        <w:rPr>
          <w:snapToGrid w:val="0"/>
          <w:kern w:val="0"/>
          <w:sz w:val="28"/>
          <w:szCs w:val="28"/>
        </w:rPr>
        <w:t>2016</w:t>
      </w:r>
      <w:r>
        <w:rPr>
          <w:rFonts w:hint="eastAsia"/>
          <w:snapToGrid w:val="0"/>
          <w:kern w:val="0"/>
          <w:sz w:val="28"/>
          <w:szCs w:val="28"/>
        </w:rPr>
        <w:t>年车辆经费大部分使用办案经费，</w:t>
      </w:r>
      <w:r>
        <w:rPr>
          <w:snapToGrid w:val="0"/>
          <w:kern w:val="0"/>
          <w:sz w:val="28"/>
          <w:szCs w:val="28"/>
        </w:rPr>
        <w:t>2017</w:t>
      </w:r>
      <w:r>
        <w:rPr>
          <w:rFonts w:hint="eastAsia"/>
          <w:snapToGrid w:val="0"/>
          <w:kern w:val="0"/>
          <w:sz w:val="28"/>
          <w:szCs w:val="28"/>
        </w:rPr>
        <w:t>年公车改革后全部按照要求使用车辆经费。</w:t>
      </w:r>
    </w:p>
    <w:p w14:paraId="5CEE7B51">
      <w:pPr>
        <w:adjustRightInd w:val="0"/>
        <w:snapToGrid w:val="0"/>
        <w:spacing w:line="600" w:lineRule="exact"/>
        <w:ind w:firstLine="560" w:firstLineChars="200"/>
        <w:rPr>
          <w:snapToGrid w:val="0"/>
          <w:kern w:val="0"/>
          <w:sz w:val="28"/>
          <w:szCs w:val="28"/>
        </w:rPr>
      </w:pPr>
      <w:r>
        <w:rPr>
          <w:snapToGrid w:val="0"/>
          <w:kern w:val="0"/>
          <w:sz w:val="28"/>
          <w:szCs w:val="28"/>
        </w:rPr>
        <w:t>2</w:t>
      </w:r>
      <w:r>
        <w:rPr>
          <w:rFonts w:hint="eastAsia"/>
          <w:snapToGrid w:val="0"/>
          <w:kern w:val="0"/>
          <w:sz w:val="28"/>
          <w:szCs w:val="28"/>
        </w:rPr>
        <w:t>、政府采购情况说明</w:t>
      </w:r>
    </w:p>
    <w:p w14:paraId="1E88BBBC">
      <w:pPr>
        <w:adjustRightInd w:val="0"/>
        <w:snapToGrid w:val="0"/>
        <w:spacing w:line="600" w:lineRule="exact"/>
        <w:ind w:left="210" w:leftChars="100" w:firstLine="280" w:firstLineChars="100"/>
        <w:rPr>
          <w:snapToGrid w:val="0"/>
          <w:kern w:val="0"/>
          <w:sz w:val="28"/>
          <w:szCs w:val="28"/>
        </w:rPr>
      </w:pPr>
      <w:r>
        <w:rPr>
          <w:snapToGrid w:val="0"/>
          <w:kern w:val="0"/>
          <w:sz w:val="28"/>
          <w:szCs w:val="28"/>
        </w:rPr>
        <w:t>2017</w:t>
      </w:r>
      <w:r>
        <w:rPr>
          <w:rFonts w:hint="eastAsia"/>
          <w:snapToGrid w:val="0"/>
          <w:kern w:val="0"/>
          <w:sz w:val="28"/>
          <w:szCs w:val="28"/>
        </w:rPr>
        <w:t>年政府采购预算总额为</w:t>
      </w:r>
      <w:r>
        <w:rPr>
          <w:snapToGrid w:val="0"/>
          <w:kern w:val="0"/>
          <w:sz w:val="28"/>
          <w:szCs w:val="28"/>
        </w:rPr>
        <w:t>591.3</w:t>
      </w:r>
      <w:r>
        <w:rPr>
          <w:rFonts w:hint="eastAsia"/>
          <w:snapToGrid w:val="0"/>
          <w:kern w:val="0"/>
          <w:sz w:val="28"/>
          <w:szCs w:val="28"/>
        </w:rPr>
        <w:t>万元，主要包括政府采购货物</w:t>
      </w:r>
      <w:r>
        <w:rPr>
          <w:snapToGrid w:val="0"/>
          <w:kern w:val="0"/>
          <w:sz w:val="28"/>
          <w:szCs w:val="28"/>
        </w:rPr>
        <w:t>591.3</w:t>
      </w:r>
      <w:r>
        <w:rPr>
          <w:rFonts w:hint="eastAsia"/>
          <w:snapToGrid w:val="0"/>
          <w:kern w:val="0"/>
          <w:sz w:val="28"/>
          <w:szCs w:val="28"/>
        </w:rPr>
        <w:t>万元。</w:t>
      </w:r>
    </w:p>
    <w:p w14:paraId="66D8D0F1">
      <w:pPr>
        <w:pStyle w:val="8"/>
        <w:adjustRightInd w:val="0"/>
        <w:snapToGrid w:val="0"/>
        <w:spacing w:line="600" w:lineRule="exact"/>
        <w:ind w:left="105" w:leftChars="50" w:firstLine="560"/>
        <w:rPr>
          <w:snapToGrid w:val="0"/>
          <w:kern w:val="0"/>
          <w:sz w:val="28"/>
          <w:szCs w:val="28"/>
        </w:rPr>
      </w:pPr>
      <w:r>
        <w:rPr>
          <w:snapToGrid w:val="0"/>
          <w:kern w:val="0"/>
          <w:sz w:val="28"/>
          <w:szCs w:val="28"/>
        </w:rPr>
        <w:t>2017</w:t>
      </w:r>
      <w:r>
        <w:rPr>
          <w:rFonts w:hint="eastAsia"/>
          <w:snapToGrid w:val="0"/>
          <w:kern w:val="0"/>
          <w:sz w:val="28"/>
          <w:szCs w:val="28"/>
        </w:rPr>
        <w:t>年本部门政府采购支出总额</w:t>
      </w:r>
      <w:r>
        <w:rPr>
          <w:snapToGrid w:val="0"/>
          <w:kern w:val="0"/>
          <w:sz w:val="28"/>
          <w:szCs w:val="28"/>
        </w:rPr>
        <w:t>590.38</w:t>
      </w:r>
      <w:r>
        <w:rPr>
          <w:rFonts w:hint="eastAsia"/>
          <w:snapToGrid w:val="0"/>
          <w:kern w:val="0"/>
          <w:sz w:val="28"/>
          <w:szCs w:val="28"/>
        </w:rPr>
        <w:t>万元，其中：政府采购货物支出</w:t>
      </w:r>
      <w:r>
        <w:rPr>
          <w:snapToGrid w:val="0"/>
          <w:kern w:val="0"/>
          <w:sz w:val="28"/>
          <w:szCs w:val="28"/>
        </w:rPr>
        <w:t>590.38</w:t>
      </w:r>
      <w:r>
        <w:rPr>
          <w:rFonts w:hint="eastAsia"/>
          <w:snapToGrid w:val="0"/>
          <w:kern w:val="0"/>
          <w:sz w:val="28"/>
          <w:szCs w:val="28"/>
        </w:rPr>
        <w:t>万元。</w:t>
      </w:r>
    </w:p>
    <w:p w14:paraId="28974A0E">
      <w:pPr>
        <w:pStyle w:val="8"/>
        <w:adjustRightInd w:val="0"/>
        <w:snapToGrid w:val="0"/>
        <w:spacing w:line="600" w:lineRule="exact"/>
        <w:ind w:left="105" w:leftChars="50" w:firstLine="560"/>
        <w:rPr>
          <w:snapToGrid w:val="0"/>
          <w:kern w:val="0"/>
          <w:sz w:val="28"/>
          <w:szCs w:val="28"/>
        </w:rPr>
      </w:pPr>
      <w:r>
        <w:rPr>
          <w:snapToGrid w:val="0"/>
          <w:kern w:val="0"/>
          <w:sz w:val="28"/>
          <w:szCs w:val="28"/>
        </w:rPr>
        <w:t>3</w:t>
      </w:r>
      <w:r>
        <w:rPr>
          <w:rFonts w:hint="eastAsia"/>
          <w:snapToGrid w:val="0"/>
          <w:kern w:val="0"/>
          <w:sz w:val="28"/>
          <w:szCs w:val="28"/>
        </w:rPr>
        <w:t>、国有资产占用情况</w:t>
      </w:r>
    </w:p>
    <w:p w14:paraId="483F9681">
      <w:pPr>
        <w:pStyle w:val="8"/>
        <w:adjustRightInd w:val="0"/>
        <w:snapToGrid w:val="0"/>
        <w:spacing w:line="600" w:lineRule="exact"/>
        <w:ind w:firstLine="560"/>
        <w:rPr>
          <w:snapToGrid w:val="0"/>
          <w:kern w:val="0"/>
          <w:sz w:val="28"/>
          <w:szCs w:val="28"/>
        </w:rPr>
      </w:pPr>
      <w:r>
        <w:rPr>
          <w:rFonts w:hint="eastAsia"/>
          <w:snapToGrid w:val="0"/>
          <w:kern w:val="0"/>
          <w:sz w:val="28"/>
          <w:szCs w:val="28"/>
        </w:rPr>
        <w:t>我单位</w:t>
      </w:r>
      <w:r>
        <w:rPr>
          <w:snapToGrid w:val="0"/>
          <w:kern w:val="0"/>
          <w:sz w:val="28"/>
          <w:szCs w:val="28"/>
        </w:rPr>
        <w:t>2017</w:t>
      </w:r>
      <w:r>
        <w:rPr>
          <w:rFonts w:hint="eastAsia"/>
          <w:snapToGrid w:val="0"/>
          <w:kern w:val="0"/>
          <w:sz w:val="28"/>
          <w:szCs w:val="28"/>
        </w:rPr>
        <w:t>年末固定资产总额为</w:t>
      </w:r>
      <w:r>
        <w:rPr>
          <w:snapToGrid w:val="0"/>
          <w:kern w:val="0"/>
          <w:sz w:val="28"/>
          <w:szCs w:val="28"/>
        </w:rPr>
        <w:t>2200.12</w:t>
      </w:r>
      <w:r>
        <w:rPr>
          <w:rFonts w:hint="eastAsia"/>
          <w:snapToGrid w:val="0"/>
          <w:kern w:val="0"/>
          <w:sz w:val="28"/>
          <w:szCs w:val="28"/>
        </w:rPr>
        <w:t>万元，主要包括房屋</w:t>
      </w:r>
      <w:r>
        <w:rPr>
          <w:snapToGrid w:val="0"/>
          <w:kern w:val="0"/>
          <w:sz w:val="28"/>
          <w:szCs w:val="28"/>
        </w:rPr>
        <w:t>3620</w:t>
      </w:r>
      <w:r>
        <w:rPr>
          <w:rFonts w:hint="eastAsia"/>
          <w:snapToGrid w:val="0"/>
          <w:kern w:val="0"/>
          <w:sz w:val="28"/>
          <w:szCs w:val="28"/>
        </w:rPr>
        <w:t>平方米价值</w:t>
      </w:r>
      <w:r>
        <w:rPr>
          <w:snapToGrid w:val="0"/>
          <w:kern w:val="0"/>
          <w:sz w:val="28"/>
          <w:szCs w:val="28"/>
        </w:rPr>
        <w:t>703.61</w:t>
      </w:r>
      <w:r>
        <w:rPr>
          <w:rFonts w:hint="eastAsia"/>
          <w:snapToGrid w:val="0"/>
          <w:kern w:val="0"/>
          <w:sz w:val="28"/>
          <w:szCs w:val="28"/>
        </w:rPr>
        <w:t>万元，车辆</w:t>
      </w:r>
      <w:r>
        <w:rPr>
          <w:snapToGrid w:val="0"/>
          <w:kern w:val="0"/>
          <w:sz w:val="28"/>
          <w:szCs w:val="28"/>
        </w:rPr>
        <w:t>17</w:t>
      </w:r>
      <w:r>
        <w:rPr>
          <w:rFonts w:hint="eastAsia"/>
          <w:snapToGrid w:val="0"/>
          <w:kern w:val="0"/>
          <w:sz w:val="28"/>
          <w:szCs w:val="28"/>
        </w:rPr>
        <w:t>辆价值</w:t>
      </w:r>
      <w:r>
        <w:rPr>
          <w:snapToGrid w:val="0"/>
          <w:kern w:val="0"/>
          <w:sz w:val="28"/>
          <w:szCs w:val="28"/>
        </w:rPr>
        <w:t>138.35</w:t>
      </w:r>
      <w:r>
        <w:rPr>
          <w:rFonts w:hint="eastAsia"/>
          <w:snapToGrid w:val="0"/>
          <w:kern w:val="0"/>
          <w:sz w:val="28"/>
          <w:szCs w:val="28"/>
        </w:rPr>
        <w:t>万元，单价在</w:t>
      </w:r>
      <w:r>
        <w:rPr>
          <w:snapToGrid w:val="0"/>
          <w:kern w:val="0"/>
          <w:sz w:val="28"/>
          <w:szCs w:val="28"/>
        </w:rPr>
        <w:t>50</w:t>
      </w:r>
      <w:r>
        <w:rPr>
          <w:rFonts w:hint="eastAsia"/>
          <w:snapToGrid w:val="0"/>
          <w:kern w:val="0"/>
          <w:sz w:val="28"/>
          <w:szCs w:val="28"/>
        </w:rPr>
        <w:t>万元以上的设备</w:t>
      </w:r>
      <w:r>
        <w:rPr>
          <w:snapToGrid w:val="0"/>
          <w:kern w:val="0"/>
          <w:sz w:val="28"/>
          <w:szCs w:val="28"/>
        </w:rPr>
        <w:t>4</w:t>
      </w:r>
      <w:r>
        <w:rPr>
          <w:rFonts w:hint="eastAsia"/>
          <w:snapToGrid w:val="0"/>
          <w:kern w:val="0"/>
          <w:sz w:val="28"/>
          <w:szCs w:val="28"/>
        </w:rPr>
        <w:t>台，及其他固定资产</w:t>
      </w:r>
      <w:r>
        <w:rPr>
          <w:snapToGrid w:val="0"/>
          <w:kern w:val="0"/>
          <w:sz w:val="28"/>
          <w:szCs w:val="28"/>
        </w:rPr>
        <w:t>745.47</w:t>
      </w:r>
      <w:r>
        <w:rPr>
          <w:rFonts w:hint="eastAsia"/>
          <w:snapToGrid w:val="0"/>
          <w:kern w:val="0"/>
          <w:sz w:val="28"/>
          <w:szCs w:val="28"/>
        </w:rPr>
        <w:t>万元。</w:t>
      </w:r>
    </w:p>
    <w:p w14:paraId="23A5B288">
      <w:pPr>
        <w:pStyle w:val="8"/>
        <w:adjustRightInd w:val="0"/>
        <w:snapToGrid w:val="0"/>
        <w:spacing w:line="600" w:lineRule="exact"/>
        <w:ind w:firstLine="560"/>
        <w:rPr>
          <w:snapToGrid w:val="0"/>
          <w:kern w:val="0"/>
          <w:sz w:val="28"/>
          <w:szCs w:val="28"/>
        </w:rPr>
      </w:pPr>
      <w:r>
        <w:rPr>
          <w:snapToGrid w:val="0"/>
          <w:kern w:val="0"/>
          <w:sz w:val="28"/>
          <w:szCs w:val="28"/>
        </w:rPr>
        <w:t>2017</w:t>
      </w:r>
      <w:r>
        <w:rPr>
          <w:rFonts w:hint="eastAsia"/>
          <w:snapToGrid w:val="0"/>
          <w:kern w:val="0"/>
          <w:sz w:val="28"/>
          <w:szCs w:val="28"/>
        </w:rPr>
        <w:t>年资产变动情况：固定资产增加</w:t>
      </w:r>
      <w:r>
        <w:rPr>
          <w:snapToGrid w:val="0"/>
          <w:kern w:val="0"/>
          <w:sz w:val="28"/>
          <w:szCs w:val="28"/>
        </w:rPr>
        <w:t>372.79</w:t>
      </w:r>
      <w:r>
        <w:rPr>
          <w:rFonts w:hint="eastAsia"/>
          <w:snapToGrid w:val="0"/>
          <w:kern w:val="0"/>
          <w:sz w:val="28"/>
          <w:szCs w:val="28"/>
        </w:rPr>
        <w:t>万元，包括房屋增加</w:t>
      </w:r>
      <w:r>
        <w:rPr>
          <w:snapToGrid w:val="0"/>
          <w:kern w:val="0"/>
          <w:sz w:val="28"/>
          <w:szCs w:val="28"/>
        </w:rPr>
        <w:t>51.31</w:t>
      </w:r>
      <w:r>
        <w:rPr>
          <w:rFonts w:hint="eastAsia"/>
          <w:snapToGrid w:val="0"/>
          <w:kern w:val="0"/>
          <w:sz w:val="28"/>
          <w:szCs w:val="28"/>
        </w:rPr>
        <w:t>万元</w:t>
      </w:r>
      <w:r>
        <w:rPr>
          <w:snapToGrid w:val="0"/>
          <w:kern w:val="0"/>
          <w:sz w:val="28"/>
          <w:szCs w:val="28"/>
        </w:rPr>
        <w:t>,</w:t>
      </w:r>
      <w:r>
        <w:rPr>
          <w:rFonts w:hint="eastAsia"/>
          <w:snapToGrid w:val="0"/>
          <w:kern w:val="0"/>
          <w:sz w:val="28"/>
          <w:szCs w:val="28"/>
        </w:rPr>
        <w:t>车辆无变化，单价在</w:t>
      </w:r>
      <w:r>
        <w:rPr>
          <w:snapToGrid w:val="0"/>
          <w:kern w:val="0"/>
          <w:sz w:val="28"/>
          <w:szCs w:val="28"/>
        </w:rPr>
        <w:t>50</w:t>
      </w:r>
      <w:r>
        <w:rPr>
          <w:rFonts w:hint="eastAsia"/>
          <w:snapToGrid w:val="0"/>
          <w:kern w:val="0"/>
          <w:sz w:val="28"/>
          <w:szCs w:val="28"/>
        </w:rPr>
        <w:t>万元以上的设备增加</w:t>
      </w:r>
      <w:r>
        <w:rPr>
          <w:snapToGrid w:val="0"/>
          <w:kern w:val="0"/>
          <w:sz w:val="28"/>
          <w:szCs w:val="28"/>
        </w:rPr>
        <w:t>64.5</w:t>
      </w:r>
      <w:r>
        <w:rPr>
          <w:rFonts w:hint="eastAsia"/>
          <w:snapToGrid w:val="0"/>
          <w:kern w:val="0"/>
          <w:sz w:val="28"/>
          <w:szCs w:val="28"/>
        </w:rPr>
        <w:t>万元，其他固定资产增加</w:t>
      </w:r>
      <w:r>
        <w:rPr>
          <w:snapToGrid w:val="0"/>
          <w:kern w:val="0"/>
          <w:sz w:val="28"/>
          <w:szCs w:val="28"/>
        </w:rPr>
        <w:t>45.41</w:t>
      </w:r>
      <w:r>
        <w:rPr>
          <w:rFonts w:hint="eastAsia"/>
          <w:snapToGrid w:val="0"/>
          <w:kern w:val="0"/>
          <w:sz w:val="28"/>
          <w:szCs w:val="28"/>
        </w:rPr>
        <w:t>万元。</w:t>
      </w:r>
    </w:p>
    <w:p w14:paraId="33E5162D">
      <w:pPr>
        <w:pStyle w:val="8"/>
        <w:adjustRightInd w:val="0"/>
        <w:snapToGrid w:val="0"/>
        <w:spacing w:line="600" w:lineRule="exact"/>
        <w:ind w:left="105" w:leftChars="50" w:firstLine="560"/>
        <w:rPr>
          <w:snapToGrid w:val="0"/>
          <w:kern w:val="0"/>
          <w:sz w:val="28"/>
          <w:szCs w:val="28"/>
        </w:rPr>
      </w:pPr>
      <w:r>
        <w:rPr>
          <w:snapToGrid w:val="0"/>
          <w:kern w:val="0"/>
          <w:sz w:val="28"/>
          <w:szCs w:val="28"/>
        </w:rPr>
        <w:t>4</w:t>
      </w:r>
      <w:r>
        <w:rPr>
          <w:rFonts w:hint="eastAsia"/>
          <w:snapToGrid w:val="0"/>
          <w:kern w:val="0"/>
          <w:sz w:val="28"/>
          <w:szCs w:val="28"/>
        </w:rPr>
        <w:t>、其他需要说明的情况</w:t>
      </w:r>
    </w:p>
    <w:p w14:paraId="2A7435D7">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无。</w:t>
      </w:r>
    </w:p>
    <w:p w14:paraId="2F13F0AB">
      <w:pPr>
        <w:jc w:val="center"/>
        <w:rPr>
          <w:b/>
          <w:sz w:val="44"/>
          <w:szCs w:val="44"/>
        </w:rPr>
      </w:pPr>
      <w:r>
        <w:rPr>
          <w:rFonts w:hint="eastAsia"/>
          <w:b/>
          <w:sz w:val="44"/>
          <w:szCs w:val="44"/>
        </w:rPr>
        <w:t>第三部分名词解释</w:t>
      </w:r>
    </w:p>
    <w:p w14:paraId="2144F752">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（一）财政拨款收入：本年度从本级财政部门取得的财政拨款，包括一般公共预算财政拨款和政府性基金预算财政拨款。</w:t>
      </w:r>
    </w:p>
    <w:p w14:paraId="1E46AE71">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（二）事业收入：指事业单位开展专业业务活动及辅助活动所取得的收入。</w:t>
      </w:r>
    </w:p>
    <w:p w14:paraId="607797B5">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（三）其他收入：指除上述“财政拨款收入”、“事业收入”、“经营收入”等以外的收入。</w:t>
      </w:r>
    </w:p>
    <w:p w14:paraId="601E8353">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6257ECFB">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（五）年初结转和结余：指以前年度尚未完成、结转到本年仍按原规定用途继续使用的资金，或项目已完成等产生的结余资金。</w:t>
      </w:r>
    </w:p>
    <w:p w14:paraId="391E721E">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（六）结余分配：指事业单位按照事业单位会计制度的规定从非财政补助结余中分配的事业基金和职工福利基金等。</w:t>
      </w:r>
    </w:p>
    <w:p w14:paraId="1499B73D">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（七）年末结转和结余：指单位按有关规定结转到下年或以后年度继续使用的资金，或项目已完成等产生的结余资金。</w:t>
      </w:r>
    </w:p>
    <w:p w14:paraId="44E7EF8A">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（八）基本支出：填列单位为保障机构正常运转、完成日常工作任务而发生的各项支出。</w:t>
      </w:r>
    </w:p>
    <w:p w14:paraId="4EE75CBE">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（九）项目支出：填列单位为完成特定的行政工作任务或事业发展目标，在基本支出之外发生的各项支出</w:t>
      </w:r>
    </w:p>
    <w:p w14:paraId="3C5A38B4">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B707C37">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14:paraId="0EFAC2C8">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7DC8A27D">
      <w:pPr>
        <w:pStyle w:val="5"/>
        <w:spacing w:before="0" w:beforeAutospacing="0" w:after="0" w:afterAutospacing="0" w:line="384" w:lineRule="atLeast"/>
        <w:ind w:firstLine="645"/>
        <w:rPr>
          <w:rFonts w:cs="Helvetica"/>
          <w:color w:val="3E3E3E"/>
          <w:sz w:val="28"/>
          <w:szCs w:val="28"/>
        </w:rPr>
      </w:pPr>
      <w:r>
        <w:rPr>
          <w:rFonts w:cs="Helvetica"/>
          <w:color w:val="3E3E3E"/>
          <w:sz w:val="28"/>
          <w:szCs w:val="28"/>
        </w:rPr>
        <w:t>  </w:t>
      </w:r>
      <w:r>
        <w:rPr>
          <w:rFonts w:hint="eastAsia" w:cs="Helvetica"/>
          <w:color w:val="3E3E3E"/>
          <w:sz w:val="28"/>
          <w:szCs w:val="28"/>
        </w:rPr>
        <w:t>（十三）其他交通费用：填列单位除公务用车运行维护费以外的其他交通费用。如飞机、船舶等的燃料费、维修费、过桥过路费、保险费、出租车费用、公务交通补贴等。</w:t>
      </w:r>
    </w:p>
    <w:p w14:paraId="3693D0EB">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（十四）公务用车购置：填列单位公务用车车辆购置支出（含车辆购置税）。</w:t>
      </w:r>
    </w:p>
    <w:p w14:paraId="17B075A4">
      <w:pPr>
        <w:pStyle w:val="5"/>
        <w:spacing w:before="0" w:beforeAutospacing="0" w:after="0" w:afterAutospacing="0" w:line="384" w:lineRule="atLeast"/>
        <w:ind w:firstLine="645"/>
        <w:rPr>
          <w:rFonts w:cs="Helvetica"/>
          <w:color w:val="3E3E3E"/>
          <w:sz w:val="28"/>
          <w:szCs w:val="28"/>
        </w:rPr>
      </w:pPr>
      <w:r>
        <w:rPr>
          <w:rFonts w:hint="eastAsia" w:cs="Helvetica"/>
          <w:color w:val="3E3E3E"/>
          <w:sz w:val="28"/>
          <w:szCs w:val="28"/>
        </w:rPr>
        <w:t>（十五）其他交通工具购置：填列单位除公务用车外的其他各类交通工具（如船舶、飞机）购置支出（含车辆购置税）。</w:t>
      </w:r>
    </w:p>
    <w:p w14:paraId="416944AA">
      <w:pPr>
        <w:pStyle w:val="5"/>
        <w:spacing w:before="0" w:beforeAutospacing="0" w:after="0" w:afterAutospacing="0" w:line="384" w:lineRule="atLeast"/>
        <w:ind w:firstLine="540"/>
        <w:rPr>
          <w:rFonts w:cs="Helvetica"/>
          <w:color w:val="3E3E3E"/>
          <w:sz w:val="28"/>
          <w:szCs w:val="28"/>
        </w:rPr>
      </w:pPr>
      <w:r>
        <w:rPr>
          <w:rFonts w:hint="eastAsia" w:cs="Helvetica"/>
          <w:color w:val="3E3E3E"/>
          <w:sz w:val="28"/>
          <w:szCs w:val="28"/>
        </w:rPr>
        <w:t>（十六）</w:t>
      </w:r>
      <w:r>
        <w:rPr>
          <w:rFonts w:cs="Helvetica"/>
          <w:color w:val="3E3E3E"/>
          <w:sz w:val="28"/>
          <w:szCs w:val="28"/>
        </w:rPr>
        <w:t xml:space="preserve"> </w:t>
      </w:r>
      <w:r>
        <w:rPr>
          <w:rFonts w:hint="eastAsia" w:cs="Helvetica"/>
          <w:color w:val="3E3E3E"/>
          <w:sz w:val="28"/>
          <w:szCs w:val="28"/>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A658ED6">
      <w:pPr>
        <w:pStyle w:val="8"/>
        <w:adjustRightInd w:val="0"/>
        <w:snapToGrid w:val="0"/>
        <w:spacing w:line="600" w:lineRule="exact"/>
        <w:ind w:left="105" w:leftChars="50" w:firstLine="560"/>
        <w:rPr>
          <w:rFonts w:ascii="宋体"/>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05A3E"/>
    <w:rsid w:val="00034A26"/>
    <w:rsid w:val="001041EE"/>
    <w:rsid w:val="001470C3"/>
    <w:rsid w:val="0015089B"/>
    <w:rsid w:val="00152908"/>
    <w:rsid w:val="001A2DC7"/>
    <w:rsid w:val="001C673D"/>
    <w:rsid w:val="001D36EC"/>
    <w:rsid w:val="001E68F2"/>
    <w:rsid w:val="00251EDA"/>
    <w:rsid w:val="003277A3"/>
    <w:rsid w:val="00372DF7"/>
    <w:rsid w:val="00390D5C"/>
    <w:rsid w:val="003C3520"/>
    <w:rsid w:val="003F0B48"/>
    <w:rsid w:val="003F3B34"/>
    <w:rsid w:val="00471A6A"/>
    <w:rsid w:val="00471EA2"/>
    <w:rsid w:val="00476B61"/>
    <w:rsid w:val="0052104F"/>
    <w:rsid w:val="005245DC"/>
    <w:rsid w:val="00570001"/>
    <w:rsid w:val="0058572E"/>
    <w:rsid w:val="005B3169"/>
    <w:rsid w:val="005F0FE9"/>
    <w:rsid w:val="005F722D"/>
    <w:rsid w:val="0060361A"/>
    <w:rsid w:val="00634C75"/>
    <w:rsid w:val="00672A2F"/>
    <w:rsid w:val="00674EC2"/>
    <w:rsid w:val="006B564B"/>
    <w:rsid w:val="006E5841"/>
    <w:rsid w:val="006E71D0"/>
    <w:rsid w:val="00750C5D"/>
    <w:rsid w:val="00791B38"/>
    <w:rsid w:val="007E59EA"/>
    <w:rsid w:val="008026BF"/>
    <w:rsid w:val="008206DF"/>
    <w:rsid w:val="0082704B"/>
    <w:rsid w:val="008423F5"/>
    <w:rsid w:val="00842CBB"/>
    <w:rsid w:val="008711E4"/>
    <w:rsid w:val="00874B9C"/>
    <w:rsid w:val="00897F56"/>
    <w:rsid w:val="00923A35"/>
    <w:rsid w:val="00933524"/>
    <w:rsid w:val="00945D0B"/>
    <w:rsid w:val="00985214"/>
    <w:rsid w:val="009B4B29"/>
    <w:rsid w:val="009B74FB"/>
    <w:rsid w:val="009C082F"/>
    <w:rsid w:val="00A372C2"/>
    <w:rsid w:val="00A609A3"/>
    <w:rsid w:val="00AA2033"/>
    <w:rsid w:val="00AA21A2"/>
    <w:rsid w:val="00B005DA"/>
    <w:rsid w:val="00B17297"/>
    <w:rsid w:val="00B408DE"/>
    <w:rsid w:val="00B40ED6"/>
    <w:rsid w:val="00B41504"/>
    <w:rsid w:val="00B50BCE"/>
    <w:rsid w:val="00B930D8"/>
    <w:rsid w:val="00B941A9"/>
    <w:rsid w:val="00C222CB"/>
    <w:rsid w:val="00C673FE"/>
    <w:rsid w:val="00C82568"/>
    <w:rsid w:val="00CA2480"/>
    <w:rsid w:val="00CB45AA"/>
    <w:rsid w:val="00D026B5"/>
    <w:rsid w:val="00D6325B"/>
    <w:rsid w:val="00D9008B"/>
    <w:rsid w:val="00D96FB4"/>
    <w:rsid w:val="00DB3197"/>
    <w:rsid w:val="00DB7E7C"/>
    <w:rsid w:val="00DC5EA2"/>
    <w:rsid w:val="00E16EE5"/>
    <w:rsid w:val="00E1752C"/>
    <w:rsid w:val="00E71A30"/>
    <w:rsid w:val="00F00F83"/>
    <w:rsid w:val="00F46674"/>
    <w:rsid w:val="00F56C26"/>
    <w:rsid w:val="00F7078F"/>
    <w:rsid w:val="00FE137D"/>
    <w:rsid w:val="064A3FAD"/>
    <w:rsid w:val="0B6A15E4"/>
    <w:rsid w:val="0D6054DA"/>
    <w:rsid w:val="1AF90D88"/>
    <w:rsid w:val="1F545778"/>
    <w:rsid w:val="225F02A0"/>
    <w:rsid w:val="2BFE7C04"/>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列出段落1"/>
    <w:basedOn w:val="1"/>
    <w:qFormat/>
    <w:uiPriority w:val="99"/>
    <w:pPr>
      <w:ind w:firstLine="420" w:firstLineChars="200"/>
    </w:pPr>
  </w:style>
  <w:style w:type="paragraph" w:styleId="9">
    <w:name w:val="List Paragraph"/>
    <w:basedOn w:val="1"/>
    <w:qFormat/>
    <w:uiPriority w:val="99"/>
    <w:pPr>
      <w:ind w:firstLine="420" w:firstLineChars="200"/>
    </w:pPr>
  </w:style>
  <w:style w:type="character" w:customStyle="1" w:styleId="10">
    <w:name w:val="页眉 Char"/>
    <w:basedOn w:val="7"/>
    <w:link w:val="4"/>
    <w:qFormat/>
    <w:locked/>
    <w:uiPriority w:val="99"/>
    <w:rPr>
      <w:rFonts w:ascii="Calibri" w:hAnsi="Calibri" w:eastAsia="宋体" w:cs="Times New Roman"/>
      <w:kern w:val="2"/>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批注框文本 Char"/>
    <w:basedOn w:val="7"/>
    <w:link w:val="2"/>
    <w:semiHidden/>
    <w:qFormat/>
    <w:locked/>
    <w:uiPriority w:val="99"/>
    <w:rPr>
      <w:rFonts w:ascii="Calibri" w:hAnsi="Calibri" w:eastAsia="宋体" w:cs="Times New Roman"/>
      <w:kern w:val="2"/>
      <w:sz w:val="18"/>
      <w:szCs w:val="18"/>
    </w:rPr>
  </w:style>
  <w:style w:type="paragraph" w:customStyle="1" w:styleId="13">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4305</Words>
  <Characters>4769</Characters>
  <Lines>34</Lines>
  <Paragraphs>9</Paragraphs>
  <TotalTime>71</TotalTime>
  <ScaleCrop>false</ScaleCrop>
  <LinksUpToDate>false</LinksUpToDate>
  <CharactersWithSpaces>4780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2019-01-22T09:56:00Z</dcterms:created>
  <dc:creator>yuanxiaowei</dc:creator>
  <cp:lastModifiedBy>viola</cp:lastModifiedBy>
  <cp:lastPrinted>2018-10-30T03:50:00Z</cp:lastPrinted>
  <dcterms:modified xsi:type="dcterms:W3CDTF">2025-05-12T02:46:43Z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798D7AD30B0D46689D86DB00FA1090C0</vt:lpwstr>
  </property>
  <property fmtid="{D5CDD505-2E9C-101B-9397-08002B2CF9AE}" pid="4" name="KSOTemplateDocerSaveRecord">
    <vt:lpwstr>eyJoZGlkIjoiNDExN2M1Y2EwMTM5NzExZDYxZGRhZmJmNDgzNThmYjciLCJ1c2VySWQiOiI2OTk3NDA1NzAifQ==</vt:lpwstr>
  </property>
</Properties>
</file>