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b/>
          <w:sz w:val="44"/>
          <w:szCs w:val="44"/>
        </w:rPr>
      </w:pPr>
      <w:r>
        <w:rPr>
          <w:rFonts w:hint="eastAsia" w:ascii="宋体" w:hAnsi="宋体" w:eastAsia="宋体"/>
          <w:b/>
          <w:sz w:val="44"/>
          <w:szCs w:val="44"/>
        </w:rPr>
        <w:t>保定市徐水区住房和城乡建设局</w:t>
      </w:r>
    </w:p>
    <w:p>
      <w:pPr>
        <w:spacing w:line="360" w:lineRule="auto"/>
        <w:jc w:val="center"/>
        <w:rPr>
          <w:rFonts w:ascii="宋体" w:hAnsi="宋体" w:eastAsia="宋体"/>
          <w:b/>
          <w:sz w:val="44"/>
          <w:szCs w:val="44"/>
        </w:rPr>
      </w:pPr>
      <w:r>
        <w:rPr>
          <w:rFonts w:ascii="宋体" w:hAnsi="宋体" w:eastAsia="宋体"/>
          <w:b/>
          <w:sz w:val="44"/>
          <w:szCs w:val="44"/>
        </w:rPr>
        <w:t>2021年</w:t>
      </w:r>
      <w:r>
        <w:rPr>
          <w:rFonts w:hint="eastAsia" w:ascii="宋体" w:hAnsi="宋体" w:eastAsia="宋体"/>
          <w:b/>
          <w:sz w:val="44"/>
          <w:szCs w:val="44"/>
          <w:lang w:eastAsia="zh-CN"/>
        </w:rPr>
        <w:t>单位</w:t>
      </w:r>
      <w:r>
        <w:rPr>
          <w:rFonts w:ascii="宋体" w:hAnsi="宋体" w:eastAsia="宋体"/>
          <w:b/>
          <w:sz w:val="44"/>
          <w:szCs w:val="44"/>
        </w:rPr>
        <w:t>预算公开说明</w:t>
      </w:r>
    </w:p>
    <w:p>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eastAsia="zh-CN"/>
        </w:rPr>
        <w:t>中华人民共和国预算法</w:t>
      </w:r>
      <w:r>
        <w:rPr>
          <w:rFonts w:hint="eastAsia" w:ascii="仿宋" w:hAnsi="仿宋" w:eastAsia="仿宋"/>
          <w:sz w:val="32"/>
          <w:szCs w:val="32"/>
        </w:rPr>
        <w:t>》、《地方预决算公开操作规程》等文件规定，现将我</w:t>
      </w:r>
      <w:r>
        <w:rPr>
          <w:rFonts w:hint="eastAsia" w:ascii="仿宋" w:hAnsi="仿宋" w:eastAsia="仿宋"/>
          <w:sz w:val="32"/>
          <w:szCs w:val="32"/>
          <w:lang w:eastAsia="zh-CN"/>
        </w:rPr>
        <w:t>单位</w:t>
      </w:r>
      <w:r>
        <w:rPr>
          <w:rFonts w:hint="eastAsia" w:ascii="仿宋" w:hAnsi="仿宋" w:eastAsia="仿宋"/>
          <w:sz w:val="32"/>
          <w:szCs w:val="32"/>
        </w:rPr>
        <w:t>预算信息公开如下：</w:t>
      </w:r>
    </w:p>
    <w:p>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w:t>
      </w:r>
      <w:r>
        <w:rPr>
          <w:rFonts w:hint="eastAsia" w:ascii="方正小标宋_GBK" w:eastAsia="方正小标宋_GBK"/>
          <w:sz w:val="44"/>
          <w:lang w:eastAsia="zh-CN"/>
        </w:rPr>
        <w:t>单位</w:t>
      </w:r>
      <w:r>
        <w:rPr>
          <w:rFonts w:ascii="方正小标宋_GBK" w:eastAsia="方正小标宋_GBK"/>
          <w:sz w:val="44"/>
        </w:rPr>
        <w:t>职责及机构设置情况</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w:t>
      </w:r>
      <w:r>
        <w:rPr>
          <w:rFonts w:hint="eastAsia" w:ascii="仿宋" w:hAnsi="仿宋" w:eastAsia="仿宋"/>
          <w:b/>
          <w:sz w:val="32"/>
          <w:szCs w:val="32"/>
          <w:lang w:eastAsia="zh-CN"/>
        </w:rPr>
        <w:t>单位</w:t>
      </w:r>
      <w:r>
        <w:rPr>
          <w:rFonts w:hint="eastAsia" w:ascii="仿宋" w:hAnsi="仿宋" w:eastAsia="仿宋"/>
          <w:b/>
          <w:sz w:val="32"/>
          <w:szCs w:val="32"/>
        </w:rPr>
        <w:t>职责</w:t>
      </w:r>
    </w:p>
    <w:p>
      <w:pPr>
        <w:spacing w:line="50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根据《保定市徐水区住房和城乡建设局职能配置、内设机构和人员编制规定》，</w:t>
      </w:r>
      <w:r>
        <w:rPr>
          <w:rFonts w:ascii="仿宋" w:hAnsi="仿宋" w:eastAsia="仿宋" w:cs="Times New Roman"/>
          <w:sz w:val="32"/>
          <w:szCs w:val="32"/>
        </w:rPr>
        <w:t xml:space="preserve"> 保定市徐水区住房和城乡建设局的主要职责是：</w:t>
      </w:r>
    </w:p>
    <w:p>
      <w:pPr>
        <w:spacing w:line="50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根据保定市徐水区委办公室、区人民政府办公室《关于印发保定市徐水区住房和城乡建设局职能配置、内设机构和人员编制规定的通知》（徐办字[2019]7号），我局</w:t>
      </w:r>
      <w:r>
        <w:rPr>
          <w:rFonts w:hint="eastAsia" w:ascii="仿宋" w:hAnsi="仿宋" w:eastAsia="仿宋" w:cs="Times New Roman"/>
          <w:sz w:val="32"/>
          <w:szCs w:val="32"/>
          <w:lang w:eastAsia="zh-CN"/>
        </w:rPr>
        <w:t>单位</w:t>
      </w:r>
      <w:r>
        <w:rPr>
          <w:rFonts w:ascii="仿宋" w:hAnsi="仿宋" w:eastAsia="仿宋" w:cs="Times New Roman"/>
          <w:sz w:val="32"/>
          <w:szCs w:val="32"/>
        </w:rPr>
        <w:t>职责如下：</w:t>
      </w:r>
    </w:p>
    <w:p>
      <w:pPr>
        <w:spacing w:line="50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(一)贯彻执行国家、省、市、区相关建设工作的法规、方针、政策。依据有关规定进行行业管理，根据本区国民经济和社会发展总体规划，制定本区住房和城乡建设工作的中长期规划和具体实施计划。</w:t>
      </w:r>
    </w:p>
    <w:p>
      <w:pPr>
        <w:spacing w:line="50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（二）推进住房制度改革，依据上级住房政策，拟定适合本区的住房制度改革的具体方案并组织实施。</w:t>
      </w:r>
    </w:p>
    <w:p>
      <w:pPr>
        <w:spacing w:line="50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（三）监督管理建筑市场，规范市场各方主体行为。会同有关</w:t>
      </w:r>
      <w:r>
        <w:rPr>
          <w:rFonts w:hint="eastAsia" w:ascii="仿宋" w:hAnsi="仿宋" w:eastAsia="仿宋" w:cs="Times New Roman"/>
          <w:sz w:val="32"/>
          <w:szCs w:val="32"/>
          <w:lang w:eastAsia="zh-CN"/>
        </w:rPr>
        <w:t>单位</w:t>
      </w:r>
      <w:r>
        <w:rPr>
          <w:rFonts w:ascii="仿宋" w:hAnsi="仿宋" w:eastAsia="仿宋" w:cs="Times New Roman"/>
          <w:sz w:val="32"/>
          <w:szCs w:val="32"/>
        </w:rPr>
        <w:t>建立健全全区建筑市场管理体系，规范建筑市场，监督管理建筑市场准入、工程招投标、工程咨询、工程监理、工程质量、工程稽查（事中、事后）和安全；组织或参与重大工程质量事故的调查处理；负责工程质量的审核与评定及受理工程质量纠纷；负责全区建筑施工企业和建筑产品生产企业资质的管理工作；负责建筑行业职业健康的监督管理工作。</w:t>
      </w:r>
    </w:p>
    <w:p>
      <w:pPr>
        <w:spacing w:line="50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（四）参与工程建设的前期准备工作，全面负责工程建设实施阶段的管理工作；监督检查工程质量及施工安全。</w:t>
      </w:r>
    </w:p>
    <w:p>
      <w:pPr>
        <w:spacing w:line="50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（五）参与制定城镇国土规划和区域规划，负责城市科研、名城保护；指导城市地下空间开发和利用工作。</w:t>
      </w:r>
    </w:p>
    <w:p>
      <w:pPr>
        <w:spacing w:line="50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六）规范房地产市场秩序，负责全区住宅与房地产行业管理；制定房地产行业和房地产市场的有关规章并监督执行；提出房地产的行业发展规划和产业政策，负责房地产开发、商品房预（销）售、房地产交易管理；同时受区政府委托负责管理房屋拆迁工作。</w:t>
      </w:r>
    </w:p>
    <w:p>
      <w:pPr>
        <w:spacing w:line="50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（七）拟定全区危旧住房的改造计划并组织实施。指导全区乡镇和村庄的建设与管理，指导农村住房建设、安全及危房改造，推动村镇建设的改革与发展。</w:t>
      </w:r>
    </w:p>
    <w:p>
      <w:pPr>
        <w:spacing w:line="50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(八)负责建设系统的普法培训和行政执法证件的审报、发放和管理工作，负责住房和城乡建设系统的法制宣传教育工作。</w:t>
      </w:r>
    </w:p>
    <w:p>
      <w:pPr>
        <w:spacing w:line="50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（九）负责城建档案、建设信息的管理工作。</w:t>
      </w:r>
    </w:p>
    <w:p>
      <w:pPr>
        <w:spacing w:line="50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（十）负责管理全区实施绿色建筑、城镇减排工作；会同有关</w:t>
      </w:r>
      <w:r>
        <w:rPr>
          <w:rFonts w:hint="eastAsia" w:ascii="仿宋" w:hAnsi="仿宋" w:eastAsia="仿宋" w:cs="Times New Roman"/>
          <w:sz w:val="32"/>
          <w:szCs w:val="32"/>
          <w:lang w:eastAsia="zh-CN"/>
        </w:rPr>
        <w:t>单位</w:t>
      </w:r>
      <w:r>
        <w:rPr>
          <w:rFonts w:ascii="仿宋" w:hAnsi="仿宋" w:eastAsia="仿宋" w:cs="Times New Roman"/>
          <w:sz w:val="32"/>
          <w:szCs w:val="32"/>
        </w:rPr>
        <w:t>拟定建筑节能政策、规划并监督实施；负责管理和指导全区新型墙体材料及建筑节能产品的监督管理以及超低能耗建筑、装配式建筑、粉煤灰综合利用、散装水泥等的推广应用。</w:t>
      </w:r>
    </w:p>
    <w:p>
      <w:pPr>
        <w:spacing w:line="50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（十一）落实上级住房保障相关政策并指导实施，建立和完善本区保障性住房管理制度，会同有关</w:t>
      </w:r>
      <w:r>
        <w:rPr>
          <w:rFonts w:hint="eastAsia" w:ascii="仿宋" w:hAnsi="仿宋" w:eastAsia="仿宋" w:cs="Times New Roman"/>
          <w:sz w:val="32"/>
          <w:szCs w:val="32"/>
          <w:lang w:eastAsia="zh-CN"/>
        </w:rPr>
        <w:t>单位</w:t>
      </w:r>
      <w:r>
        <w:rPr>
          <w:rFonts w:ascii="仿宋" w:hAnsi="仿宋" w:eastAsia="仿宋" w:cs="Times New Roman"/>
          <w:sz w:val="32"/>
          <w:szCs w:val="32"/>
        </w:rPr>
        <w:t>做好中央、省、市有关保障性住房资金安排并监督实施；编制住房保障发展规划和年度计划并监督实施；保障本区城镇低收入家庭住房。</w:t>
      </w:r>
    </w:p>
    <w:p>
      <w:pPr>
        <w:spacing w:line="50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（十二）负责本区物业服务的监督管理工作。</w:t>
      </w:r>
    </w:p>
    <w:p>
      <w:pPr>
        <w:spacing w:line="50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（十三）承担和实施建立科学规范的工程建设标准体系；监督指导全区各类工程建设标准、定额的实施；对工程造价实施管理；组织发布工程造价信息；负责工程造价的审核与评定及受理工程造价纠纷；</w:t>
      </w:r>
    </w:p>
    <w:p>
      <w:pPr>
        <w:spacing w:line="50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（十四）承办区委、区政府交办的其它工作。</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pPr>
              <w:jc w:val="center"/>
              <w:rPr>
                <w:rFonts w:ascii="仿宋_GB2312" w:hAnsi="仿宋" w:eastAsia="仿宋_GB2312"/>
                <w:bCs/>
                <w:sz w:val="24"/>
                <w:szCs w:val="24"/>
              </w:rPr>
            </w:pPr>
            <w:r>
              <w:rPr>
                <w:rFonts w:hint="eastAsia" w:ascii="仿宋_GB2312" w:hAnsi="仿宋" w:eastAsia="仿宋_GB2312"/>
                <w:bCs/>
                <w:sz w:val="24"/>
                <w:szCs w:val="24"/>
              </w:rPr>
              <w:t>保定市徐水区住房和城乡建设局</w:t>
            </w:r>
          </w:p>
        </w:tc>
        <w:tc>
          <w:tcPr>
            <w:tcW w:w="1701"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vAlign w:val="center"/>
          </w:tcPr>
          <w:p>
            <w:pPr>
              <w:jc w:val="center"/>
              <w:rPr>
                <w:rFonts w:ascii="仿宋_GB2312" w:hAnsi="仿宋" w:eastAsia="仿宋_GB2312"/>
                <w:bCs/>
                <w:sz w:val="24"/>
                <w:szCs w:val="24"/>
              </w:rPr>
            </w:pPr>
          </w:p>
        </w:tc>
        <w:tc>
          <w:tcPr>
            <w:tcW w:w="3260"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bCs/>
                <w:sz w:val="24"/>
                <w:szCs w:val="24"/>
              </w:rPr>
            </w:pPr>
          </w:p>
        </w:tc>
        <w:tc>
          <w:tcPr>
            <w:tcW w:w="2692" w:type="dxa"/>
            <w:tcBorders>
              <w:top w:val="single" w:color="auto" w:sz="4" w:space="0"/>
              <w:bottom w:val="single" w:color="auto" w:sz="4" w:space="0"/>
            </w:tcBorders>
            <w:vAlign w:val="center"/>
          </w:tcPr>
          <w:p>
            <w:pPr>
              <w:jc w:val="center"/>
              <w:rPr>
                <w:rFonts w:ascii="仿宋_GB2312" w:hAnsi="仿宋" w:eastAsia="仿宋_GB2312"/>
                <w:bCs/>
                <w:sz w:val="24"/>
                <w:szCs w:val="24"/>
              </w:rPr>
            </w:pPr>
          </w:p>
        </w:tc>
        <w:tc>
          <w:tcPr>
            <w:tcW w:w="1701" w:type="dxa"/>
            <w:vAlign w:val="center"/>
          </w:tcPr>
          <w:p>
            <w:pPr>
              <w:jc w:val="center"/>
              <w:rPr>
                <w:rFonts w:ascii="仿宋_GB2312" w:hAnsi="仿宋" w:eastAsia="仿宋_GB2312"/>
                <w:bCs/>
                <w:sz w:val="24"/>
                <w:szCs w:val="24"/>
              </w:rPr>
            </w:pPr>
          </w:p>
        </w:tc>
        <w:tc>
          <w:tcPr>
            <w:tcW w:w="1418" w:type="dxa"/>
            <w:vAlign w:val="center"/>
          </w:tcPr>
          <w:p>
            <w:pPr>
              <w:jc w:val="center"/>
              <w:rPr>
                <w:rFonts w:ascii="仿宋_GB2312" w:hAnsi="仿宋" w:eastAsia="仿宋_GB2312"/>
                <w:bCs/>
                <w:sz w:val="24"/>
                <w:szCs w:val="24"/>
              </w:rPr>
            </w:pPr>
          </w:p>
        </w:tc>
        <w:tc>
          <w:tcPr>
            <w:tcW w:w="3260" w:type="dxa"/>
            <w:vAlign w:val="center"/>
          </w:tcPr>
          <w:p>
            <w:pPr>
              <w:jc w:val="center"/>
              <w:rPr>
                <w:rFonts w:ascii="仿宋_GB2312" w:hAnsi="仿宋" w:eastAsia="仿宋_GB2312"/>
                <w:bCs/>
                <w:sz w:val="24"/>
                <w:szCs w:val="24"/>
              </w:rPr>
            </w:pPr>
          </w:p>
        </w:tc>
      </w:tr>
    </w:tbl>
    <w:p>
      <w:pPr>
        <w:spacing w:line="360" w:lineRule="auto"/>
        <w:rPr>
          <w:rFonts w:ascii="仿宋" w:hAnsi="仿宋" w:eastAsia="仿宋"/>
          <w:b/>
          <w:sz w:val="32"/>
          <w:szCs w:val="32"/>
        </w:rPr>
      </w:pPr>
    </w:p>
    <w:p>
      <w:pPr>
        <w:jc w:val="center"/>
        <w:outlineLvl w:val="0"/>
        <w:rPr>
          <w:rFonts w:ascii="方正小标宋_GBK" w:eastAsia="方正小标宋_GBK"/>
          <w:sz w:val="44"/>
        </w:rPr>
      </w:pPr>
      <w:r>
        <w:rPr>
          <w:rFonts w:hint="eastAsia" w:ascii="方正小标宋_GBK" w:eastAsia="方正小标宋_GBK"/>
          <w:sz w:val="44"/>
        </w:rPr>
        <w:t>第二部分：</w:t>
      </w:r>
      <w:r>
        <w:rPr>
          <w:rFonts w:hint="eastAsia" w:ascii="方正小标宋_GBK" w:eastAsia="方正小标宋_GBK"/>
          <w:sz w:val="44"/>
          <w:lang w:eastAsia="zh-CN"/>
        </w:rPr>
        <w:t>单位</w:t>
      </w:r>
      <w:r>
        <w:rPr>
          <w:rFonts w:hint="eastAsia" w:ascii="方正小标宋_GBK" w:eastAsia="方正小标宋_GBK"/>
          <w:sz w:val="44"/>
        </w:rPr>
        <w:t>预算安排的总体情况</w:t>
      </w:r>
      <w:r>
        <w:rPr>
          <w:rFonts w:ascii="方正小标宋_GBK" w:eastAsia="方正小标宋_GBK"/>
          <w:sz w:val="44"/>
        </w:rPr>
        <w:t xml:space="preserve"> </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w:t>
      </w:r>
      <w:r>
        <w:rPr>
          <w:rFonts w:hint="eastAsia" w:ascii="仿宋" w:hAnsi="仿宋" w:eastAsia="仿宋"/>
          <w:sz w:val="32"/>
          <w:szCs w:val="32"/>
          <w:lang w:eastAsia="zh-CN"/>
        </w:rPr>
        <w:t>单位</w:t>
      </w:r>
      <w:r>
        <w:rPr>
          <w:rFonts w:hint="eastAsia" w:ascii="仿宋" w:hAnsi="仿宋" w:eastAsia="仿宋"/>
          <w:sz w:val="32"/>
          <w:szCs w:val="32"/>
        </w:rPr>
        <w:t>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w:t>
      </w:r>
      <w:r>
        <w:rPr>
          <w:rFonts w:hint="eastAsia" w:ascii="仿宋" w:hAnsi="仿宋" w:eastAsia="仿宋"/>
          <w:sz w:val="32"/>
          <w:szCs w:val="32"/>
          <w:lang w:eastAsia="zh-CN"/>
        </w:rPr>
        <w:t>单位</w:t>
      </w:r>
      <w:r>
        <w:rPr>
          <w:rFonts w:hint="eastAsia" w:ascii="仿宋" w:hAnsi="仿宋" w:eastAsia="仿宋"/>
          <w:sz w:val="32"/>
          <w:szCs w:val="32"/>
        </w:rPr>
        <w:t>及所属事业单位的收支包含在</w:t>
      </w:r>
      <w:r>
        <w:rPr>
          <w:rFonts w:hint="eastAsia" w:ascii="仿宋" w:hAnsi="仿宋" w:eastAsia="仿宋"/>
          <w:sz w:val="32"/>
          <w:szCs w:val="32"/>
          <w:lang w:eastAsia="zh-CN"/>
        </w:rPr>
        <w:t>单位</w:t>
      </w:r>
      <w:r>
        <w:rPr>
          <w:rFonts w:hint="eastAsia" w:ascii="仿宋" w:hAnsi="仿宋" w:eastAsia="仿宋"/>
          <w:sz w:val="32"/>
          <w:szCs w:val="32"/>
        </w:rPr>
        <w:t>预算中。</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pPr>
        <w:spacing w:line="360" w:lineRule="auto"/>
        <w:ind w:firstLine="640" w:firstLineChars="200"/>
        <w:rPr>
          <w:rFonts w:ascii="仿宋" w:hAnsi="仿宋" w:eastAsia="仿宋"/>
          <w:sz w:val="32"/>
          <w:szCs w:val="32"/>
        </w:rPr>
      </w:pPr>
      <w:r>
        <w:rPr>
          <w:rFonts w:ascii="仿宋" w:hAnsi="仿宋" w:eastAsia="仿宋"/>
          <w:sz w:val="32"/>
          <w:szCs w:val="32"/>
        </w:rPr>
        <w:t>2021年预算收入为</w:t>
      </w:r>
      <w:r>
        <w:rPr>
          <w:rFonts w:hint="default" w:ascii="仿宋" w:hAnsi="仿宋" w:eastAsia="仿宋"/>
          <w:sz w:val="32"/>
          <w:szCs w:val="32"/>
          <w:lang w:val="en-US"/>
        </w:rPr>
        <w:t>3721.037335</w:t>
      </w:r>
      <w:r>
        <w:rPr>
          <w:rFonts w:ascii="仿宋" w:hAnsi="仿宋" w:eastAsia="仿宋"/>
          <w:sz w:val="32"/>
          <w:szCs w:val="32"/>
        </w:rPr>
        <w:t>万元,其中：一般公共预算收入</w:t>
      </w:r>
      <w:r>
        <w:rPr>
          <w:rFonts w:hint="default" w:ascii="仿宋" w:hAnsi="仿宋" w:eastAsia="仿宋"/>
          <w:sz w:val="32"/>
          <w:szCs w:val="32"/>
          <w:lang w:val="en-US"/>
        </w:rPr>
        <w:t>2623.019735</w:t>
      </w:r>
      <w:r>
        <w:rPr>
          <w:rFonts w:ascii="仿宋" w:hAnsi="仿宋" w:eastAsia="仿宋"/>
          <w:sz w:val="32"/>
          <w:szCs w:val="32"/>
        </w:rPr>
        <w:t>万元，基金预算收入1098</w:t>
      </w:r>
      <w:r>
        <w:rPr>
          <w:rFonts w:hint="eastAsia" w:ascii="仿宋" w:hAnsi="仿宋" w:eastAsia="仿宋"/>
          <w:sz w:val="32"/>
          <w:szCs w:val="32"/>
        </w:rPr>
        <w:t>.</w:t>
      </w:r>
      <w:r>
        <w:rPr>
          <w:rFonts w:ascii="仿宋" w:hAnsi="仿宋" w:eastAsia="仿宋"/>
          <w:sz w:val="32"/>
          <w:szCs w:val="32"/>
        </w:rPr>
        <w:t>0176万元。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pPr>
        <w:spacing w:line="360" w:lineRule="auto"/>
        <w:ind w:firstLine="640" w:firstLineChars="200"/>
        <w:rPr>
          <w:rFonts w:ascii="仿宋" w:hAnsi="仿宋" w:eastAsia="仿宋"/>
          <w:sz w:val="32"/>
          <w:szCs w:val="32"/>
        </w:rPr>
      </w:pPr>
      <w:r>
        <w:rPr>
          <w:rFonts w:ascii="仿宋" w:hAnsi="仿宋" w:eastAsia="仿宋"/>
          <w:sz w:val="32"/>
          <w:szCs w:val="32"/>
        </w:rPr>
        <w:t>2021年</w:t>
      </w:r>
      <w:r>
        <w:rPr>
          <w:rFonts w:hint="eastAsia" w:ascii="仿宋" w:hAnsi="仿宋" w:eastAsia="仿宋"/>
          <w:sz w:val="32"/>
          <w:szCs w:val="32"/>
          <w:lang w:eastAsia="zh-CN"/>
        </w:rPr>
        <w:t>单位</w:t>
      </w:r>
      <w:r>
        <w:rPr>
          <w:rFonts w:ascii="仿宋" w:hAnsi="仿宋" w:eastAsia="仿宋"/>
          <w:sz w:val="32"/>
          <w:szCs w:val="32"/>
        </w:rPr>
        <w:t>支出预算：</w:t>
      </w:r>
      <w:r>
        <w:rPr>
          <w:rFonts w:hint="default" w:ascii="仿宋" w:hAnsi="仿宋" w:eastAsia="仿宋"/>
          <w:sz w:val="32"/>
          <w:szCs w:val="32"/>
          <w:lang w:val="en-US"/>
        </w:rPr>
        <w:t>3721.037335</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w:t>
      </w:r>
      <w:r>
        <w:rPr>
          <w:rFonts w:hint="default" w:ascii="仿宋" w:hAnsi="仿宋" w:eastAsia="仿宋"/>
          <w:sz w:val="32"/>
          <w:szCs w:val="32"/>
          <w:lang w:val="en-US"/>
        </w:rPr>
        <w:t>237.94</w:t>
      </w:r>
      <w:r>
        <w:rPr>
          <w:rFonts w:hint="eastAsia"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w:t>
      </w:r>
      <w:r>
        <w:rPr>
          <w:rFonts w:hint="default" w:ascii="仿宋" w:hAnsi="仿宋" w:eastAsia="仿宋"/>
          <w:sz w:val="32"/>
          <w:szCs w:val="32"/>
          <w:lang w:val="en-US"/>
        </w:rPr>
        <w:t>200.49</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w:t>
      </w:r>
      <w:r>
        <w:rPr>
          <w:rFonts w:hint="default" w:ascii="仿宋" w:hAnsi="仿宋" w:eastAsia="仿宋"/>
          <w:sz w:val="32"/>
          <w:szCs w:val="32"/>
          <w:lang w:val="en-US"/>
        </w:rPr>
        <w:t>37.45</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3483</w:t>
      </w:r>
      <w:r>
        <w:rPr>
          <w:rFonts w:hint="eastAsia" w:ascii="仿宋" w:hAnsi="仿宋" w:eastAsia="仿宋"/>
          <w:sz w:val="32"/>
          <w:szCs w:val="32"/>
        </w:rPr>
        <w:t>.</w:t>
      </w:r>
      <w:r>
        <w:rPr>
          <w:rFonts w:ascii="仿宋" w:hAnsi="仿宋" w:eastAsia="仿宋"/>
          <w:sz w:val="32"/>
          <w:szCs w:val="32"/>
        </w:rPr>
        <w:t>097335万元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其中：本级支出3483.097335万元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w:t>
      </w:r>
      <w:r>
        <w:rPr>
          <w:rFonts w:hint="default" w:ascii="仿宋" w:hAnsi="仿宋" w:eastAsia="仿宋"/>
          <w:sz w:val="32"/>
          <w:szCs w:val="32"/>
          <w:lang w:val="en-US"/>
        </w:rPr>
        <w:t>3721.037335</w:t>
      </w:r>
      <w:r>
        <w:rPr>
          <w:rFonts w:hint="eastAsia" w:ascii="仿宋" w:hAnsi="仿宋" w:eastAsia="仿宋"/>
          <w:sz w:val="32"/>
          <w:szCs w:val="32"/>
        </w:rPr>
        <w:t>万元，较上年</w:t>
      </w:r>
      <w:r>
        <w:rPr>
          <w:rFonts w:ascii="仿宋" w:hAnsi="仿宋" w:eastAsia="仿宋"/>
          <w:sz w:val="32"/>
          <w:szCs w:val="32"/>
        </w:rPr>
        <w:t>减少</w:t>
      </w:r>
      <w:r>
        <w:rPr>
          <w:rFonts w:hint="eastAsia" w:ascii="仿宋" w:hAnsi="仿宋" w:eastAsia="仿宋"/>
          <w:sz w:val="32"/>
          <w:szCs w:val="32"/>
        </w:rPr>
        <w:t>2</w:t>
      </w:r>
      <w:r>
        <w:rPr>
          <w:rFonts w:hint="default" w:ascii="仿宋" w:hAnsi="仿宋" w:eastAsia="仿宋"/>
          <w:sz w:val="32"/>
          <w:szCs w:val="32"/>
          <w:lang w:val="en-US"/>
        </w:rPr>
        <w:t>4</w:t>
      </w:r>
      <w:r>
        <w:rPr>
          <w:rFonts w:hint="eastAsia" w:ascii="仿宋" w:hAnsi="仿宋" w:eastAsia="仿宋"/>
          <w:sz w:val="32"/>
          <w:szCs w:val="32"/>
        </w:rPr>
        <w:t>.</w:t>
      </w:r>
      <w:r>
        <w:rPr>
          <w:rFonts w:hint="default" w:ascii="仿宋" w:hAnsi="仿宋" w:eastAsia="仿宋"/>
          <w:sz w:val="32"/>
          <w:szCs w:val="32"/>
          <w:lang w:val="en-US"/>
        </w:rPr>
        <w:t>962665</w:t>
      </w:r>
      <w:r>
        <w:rPr>
          <w:rFonts w:ascii="仿宋" w:hAnsi="仿宋" w:eastAsia="仿宋"/>
          <w:sz w:val="32"/>
          <w:szCs w:val="32"/>
        </w:rPr>
        <w:t>万元。其中:基本支出减少</w:t>
      </w:r>
      <w:r>
        <w:rPr>
          <w:rFonts w:hint="default" w:ascii="仿宋" w:hAnsi="仿宋" w:eastAsia="仿宋"/>
          <w:sz w:val="32"/>
          <w:szCs w:val="32"/>
          <w:lang w:val="en-US"/>
        </w:rPr>
        <w:t>25.48</w:t>
      </w:r>
      <w:r>
        <w:rPr>
          <w:rFonts w:ascii="仿宋" w:hAnsi="仿宋" w:eastAsia="仿宋"/>
          <w:sz w:val="32"/>
          <w:szCs w:val="32"/>
        </w:rPr>
        <w:t>万元，主要原因是</w:t>
      </w:r>
      <w:r>
        <w:rPr>
          <w:rFonts w:hint="eastAsia" w:ascii="仿宋" w:hAnsi="仿宋" w:eastAsia="仿宋"/>
          <w:sz w:val="32"/>
          <w:szCs w:val="32"/>
        </w:rPr>
        <w:t>退休人员增加，人员经费支出减少</w:t>
      </w:r>
      <w:r>
        <w:rPr>
          <w:rFonts w:ascii="仿宋" w:hAnsi="仿宋" w:eastAsia="仿宋"/>
          <w:sz w:val="32"/>
          <w:szCs w:val="32"/>
        </w:rPr>
        <w:t>；项目支出增加</w:t>
      </w:r>
      <w:r>
        <w:rPr>
          <w:rFonts w:hint="eastAsia" w:ascii="仿宋" w:hAnsi="仿宋" w:eastAsia="仿宋"/>
          <w:sz w:val="32"/>
          <w:szCs w:val="32"/>
        </w:rPr>
        <w:t>0.517335</w:t>
      </w:r>
      <w:r>
        <w:rPr>
          <w:rFonts w:ascii="仿宋" w:hAnsi="仿宋" w:eastAsia="仿宋"/>
          <w:sz w:val="32"/>
          <w:szCs w:val="32"/>
        </w:rPr>
        <w:t>万元，主要原因是</w:t>
      </w:r>
      <w:r>
        <w:rPr>
          <w:rFonts w:hint="eastAsia" w:ascii="仿宋" w:hAnsi="仿宋" w:eastAsia="仿宋"/>
          <w:sz w:val="32"/>
          <w:szCs w:val="32"/>
        </w:rPr>
        <w:t>项目增加</w:t>
      </w:r>
      <w:r>
        <w:rPr>
          <w:rFonts w:ascii="仿宋" w:hAnsi="仿宋" w:eastAsia="仿宋"/>
          <w:sz w:val="32"/>
          <w:szCs w:val="32"/>
        </w:rPr>
        <w:t>。</w:t>
      </w:r>
    </w:p>
    <w:p>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pPr>
        <w:spacing w:line="360" w:lineRule="auto"/>
        <w:ind w:firstLine="640" w:firstLineChars="200"/>
        <w:rPr>
          <w:rFonts w:ascii="仿宋" w:hAnsi="仿宋" w:eastAsia="仿宋"/>
          <w:b/>
          <w:sz w:val="32"/>
          <w:szCs w:val="32"/>
        </w:rPr>
      </w:pPr>
      <w:r>
        <w:rPr>
          <w:rFonts w:ascii="仿宋" w:hAnsi="仿宋" w:eastAsia="仿宋"/>
          <w:sz w:val="32"/>
          <w:szCs w:val="32"/>
        </w:rPr>
        <w:t>202</w:t>
      </w:r>
      <w:r>
        <w:rPr>
          <w:rFonts w:hint="eastAsia" w:ascii="仿宋" w:hAnsi="仿宋" w:eastAsia="仿宋"/>
          <w:sz w:val="32"/>
          <w:szCs w:val="32"/>
        </w:rPr>
        <w:t>1</w:t>
      </w:r>
      <w:r>
        <w:rPr>
          <w:rFonts w:ascii="仿宋" w:hAnsi="仿宋" w:eastAsia="仿宋"/>
          <w:sz w:val="32"/>
          <w:szCs w:val="32"/>
        </w:rPr>
        <w:t>年我</w:t>
      </w:r>
      <w:r>
        <w:rPr>
          <w:rFonts w:hint="eastAsia" w:ascii="仿宋" w:hAnsi="仿宋" w:eastAsia="仿宋"/>
          <w:sz w:val="32"/>
          <w:szCs w:val="32"/>
          <w:lang w:eastAsia="zh-CN"/>
        </w:rPr>
        <w:t>单位</w:t>
      </w:r>
      <w:r>
        <w:rPr>
          <w:rFonts w:ascii="仿宋" w:hAnsi="仿宋" w:eastAsia="仿宋"/>
          <w:sz w:val="32"/>
          <w:szCs w:val="32"/>
        </w:rPr>
        <w:t>机关运行经费安排</w:t>
      </w:r>
      <w:r>
        <w:rPr>
          <w:rFonts w:hint="default" w:ascii="仿宋" w:hAnsi="仿宋" w:eastAsia="仿宋"/>
          <w:sz w:val="32"/>
          <w:szCs w:val="32"/>
          <w:lang w:val="en-US"/>
        </w:rPr>
        <w:t>37.45</w:t>
      </w:r>
      <w:r>
        <w:rPr>
          <w:rFonts w:ascii="仿宋" w:hAnsi="仿宋" w:eastAsia="仿宋"/>
          <w:sz w:val="32"/>
          <w:szCs w:val="32"/>
        </w:rPr>
        <w:t>万元，其中办公费</w:t>
      </w:r>
      <w:r>
        <w:rPr>
          <w:rFonts w:hint="default" w:ascii="仿宋" w:hAnsi="仿宋" w:eastAsia="仿宋"/>
          <w:sz w:val="32"/>
          <w:szCs w:val="32"/>
          <w:lang w:val="en-US"/>
        </w:rPr>
        <w:t>3.6</w:t>
      </w:r>
      <w:r>
        <w:rPr>
          <w:rFonts w:ascii="仿宋" w:hAnsi="仿宋" w:eastAsia="仿宋"/>
          <w:sz w:val="32"/>
          <w:szCs w:val="32"/>
        </w:rPr>
        <w:t>万元，邮电费</w:t>
      </w:r>
      <w:r>
        <w:rPr>
          <w:rFonts w:hint="eastAsia" w:ascii="仿宋" w:hAnsi="仿宋" w:eastAsia="仿宋"/>
          <w:sz w:val="32"/>
          <w:szCs w:val="32"/>
        </w:rPr>
        <w:t>5.46</w:t>
      </w:r>
      <w:r>
        <w:rPr>
          <w:rFonts w:ascii="仿宋" w:hAnsi="仿宋" w:eastAsia="仿宋"/>
          <w:sz w:val="32"/>
          <w:szCs w:val="32"/>
        </w:rPr>
        <w:t>万元，办公取暖费11.6</w:t>
      </w:r>
      <w:r>
        <w:rPr>
          <w:rFonts w:hint="eastAsia" w:ascii="仿宋" w:hAnsi="仿宋" w:eastAsia="仿宋"/>
          <w:sz w:val="32"/>
          <w:szCs w:val="32"/>
        </w:rPr>
        <w:t>1</w:t>
      </w:r>
      <w:r>
        <w:rPr>
          <w:rFonts w:ascii="仿宋" w:hAnsi="仿宋" w:eastAsia="仿宋"/>
          <w:sz w:val="32"/>
          <w:szCs w:val="32"/>
        </w:rPr>
        <w:t>万元，工会经费</w:t>
      </w:r>
      <w:r>
        <w:rPr>
          <w:rFonts w:hint="default" w:ascii="仿宋" w:hAnsi="仿宋" w:eastAsia="仿宋"/>
          <w:sz w:val="32"/>
          <w:szCs w:val="32"/>
          <w:lang w:val="en-US"/>
        </w:rPr>
        <w:t>1.52</w:t>
      </w:r>
      <w:r>
        <w:rPr>
          <w:rFonts w:hint="eastAsia" w:ascii="仿宋" w:hAnsi="仿宋" w:eastAsia="仿宋"/>
          <w:sz w:val="32"/>
          <w:szCs w:val="32"/>
          <w:lang w:val="en-US" w:eastAsia="zh-CN"/>
        </w:rPr>
        <w:t>万元</w:t>
      </w:r>
      <w:r>
        <w:rPr>
          <w:rFonts w:ascii="仿宋" w:hAnsi="仿宋" w:eastAsia="仿宋"/>
          <w:sz w:val="32"/>
          <w:szCs w:val="32"/>
        </w:rPr>
        <w:t>、福利费</w:t>
      </w:r>
      <w:r>
        <w:rPr>
          <w:rFonts w:hint="default" w:ascii="仿宋" w:hAnsi="仿宋" w:eastAsia="仿宋"/>
          <w:sz w:val="32"/>
          <w:szCs w:val="32"/>
          <w:lang w:val="en-US"/>
        </w:rPr>
        <w:t>1.06</w:t>
      </w:r>
      <w:r>
        <w:rPr>
          <w:rFonts w:ascii="仿宋" w:hAnsi="仿宋" w:eastAsia="仿宋"/>
          <w:sz w:val="32"/>
          <w:szCs w:val="32"/>
        </w:rPr>
        <w:t>万元，公务用车运行维护费</w:t>
      </w:r>
      <w:r>
        <w:rPr>
          <w:rFonts w:hint="eastAsia" w:ascii="仿宋" w:hAnsi="仿宋" w:eastAsia="仿宋"/>
          <w:sz w:val="32"/>
          <w:szCs w:val="32"/>
        </w:rPr>
        <w:t>5.4</w:t>
      </w:r>
      <w:r>
        <w:rPr>
          <w:rFonts w:ascii="仿宋" w:hAnsi="仿宋" w:eastAsia="仿宋"/>
          <w:sz w:val="32"/>
          <w:szCs w:val="32"/>
        </w:rPr>
        <w:t>万元，其他交通费</w:t>
      </w:r>
      <w:r>
        <w:rPr>
          <w:rFonts w:hint="eastAsia" w:ascii="仿宋" w:hAnsi="仿宋" w:eastAsia="仿宋"/>
          <w:sz w:val="32"/>
          <w:szCs w:val="32"/>
        </w:rPr>
        <w:t>5.88</w:t>
      </w:r>
      <w:r>
        <w:rPr>
          <w:rFonts w:ascii="仿宋" w:hAnsi="仿宋" w:eastAsia="仿宋"/>
          <w:sz w:val="32"/>
          <w:szCs w:val="32"/>
        </w:rPr>
        <w:t>万元，其他支出</w:t>
      </w:r>
      <w:r>
        <w:rPr>
          <w:rFonts w:hint="default" w:ascii="仿宋" w:hAnsi="仿宋" w:eastAsia="仿宋"/>
          <w:sz w:val="32"/>
          <w:szCs w:val="32"/>
          <w:lang w:val="en-US"/>
        </w:rPr>
        <w:t>2.92</w:t>
      </w:r>
      <w:r>
        <w:rPr>
          <w:rFonts w:ascii="仿宋" w:hAnsi="仿宋" w:eastAsia="仿宋"/>
          <w:sz w:val="32"/>
          <w:szCs w:val="32"/>
        </w:rPr>
        <w:t>万元。</w:t>
      </w:r>
    </w:p>
    <w:p>
      <w:pPr>
        <w:spacing w:line="360" w:lineRule="auto"/>
        <w:jc w:val="center"/>
        <w:rPr>
          <w:rFonts w:ascii="黑体" w:hAnsi="黑体" w:eastAsia="黑体" w:cs="Times New Roman"/>
          <w:sz w:val="32"/>
          <w:szCs w:val="32"/>
        </w:rPr>
      </w:pPr>
    </w:p>
    <w:p>
      <w:pPr>
        <w:spacing w:line="360" w:lineRule="auto"/>
        <w:jc w:val="center"/>
        <w:rPr>
          <w:rFonts w:ascii="黑体" w:hAnsi="黑体" w:eastAsia="黑体" w:cs="Times New Roman"/>
          <w:sz w:val="32"/>
          <w:szCs w:val="32"/>
        </w:rPr>
      </w:pPr>
    </w:p>
    <w:p>
      <w:pPr>
        <w:jc w:val="center"/>
        <w:outlineLvl w:val="0"/>
        <w:rPr>
          <w:rFonts w:hint="eastAsia" w:ascii="方正小标宋_GBK" w:eastAsia="方正小标宋_GBK"/>
          <w:sz w:val="44"/>
        </w:rPr>
      </w:pPr>
    </w:p>
    <w:p>
      <w:pPr>
        <w:jc w:val="center"/>
        <w:outlineLvl w:val="0"/>
        <w:rPr>
          <w:rFonts w:hint="eastAsia" w:ascii="方正小标宋_GBK" w:eastAsia="方正小标宋_GBK"/>
          <w:sz w:val="44"/>
        </w:rPr>
      </w:pPr>
    </w:p>
    <w:p>
      <w:pPr>
        <w:jc w:val="center"/>
        <w:outlineLvl w:val="0"/>
        <w:rPr>
          <w:rFonts w:hint="eastAsia" w:ascii="方正小标宋_GBK" w:eastAsia="方正小标宋_GBK"/>
          <w:sz w:val="44"/>
        </w:rPr>
      </w:pPr>
    </w:p>
    <w:p>
      <w:pPr>
        <w:jc w:val="center"/>
        <w:outlineLvl w:val="0"/>
        <w:rPr>
          <w:rFonts w:hint="eastAsia" w:ascii="方正小标宋_GBK" w:eastAsia="方正小标宋_GBK"/>
          <w:sz w:val="44"/>
        </w:rPr>
      </w:pPr>
    </w:p>
    <w:p>
      <w:pPr>
        <w:jc w:val="center"/>
        <w:outlineLvl w:val="0"/>
        <w:rPr>
          <w:rFonts w:hint="eastAsia" w:ascii="方正小标宋_GBK" w:eastAsia="方正小标宋_GBK"/>
          <w:sz w:val="44"/>
        </w:rPr>
      </w:pPr>
    </w:p>
    <w:p>
      <w:pPr>
        <w:jc w:val="center"/>
        <w:outlineLvl w:val="0"/>
        <w:rPr>
          <w:rFonts w:hint="eastAsia" w:ascii="方正小标宋_GBK" w:eastAsia="方正小标宋_GBK"/>
          <w:sz w:val="44"/>
        </w:rPr>
      </w:pPr>
    </w:p>
    <w:p>
      <w:pPr>
        <w:jc w:val="center"/>
        <w:outlineLvl w:val="0"/>
        <w:rPr>
          <w:rFonts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9515"/>
      </w:tblGrid>
      <w:tr>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5"/>
              <w:tblW w:w="0" w:type="auto"/>
              <w:jc w:val="center"/>
              <w:tblLayout w:type="autofit"/>
              <w:tblCellMar>
                <w:top w:w="0" w:type="dxa"/>
                <w:left w:w="108" w:type="dxa"/>
                <w:bottom w:w="0" w:type="dxa"/>
                <w:right w:w="108" w:type="dxa"/>
              </w:tblCellMar>
            </w:tblPr>
            <w:tblGrid>
              <w:gridCol w:w="2163"/>
              <w:gridCol w:w="1276"/>
              <w:gridCol w:w="1418"/>
              <w:gridCol w:w="836"/>
              <w:gridCol w:w="2397"/>
            </w:tblGrid>
            <w:tr>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pPr>
                    <w:spacing w:line="360" w:lineRule="auto"/>
                    <w:rPr>
                      <w:rFonts w:ascii="黑体" w:hAnsi="黑体" w:eastAsia="黑体" w:cs="宋体"/>
                      <w:kern w:val="0"/>
                      <w:sz w:val="32"/>
                      <w:szCs w:val="32"/>
                    </w:rPr>
                  </w:pPr>
                </w:p>
              </w:tc>
            </w:tr>
            <w:tr>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单位：万元</w:t>
                  </w:r>
                </w:p>
              </w:tc>
            </w:tr>
            <w:tr>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2020</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 w:val="24"/>
                      <w:szCs w:val="24"/>
                    </w:rPr>
                  </w:pPr>
                </w:p>
                <w:p>
                  <w:pPr>
                    <w:widowControl/>
                    <w:jc w:val="center"/>
                    <w:rPr>
                      <w:rFonts w:ascii="仿宋_GB2312" w:hAnsi="宋体" w:eastAsia="仿宋_GB2312" w:cs="宋体"/>
                      <w:kern w:val="0"/>
                      <w:sz w:val="24"/>
                      <w:szCs w:val="24"/>
                    </w:rPr>
                  </w:pPr>
                  <w:bookmarkStart w:id="9" w:name="_GoBack"/>
                  <w:bookmarkEnd w:id="9"/>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6</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5.4</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-0.6</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厉行节约，减少公务用车经费。</w:t>
                  </w:r>
                </w:p>
              </w:tc>
            </w:tr>
            <w:tr>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6.2</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5.6</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-0.6</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ascii="仿宋_GB2312" w:hAnsi="宋体" w:eastAsia="仿宋_GB2312" w:cs="宋体"/>
                      <w:kern w:val="0"/>
                      <w:sz w:val="24"/>
                      <w:szCs w:val="24"/>
                    </w:rPr>
                    <w:t>20</w:t>
                  </w:r>
                  <w:r>
                    <w:rPr>
                      <w:rFonts w:hint="eastAsia" w:ascii="仿宋_GB2312" w:hAnsi="宋体" w:eastAsia="仿宋_GB2312" w:cs="宋体"/>
                      <w:kern w:val="0"/>
                      <w:sz w:val="24"/>
                      <w:szCs w:val="24"/>
                    </w:rPr>
                    <w:t>21</w:t>
                  </w:r>
                  <w:r>
                    <w:rPr>
                      <w:rFonts w:ascii="仿宋_GB2312" w:hAnsi="宋体" w:eastAsia="仿宋_GB2312" w:cs="宋体"/>
                      <w:kern w:val="0"/>
                      <w:sz w:val="24"/>
                      <w:szCs w:val="24"/>
                    </w:rPr>
                    <w:t>年我局的三公经费与上年相比</w:t>
                  </w:r>
                  <w:r>
                    <w:rPr>
                      <w:rFonts w:hint="eastAsia" w:ascii="仿宋_GB2312" w:hAnsi="宋体" w:eastAsia="仿宋_GB2312" w:cs="宋体"/>
                      <w:kern w:val="0"/>
                      <w:sz w:val="24"/>
                      <w:szCs w:val="24"/>
                    </w:rPr>
                    <w:t>减少</w:t>
                  </w:r>
                  <w:r>
                    <w:rPr>
                      <w:rFonts w:ascii="仿宋_GB2312" w:hAnsi="宋体" w:eastAsia="仿宋_GB2312" w:cs="宋体"/>
                      <w:kern w:val="0"/>
                      <w:sz w:val="24"/>
                      <w:szCs w:val="24"/>
                    </w:rPr>
                    <w:t>了</w:t>
                  </w:r>
                  <w:r>
                    <w:rPr>
                      <w:rFonts w:hint="eastAsia" w:ascii="仿宋_GB2312" w:hAnsi="宋体" w:eastAsia="仿宋_GB2312" w:cs="宋体"/>
                      <w:kern w:val="0"/>
                      <w:sz w:val="24"/>
                      <w:szCs w:val="24"/>
                    </w:rPr>
                    <w:t>0.6</w:t>
                  </w:r>
                  <w:r>
                    <w:rPr>
                      <w:rFonts w:ascii="仿宋_GB2312" w:hAnsi="宋体" w:eastAsia="仿宋_GB2312" w:cs="宋体"/>
                      <w:kern w:val="0"/>
                      <w:sz w:val="24"/>
                      <w:szCs w:val="24"/>
                    </w:rPr>
                    <w:t>万元。原因</w:t>
                  </w:r>
                  <w:r>
                    <w:rPr>
                      <w:rFonts w:hint="eastAsia" w:ascii="仿宋_GB2312" w:hAnsi="宋体" w:eastAsia="仿宋_GB2312" w:cs="宋体"/>
                      <w:kern w:val="0"/>
                      <w:sz w:val="24"/>
                      <w:szCs w:val="24"/>
                    </w:rPr>
                    <w:t>厉行节约，减少</w:t>
                  </w:r>
                  <w:r>
                    <w:rPr>
                      <w:rFonts w:ascii="仿宋_GB2312" w:hAnsi="宋体" w:eastAsia="仿宋_GB2312" w:cs="宋体"/>
                      <w:kern w:val="0"/>
                      <w:sz w:val="24"/>
                      <w:szCs w:val="24"/>
                    </w:rPr>
                    <w:t>公务用车</w:t>
                  </w:r>
                  <w:r>
                    <w:rPr>
                      <w:rFonts w:hint="eastAsia" w:ascii="仿宋_GB2312" w:hAnsi="宋体" w:eastAsia="仿宋_GB2312" w:cs="宋体"/>
                      <w:kern w:val="0"/>
                      <w:sz w:val="24"/>
                      <w:szCs w:val="24"/>
                    </w:rPr>
                    <w:t>经费</w:t>
                  </w:r>
                  <w:r>
                    <w:rPr>
                      <w:rFonts w:ascii="仿宋_GB2312" w:hAnsi="宋体" w:eastAsia="仿宋_GB2312" w:cs="宋体"/>
                      <w:kern w:val="0"/>
                      <w:sz w:val="24"/>
                      <w:szCs w:val="24"/>
                    </w:rPr>
                    <w:t>。</w:t>
                  </w:r>
                </w:p>
              </w:tc>
            </w:tr>
            <w:tr>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left"/>
                    <w:rPr>
                      <w:rFonts w:ascii="宋体" w:hAnsi="宋体" w:cs="宋体"/>
                      <w:kern w:val="0"/>
                      <w:sz w:val="24"/>
                      <w:szCs w:val="24"/>
                    </w:rPr>
                  </w:pPr>
                </w:p>
              </w:tc>
            </w:tr>
          </w:tbl>
          <w:p>
            <w:pPr>
              <w:widowControl/>
              <w:spacing w:line="520" w:lineRule="exact"/>
              <w:ind w:right="480"/>
              <w:rPr>
                <w:rFonts w:ascii="仿宋" w:hAnsi="仿宋" w:eastAsia="仿宋" w:cs="宋体"/>
                <w:kern w:val="0"/>
                <w:sz w:val="24"/>
                <w:szCs w:val="24"/>
              </w:rPr>
            </w:pPr>
          </w:p>
        </w:tc>
      </w:tr>
    </w:tbl>
    <w:p>
      <w:pPr>
        <w:spacing w:line="360" w:lineRule="auto"/>
        <w:rPr>
          <w:rFonts w:ascii="黑体" w:hAnsi="黑体" w:eastAsia="黑体" w:cs="Times New Roman"/>
          <w:sz w:val="32"/>
          <w:szCs w:val="32"/>
        </w:rPr>
      </w:pPr>
    </w:p>
    <w:p>
      <w:pPr>
        <w:spacing w:line="360" w:lineRule="auto"/>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第五部分：预算绩效信息</w:t>
      </w: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lang w:eastAsia="zh-CN"/>
        </w:rPr>
        <w:t>单位</w:t>
      </w:r>
      <w:r>
        <w:rPr>
          <w:rFonts w:hint="eastAsia" w:ascii="方正小标宋_GBK" w:eastAsia="方正小标宋_GBK"/>
          <w:sz w:val="44"/>
        </w:rPr>
        <w:t>整体</w:t>
      </w:r>
      <w:r>
        <w:rPr>
          <w:rFonts w:ascii="方正小标宋_GBK" w:eastAsia="方正小标宋_GBK"/>
          <w:sz w:val="44"/>
        </w:rPr>
        <w:t>绩效目标</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一、总体绩效目标</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加强城建建设投入。在城市发展中树立和落实科学发展观，遵循客观规律，坚持以人为本的原则正确处理经济发展与城市建设关系。城市建设要与经济发展水平和市场发展程度相适应，实事求是，因地制宜，量力而行。要切实把维护广大人民群众的根本利益作为城市建设的出发点和落脚点。加强生态建设，提高人居环境质量，促进人与自然和谐的可持续性发展。要注重城市文化品</w:t>
      </w:r>
      <w:r>
        <w:rPr>
          <w:rFonts w:hint="eastAsia" w:ascii="仿宋" w:hAnsi="仿宋" w:eastAsia="仿宋"/>
          <w:sz w:val="32"/>
          <w:szCs w:val="32"/>
          <w:lang w:val="en-US" w:eastAsia="zh-CN"/>
        </w:rPr>
        <w:t>位</w:t>
      </w:r>
      <w:r>
        <w:rPr>
          <w:rFonts w:hint="eastAsia" w:ascii="仿宋" w:hAnsi="仿宋" w:eastAsia="仿宋"/>
          <w:sz w:val="32"/>
          <w:szCs w:val="32"/>
        </w:rPr>
        <w:t>的提升，注重城市特色风格的延续和塑造，把文化和城市相融合，深挖城市传统文化内涵，努力创造城市新文化内涵，营建具有吸引力的城市形象，推动社会走上生产发展、生活富强、生态良好的发展道路。</w:t>
      </w:r>
    </w:p>
    <w:p>
      <w:pPr>
        <w:spacing w:line="360" w:lineRule="auto"/>
        <w:ind w:firstLine="640" w:firstLineChars="200"/>
        <w:rPr>
          <w:rFonts w:ascii="仿宋" w:hAnsi="仿宋" w:eastAsia="仿宋"/>
          <w:sz w:val="32"/>
          <w:szCs w:val="32"/>
        </w:rPr>
      </w:pPr>
    </w:p>
    <w:p>
      <w:pPr>
        <w:spacing w:line="360" w:lineRule="auto"/>
        <w:ind w:firstLine="640" w:firstLineChars="200"/>
        <w:rPr>
          <w:rFonts w:ascii="仿宋" w:hAnsi="仿宋" w:eastAsia="仿宋"/>
          <w:sz w:val="32"/>
          <w:szCs w:val="32"/>
        </w:rPr>
      </w:pPr>
      <w:r>
        <w:rPr>
          <w:rFonts w:hint="eastAsia" w:ascii="仿宋" w:hAnsi="仿宋" w:eastAsia="仿宋"/>
          <w:sz w:val="32"/>
          <w:szCs w:val="32"/>
        </w:rPr>
        <w:t>二、分项绩效目标</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（一）改善城镇群众居住条件</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绩效目标：完成全年保障性安居工程任务，保障性住房及时分配到位。</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绩效指标：保障性住房开工率、基本建成率达到</w:t>
      </w:r>
      <w:r>
        <w:rPr>
          <w:rFonts w:ascii="仿宋" w:hAnsi="仿宋" w:eastAsia="仿宋"/>
          <w:sz w:val="32"/>
          <w:szCs w:val="32"/>
        </w:rPr>
        <w:t>100%，租赁补贴发放户数完成率达到100%。</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（二）提升城市基础设施水平，改善农村住房条件</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绩效目标：加强管理，提高城市承载能力和宜居度。加强村镇建设，改善农村人居环境，实现城乡统筹发展。帮助住房最危险、经济最贫困农户解决最基本的安全住房，改善农村住房条件，奠定脱贫攻坚基础。完成农村危房改造任务，有效提升贫困户的幸福感满意度。</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绩效指标：实际完成配套设施量占计划完成配套设施量的比率达到</w:t>
      </w:r>
      <w:r>
        <w:rPr>
          <w:rFonts w:ascii="仿宋" w:hAnsi="仿宋" w:eastAsia="仿宋"/>
          <w:sz w:val="32"/>
          <w:szCs w:val="32"/>
        </w:rPr>
        <w:t>100%。完成四类重点对象危房改造任务，危房改造面积1750平方米，分类分级补助标准执行比例达到100%，改造后达到房屋人畜分离、卫生厕所等基本卫生条件。</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（三）提升机关及行业信息化水平，保障业务系统安全稳定运行</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绩效目标：通过聘请保安保洁等服务，以及加强其他机关综合事务管理，提升机关及行业信息化水平，保障各类业务系统安全稳定运行。</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绩效指标：维护局机关办公秩序，保证院内卫生整洁和院内财产安全。做好机关卫生保洁工作，保证干净、整洁。</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（四）加强建筑业、房地产市场监管，促进房地产市场健康发展</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绩效目标：规范房地产市场秩序、监督管理房地产市场。落实房地产市场监管、房地产开发、房屋租赁、房屋面积管理、房地产估价与经纪管理、物业管理、房加强市场监测，促进全区房地产市场持续健康发展屋征收的规章制度。</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绩效指标：综合事务管理工作完成率达到</w:t>
      </w:r>
      <w:r>
        <w:rPr>
          <w:rFonts w:ascii="仿宋" w:hAnsi="仿宋" w:eastAsia="仿宋"/>
          <w:sz w:val="32"/>
          <w:szCs w:val="32"/>
        </w:rPr>
        <w:t>100%，办公自动化覆盖率达到100%，房地产市场统计分析工作完成及时率达到100%，使服务对象满意率达到100%。</w:t>
      </w:r>
    </w:p>
    <w:p>
      <w:pPr>
        <w:spacing w:line="360" w:lineRule="auto"/>
        <w:ind w:firstLine="640" w:firstLineChars="200"/>
        <w:rPr>
          <w:rFonts w:ascii="仿宋" w:hAnsi="仿宋" w:eastAsia="仿宋"/>
          <w:sz w:val="32"/>
          <w:szCs w:val="32"/>
        </w:rPr>
      </w:pPr>
    </w:p>
    <w:p>
      <w:pPr>
        <w:spacing w:line="360" w:lineRule="auto"/>
        <w:ind w:firstLine="640" w:firstLineChars="200"/>
        <w:rPr>
          <w:rFonts w:ascii="仿宋" w:hAnsi="仿宋" w:eastAsia="仿宋"/>
          <w:sz w:val="32"/>
          <w:szCs w:val="32"/>
        </w:rPr>
      </w:pPr>
      <w:r>
        <w:rPr>
          <w:rFonts w:hint="eastAsia" w:ascii="仿宋" w:hAnsi="仿宋" w:eastAsia="仿宋"/>
          <w:sz w:val="32"/>
          <w:szCs w:val="32"/>
        </w:rPr>
        <w:t>三、工作保障措施</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一）加强组织领导。成立由主管局长任组长的预算绩效管理领导小组，建立统筹协调、分工协作、密切配合、合力推进的工作体系。将事前评估、目标管理、运行监控、绩效评价、结果应用等各项改革措施，有效融入预算管理的全过程环节，建立健全绩效管理的长效机制。</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（二）完善制度建设。围绕年度总体绩效目标和分项绩效目标，细化工作方案，制定资金管理办法，明确责任主体、实施进度要求，为全年预算绩效目标的实现奠定制度基础。围绕本年度内使用</w:t>
      </w:r>
      <w:r>
        <w:rPr>
          <w:rFonts w:hint="eastAsia" w:ascii="仿宋" w:hAnsi="仿宋" w:eastAsia="仿宋"/>
          <w:sz w:val="32"/>
          <w:szCs w:val="32"/>
          <w:lang w:eastAsia="zh-CN"/>
        </w:rPr>
        <w:t>单位</w:t>
      </w:r>
      <w:r>
        <w:rPr>
          <w:rFonts w:hint="eastAsia" w:ascii="仿宋" w:hAnsi="仿宋" w:eastAsia="仿宋"/>
          <w:sz w:val="32"/>
          <w:szCs w:val="32"/>
        </w:rPr>
        <w:t>预算所有资金预期要达到的产出和效果，科学合理设定</w:t>
      </w:r>
      <w:r>
        <w:rPr>
          <w:rFonts w:hint="eastAsia" w:ascii="仿宋" w:hAnsi="仿宋" w:eastAsia="仿宋"/>
          <w:sz w:val="32"/>
          <w:szCs w:val="32"/>
          <w:lang w:eastAsia="zh-CN"/>
        </w:rPr>
        <w:t>单位</w:t>
      </w:r>
      <w:r>
        <w:rPr>
          <w:rFonts w:hint="eastAsia" w:ascii="仿宋" w:hAnsi="仿宋" w:eastAsia="仿宋"/>
          <w:sz w:val="32"/>
          <w:szCs w:val="32"/>
        </w:rPr>
        <w:t>整体绩效目标、专项资金绩效目标、预算项目绩效目标，并在指定媒介上予以公开，做到绩效信息全面、规范、完整、透明。</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（三）加强绩效运行监控。强化项目股室作为预算执行主体的责任。严格落实资金分配和支付计划，认真履行政府采购程序和资金拨付手续，发现问题及时采取措施，确保绩效目标如期保质完成。</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四）规范财务和资产管理。严格审批程序，确保手续规范、支出合规、进度合理。在保障资金安全的基础上，加快预算执行进度，提高财政资金运行的效率和效益。加强固定资产登记、使用和报废处置管理，估到物尽其用。</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五）加强内部监督。加强对绩效目标实现程度、预算执行情况、重大支出决策、资产处置等事项的监管和督导工作。通过现场督导、业务督办等方式，强化项目跟踪，及早发现问题，及时纠正偏差，确保绩效目标指标如期保质实现。加强内部审计，并配合做好审计、财政监督等外部监督工作，确保财政资金安全有效。</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（六）健全评价机制。按要求开展上年度</w:t>
      </w:r>
      <w:r>
        <w:rPr>
          <w:rFonts w:hint="eastAsia" w:ascii="仿宋" w:hAnsi="仿宋" w:eastAsia="仿宋"/>
          <w:sz w:val="32"/>
          <w:szCs w:val="32"/>
          <w:lang w:eastAsia="zh-CN"/>
        </w:rPr>
        <w:t>单位</w:t>
      </w:r>
      <w:r>
        <w:rPr>
          <w:rFonts w:hint="eastAsia" w:ascii="仿宋" w:hAnsi="仿宋" w:eastAsia="仿宋"/>
          <w:sz w:val="32"/>
          <w:szCs w:val="32"/>
        </w:rPr>
        <w:t>预算绩效评价和新增重大项目（政策）事前绩效评估。委托相关领域专家或第三方机构参与绩效自评和重点评价工作，制定科学评价办法、标准、指标，对政策和项目资金支出的经济性、效率性以及绩效目标的实现程度进行全方位评价。对评价中发现的问题及时整改，调整优化支出结构，提高财政资金使用效益。</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（七）加强宣传培训调研。加强人员培训，提高本</w:t>
      </w:r>
      <w:r>
        <w:rPr>
          <w:rFonts w:hint="eastAsia" w:ascii="仿宋" w:hAnsi="仿宋" w:eastAsia="仿宋"/>
          <w:sz w:val="32"/>
          <w:szCs w:val="32"/>
          <w:lang w:eastAsia="zh-CN"/>
        </w:rPr>
        <w:t>单位</w:t>
      </w:r>
      <w:r>
        <w:rPr>
          <w:rFonts w:hint="eastAsia" w:ascii="仿宋" w:hAnsi="仿宋" w:eastAsia="仿宋"/>
          <w:sz w:val="32"/>
          <w:szCs w:val="32"/>
        </w:rPr>
        <w:t>业务骨干预算编制、绩效目标设定、项目监管的业务素质；加强调研，提出优化财政资金配置、提高资金使用效益的意见建议；加大宣传力度，强化预算绩效管理意识，促进预算绩效管理水平进一步提升。</w:t>
      </w:r>
    </w:p>
    <w:p>
      <w:pPr>
        <w:spacing w:line="360" w:lineRule="auto"/>
        <w:rPr>
          <w:rFonts w:hint="eastAsia" w:ascii="仿宋" w:hAnsi="仿宋" w:eastAsia="仿宋"/>
          <w:sz w:val="32"/>
          <w:szCs w:val="32"/>
        </w:rPr>
      </w:pPr>
    </w:p>
    <w:p>
      <w:pPr>
        <w:spacing w:line="360" w:lineRule="auto"/>
        <w:rPr>
          <w:rFonts w:hint="eastAsia" w:ascii="仿宋" w:hAnsi="仿宋" w:eastAsia="仿宋"/>
          <w:sz w:val="32"/>
          <w:szCs w:val="32"/>
        </w:rPr>
      </w:pPr>
    </w:p>
    <w:p>
      <w:pPr>
        <w:spacing w:line="360" w:lineRule="auto"/>
        <w:rPr>
          <w:rFonts w:hint="eastAsia" w:ascii="仿宋" w:hAnsi="仿宋" w:eastAsia="仿宋"/>
          <w:sz w:val="32"/>
          <w:szCs w:val="32"/>
        </w:rPr>
      </w:pPr>
    </w:p>
    <w:p>
      <w:pPr>
        <w:spacing w:line="360" w:lineRule="auto"/>
        <w:rPr>
          <w:rFonts w:hint="eastAsia" w:ascii="仿宋" w:hAnsi="仿宋" w:eastAsia="仿宋"/>
          <w:sz w:val="32"/>
          <w:szCs w:val="32"/>
        </w:rPr>
      </w:pPr>
    </w:p>
    <w:p>
      <w:pPr>
        <w:spacing w:line="360" w:lineRule="auto"/>
        <w:rPr>
          <w:rFonts w:hint="eastAsia" w:ascii="仿宋" w:hAnsi="仿宋" w:eastAsia="仿宋"/>
          <w:sz w:val="32"/>
          <w:szCs w:val="32"/>
        </w:rPr>
      </w:pPr>
    </w:p>
    <w:p>
      <w:pPr>
        <w:spacing w:line="360" w:lineRule="auto"/>
        <w:rPr>
          <w:rFonts w:hint="eastAsia" w:ascii="仿宋" w:hAnsi="仿宋" w:eastAsia="仿宋"/>
          <w:sz w:val="32"/>
          <w:szCs w:val="32"/>
        </w:rPr>
      </w:pPr>
    </w:p>
    <w:p>
      <w:pPr>
        <w:spacing w:line="360" w:lineRule="auto"/>
        <w:rPr>
          <w:rFonts w:hint="eastAsia" w:ascii="仿宋" w:hAnsi="仿宋" w:eastAsia="仿宋"/>
          <w:sz w:val="32"/>
          <w:szCs w:val="32"/>
        </w:rPr>
      </w:pPr>
    </w:p>
    <w:p>
      <w:pPr>
        <w:spacing w:line="360" w:lineRule="auto"/>
        <w:rPr>
          <w:rFonts w:hint="eastAsia" w:ascii="仿宋" w:hAnsi="仿宋" w:eastAsia="仿宋"/>
          <w:sz w:val="32"/>
          <w:szCs w:val="32"/>
        </w:rPr>
      </w:pPr>
    </w:p>
    <w:p>
      <w:pPr>
        <w:spacing w:line="360" w:lineRule="auto"/>
        <w:rPr>
          <w:rFonts w:hint="eastAsia" w:ascii="仿宋" w:hAnsi="仿宋" w:eastAsia="仿宋"/>
          <w:sz w:val="32"/>
          <w:szCs w:val="32"/>
        </w:rPr>
      </w:pPr>
    </w:p>
    <w:p>
      <w:pPr>
        <w:spacing w:line="360" w:lineRule="auto"/>
        <w:rPr>
          <w:rFonts w:hint="eastAsia" w:ascii="仿宋" w:hAnsi="仿宋" w:eastAsia="仿宋"/>
          <w:sz w:val="32"/>
          <w:szCs w:val="32"/>
        </w:rPr>
      </w:pPr>
    </w:p>
    <w:p>
      <w:pPr>
        <w:spacing w:line="360" w:lineRule="auto"/>
        <w:rPr>
          <w:rFonts w:hint="eastAsia" w:ascii="仿宋" w:hAnsi="仿宋" w:eastAsia="仿宋"/>
          <w:sz w:val="32"/>
          <w:szCs w:val="32"/>
        </w:rPr>
      </w:pPr>
    </w:p>
    <w:p>
      <w:pPr>
        <w:spacing w:line="360" w:lineRule="auto"/>
        <w:rPr>
          <w:rFonts w:ascii="仿宋" w:hAnsi="仿宋" w:eastAsia="仿宋"/>
          <w:sz w:val="32"/>
          <w:szCs w:val="32"/>
        </w:rPr>
      </w:pPr>
    </w:p>
    <w:p>
      <w:pPr>
        <w:jc w:val="center"/>
        <w:outlineLvl w:val="0"/>
        <w:rPr>
          <w:rFonts w:ascii="方正书宋_GBK" w:eastAsia="方正书宋_GBK"/>
        </w:rPr>
      </w:pPr>
      <w:r>
        <w:rPr>
          <w:rFonts w:hint="eastAsia" w:ascii="方正小标宋_GBK" w:eastAsia="方正小标宋_GBK"/>
          <w:sz w:val="44"/>
        </w:rPr>
        <w:t>预算项目绩效目标</w:t>
      </w:r>
      <w:r>
        <w:rPr>
          <w:rFonts w:ascii="方正书宋_GBK" w:eastAsia="方正书宋_GBK"/>
        </w:rPr>
        <w:t xml:space="preserve"> </w:t>
      </w:r>
    </w:p>
    <w:p>
      <w:pPr>
        <w:spacing w:line="360" w:lineRule="auto"/>
        <w:ind w:firstLine="640" w:firstLineChars="200"/>
        <w:rPr>
          <w:rFonts w:ascii="仿宋" w:hAnsi="仿宋" w:eastAsia="仿宋" w:cs="Times New Roman"/>
          <w:sz w:val="32"/>
          <w:szCs w:val="32"/>
        </w:rPr>
      </w:pPr>
    </w:p>
    <w:p>
      <w:pPr>
        <w:ind w:firstLine="562" w:firstLineChars="200"/>
        <w:jc w:val="left"/>
        <w:outlineLvl w:val="1"/>
        <w:rPr>
          <w:rFonts w:ascii="Times New Roman" w:hAnsi="宋体" w:eastAsia="宋体" w:cs="Times New Roman"/>
          <w:b/>
          <w:sz w:val="28"/>
        </w:rPr>
      </w:pPr>
      <w:r>
        <w:rPr>
          <w:rFonts w:ascii="方正仿宋_GBK" w:hAnsi="等线" w:eastAsia="方正仿宋_GBK" w:cs="Times New Roman"/>
          <w:b/>
          <w:sz w:val="28"/>
        </w:rPr>
        <w:t>1、保安、保洁费用绩效目标表</w:t>
      </w:r>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w:instrText>
      </w:r>
      <w:bookmarkStart w:id="0" w:name="_Toc31356290"/>
      <w:r>
        <w:rPr>
          <w:rFonts w:ascii="方正仿宋_GBK" w:hAnsi="等线" w:eastAsia="方正仿宋_GBK" w:cs="Times New Roman"/>
          <w:b/>
          <w:sz w:val="28"/>
        </w:rPr>
        <w:instrText xml:space="preserve">1、保安、保洁费用绩效目标表</w:instrText>
      </w:r>
      <w:bookmarkEnd w:id="0"/>
      <w:r>
        <w:rPr>
          <w:rFonts w:ascii="方正仿宋_GBK" w:hAnsi="等线" w:eastAsia="方正仿宋_GBK" w:cs="Times New Roman"/>
          <w:b/>
          <w:sz w:val="28"/>
        </w:rPr>
        <w:instrText xml:space="preserve"> \f C \l 1 </w:instrText>
      </w:r>
      <w:r>
        <w:rPr>
          <w:rFonts w:ascii="方正仿宋_GBK" w:hAnsi="等线" w:eastAsia="方正仿宋_GBK" w:cs="Times New Roman"/>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等线" w:eastAsia="方正书宋_GBK" w:cs="Times New Roman"/>
                <w:b/>
              </w:rPr>
            </w:pPr>
            <w:r>
              <w:rPr>
                <w:rFonts w:ascii="方正书宋_GBK" w:hAnsi="等线" w:eastAsia="方正书宋_GBK" w:cs="Times New Roman"/>
                <w:b/>
              </w:rPr>
              <w:t>333002住建局（行政）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等线" w:eastAsia="方正书宋_GBK" w:cs="Times New Roman"/>
              </w:rPr>
            </w:pPr>
            <w:r>
              <w:rPr>
                <w:rFonts w:ascii="方正书宋_GBK" w:hAnsi="等线" w:eastAsia="方正书宋_GBK" w:cs="Times New Roman"/>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333-0802-JBN-8SE6</w:t>
            </w:r>
          </w:p>
        </w:tc>
        <w:tc>
          <w:tcPr>
            <w:tcW w:w="1587"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保安、保洁费用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10.44</w:t>
            </w:r>
          </w:p>
        </w:tc>
        <w:tc>
          <w:tcPr>
            <w:tcW w:w="1587"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10.44</w:t>
            </w:r>
          </w:p>
        </w:tc>
        <w:tc>
          <w:tcPr>
            <w:tcW w:w="1276"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pPr>
              <w:spacing w:line="300" w:lineRule="exact"/>
              <w:jc w:val="left"/>
              <w:rPr>
                <w:rFonts w:ascii="方正书宋_GBK" w:hAnsi="等线"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rPr>
                <w:rFonts w:ascii="等线" w:hAnsi="等线" w:eastAsia="等线" w:cs="Times New Roman"/>
              </w:rPr>
            </w:pPr>
          </w:p>
        </w:tc>
        <w:tc>
          <w:tcPr>
            <w:tcW w:w="8278" w:type="dxa"/>
            <w:gridSpan w:val="6"/>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项目预算10.44万元，用于保安、保洁费用，计划2020年实施，按月支付，预计第四季度支出完毕。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rPr>
                <w:rFonts w:ascii="等线" w:hAnsi="等线" w:eastAsia="等线" w:cs="Times New Roman"/>
              </w:rPr>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30.00</w:t>
            </w:r>
          </w:p>
        </w:tc>
        <w:tc>
          <w:tcPr>
            <w:tcW w:w="1587" w:type="dxa"/>
            <w:tcBorders>
              <w:bottom w:val="single" w:color="000000" w:sz="6" w:space="0"/>
            </w:tcBorders>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60.00</w:t>
            </w:r>
          </w:p>
        </w:tc>
        <w:tc>
          <w:tcPr>
            <w:tcW w:w="1304" w:type="dxa"/>
            <w:tcBorders>
              <w:bottom w:val="single" w:color="000000" w:sz="6" w:space="0"/>
            </w:tcBorders>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1、维护局机关办公秩序，保证院内卫生整洁和院内财产安全。</w:t>
            </w:r>
          </w:p>
          <w:p>
            <w:pPr>
              <w:spacing w:line="300" w:lineRule="exact"/>
              <w:jc w:val="left"/>
              <w:rPr>
                <w:rFonts w:ascii="方正书宋_GBK" w:hAnsi="等线" w:eastAsia="方正书宋_GBK" w:cs="Times New Roman"/>
              </w:rPr>
            </w:pPr>
            <w:r>
              <w:rPr>
                <w:rFonts w:ascii="方正书宋_GBK" w:hAnsi="等线" w:eastAsia="方正书宋_GBK" w:cs="Times New Roman"/>
              </w:rPr>
              <w:t>2、做好局机关卫生保洁工作，保证干净、整洁的良好的办公环境。</w:t>
            </w:r>
          </w:p>
        </w:tc>
      </w:tr>
    </w:tbl>
    <w:p>
      <w:pPr>
        <w:spacing w:line="14" w:lineRule="exact"/>
        <w:ind w:firstLine="420" w:firstLineChars="200"/>
        <w:jc w:val="center"/>
        <w:rPr>
          <w:rFonts w:ascii="Times New Roman" w:hAnsi="宋体" w:eastAsia="宋体" w:cs="Times New Roman"/>
        </w:rPr>
      </w:pPr>
      <w:r>
        <w:rPr>
          <w:rFonts w:ascii="方正书宋_GBK" w:hAnsi="等线" w:eastAsia="方正书宋_GBK" w:cs="Times New Roman"/>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保安人员数量</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维护局机关办公秩序，保证院内卫生整洁和院内财产安全。</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≥2人</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hint="eastAsia" w:ascii="方正书宋_GBK" w:hAnsi="等线" w:eastAsia="方正书宋_GBK" w:cs="Times New Roman"/>
                <w:lang w:eastAsia="zh-CN"/>
              </w:rPr>
              <w:t>单位</w:t>
            </w:r>
            <w:r>
              <w:rPr>
                <w:rFonts w:ascii="方正书宋_GBK" w:hAnsi="等线" w:eastAsia="方正书宋_GBK" w:cs="Times New Roman"/>
              </w:rPr>
              <w:t>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等线" w:eastAsia="方正书宋_GBK" w:cs="Times New Roman"/>
              </w:rPr>
            </w:pP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保洁面积</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做好机关卫生保洁工作，保证干净、整洁。</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≥4000平方米</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hint="eastAsia" w:ascii="方正书宋_GBK" w:hAnsi="等线" w:eastAsia="方正书宋_GBK" w:cs="Times New Roman"/>
                <w:lang w:eastAsia="zh-CN"/>
              </w:rPr>
              <w:t>单位</w:t>
            </w:r>
            <w:r>
              <w:rPr>
                <w:rFonts w:ascii="方正书宋_GBK" w:hAnsi="等线" w:eastAsia="方正书宋_GBK" w:cs="Times New Roman"/>
              </w:rPr>
              <w:t>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效果指标</w:t>
            </w: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可持续影响指标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保证机关卫生干净整洁，财产安全。</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做好局机关卫生保洁工作，保证干净、整洁的良好的办公环境。保证院内财产安全。</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环境干净、整洁。</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hint="eastAsia" w:ascii="方正书宋_GBK" w:hAnsi="等线" w:eastAsia="方正书宋_GBK" w:cs="Times New Roman"/>
                <w:lang w:eastAsia="zh-CN"/>
              </w:rPr>
              <w:t>单位</w:t>
            </w:r>
            <w:r>
              <w:rPr>
                <w:rFonts w:ascii="方正书宋_GBK" w:hAnsi="等线" w:eastAsia="方正书宋_GBK" w:cs="Times New Roman"/>
              </w:rPr>
              <w:t>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受益人口满意度</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hint="eastAsia" w:ascii="方正书宋_GBK" w:hAnsi="等线" w:eastAsia="方正书宋_GBK" w:cs="Times New Roman"/>
                <w:lang w:eastAsia="zh-CN"/>
              </w:rPr>
              <w:t>单位</w:t>
            </w:r>
            <w:r>
              <w:rPr>
                <w:rFonts w:ascii="方正书宋_GBK" w:hAnsi="等线" w:eastAsia="方正书宋_GBK" w:cs="Times New Roman"/>
              </w:rPr>
              <w:t>职责</w:t>
            </w:r>
          </w:p>
        </w:tc>
      </w:tr>
    </w:tbl>
    <w:p>
      <w:pPr>
        <w:spacing w:line="300" w:lineRule="exact"/>
        <w:ind w:firstLine="420" w:firstLineChars="200"/>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rPr>
          <w:rFonts w:ascii="等线" w:hAnsi="等线" w:eastAsia="等线" w:cs="Times New Roman"/>
        </w:rPr>
      </w:pPr>
    </w:p>
    <w:p>
      <w:pPr>
        <w:ind w:firstLine="562" w:firstLineChars="200"/>
        <w:jc w:val="left"/>
        <w:outlineLvl w:val="1"/>
        <w:rPr>
          <w:rFonts w:ascii="Times New Roman" w:hAnsi="宋体" w:eastAsia="宋体" w:cs="Times New Roman"/>
          <w:b/>
          <w:sz w:val="28"/>
        </w:rPr>
      </w:pPr>
      <w:r>
        <w:rPr>
          <w:rFonts w:ascii="方正仿宋_GBK" w:hAnsi="等线" w:eastAsia="方正仿宋_GBK" w:cs="Times New Roman"/>
          <w:b/>
          <w:sz w:val="28"/>
        </w:rPr>
        <w:t>2、房产管理经费绩效目标表</w:t>
      </w:r>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w:instrText>
      </w:r>
      <w:bookmarkStart w:id="1" w:name="_Toc31356291"/>
      <w:r>
        <w:rPr>
          <w:rFonts w:ascii="方正仿宋_GBK" w:hAnsi="等线" w:eastAsia="方正仿宋_GBK" w:cs="Times New Roman"/>
          <w:b/>
          <w:sz w:val="28"/>
        </w:rPr>
        <w:instrText xml:space="preserve">2、房产管理经费绩效目标表</w:instrText>
      </w:r>
      <w:bookmarkEnd w:id="1"/>
      <w:r>
        <w:rPr>
          <w:rFonts w:ascii="方正仿宋_GBK" w:hAnsi="等线" w:eastAsia="方正仿宋_GBK" w:cs="Times New Roman"/>
          <w:b/>
          <w:sz w:val="28"/>
        </w:rPr>
        <w:instrText xml:space="preserve"> \f C \l 1 </w:instrText>
      </w:r>
      <w:r>
        <w:rPr>
          <w:rFonts w:ascii="方正仿宋_GBK" w:hAnsi="等线" w:eastAsia="方正仿宋_GBK" w:cs="Times New Roman"/>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等线" w:eastAsia="方正书宋_GBK" w:cs="Times New Roman"/>
                <w:b/>
              </w:rPr>
            </w:pPr>
            <w:r>
              <w:rPr>
                <w:rFonts w:ascii="方正书宋_GBK" w:hAnsi="等线" w:eastAsia="方正书宋_GBK" w:cs="Times New Roman"/>
                <w:b/>
              </w:rPr>
              <w:t>333002住建局（行政）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等线" w:eastAsia="方正书宋_GBK" w:cs="Times New Roman"/>
              </w:rPr>
            </w:pPr>
            <w:r>
              <w:rPr>
                <w:rFonts w:ascii="方正书宋_GBK" w:hAnsi="等线" w:eastAsia="方正书宋_GBK" w:cs="Times New Roman"/>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333-0802-JBN-W765</w:t>
            </w:r>
          </w:p>
        </w:tc>
        <w:tc>
          <w:tcPr>
            <w:tcW w:w="1587"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房产管理经费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5.00</w:t>
            </w:r>
          </w:p>
        </w:tc>
        <w:tc>
          <w:tcPr>
            <w:tcW w:w="1587"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5.00</w:t>
            </w:r>
          </w:p>
        </w:tc>
        <w:tc>
          <w:tcPr>
            <w:tcW w:w="1276"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pPr>
              <w:spacing w:line="300" w:lineRule="exact"/>
              <w:jc w:val="left"/>
              <w:rPr>
                <w:rFonts w:ascii="方正书宋_GBK" w:hAnsi="等线"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rPr>
                <w:rFonts w:ascii="等线" w:hAnsi="等线" w:eastAsia="等线" w:cs="Times New Roman"/>
              </w:rPr>
            </w:pPr>
          </w:p>
        </w:tc>
        <w:tc>
          <w:tcPr>
            <w:tcW w:w="8278" w:type="dxa"/>
            <w:gridSpan w:val="6"/>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项目预算资金5万元，用于房产管理经费，计划2020年实施，按季度支付，预计第四季度支付完毕。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rPr>
                <w:rFonts w:ascii="等线" w:hAnsi="等线" w:eastAsia="等线" w:cs="Times New Roman"/>
              </w:rPr>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hAnsi="等线" w:eastAsia="方正书宋_GBK" w:cs="Times New Roman"/>
              </w:rPr>
            </w:pPr>
          </w:p>
        </w:tc>
        <w:tc>
          <w:tcPr>
            <w:tcW w:w="1587" w:type="dxa"/>
            <w:tcBorders>
              <w:bottom w:val="single" w:color="000000" w:sz="6" w:space="0"/>
            </w:tcBorders>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60.00</w:t>
            </w:r>
          </w:p>
        </w:tc>
        <w:tc>
          <w:tcPr>
            <w:tcW w:w="1304" w:type="dxa"/>
            <w:tcBorders>
              <w:bottom w:val="single" w:color="000000" w:sz="6" w:space="0"/>
            </w:tcBorders>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1、提升机关及行业信息化水平，保障各类业务系统安全稳定运行。</w:t>
            </w:r>
          </w:p>
          <w:p>
            <w:pPr>
              <w:spacing w:line="300" w:lineRule="exact"/>
              <w:jc w:val="left"/>
              <w:rPr>
                <w:rFonts w:ascii="方正书宋_GBK" w:hAnsi="等线" w:eastAsia="方正书宋_GBK" w:cs="Times New Roman"/>
              </w:rPr>
            </w:pPr>
            <w:r>
              <w:rPr>
                <w:rFonts w:ascii="方正书宋_GBK" w:hAnsi="等线" w:eastAsia="方正书宋_GBK" w:cs="Times New Roman"/>
              </w:rPr>
              <w:t>2、加强市场监测，促进全区房地产市场持续健康发展</w:t>
            </w:r>
          </w:p>
        </w:tc>
      </w:tr>
    </w:tbl>
    <w:p>
      <w:pPr>
        <w:spacing w:line="14" w:lineRule="exact"/>
        <w:ind w:firstLine="420" w:firstLineChars="200"/>
        <w:jc w:val="center"/>
        <w:rPr>
          <w:rFonts w:ascii="Times New Roman" w:hAnsi="宋体" w:eastAsia="宋体" w:cs="Times New Roman"/>
        </w:rPr>
      </w:pPr>
      <w:r>
        <w:rPr>
          <w:rFonts w:ascii="方正书宋_GBK" w:hAnsi="等线" w:eastAsia="方正书宋_GBK" w:cs="Times New Roman"/>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综合事务管理工作完成率</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各项综合事务工作任务完成情况</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0%</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hint="eastAsia" w:ascii="方正书宋_GBK" w:hAnsi="等线" w:eastAsia="方正书宋_GBK" w:cs="Times New Roman"/>
                <w:lang w:eastAsia="zh-CN"/>
              </w:rPr>
              <w:t>单位</w:t>
            </w:r>
            <w:r>
              <w:rPr>
                <w:rFonts w:ascii="方正书宋_GBK" w:hAnsi="等线" w:eastAsia="方正书宋_GBK" w:cs="Times New Roman"/>
              </w:rPr>
              <w:t>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等线" w:eastAsia="方正书宋_GBK" w:cs="Times New Roman"/>
              </w:rPr>
            </w:pP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办公自动化覆盖率（%）</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办公自动化覆盖范围占应覆盖范围的比率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0%</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hint="eastAsia" w:ascii="方正书宋_GBK" w:hAnsi="等线" w:eastAsia="方正书宋_GBK" w:cs="Times New Roman"/>
                <w:lang w:eastAsia="zh-CN"/>
              </w:rPr>
              <w:t>单位</w:t>
            </w:r>
            <w:r>
              <w:rPr>
                <w:rFonts w:ascii="方正书宋_GBK" w:hAnsi="等线" w:eastAsia="方正书宋_GBK" w:cs="Times New Roman"/>
              </w:rPr>
              <w:t>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效果指标</w:t>
            </w: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经济效益指标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房地产市场统计分析工作完成及时率</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规定时间内完成房地产市场数据统计分析次数占全部次数的比例</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0%</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hint="eastAsia" w:ascii="方正书宋_GBK" w:hAnsi="等线" w:eastAsia="方正书宋_GBK" w:cs="Times New Roman"/>
                <w:lang w:eastAsia="zh-CN"/>
              </w:rPr>
              <w:t>单位</w:t>
            </w:r>
            <w:r>
              <w:rPr>
                <w:rFonts w:ascii="方正书宋_GBK" w:hAnsi="等线" w:eastAsia="方正书宋_GBK" w:cs="Times New Roman"/>
              </w:rPr>
              <w:t>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用户使用满意度（%）</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调查中用户反馈满意和较满意的数量占调查用户总数量的比率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hint="eastAsia" w:ascii="方正书宋_GBK" w:hAnsi="等线" w:eastAsia="方正书宋_GBK" w:cs="Times New Roman"/>
                <w:lang w:eastAsia="zh-CN"/>
              </w:rPr>
              <w:t>单位</w:t>
            </w:r>
            <w:r>
              <w:rPr>
                <w:rFonts w:ascii="方正书宋_GBK" w:hAnsi="等线" w:eastAsia="方正书宋_GBK" w:cs="Times New Roman"/>
              </w:rPr>
              <w:t>职责</w:t>
            </w:r>
          </w:p>
        </w:tc>
      </w:tr>
    </w:tbl>
    <w:p>
      <w:pPr>
        <w:spacing w:line="300" w:lineRule="exact"/>
        <w:ind w:firstLine="420" w:firstLineChars="200"/>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rPr>
          <w:rFonts w:ascii="等线" w:hAnsi="等线" w:eastAsia="等线" w:cs="Times New Roman"/>
        </w:rPr>
      </w:pPr>
    </w:p>
    <w:p>
      <w:pPr>
        <w:ind w:firstLine="562" w:firstLineChars="200"/>
        <w:jc w:val="left"/>
        <w:outlineLvl w:val="1"/>
        <w:rPr>
          <w:rFonts w:ascii="Times New Roman" w:hAnsi="宋体" w:eastAsia="宋体" w:cs="Times New Roman"/>
          <w:b/>
          <w:sz w:val="28"/>
        </w:rPr>
      </w:pPr>
      <w:r>
        <w:rPr>
          <w:rFonts w:ascii="方正仿宋_GBK" w:hAnsi="等线" w:eastAsia="方正仿宋_GBK" w:cs="Times New Roman"/>
          <w:b/>
          <w:sz w:val="28"/>
        </w:rPr>
        <w:t>3、房产系统联网光纤费用绩效目标表</w:t>
      </w:r>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w:instrText>
      </w:r>
      <w:bookmarkStart w:id="2" w:name="_Toc31356292"/>
      <w:r>
        <w:rPr>
          <w:rFonts w:ascii="方正仿宋_GBK" w:hAnsi="等线" w:eastAsia="方正仿宋_GBK" w:cs="Times New Roman"/>
          <w:b/>
          <w:sz w:val="28"/>
        </w:rPr>
        <w:instrText xml:space="preserve">3、房产系统联网光纤费用绩效目标表</w:instrText>
      </w:r>
      <w:bookmarkEnd w:id="2"/>
      <w:r>
        <w:rPr>
          <w:rFonts w:ascii="方正仿宋_GBK" w:hAnsi="等线" w:eastAsia="方正仿宋_GBK" w:cs="Times New Roman"/>
          <w:b/>
          <w:sz w:val="28"/>
        </w:rPr>
        <w:instrText xml:space="preserve"> \f C \l 1 </w:instrText>
      </w:r>
      <w:r>
        <w:rPr>
          <w:rFonts w:ascii="方正仿宋_GBK" w:hAnsi="等线" w:eastAsia="方正仿宋_GBK" w:cs="Times New Roman"/>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等线" w:eastAsia="方正书宋_GBK" w:cs="Times New Roman"/>
                <w:b/>
              </w:rPr>
            </w:pPr>
            <w:r>
              <w:rPr>
                <w:rFonts w:ascii="方正书宋_GBK" w:hAnsi="等线" w:eastAsia="方正书宋_GBK" w:cs="Times New Roman"/>
                <w:b/>
              </w:rPr>
              <w:t>333002住建局（行政）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等线" w:eastAsia="方正书宋_GBK" w:cs="Times New Roman"/>
              </w:rPr>
            </w:pPr>
            <w:r>
              <w:rPr>
                <w:rFonts w:ascii="方正书宋_GBK" w:hAnsi="等线" w:eastAsia="方正书宋_GBK" w:cs="Times New Roman"/>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333-0802-JBN-1FUZ</w:t>
            </w:r>
          </w:p>
        </w:tc>
        <w:tc>
          <w:tcPr>
            <w:tcW w:w="1587"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房产系统联网光纤费用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1.32</w:t>
            </w:r>
          </w:p>
        </w:tc>
        <w:tc>
          <w:tcPr>
            <w:tcW w:w="1587"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1.32</w:t>
            </w:r>
          </w:p>
        </w:tc>
        <w:tc>
          <w:tcPr>
            <w:tcW w:w="1276"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pPr>
              <w:spacing w:line="300" w:lineRule="exact"/>
              <w:jc w:val="left"/>
              <w:rPr>
                <w:rFonts w:ascii="方正书宋_GBK" w:hAnsi="等线"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rPr>
                <w:rFonts w:ascii="等线" w:hAnsi="等线" w:eastAsia="等线" w:cs="Times New Roman"/>
              </w:rPr>
            </w:pPr>
          </w:p>
        </w:tc>
        <w:tc>
          <w:tcPr>
            <w:tcW w:w="8278" w:type="dxa"/>
            <w:gridSpan w:val="6"/>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项目预算资1.32万元，用于房产系统联网光纤费用，计划2020年实施，预计第四季度支付完毕。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rPr>
                <w:rFonts w:ascii="等线" w:hAnsi="等线" w:eastAsia="等线" w:cs="Times New Roman"/>
              </w:rPr>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hAnsi="等线" w:eastAsia="方正书宋_GBK" w:cs="Times New Roman"/>
              </w:rPr>
            </w:pPr>
          </w:p>
        </w:tc>
        <w:tc>
          <w:tcPr>
            <w:tcW w:w="1587" w:type="dxa"/>
            <w:tcBorders>
              <w:bottom w:val="single" w:color="000000" w:sz="6" w:space="0"/>
            </w:tcBorders>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60.00</w:t>
            </w:r>
          </w:p>
        </w:tc>
        <w:tc>
          <w:tcPr>
            <w:tcW w:w="1304" w:type="dxa"/>
            <w:tcBorders>
              <w:bottom w:val="single" w:color="000000" w:sz="6" w:space="0"/>
            </w:tcBorders>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1、提升机关及行业信息化水平，保障各类业务系统安全稳定运行。</w:t>
            </w:r>
          </w:p>
          <w:p>
            <w:pPr>
              <w:spacing w:line="300" w:lineRule="exact"/>
              <w:jc w:val="left"/>
              <w:rPr>
                <w:rFonts w:ascii="方正书宋_GBK" w:hAnsi="等线" w:eastAsia="方正书宋_GBK" w:cs="Times New Roman"/>
              </w:rPr>
            </w:pPr>
            <w:r>
              <w:rPr>
                <w:rFonts w:ascii="方正书宋_GBK" w:hAnsi="等线" w:eastAsia="方正书宋_GBK" w:cs="Times New Roman"/>
              </w:rPr>
              <w:t>2、加强市场监测，促进全区房地产市场持续健康发展</w:t>
            </w:r>
          </w:p>
        </w:tc>
      </w:tr>
    </w:tbl>
    <w:p>
      <w:pPr>
        <w:spacing w:line="14" w:lineRule="exact"/>
        <w:ind w:firstLine="420" w:firstLineChars="200"/>
        <w:jc w:val="center"/>
        <w:rPr>
          <w:rFonts w:ascii="Times New Roman" w:hAnsi="宋体" w:eastAsia="宋体" w:cs="Times New Roman"/>
        </w:rPr>
      </w:pPr>
      <w:r>
        <w:rPr>
          <w:rFonts w:ascii="方正书宋_GBK" w:hAnsi="等线" w:eastAsia="方正书宋_GBK" w:cs="Times New Roman"/>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综合事务管理工作完成率</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各项综合事务工作任务完成情况</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0%</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hint="eastAsia" w:ascii="方正书宋_GBK" w:hAnsi="等线" w:eastAsia="方正书宋_GBK" w:cs="Times New Roman"/>
                <w:lang w:eastAsia="zh-CN"/>
              </w:rPr>
              <w:t>单位</w:t>
            </w:r>
            <w:r>
              <w:rPr>
                <w:rFonts w:ascii="方正书宋_GBK" w:hAnsi="等线" w:eastAsia="方正书宋_GBK" w:cs="Times New Roman"/>
              </w:rPr>
              <w:t>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等线" w:eastAsia="方正书宋_GBK" w:cs="Times New Roman"/>
              </w:rPr>
            </w:pP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办公自动化覆盖率（%）</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办公自动化覆盖范围占应覆盖范围的比率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0%</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hint="eastAsia" w:ascii="方正书宋_GBK" w:hAnsi="等线" w:eastAsia="方正书宋_GBK" w:cs="Times New Roman"/>
                <w:lang w:eastAsia="zh-CN"/>
              </w:rPr>
              <w:t>单位</w:t>
            </w:r>
            <w:r>
              <w:rPr>
                <w:rFonts w:ascii="方正书宋_GBK" w:hAnsi="等线" w:eastAsia="方正书宋_GBK" w:cs="Times New Roman"/>
              </w:rPr>
              <w:t>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效果指标</w:t>
            </w: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经济效益指标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房地产市场统计分析工作完成及时率</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规定时间内完成房地产市场数据统计分析次数占全部次数的比例</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0%</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hint="eastAsia" w:ascii="方正书宋_GBK" w:hAnsi="等线" w:eastAsia="方正书宋_GBK" w:cs="Times New Roman"/>
                <w:lang w:eastAsia="zh-CN"/>
              </w:rPr>
              <w:t>单位</w:t>
            </w:r>
            <w:r>
              <w:rPr>
                <w:rFonts w:ascii="方正书宋_GBK" w:hAnsi="等线" w:eastAsia="方正书宋_GBK" w:cs="Times New Roman"/>
              </w:rPr>
              <w:t>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用户使用满意度（%）</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调查中用户反馈满意和较满意的数量占调查用户总数量的比率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0%</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hint="eastAsia" w:ascii="方正书宋_GBK" w:hAnsi="等线" w:eastAsia="方正书宋_GBK" w:cs="Times New Roman"/>
                <w:lang w:eastAsia="zh-CN"/>
              </w:rPr>
              <w:t>单位</w:t>
            </w:r>
            <w:r>
              <w:rPr>
                <w:rFonts w:ascii="方正书宋_GBK" w:hAnsi="等线" w:eastAsia="方正书宋_GBK" w:cs="Times New Roman"/>
              </w:rPr>
              <w:t>职责</w:t>
            </w:r>
          </w:p>
        </w:tc>
      </w:tr>
    </w:tbl>
    <w:p>
      <w:pPr>
        <w:spacing w:line="300" w:lineRule="exact"/>
        <w:ind w:firstLine="420" w:firstLineChars="200"/>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rPr>
          <w:rFonts w:ascii="等线" w:hAnsi="等线" w:eastAsia="等线" w:cs="Times New Roman"/>
        </w:rPr>
      </w:pPr>
    </w:p>
    <w:p>
      <w:pPr>
        <w:ind w:firstLine="562" w:firstLineChars="200"/>
        <w:jc w:val="left"/>
        <w:outlineLvl w:val="1"/>
        <w:rPr>
          <w:rFonts w:ascii="Times New Roman" w:hAnsi="宋体" w:eastAsia="宋体" w:cs="Times New Roman"/>
          <w:b/>
          <w:sz w:val="28"/>
        </w:rPr>
      </w:pPr>
      <w:r>
        <w:rPr>
          <w:rFonts w:ascii="方正仿宋_GBK" w:hAnsi="等线" w:eastAsia="方正仿宋_GBK" w:cs="Times New Roman"/>
          <w:b/>
          <w:sz w:val="28"/>
        </w:rPr>
        <w:t>4、绩效挂钩经费绩效目标表</w:t>
      </w:r>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w:instrText>
      </w:r>
      <w:bookmarkStart w:id="3" w:name="_Toc31356293"/>
      <w:r>
        <w:rPr>
          <w:rFonts w:ascii="方正仿宋_GBK" w:hAnsi="等线" w:eastAsia="方正仿宋_GBK" w:cs="Times New Roman"/>
          <w:b/>
          <w:sz w:val="28"/>
        </w:rPr>
        <w:instrText xml:space="preserve">4、绩效挂钩经费绩效目标表</w:instrText>
      </w:r>
      <w:bookmarkEnd w:id="3"/>
      <w:r>
        <w:rPr>
          <w:rFonts w:ascii="方正仿宋_GBK" w:hAnsi="等线" w:eastAsia="方正仿宋_GBK" w:cs="Times New Roman"/>
          <w:b/>
          <w:sz w:val="28"/>
        </w:rPr>
        <w:instrText xml:space="preserve"> \f C \l 1 </w:instrText>
      </w:r>
      <w:r>
        <w:rPr>
          <w:rFonts w:ascii="方正仿宋_GBK" w:hAnsi="等线" w:eastAsia="方正仿宋_GBK" w:cs="Times New Roman"/>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等线" w:eastAsia="方正书宋_GBK" w:cs="Times New Roman"/>
                <w:b/>
              </w:rPr>
            </w:pPr>
            <w:r>
              <w:rPr>
                <w:rFonts w:ascii="方正书宋_GBK" w:hAnsi="等线" w:eastAsia="方正书宋_GBK" w:cs="Times New Roman"/>
                <w:b/>
              </w:rPr>
              <w:t>333002住建局（行政）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等线" w:eastAsia="方正书宋_GBK" w:cs="Times New Roman"/>
              </w:rPr>
            </w:pPr>
            <w:r>
              <w:rPr>
                <w:rFonts w:ascii="方正书宋_GBK" w:hAnsi="等线" w:eastAsia="方正书宋_GBK" w:cs="Times New Roman"/>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333-0802-JBN-0YL1</w:t>
            </w:r>
          </w:p>
        </w:tc>
        <w:tc>
          <w:tcPr>
            <w:tcW w:w="1587"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绩效挂钩经费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157.15</w:t>
            </w:r>
          </w:p>
        </w:tc>
        <w:tc>
          <w:tcPr>
            <w:tcW w:w="1587"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157.15</w:t>
            </w:r>
          </w:p>
        </w:tc>
        <w:tc>
          <w:tcPr>
            <w:tcW w:w="1276"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pPr>
              <w:spacing w:line="300" w:lineRule="exact"/>
              <w:jc w:val="left"/>
              <w:rPr>
                <w:rFonts w:ascii="方正书宋_GBK" w:hAnsi="等线"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rPr>
                <w:rFonts w:ascii="等线" w:hAnsi="等线" w:eastAsia="等线" w:cs="Times New Roman"/>
              </w:rPr>
            </w:pPr>
          </w:p>
        </w:tc>
        <w:tc>
          <w:tcPr>
            <w:tcW w:w="8278" w:type="dxa"/>
            <w:gridSpan w:val="6"/>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项目预算资金157.15万元，用于全局办公经费，计划2020年实施，预计第四季度支付完毕。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rPr>
                <w:rFonts w:ascii="等线" w:hAnsi="等线" w:eastAsia="等线" w:cs="Times New Roman"/>
              </w:rPr>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hAnsi="等线" w:eastAsia="方正书宋_GBK" w:cs="Times New Roman"/>
              </w:rPr>
            </w:pPr>
          </w:p>
        </w:tc>
        <w:tc>
          <w:tcPr>
            <w:tcW w:w="1587" w:type="dxa"/>
            <w:tcBorders>
              <w:bottom w:val="single" w:color="000000" w:sz="6" w:space="0"/>
            </w:tcBorders>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60.00</w:t>
            </w:r>
          </w:p>
        </w:tc>
        <w:tc>
          <w:tcPr>
            <w:tcW w:w="1304" w:type="dxa"/>
            <w:tcBorders>
              <w:bottom w:val="single" w:color="000000" w:sz="6" w:space="0"/>
            </w:tcBorders>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1、提升机关及行业信息化水平，保障各类业务系统安全稳定运行。</w:t>
            </w:r>
          </w:p>
          <w:p>
            <w:pPr>
              <w:spacing w:line="300" w:lineRule="exact"/>
              <w:jc w:val="left"/>
              <w:rPr>
                <w:rFonts w:ascii="方正书宋_GBK" w:hAnsi="等线" w:eastAsia="方正书宋_GBK" w:cs="Times New Roman"/>
              </w:rPr>
            </w:pPr>
            <w:r>
              <w:rPr>
                <w:rFonts w:ascii="方正书宋_GBK" w:hAnsi="等线" w:eastAsia="方正书宋_GBK" w:cs="Times New Roman"/>
              </w:rPr>
              <w:t>2、提高服务质量。</w:t>
            </w:r>
          </w:p>
        </w:tc>
      </w:tr>
    </w:tbl>
    <w:p>
      <w:pPr>
        <w:spacing w:line="14" w:lineRule="exact"/>
        <w:ind w:firstLine="420" w:firstLineChars="200"/>
        <w:jc w:val="center"/>
        <w:rPr>
          <w:rFonts w:ascii="Times New Roman" w:hAnsi="宋体" w:eastAsia="宋体" w:cs="Times New Roman"/>
        </w:rPr>
      </w:pPr>
      <w:r>
        <w:rPr>
          <w:rFonts w:ascii="方正书宋_GBK" w:hAnsi="等线" w:eastAsia="方正书宋_GBK" w:cs="Times New Roman"/>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综合事务管理工作完成率</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各项综合事务工作任务完成情况</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0%</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hint="eastAsia" w:ascii="方正书宋_GBK" w:hAnsi="等线" w:eastAsia="方正书宋_GBK" w:cs="Times New Roman"/>
                <w:lang w:eastAsia="zh-CN"/>
              </w:rPr>
              <w:t>单位</w:t>
            </w:r>
            <w:r>
              <w:rPr>
                <w:rFonts w:ascii="方正书宋_GBK" w:hAnsi="等线" w:eastAsia="方正书宋_GBK" w:cs="Times New Roman"/>
              </w:rPr>
              <w:t>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等线" w:eastAsia="方正书宋_GBK" w:cs="Times New Roman"/>
              </w:rPr>
            </w:pP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办公自动化覆盖率（%）</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办公自动化覆盖范围占应覆盖范围的比率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0%</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hint="eastAsia" w:ascii="方正书宋_GBK" w:hAnsi="等线" w:eastAsia="方正书宋_GBK" w:cs="Times New Roman"/>
                <w:lang w:eastAsia="zh-CN"/>
              </w:rPr>
              <w:t>单位</w:t>
            </w:r>
            <w:r>
              <w:rPr>
                <w:rFonts w:ascii="方正书宋_GBK" w:hAnsi="等线" w:eastAsia="方正书宋_GBK" w:cs="Times New Roman"/>
              </w:rPr>
              <w:t>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1134" w:type="dxa"/>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用户使用满意度（%）</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调查中用户反馈满意和较满意的数量占调查用户总数量的比率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hint="eastAsia" w:ascii="方正书宋_GBK" w:hAnsi="等线" w:eastAsia="方正书宋_GBK" w:cs="Times New Roman"/>
                <w:lang w:eastAsia="zh-CN"/>
              </w:rPr>
              <w:t>单位</w:t>
            </w:r>
            <w:r>
              <w:rPr>
                <w:rFonts w:ascii="方正书宋_GBK" w:hAnsi="等线" w:eastAsia="方正书宋_GBK" w:cs="Times New Roman"/>
              </w:rPr>
              <w:t>职责</w:t>
            </w:r>
          </w:p>
        </w:tc>
      </w:tr>
    </w:tbl>
    <w:p>
      <w:pPr>
        <w:spacing w:line="300" w:lineRule="exact"/>
        <w:ind w:firstLine="420" w:firstLineChars="200"/>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rPr>
          <w:rFonts w:ascii="等线" w:hAnsi="等线" w:eastAsia="等线" w:cs="Times New Roman"/>
        </w:rPr>
      </w:pPr>
    </w:p>
    <w:p>
      <w:pPr>
        <w:ind w:firstLine="562" w:firstLineChars="200"/>
        <w:jc w:val="left"/>
        <w:outlineLvl w:val="1"/>
        <w:rPr>
          <w:rFonts w:ascii="Times New Roman" w:hAnsi="宋体" w:eastAsia="宋体" w:cs="Times New Roman"/>
          <w:b/>
          <w:sz w:val="28"/>
        </w:rPr>
      </w:pPr>
      <w:r>
        <w:rPr>
          <w:rFonts w:ascii="方正仿宋_GBK" w:hAnsi="等线" w:eastAsia="方正仿宋_GBK" w:cs="Times New Roman"/>
          <w:b/>
          <w:sz w:val="28"/>
        </w:rPr>
        <w:t>5、农村危房改造绩效目标表</w:t>
      </w:r>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w:instrText>
      </w:r>
      <w:bookmarkStart w:id="4" w:name="_Toc31356294"/>
      <w:r>
        <w:rPr>
          <w:rFonts w:ascii="方正仿宋_GBK" w:hAnsi="等线" w:eastAsia="方正仿宋_GBK" w:cs="Times New Roman"/>
          <w:b/>
          <w:sz w:val="28"/>
        </w:rPr>
        <w:instrText xml:space="preserve">5、农村危房改造绩效目标表</w:instrText>
      </w:r>
      <w:bookmarkEnd w:id="4"/>
      <w:r>
        <w:rPr>
          <w:rFonts w:ascii="方正仿宋_GBK" w:hAnsi="等线" w:eastAsia="方正仿宋_GBK" w:cs="Times New Roman"/>
          <w:b/>
          <w:sz w:val="28"/>
        </w:rPr>
        <w:instrText xml:space="preserve"> \f C \l 1 </w:instrText>
      </w:r>
      <w:r>
        <w:rPr>
          <w:rFonts w:ascii="方正仿宋_GBK" w:hAnsi="等线" w:eastAsia="方正仿宋_GBK" w:cs="Times New Roman"/>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等线" w:eastAsia="方正书宋_GBK" w:cs="Times New Roman"/>
                <w:b/>
              </w:rPr>
            </w:pPr>
            <w:r>
              <w:rPr>
                <w:rFonts w:ascii="方正书宋_GBK" w:hAnsi="等线" w:eastAsia="方正书宋_GBK" w:cs="Times New Roman"/>
                <w:b/>
              </w:rPr>
              <w:t>333002住建局（行政）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等线" w:eastAsia="方正书宋_GBK" w:cs="Times New Roman"/>
              </w:rPr>
            </w:pPr>
            <w:r>
              <w:rPr>
                <w:rFonts w:ascii="方正书宋_GBK" w:hAnsi="等线" w:eastAsia="方正书宋_GBK" w:cs="Times New Roman"/>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333-0503-JBN-0IHM</w:t>
            </w:r>
          </w:p>
        </w:tc>
        <w:tc>
          <w:tcPr>
            <w:tcW w:w="1587"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农村危房改造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140.00</w:t>
            </w:r>
          </w:p>
        </w:tc>
        <w:tc>
          <w:tcPr>
            <w:tcW w:w="1587"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140.00</w:t>
            </w:r>
          </w:p>
        </w:tc>
        <w:tc>
          <w:tcPr>
            <w:tcW w:w="1276"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pPr>
              <w:spacing w:line="300" w:lineRule="exact"/>
              <w:jc w:val="left"/>
              <w:rPr>
                <w:rFonts w:ascii="方正书宋_GBK" w:hAnsi="等线"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rPr>
                <w:rFonts w:ascii="等线" w:hAnsi="等线" w:eastAsia="等线" w:cs="Times New Roman"/>
              </w:rPr>
            </w:pPr>
          </w:p>
        </w:tc>
        <w:tc>
          <w:tcPr>
            <w:tcW w:w="8278" w:type="dxa"/>
            <w:gridSpan w:val="6"/>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项目预算资金140万元，用于农村危房改造，计划2020年实施，预计第四季度支付完毕。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rPr>
                <w:rFonts w:ascii="等线" w:hAnsi="等线" w:eastAsia="等线" w:cs="Times New Roman"/>
              </w:rPr>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hAnsi="等线" w:eastAsia="方正书宋_GBK" w:cs="Times New Roman"/>
              </w:rPr>
            </w:pPr>
          </w:p>
        </w:tc>
        <w:tc>
          <w:tcPr>
            <w:tcW w:w="1587" w:type="dxa"/>
            <w:tcBorders>
              <w:bottom w:val="single" w:color="000000" w:sz="6" w:space="0"/>
            </w:tcBorders>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60.00</w:t>
            </w:r>
          </w:p>
        </w:tc>
        <w:tc>
          <w:tcPr>
            <w:tcW w:w="1304" w:type="dxa"/>
            <w:tcBorders>
              <w:bottom w:val="single" w:color="000000" w:sz="6" w:space="0"/>
            </w:tcBorders>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1、帮助住房最危险、经济最贫困农户解决最基本的安全住房，改善农村住房条件，奠定脱贫攻坚基础。</w:t>
            </w:r>
          </w:p>
          <w:p>
            <w:pPr>
              <w:spacing w:line="300" w:lineRule="exact"/>
              <w:jc w:val="left"/>
              <w:rPr>
                <w:rFonts w:ascii="方正书宋_GBK" w:hAnsi="等线" w:eastAsia="方正书宋_GBK" w:cs="Times New Roman"/>
              </w:rPr>
            </w:pPr>
            <w:r>
              <w:rPr>
                <w:rFonts w:ascii="方正书宋_GBK" w:hAnsi="等线" w:eastAsia="方正书宋_GBK" w:cs="Times New Roman"/>
              </w:rPr>
              <w:t>2、完成农村危房改造任务，有效提升贫困户的幸福感满意度。</w:t>
            </w:r>
          </w:p>
        </w:tc>
      </w:tr>
    </w:tbl>
    <w:p>
      <w:pPr>
        <w:spacing w:line="14" w:lineRule="exact"/>
        <w:ind w:firstLine="420" w:firstLineChars="200"/>
        <w:jc w:val="center"/>
        <w:rPr>
          <w:rFonts w:ascii="Times New Roman" w:hAnsi="宋体" w:eastAsia="宋体" w:cs="Times New Roman"/>
        </w:rPr>
      </w:pPr>
      <w:r>
        <w:rPr>
          <w:rFonts w:ascii="方正书宋_GBK" w:hAnsi="等线" w:eastAsia="方正书宋_GBK" w:cs="Times New Roman"/>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危房改造数量</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完成四类重点对象危房改造任务</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≥35户</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hint="eastAsia" w:ascii="方正书宋_GBK" w:hAnsi="等线" w:eastAsia="方正书宋_GBK" w:cs="Times New Roman"/>
                <w:lang w:eastAsia="zh-CN"/>
              </w:rPr>
              <w:t>单位</w:t>
            </w:r>
            <w:r>
              <w:rPr>
                <w:rFonts w:ascii="方正书宋_GBK" w:hAnsi="等线" w:eastAsia="方正书宋_GBK" w:cs="Times New Roman"/>
              </w:rPr>
              <w:t>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等线" w:eastAsia="方正书宋_GBK" w:cs="Times New Roman"/>
              </w:rPr>
            </w:pP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危房改造面积</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按照最低建设要求进行改造</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≥1750平方米</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hint="eastAsia" w:ascii="方正书宋_GBK" w:hAnsi="等线" w:eastAsia="方正书宋_GBK" w:cs="Times New Roman"/>
                <w:lang w:eastAsia="zh-CN"/>
              </w:rPr>
              <w:t>单位</w:t>
            </w:r>
            <w:r>
              <w:rPr>
                <w:rFonts w:ascii="方正书宋_GBK" w:hAnsi="等线" w:eastAsia="方正书宋_GBK" w:cs="Times New Roman"/>
              </w:rPr>
              <w:t>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等线" w:eastAsia="方正书宋_GBK" w:cs="Times New Roman"/>
              </w:rPr>
            </w:pP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分类分级补助标准执行比例</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按类别分档次进行资金补助</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hint="eastAsia" w:ascii="方正书宋_GBK" w:hAnsi="等线" w:eastAsia="方正书宋_GBK" w:cs="Times New Roman"/>
                <w:lang w:eastAsia="zh-CN"/>
              </w:rPr>
              <w:t>单位</w:t>
            </w:r>
            <w:r>
              <w:rPr>
                <w:rFonts w:ascii="方正书宋_GBK" w:hAnsi="等线" w:eastAsia="方正书宋_GBK" w:cs="Times New Roman"/>
              </w:rPr>
              <w:t>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效果指标</w:t>
            </w: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改造后房屋在相当于本地区抗震设防烈度地震中表现</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严格按照国家最低建设要求改造</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无严重毁损</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hint="eastAsia" w:ascii="方正书宋_GBK" w:hAnsi="等线" w:eastAsia="方正书宋_GBK" w:cs="Times New Roman"/>
                <w:lang w:eastAsia="zh-CN"/>
              </w:rPr>
              <w:t>单位</w:t>
            </w:r>
            <w:r>
              <w:rPr>
                <w:rFonts w:ascii="方正书宋_GBK" w:hAnsi="等线" w:eastAsia="方正书宋_GBK" w:cs="Times New Roman"/>
              </w:rPr>
              <w:t>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等线" w:eastAsia="方正书宋_GBK" w:cs="Times New Roman"/>
              </w:rPr>
            </w:pP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改造后房屋人畜分离、卫生厕所等基本卫生条件</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基本保障卫生条件</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有基本保障</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hint="eastAsia" w:ascii="方正书宋_GBK" w:hAnsi="等线" w:eastAsia="方正书宋_GBK" w:cs="Times New Roman"/>
                <w:lang w:eastAsia="zh-CN"/>
              </w:rPr>
              <w:t>单位</w:t>
            </w:r>
            <w:r>
              <w:rPr>
                <w:rFonts w:ascii="方正书宋_GBK" w:hAnsi="等线" w:eastAsia="方正书宋_GBK" w:cs="Times New Roman"/>
              </w:rPr>
              <w:t>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等线" w:eastAsia="方正书宋_GBK" w:cs="Times New Roman"/>
              </w:rPr>
            </w:pP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受益人口数量</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改造后四类重点对象人口</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≥47人</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hint="eastAsia" w:ascii="方正书宋_GBK" w:hAnsi="等线" w:eastAsia="方正书宋_GBK" w:cs="Times New Roman"/>
                <w:lang w:eastAsia="zh-CN"/>
              </w:rPr>
              <w:t>单位</w:t>
            </w:r>
            <w:r>
              <w:rPr>
                <w:rFonts w:ascii="方正书宋_GBK" w:hAnsi="等线" w:eastAsia="方正书宋_GBK" w:cs="Times New Roman"/>
              </w:rPr>
              <w:t>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受益人口满意度</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改造后四类重点对象住房有保障</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hint="eastAsia" w:ascii="方正书宋_GBK" w:hAnsi="等线" w:eastAsia="方正书宋_GBK" w:cs="Times New Roman"/>
                <w:lang w:eastAsia="zh-CN"/>
              </w:rPr>
              <w:t>单位</w:t>
            </w:r>
            <w:r>
              <w:rPr>
                <w:rFonts w:ascii="方正书宋_GBK" w:hAnsi="等线" w:eastAsia="方正书宋_GBK" w:cs="Times New Roman"/>
              </w:rPr>
              <w:t>职责</w:t>
            </w:r>
          </w:p>
        </w:tc>
      </w:tr>
    </w:tbl>
    <w:p>
      <w:pPr>
        <w:spacing w:line="300" w:lineRule="exact"/>
        <w:ind w:firstLine="420" w:firstLineChars="200"/>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rPr>
          <w:rFonts w:ascii="等线" w:hAnsi="等线" w:eastAsia="等线" w:cs="Times New Roman"/>
        </w:rPr>
      </w:pPr>
    </w:p>
    <w:p>
      <w:pPr>
        <w:ind w:firstLine="562" w:firstLineChars="200"/>
        <w:jc w:val="left"/>
        <w:outlineLvl w:val="1"/>
        <w:rPr>
          <w:rFonts w:ascii="Times New Roman" w:hAnsi="宋体" w:eastAsia="宋体" w:cs="Times New Roman"/>
          <w:b/>
          <w:sz w:val="28"/>
        </w:rPr>
      </w:pPr>
      <w:r>
        <w:rPr>
          <w:rFonts w:ascii="方正仿宋_GBK" w:hAnsi="等线" w:eastAsia="方正仿宋_GBK" w:cs="Times New Roman"/>
          <w:b/>
          <w:sz w:val="28"/>
        </w:rPr>
        <w:t>6、提前下达2020年部分中央城镇保障性安居工程专项补助资金预算绩效目标表</w:t>
      </w:r>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w:instrText>
      </w:r>
      <w:bookmarkStart w:id="5" w:name="_Toc31356295"/>
      <w:r>
        <w:rPr>
          <w:rFonts w:ascii="方正仿宋_GBK" w:hAnsi="等线" w:eastAsia="方正仿宋_GBK" w:cs="Times New Roman"/>
          <w:b/>
          <w:sz w:val="28"/>
        </w:rPr>
        <w:instrText xml:space="preserve">6、提前下达2020年部分中央城镇保障性安居工程专项补助资金预算绩效目标表</w:instrText>
      </w:r>
      <w:bookmarkEnd w:id="5"/>
      <w:r>
        <w:rPr>
          <w:rFonts w:ascii="方正仿宋_GBK" w:hAnsi="等线" w:eastAsia="方正仿宋_GBK" w:cs="Times New Roman"/>
          <w:b/>
          <w:sz w:val="28"/>
        </w:rPr>
        <w:instrText xml:space="preserve"> \f C \l 1 </w:instrText>
      </w:r>
      <w:r>
        <w:rPr>
          <w:rFonts w:ascii="方正仿宋_GBK" w:hAnsi="等线" w:eastAsia="方正仿宋_GBK" w:cs="Times New Roman"/>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等线" w:eastAsia="方正书宋_GBK" w:cs="Times New Roman"/>
                <w:b/>
              </w:rPr>
            </w:pPr>
            <w:r>
              <w:rPr>
                <w:rFonts w:ascii="方正书宋_GBK" w:hAnsi="等线" w:eastAsia="方正书宋_GBK" w:cs="Times New Roman"/>
                <w:b/>
              </w:rPr>
              <w:t>333002住建局（行政）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等线" w:eastAsia="方正书宋_GBK" w:cs="Times New Roman"/>
              </w:rPr>
            </w:pPr>
            <w:r>
              <w:rPr>
                <w:rFonts w:ascii="方正书宋_GBK" w:hAnsi="等线" w:eastAsia="方正书宋_GBK" w:cs="Times New Roman"/>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333-0401-JBN-A17Q</w:t>
            </w:r>
          </w:p>
        </w:tc>
        <w:tc>
          <w:tcPr>
            <w:tcW w:w="1587"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提前下达2020年部分中央城镇保障性安居工程专项补助资金预算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2841.00</w:t>
            </w:r>
          </w:p>
        </w:tc>
        <w:tc>
          <w:tcPr>
            <w:tcW w:w="1587"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2841.00</w:t>
            </w:r>
          </w:p>
        </w:tc>
        <w:tc>
          <w:tcPr>
            <w:tcW w:w="1276"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pPr>
              <w:spacing w:line="300" w:lineRule="exact"/>
              <w:jc w:val="left"/>
              <w:rPr>
                <w:rFonts w:ascii="方正书宋_GBK" w:hAnsi="等线"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rPr>
                <w:rFonts w:ascii="等线" w:hAnsi="等线" w:eastAsia="等线" w:cs="Times New Roman"/>
              </w:rPr>
            </w:pPr>
          </w:p>
        </w:tc>
        <w:tc>
          <w:tcPr>
            <w:tcW w:w="8278" w:type="dxa"/>
            <w:gridSpan w:val="6"/>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项目预算资金2841万元，用于全区保障安居工程，计划2020年实施。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rPr>
                <w:rFonts w:ascii="等线" w:hAnsi="等线" w:eastAsia="等线" w:cs="Times New Roman"/>
              </w:rPr>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hAnsi="等线" w:eastAsia="方正书宋_GBK" w:cs="Times New Roman"/>
              </w:rPr>
            </w:pPr>
          </w:p>
        </w:tc>
        <w:tc>
          <w:tcPr>
            <w:tcW w:w="1587" w:type="dxa"/>
            <w:tcBorders>
              <w:bottom w:val="single" w:color="000000" w:sz="6" w:space="0"/>
            </w:tcBorders>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60.00</w:t>
            </w:r>
          </w:p>
        </w:tc>
        <w:tc>
          <w:tcPr>
            <w:tcW w:w="1304" w:type="dxa"/>
            <w:tcBorders>
              <w:bottom w:val="single" w:color="000000" w:sz="6" w:space="0"/>
            </w:tcBorders>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1、完成城镇保障性安居工程年度建设任务。</w:t>
            </w:r>
          </w:p>
          <w:p>
            <w:pPr>
              <w:spacing w:line="300" w:lineRule="exact"/>
              <w:jc w:val="left"/>
              <w:rPr>
                <w:rFonts w:ascii="方正书宋_GBK" w:hAnsi="等线" w:eastAsia="方正书宋_GBK" w:cs="Times New Roman"/>
              </w:rPr>
            </w:pPr>
            <w:r>
              <w:rPr>
                <w:rFonts w:ascii="方正书宋_GBK" w:hAnsi="等线" w:eastAsia="方正书宋_GBK" w:cs="Times New Roman"/>
              </w:rPr>
              <w:t>2、保障性住房及时分配到位。</w:t>
            </w:r>
          </w:p>
        </w:tc>
      </w:tr>
    </w:tbl>
    <w:p>
      <w:pPr>
        <w:spacing w:line="14" w:lineRule="exact"/>
        <w:ind w:firstLine="420" w:firstLineChars="200"/>
        <w:jc w:val="center"/>
        <w:rPr>
          <w:rFonts w:ascii="Times New Roman" w:hAnsi="宋体" w:eastAsia="宋体" w:cs="Times New Roman"/>
        </w:rPr>
      </w:pPr>
      <w:r>
        <w:rPr>
          <w:rFonts w:ascii="方正书宋_GBK" w:hAnsi="等线" w:eastAsia="方正书宋_GBK" w:cs="Times New Roman"/>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保障性住房竣工率</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当年保障性安居工程基本建成数。</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hint="eastAsia" w:ascii="方正书宋_GBK" w:hAnsi="等线" w:eastAsia="方正书宋_GBK" w:cs="Times New Roman"/>
                <w:lang w:eastAsia="zh-CN"/>
              </w:rPr>
              <w:t>单位</w:t>
            </w:r>
            <w:r>
              <w:rPr>
                <w:rFonts w:ascii="方正书宋_GBK" w:hAnsi="等线" w:eastAsia="方正书宋_GBK" w:cs="Times New Roman"/>
              </w:rPr>
              <w:t>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等线" w:eastAsia="方正书宋_GBK" w:cs="Times New Roman"/>
              </w:rPr>
            </w:pP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保障性住房开工率</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当年保障性安居工程实际开工数。</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hint="eastAsia" w:ascii="方正书宋_GBK" w:hAnsi="等线" w:eastAsia="方正书宋_GBK" w:cs="Times New Roman"/>
                <w:lang w:eastAsia="zh-CN"/>
              </w:rPr>
              <w:t>单位</w:t>
            </w:r>
            <w:r>
              <w:rPr>
                <w:rFonts w:ascii="方正书宋_GBK" w:hAnsi="等线" w:eastAsia="方正书宋_GBK" w:cs="Times New Roman"/>
              </w:rPr>
              <w:t>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等线" w:eastAsia="方正书宋_GBK" w:cs="Times New Roman"/>
              </w:rPr>
            </w:pP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新增租赁补贴户数完成率</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年度新增发放低收入家庭租赁补贴户数占国家下在这我省年度新增租赁补贴任务总数的比率。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hint="eastAsia" w:ascii="方正书宋_GBK" w:hAnsi="等线" w:eastAsia="方正书宋_GBK" w:cs="Times New Roman"/>
                <w:lang w:eastAsia="zh-CN"/>
              </w:rPr>
              <w:t>单位</w:t>
            </w:r>
            <w:r>
              <w:rPr>
                <w:rFonts w:ascii="方正书宋_GBK" w:hAnsi="等线" w:eastAsia="方正书宋_GBK" w:cs="Times New Roman"/>
              </w:rPr>
              <w:t>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受益群众满意度</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受益群体调查中，满意度。</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hint="eastAsia" w:ascii="方正书宋_GBK" w:hAnsi="等线" w:eastAsia="方正书宋_GBK" w:cs="Times New Roman"/>
                <w:lang w:eastAsia="zh-CN"/>
              </w:rPr>
              <w:t>单位</w:t>
            </w:r>
            <w:r>
              <w:rPr>
                <w:rFonts w:ascii="方正书宋_GBK" w:hAnsi="等线" w:eastAsia="方正书宋_GBK" w:cs="Times New Roman"/>
              </w:rPr>
              <w:t>职责</w:t>
            </w:r>
          </w:p>
        </w:tc>
      </w:tr>
    </w:tbl>
    <w:p>
      <w:pPr>
        <w:spacing w:line="300" w:lineRule="exact"/>
        <w:ind w:firstLine="420" w:firstLineChars="200"/>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rPr>
          <w:rFonts w:ascii="等线" w:hAnsi="等线" w:eastAsia="等线" w:cs="Times New Roman"/>
        </w:rPr>
      </w:pPr>
    </w:p>
    <w:p>
      <w:pPr>
        <w:ind w:firstLine="562" w:firstLineChars="200"/>
        <w:jc w:val="left"/>
        <w:outlineLvl w:val="1"/>
        <w:rPr>
          <w:rFonts w:ascii="Times New Roman" w:hAnsi="宋体" w:eastAsia="宋体" w:cs="Times New Roman"/>
          <w:b/>
          <w:sz w:val="28"/>
        </w:rPr>
      </w:pPr>
      <w:r>
        <w:rPr>
          <w:rFonts w:ascii="方正仿宋_GBK" w:hAnsi="等线" w:eastAsia="方正仿宋_GBK" w:cs="Times New Roman"/>
          <w:b/>
          <w:sz w:val="28"/>
        </w:rPr>
        <w:t>7、提前下达2020年省级财政农村危房改造补助资金绩效目标表</w:t>
      </w:r>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w:instrText>
      </w:r>
      <w:bookmarkStart w:id="6" w:name="_Toc31356296"/>
      <w:r>
        <w:rPr>
          <w:rFonts w:ascii="方正仿宋_GBK" w:hAnsi="等线" w:eastAsia="方正仿宋_GBK" w:cs="Times New Roman"/>
          <w:b/>
          <w:sz w:val="28"/>
        </w:rPr>
        <w:instrText xml:space="preserve">7、提前下达2020年省级财政农村危房改造补助资金绩效目标表</w:instrText>
      </w:r>
      <w:bookmarkEnd w:id="6"/>
      <w:r>
        <w:rPr>
          <w:rFonts w:ascii="方正仿宋_GBK" w:hAnsi="等线" w:eastAsia="方正仿宋_GBK" w:cs="Times New Roman"/>
          <w:b/>
          <w:sz w:val="28"/>
        </w:rPr>
        <w:instrText xml:space="preserve"> \f C \l 1 </w:instrText>
      </w:r>
      <w:r>
        <w:rPr>
          <w:rFonts w:ascii="方正仿宋_GBK" w:hAnsi="等线" w:eastAsia="方正仿宋_GBK" w:cs="Times New Roman"/>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等线" w:eastAsia="方正书宋_GBK" w:cs="Times New Roman"/>
                <w:b/>
              </w:rPr>
            </w:pPr>
            <w:r>
              <w:rPr>
                <w:rFonts w:ascii="方正书宋_GBK" w:hAnsi="等线" w:eastAsia="方正书宋_GBK" w:cs="Times New Roman"/>
                <w:b/>
              </w:rPr>
              <w:t>333002住建局（行政）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等线" w:eastAsia="方正书宋_GBK" w:cs="Times New Roman"/>
              </w:rPr>
            </w:pPr>
            <w:r>
              <w:rPr>
                <w:rFonts w:ascii="方正书宋_GBK" w:hAnsi="等线" w:eastAsia="方正书宋_GBK" w:cs="Times New Roman"/>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333-0503-JBN-XFNB</w:t>
            </w:r>
          </w:p>
        </w:tc>
        <w:tc>
          <w:tcPr>
            <w:tcW w:w="1587"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提前下达2020年省级财政农村危房改造补助资金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96.00</w:t>
            </w:r>
          </w:p>
        </w:tc>
        <w:tc>
          <w:tcPr>
            <w:tcW w:w="1587"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96.00</w:t>
            </w:r>
          </w:p>
        </w:tc>
        <w:tc>
          <w:tcPr>
            <w:tcW w:w="1276"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pPr>
              <w:spacing w:line="300" w:lineRule="exact"/>
              <w:jc w:val="left"/>
              <w:rPr>
                <w:rFonts w:ascii="方正书宋_GBK" w:hAnsi="等线"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rPr>
                <w:rFonts w:ascii="等线" w:hAnsi="等线" w:eastAsia="等线" w:cs="Times New Roman"/>
              </w:rPr>
            </w:pPr>
          </w:p>
        </w:tc>
        <w:tc>
          <w:tcPr>
            <w:tcW w:w="8278" w:type="dxa"/>
            <w:gridSpan w:val="6"/>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项目预算资金96万元，用于农村危房改造，计划2020年实施，预计第四季度支付完毕。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rPr>
                <w:rFonts w:ascii="等线" w:hAnsi="等线" w:eastAsia="等线" w:cs="Times New Roman"/>
              </w:rPr>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hAnsi="等线" w:eastAsia="方正书宋_GBK" w:cs="Times New Roman"/>
              </w:rPr>
            </w:pPr>
          </w:p>
        </w:tc>
        <w:tc>
          <w:tcPr>
            <w:tcW w:w="1587" w:type="dxa"/>
            <w:tcBorders>
              <w:bottom w:val="single" w:color="000000" w:sz="6" w:space="0"/>
            </w:tcBorders>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60.00</w:t>
            </w:r>
          </w:p>
        </w:tc>
        <w:tc>
          <w:tcPr>
            <w:tcW w:w="1304" w:type="dxa"/>
            <w:tcBorders>
              <w:bottom w:val="single" w:color="000000" w:sz="6" w:space="0"/>
            </w:tcBorders>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1、帮助住房最危险、经济最贫困农户解决最基本的安全住房，改善农村住房条件，奠定脱贫攻坚基础。</w:t>
            </w:r>
          </w:p>
          <w:p>
            <w:pPr>
              <w:spacing w:line="300" w:lineRule="exact"/>
              <w:jc w:val="left"/>
              <w:rPr>
                <w:rFonts w:ascii="方正书宋_GBK" w:hAnsi="等线" w:eastAsia="方正书宋_GBK" w:cs="Times New Roman"/>
              </w:rPr>
            </w:pPr>
            <w:r>
              <w:rPr>
                <w:rFonts w:ascii="方正书宋_GBK" w:hAnsi="等线" w:eastAsia="方正书宋_GBK" w:cs="Times New Roman"/>
              </w:rPr>
              <w:t>2、完成农村危房改造任务，有效提升贫困户的幸福感满意度。</w:t>
            </w:r>
          </w:p>
        </w:tc>
      </w:tr>
    </w:tbl>
    <w:p>
      <w:pPr>
        <w:spacing w:line="14" w:lineRule="exact"/>
        <w:ind w:firstLine="420" w:firstLineChars="200"/>
        <w:jc w:val="center"/>
        <w:rPr>
          <w:rFonts w:ascii="Times New Roman" w:hAnsi="宋体" w:eastAsia="宋体" w:cs="Times New Roman"/>
        </w:rPr>
      </w:pPr>
      <w:r>
        <w:rPr>
          <w:rFonts w:ascii="方正书宋_GBK" w:hAnsi="等线" w:eastAsia="方正书宋_GBK" w:cs="Times New Roman"/>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危房改造数量</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完成四类重点对象危房改造任务</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≥35户</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hint="eastAsia" w:ascii="方正书宋_GBK" w:hAnsi="等线" w:eastAsia="方正书宋_GBK" w:cs="Times New Roman"/>
                <w:lang w:eastAsia="zh-CN"/>
              </w:rPr>
              <w:t>单位</w:t>
            </w:r>
            <w:r>
              <w:rPr>
                <w:rFonts w:ascii="方正书宋_GBK" w:hAnsi="等线" w:eastAsia="方正书宋_GBK" w:cs="Times New Roman"/>
              </w:rPr>
              <w:t>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等线" w:eastAsia="方正书宋_GBK" w:cs="Times New Roman"/>
              </w:rPr>
            </w:pP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危房改造面积</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按照最低建设要求进行改造</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≥1750平方米</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hint="eastAsia" w:ascii="方正书宋_GBK" w:hAnsi="等线" w:eastAsia="方正书宋_GBK" w:cs="Times New Roman"/>
                <w:lang w:eastAsia="zh-CN"/>
              </w:rPr>
              <w:t>单位</w:t>
            </w:r>
            <w:r>
              <w:rPr>
                <w:rFonts w:ascii="方正书宋_GBK" w:hAnsi="等线" w:eastAsia="方正书宋_GBK" w:cs="Times New Roman"/>
              </w:rPr>
              <w:t>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等线" w:eastAsia="方正书宋_GBK" w:cs="Times New Roman"/>
              </w:rPr>
            </w:pP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分类分级补助标准执行比例</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按类别分档次进行资金补助</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hint="eastAsia" w:ascii="方正书宋_GBK" w:hAnsi="等线" w:eastAsia="方正书宋_GBK" w:cs="Times New Roman"/>
                <w:lang w:eastAsia="zh-CN"/>
              </w:rPr>
              <w:t>单位</w:t>
            </w:r>
            <w:r>
              <w:rPr>
                <w:rFonts w:ascii="方正书宋_GBK" w:hAnsi="等线" w:eastAsia="方正书宋_GBK" w:cs="Times New Roman"/>
              </w:rPr>
              <w:t>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效果指标</w:t>
            </w: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改造后房屋在相当于本地区抗震设防烈度地震中表现</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严格按照国家最低建设要求改造</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无严重毁损</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hint="eastAsia" w:ascii="方正书宋_GBK" w:hAnsi="等线" w:eastAsia="方正书宋_GBK" w:cs="Times New Roman"/>
                <w:lang w:eastAsia="zh-CN"/>
              </w:rPr>
              <w:t>单位</w:t>
            </w:r>
            <w:r>
              <w:rPr>
                <w:rFonts w:ascii="方正书宋_GBK" w:hAnsi="等线" w:eastAsia="方正书宋_GBK" w:cs="Times New Roman"/>
              </w:rPr>
              <w:t>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等线" w:eastAsia="方正书宋_GBK" w:cs="Times New Roman"/>
              </w:rPr>
            </w:pP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改造后房屋人畜分离、卫生厕所等基本卫生条件</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基本保障卫生条件</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有基本保障</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hint="eastAsia" w:ascii="方正书宋_GBK" w:hAnsi="等线" w:eastAsia="方正书宋_GBK" w:cs="Times New Roman"/>
                <w:lang w:eastAsia="zh-CN"/>
              </w:rPr>
              <w:t>单位</w:t>
            </w:r>
            <w:r>
              <w:rPr>
                <w:rFonts w:ascii="方正书宋_GBK" w:hAnsi="等线" w:eastAsia="方正书宋_GBK" w:cs="Times New Roman"/>
              </w:rPr>
              <w:t>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等线" w:eastAsia="方正书宋_GBK" w:cs="Times New Roman"/>
              </w:rPr>
            </w:pP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受益人口数量</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改造后四类重点对象人口</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≥47人</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hint="eastAsia" w:ascii="方正书宋_GBK" w:hAnsi="等线" w:eastAsia="方正书宋_GBK" w:cs="Times New Roman"/>
                <w:lang w:eastAsia="zh-CN"/>
              </w:rPr>
              <w:t>单位</w:t>
            </w:r>
            <w:r>
              <w:rPr>
                <w:rFonts w:ascii="方正书宋_GBK" w:hAnsi="等线" w:eastAsia="方正书宋_GBK" w:cs="Times New Roman"/>
              </w:rPr>
              <w:t>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受益人口满意度</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改造后四类重点对象住房有保障</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hint="eastAsia" w:ascii="方正书宋_GBK" w:hAnsi="等线" w:eastAsia="方正书宋_GBK" w:cs="Times New Roman"/>
                <w:lang w:eastAsia="zh-CN"/>
              </w:rPr>
              <w:t>单位</w:t>
            </w:r>
            <w:r>
              <w:rPr>
                <w:rFonts w:ascii="方正书宋_GBK" w:hAnsi="等线" w:eastAsia="方正书宋_GBK" w:cs="Times New Roman"/>
              </w:rPr>
              <w:t>职责</w:t>
            </w:r>
          </w:p>
        </w:tc>
      </w:tr>
    </w:tbl>
    <w:p>
      <w:pPr>
        <w:spacing w:line="300" w:lineRule="exact"/>
        <w:ind w:firstLine="420" w:firstLineChars="200"/>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rPr>
          <w:rFonts w:ascii="等线" w:hAnsi="等线" w:eastAsia="等线" w:cs="Times New Roman"/>
        </w:rPr>
      </w:pPr>
    </w:p>
    <w:p>
      <w:pPr>
        <w:ind w:firstLine="562" w:firstLineChars="200"/>
        <w:jc w:val="left"/>
        <w:outlineLvl w:val="1"/>
        <w:rPr>
          <w:rFonts w:ascii="Times New Roman" w:hAnsi="宋体" w:eastAsia="宋体" w:cs="Times New Roman"/>
          <w:b/>
          <w:sz w:val="28"/>
        </w:rPr>
      </w:pPr>
      <w:r>
        <w:rPr>
          <w:rFonts w:ascii="方正仿宋_GBK" w:hAnsi="等线" w:eastAsia="方正仿宋_GBK" w:cs="Times New Roman"/>
          <w:b/>
          <w:sz w:val="28"/>
        </w:rPr>
        <w:t>8、提前下达2020年中央财政农村危房改造补助资金绩效目标表</w:t>
      </w:r>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w:instrText>
      </w:r>
      <w:bookmarkStart w:id="7" w:name="_Toc31356297"/>
      <w:r>
        <w:rPr>
          <w:rFonts w:ascii="方正仿宋_GBK" w:hAnsi="等线" w:eastAsia="方正仿宋_GBK" w:cs="Times New Roman"/>
          <w:b/>
          <w:sz w:val="28"/>
        </w:rPr>
        <w:instrText xml:space="preserve">8、提前下达2020年中央财政农村危房改造补助资金绩效目标表</w:instrText>
      </w:r>
      <w:bookmarkEnd w:id="7"/>
      <w:r>
        <w:rPr>
          <w:rFonts w:ascii="方正仿宋_GBK" w:hAnsi="等线" w:eastAsia="方正仿宋_GBK" w:cs="Times New Roman"/>
          <w:b/>
          <w:sz w:val="28"/>
        </w:rPr>
        <w:instrText xml:space="preserve"> \f C \l 1 </w:instrText>
      </w:r>
      <w:r>
        <w:rPr>
          <w:rFonts w:ascii="方正仿宋_GBK" w:hAnsi="等线" w:eastAsia="方正仿宋_GBK" w:cs="Times New Roman"/>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等线" w:eastAsia="方正书宋_GBK" w:cs="Times New Roman"/>
                <w:b/>
              </w:rPr>
            </w:pPr>
            <w:r>
              <w:rPr>
                <w:rFonts w:ascii="方正书宋_GBK" w:hAnsi="等线" w:eastAsia="方正书宋_GBK" w:cs="Times New Roman"/>
                <w:b/>
              </w:rPr>
              <w:t>333002住建局（行政）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等线" w:eastAsia="方正书宋_GBK" w:cs="Times New Roman"/>
              </w:rPr>
            </w:pPr>
            <w:r>
              <w:rPr>
                <w:rFonts w:ascii="方正书宋_GBK" w:hAnsi="等线" w:eastAsia="方正书宋_GBK" w:cs="Times New Roman"/>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333-0503-JBN-UHRB</w:t>
            </w:r>
          </w:p>
        </w:tc>
        <w:tc>
          <w:tcPr>
            <w:tcW w:w="1587"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提前下达2020年中央财政农村危房改造补助资金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210.00</w:t>
            </w:r>
          </w:p>
        </w:tc>
        <w:tc>
          <w:tcPr>
            <w:tcW w:w="1587"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210.00</w:t>
            </w:r>
          </w:p>
        </w:tc>
        <w:tc>
          <w:tcPr>
            <w:tcW w:w="1276"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pPr>
              <w:spacing w:line="300" w:lineRule="exact"/>
              <w:jc w:val="left"/>
              <w:rPr>
                <w:rFonts w:ascii="方正书宋_GBK" w:hAnsi="等线"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rPr>
                <w:rFonts w:ascii="等线" w:hAnsi="等线" w:eastAsia="等线" w:cs="Times New Roman"/>
              </w:rPr>
            </w:pPr>
          </w:p>
        </w:tc>
        <w:tc>
          <w:tcPr>
            <w:tcW w:w="8278" w:type="dxa"/>
            <w:gridSpan w:val="6"/>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项目预算资金210万元，用于农村危房改造，计划2020年实施，预计第四季度支付完毕。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rPr>
                <w:rFonts w:ascii="等线" w:hAnsi="等线" w:eastAsia="等线" w:cs="Times New Roman"/>
              </w:rPr>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hAnsi="等线" w:eastAsia="方正书宋_GBK" w:cs="Times New Roman"/>
              </w:rPr>
            </w:pPr>
          </w:p>
        </w:tc>
        <w:tc>
          <w:tcPr>
            <w:tcW w:w="1587" w:type="dxa"/>
            <w:tcBorders>
              <w:bottom w:val="single" w:color="000000" w:sz="6" w:space="0"/>
            </w:tcBorders>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60.00</w:t>
            </w:r>
          </w:p>
        </w:tc>
        <w:tc>
          <w:tcPr>
            <w:tcW w:w="1304" w:type="dxa"/>
            <w:tcBorders>
              <w:bottom w:val="single" w:color="000000" w:sz="6" w:space="0"/>
            </w:tcBorders>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1、帮助住房最危险、经济最贫困农户解决最基本的安全住房，改善农村住房条件，奠定脱贫攻坚基础。</w:t>
            </w:r>
          </w:p>
          <w:p>
            <w:pPr>
              <w:spacing w:line="300" w:lineRule="exact"/>
              <w:jc w:val="left"/>
              <w:rPr>
                <w:rFonts w:ascii="方正书宋_GBK" w:hAnsi="等线" w:eastAsia="方正书宋_GBK" w:cs="Times New Roman"/>
              </w:rPr>
            </w:pPr>
            <w:r>
              <w:rPr>
                <w:rFonts w:ascii="方正书宋_GBK" w:hAnsi="等线" w:eastAsia="方正书宋_GBK" w:cs="Times New Roman"/>
              </w:rPr>
              <w:t>2、完成农村危房改造任务，有效提升贫困户的幸福感满意度。</w:t>
            </w:r>
          </w:p>
        </w:tc>
      </w:tr>
    </w:tbl>
    <w:p>
      <w:pPr>
        <w:spacing w:line="14" w:lineRule="exact"/>
        <w:ind w:firstLine="420" w:firstLineChars="200"/>
        <w:jc w:val="center"/>
        <w:rPr>
          <w:rFonts w:ascii="Times New Roman" w:hAnsi="宋体" w:eastAsia="宋体" w:cs="Times New Roman"/>
        </w:rPr>
      </w:pPr>
      <w:r>
        <w:rPr>
          <w:rFonts w:ascii="方正书宋_GBK" w:hAnsi="等线" w:eastAsia="方正书宋_GBK" w:cs="Times New Roman"/>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危房改造数量</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完成四类重点对象危房改造任务</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≥35户</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hint="eastAsia" w:ascii="方正书宋_GBK" w:hAnsi="等线" w:eastAsia="方正书宋_GBK" w:cs="Times New Roman"/>
                <w:lang w:eastAsia="zh-CN"/>
              </w:rPr>
              <w:t>单位</w:t>
            </w:r>
            <w:r>
              <w:rPr>
                <w:rFonts w:ascii="方正书宋_GBK" w:hAnsi="等线" w:eastAsia="方正书宋_GBK" w:cs="Times New Roman"/>
              </w:rPr>
              <w:t>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等线" w:eastAsia="方正书宋_GBK" w:cs="Times New Roman"/>
              </w:rPr>
            </w:pP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危房改造面积</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按照最低建设要求进行改造</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≥1750平方米</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hint="eastAsia" w:ascii="方正书宋_GBK" w:hAnsi="等线" w:eastAsia="方正书宋_GBK" w:cs="Times New Roman"/>
                <w:lang w:eastAsia="zh-CN"/>
              </w:rPr>
              <w:t>单位</w:t>
            </w:r>
            <w:r>
              <w:rPr>
                <w:rFonts w:ascii="方正书宋_GBK" w:hAnsi="等线" w:eastAsia="方正书宋_GBK" w:cs="Times New Roman"/>
              </w:rPr>
              <w:t>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等线" w:eastAsia="方正书宋_GBK" w:cs="Times New Roman"/>
              </w:rPr>
            </w:pP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分类分级补助标准执行比例</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按类别分档次进行资金补助</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hint="eastAsia" w:ascii="方正书宋_GBK" w:hAnsi="等线" w:eastAsia="方正书宋_GBK" w:cs="Times New Roman"/>
                <w:lang w:eastAsia="zh-CN"/>
              </w:rPr>
              <w:t>单位</w:t>
            </w:r>
            <w:r>
              <w:rPr>
                <w:rFonts w:ascii="方正书宋_GBK" w:hAnsi="等线" w:eastAsia="方正书宋_GBK" w:cs="Times New Roman"/>
              </w:rPr>
              <w:t>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效果指标</w:t>
            </w: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改造后房屋在相当于本地区抗震设防烈度地震中表现</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严格按照国家最低建设要求改造</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无严重毁损</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hint="eastAsia" w:ascii="方正书宋_GBK" w:hAnsi="等线" w:eastAsia="方正书宋_GBK" w:cs="Times New Roman"/>
                <w:lang w:eastAsia="zh-CN"/>
              </w:rPr>
              <w:t>单位</w:t>
            </w:r>
            <w:r>
              <w:rPr>
                <w:rFonts w:ascii="方正书宋_GBK" w:hAnsi="等线" w:eastAsia="方正书宋_GBK" w:cs="Times New Roman"/>
              </w:rPr>
              <w:t>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等线" w:eastAsia="方正书宋_GBK" w:cs="Times New Roman"/>
              </w:rPr>
            </w:pP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改造后房屋人畜分离、卫生厕所等基本卫生条件</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基本保障卫生条件</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有基本保障</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hint="eastAsia" w:ascii="方正书宋_GBK" w:hAnsi="等线" w:eastAsia="方正书宋_GBK" w:cs="Times New Roman"/>
                <w:lang w:eastAsia="zh-CN"/>
              </w:rPr>
              <w:t>单位</w:t>
            </w:r>
            <w:r>
              <w:rPr>
                <w:rFonts w:ascii="方正书宋_GBK" w:hAnsi="等线" w:eastAsia="方正书宋_GBK" w:cs="Times New Roman"/>
              </w:rPr>
              <w:t>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等线" w:eastAsia="方正书宋_GBK" w:cs="Times New Roman"/>
              </w:rPr>
            </w:pP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受益人口数量</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改造后四类重点对象人口</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≥47人</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hint="eastAsia" w:ascii="方正书宋_GBK" w:hAnsi="等线" w:eastAsia="方正书宋_GBK" w:cs="Times New Roman"/>
                <w:lang w:eastAsia="zh-CN"/>
              </w:rPr>
              <w:t>单位</w:t>
            </w:r>
            <w:r>
              <w:rPr>
                <w:rFonts w:ascii="方正书宋_GBK" w:hAnsi="等线" w:eastAsia="方正书宋_GBK" w:cs="Times New Roman"/>
              </w:rPr>
              <w:t>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受益人口满意度</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改造后四类重点对象住房有保障</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hint="eastAsia" w:ascii="方正书宋_GBK" w:hAnsi="等线" w:eastAsia="方正书宋_GBK" w:cs="Times New Roman"/>
                <w:lang w:eastAsia="zh-CN"/>
              </w:rPr>
              <w:t>单位</w:t>
            </w:r>
            <w:r>
              <w:rPr>
                <w:rFonts w:ascii="方正书宋_GBK" w:hAnsi="等线" w:eastAsia="方正书宋_GBK" w:cs="Times New Roman"/>
              </w:rPr>
              <w:t>职责</w:t>
            </w:r>
          </w:p>
        </w:tc>
      </w:tr>
    </w:tbl>
    <w:p>
      <w:pPr>
        <w:spacing w:line="300" w:lineRule="exact"/>
        <w:ind w:firstLine="420" w:firstLineChars="200"/>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rPr>
          <w:rFonts w:ascii="等线" w:hAnsi="等线" w:eastAsia="等线" w:cs="Times New Roman"/>
        </w:rPr>
      </w:pPr>
    </w:p>
    <w:p>
      <w:pPr>
        <w:ind w:firstLine="562" w:firstLineChars="200"/>
        <w:jc w:val="left"/>
        <w:outlineLvl w:val="1"/>
        <w:rPr>
          <w:rFonts w:ascii="Times New Roman" w:hAnsi="宋体" w:eastAsia="宋体" w:cs="Times New Roman"/>
          <w:b/>
          <w:sz w:val="28"/>
        </w:rPr>
      </w:pPr>
      <w:r>
        <w:rPr>
          <w:rFonts w:ascii="方正仿宋_GBK" w:hAnsi="等线" w:eastAsia="方正仿宋_GBK" w:cs="Times New Roman"/>
          <w:b/>
          <w:sz w:val="28"/>
        </w:rPr>
        <w:t>9、益民奶牛养殖厂拆迁补偿款绩效目标表</w:t>
      </w:r>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w:instrText>
      </w:r>
      <w:bookmarkStart w:id="8" w:name="_Toc31356298"/>
      <w:r>
        <w:rPr>
          <w:rFonts w:ascii="方正仿宋_GBK" w:hAnsi="等线" w:eastAsia="方正仿宋_GBK" w:cs="Times New Roman"/>
          <w:b/>
          <w:sz w:val="28"/>
        </w:rPr>
        <w:instrText xml:space="preserve">9、益民奶牛养殖厂拆迁补偿款绩效目标表</w:instrText>
      </w:r>
      <w:bookmarkEnd w:id="8"/>
      <w:r>
        <w:rPr>
          <w:rFonts w:ascii="方正仿宋_GBK" w:hAnsi="等线" w:eastAsia="方正仿宋_GBK" w:cs="Times New Roman"/>
          <w:b/>
          <w:sz w:val="28"/>
        </w:rPr>
        <w:instrText xml:space="preserve"> \f C \l 1 </w:instrText>
      </w:r>
      <w:r>
        <w:rPr>
          <w:rFonts w:ascii="方正仿宋_GBK" w:hAnsi="等线" w:eastAsia="方正仿宋_GBK" w:cs="Times New Roman"/>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等线" w:eastAsia="方正书宋_GBK" w:cs="Times New Roman"/>
                <w:b/>
              </w:rPr>
            </w:pPr>
            <w:r>
              <w:rPr>
                <w:rFonts w:ascii="方正书宋_GBK" w:hAnsi="等线" w:eastAsia="方正书宋_GBK" w:cs="Times New Roman"/>
                <w:b/>
              </w:rPr>
              <w:t>333002住建局（行政）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等线" w:eastAsia="方正书宋_GBK" w:cs="Times New Roman"/>
              </w:rPr>
            </w:pPr>
            <w:r>
              <w:rPr>
                <w:rFonts w:ascii="方正书宋_GBK" w:hAnsi="等线" w:eastAsia="方正书宋_GBK" w:cs="Times New Roman"/>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333-0501-JBN-SYAK</w:t>
            </w:r>
          </w:p>
        </w:tc>
        <w:tc>
          <w:tcPr>
            <w:tcW w:w="1587"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益民奶牛养殖厂拆迁补偿款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21.67</w:t>
            </w:r>
          </w:p>
        </w:tc>
        <w:tc>
          <w:tcPr>
            <w:tcW w:w="1587"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21.67</w:t>
            </w:r>
          </w:p>
        </w:tc>
        <w:tc>
          <w:tcPr>
            <w:tcW w:w="1276"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pPr>
              <w:spacing w:line="300" w:lineRule="exact"/>
              <w:jc w:val="left"/>
              <w:rPr>
                <w:rFonts w:ascii="方正书宋_GBK" w:hAnsi="等线"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rPr>
                <w:rFonts w:ascii="等线" w:hAnsi="等线" w:eastAsia="等线" w:cs="Times New Roman"/>
              </w:rPr>
            </w:pPr>
          </w:p>
        </w:tc>
        <w:tc>
          <w:tcPr>
            <w:tcW w:w="8278" w:type="dxa"/>
            <w:gridSpan w:val="6"/>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项目预算资金21.67万元，用于益民奶牛养殖厂拆迁补偿，计划2020年实施，一次性支付，预计第二季度支付完毕。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rPr>
                <w:rFonts w:ascii="等线" w:hAnsi="等线" w:eastAsia="等线" w:cs="Times New Roman"/>
              </w:rPr>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hAnsi="等线" w:eastAsia="方正书宋_GBK" w:cs="Times New Roman"/>
              </w:rPr>
            </w:pPr>
          </w:p>
        </w:tc>
        <w:tc>
          <w:tcPr>
            <w:tcW w:w="1587" w:type="dxa"/>
            <w:tcBorders>
              <w:bottom w:val="single" w:color="000000" w:sz="6" w:space="0"/>
            </w:tcBorders>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c>
          <w:tcPr>
            <w:tcW w:w="1304" w:type="dxa"/>
            <w:tcBorders>
              <w:bottom w:val="single" w:color="000000" w:sz="6" w:space="0"/>
            </w:tcBorders>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1、拓宽改造兵营路，改善人们出行环境。</w:t>
            </w:r>
          </w:p>
          <w:p>
            <w:pPr>
              <w:spacing w:line="300" w:lineRule="exact"/>
              <w:jc w:val="left"/>
              <w:rPr>
                <w:rFonts w:ascii="方正书宋_GBK" w:hAnsi="等线" w:eastAsia="方正书宋_GBK" w:cs="Times New Roman"/>
              </w:rPr>
            </w:pPr>
            <w:r>
              <w:rPr>
                <w:rFonts w:ascii="方正书宋_GBK" w:hAnsi="等线" w:eastAsia="方正书宋_GBK" w:cs="Times New Roman"/>
              </w:rPr>
              <w:t>2、缓解交通出行压力，提高城区环境品味。</w:t>
            </w:r>
          </w:p>
        </w:tc>
      </w:tr>
    </w:tbl>
    <w:p>
      <w:pPr>
        <w:spacing w:line="14" w:lineRule="exact"/>
        <w:ind w:firstLine="420" w:firstLineChars="200"/>
        <w:jc w:val="center"/>
        <w:rPr>
          <w:rFonts w:ascii="Times New Roman" w:hAnsi="宋体" w:eastAsia="宋体" w:cs="Times New Roman"/>
        </w:rPr>
      </w:pPr>
      <w:r>
        <w:rPr>
          <w:rFonts w:ascii="方正书宋_GBK" w:hAnsi="等线" w:eastAsia="方正书宋_GBK" w:cs="Times New Roman"/>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租用门脸</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租用门脸三间</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3.82万元每年</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hint="eastAsia" w:ascii="方正书宋_GBK" w:hAnsi="等线" w:eastAsia="方正书宋_GBK" w:cs="Times New Roman"/>
                <w:lang w:eastAsia="zh-CN"/>
              </w:rPr>
              <w:t>单位</w:t>
            </w:r>
            <w:r>
              <w:rPr>
                <w:rFonts w:ascii="方正书宋_GBK" w:hAnsi="等线" w:eastAsia="方正书宋_GBK" w:cs="Times New Roman"/>
              </w:rPr>
              <w:t>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等线" w:eastAsia="方正书宋_GBK" w:cs="Times New Roman"/>
              </w:rPr>
            </w:pP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租用车库</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租用车库2380平方米</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17.85万元每年</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hint="eastAsia" w:ascii="方正书宋_GBK" w:hAnsi="等线" w:eastAsia="方正书宋_GBK" w:cs="Times New Roman"/>
                <w:lang w:eastAsia="zh-CN"/>
              </w:rPr>
              <w:t>单位</w:t>
            </w:r>
            <w:r>
              <w:rPr>
                <w:rFonts w:ascii="方正书宋_GBK" w:hAnsi="等线" w:eastAsia="方正书宋_GBK" w:cs="Times New Roman"/>
              </w:rPr>
              <w:t>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效果指标</w:t>
            </w: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配套设施完成率（%）</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实际完成配套设施量占计划完成配套设施量的比率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hint="eastAsia" w:ascii="方正书宋_GBK" w:hAnsi="等线" w:eastAsia="方正书宋_GBK" w:cs="Times New Roman"/>
                <w:lang w:eastAsia="zh-CN"/>
              </w:rPr>
              <w:t>单位</w:t>
            </w:r>
            <w:r>
              <w:rPr>
                <w:rFonts w:ascii="方正书宋_GBK" w:hAnsi="等线" w:eastAsia="方正书宋_GBK" w:cs="Times New Roman"/>
              </w:rPr>
              <w:t>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等线" w:eastAsia="方正书宋_GBK" w:cs="Times New Roman"/>
              </w:rPr>
            </w:pP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可持续影响指标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城市基础设施建设工作目标完成率</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《关于加强城市基础设施建设的实施意见》中工作目标完成率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hint="eastAsia" w:ascii="方正书宋_GBK" w:hAnsi="等线" w:eastAsia="方正书宋_GBK" w:cs="Times New Roman"/>
                <w:lang w:eastAsia="zh-CN"/>
              </w:rPr>
              <w:t>单位</w:t>
            </w:r>
            <w:r>
              <w:rPr>
                <w:rFonts w:ascii="方正书宋_GBK" w:hAnsi="等线" w:eastAsia="方正书宋_GBK" w:cs="Times New Roman"/>
              </w:rPr>
              <w:t>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受益群体满意度</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受益群体调查中，满意和较满意的人数占全部调查人数的比率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hint="eastAsia" w:ascii="方正书宋_GBK" w:hAnsi="等线" w:eastAsia="方正书宋_GBK" w:cs="Times New Roman"/>
                <w:lang w:eastAsia="zh-CN"/>
              </w:rPr>
              <w:t>单位</w:t>
            </w:r>
            <w:r>
              <w:rPr>
                <w:rFonts w:ascii="方正书宋_GBK" w:hAnsi="等线" w:eastAsia="方正书宋_GBK" w:cs="Times New Roman"/>
              </w:rPr>
              <w:t>职责</w:t>
            </w:r>
          </w:p>
        </w:tc>
      </w:tr>
    </w:tbl>
    <w:p>
      <w:pPr>
        <w:spacing w:line="360" w:lineRule="auto"/>
        <w:rPr>
          <w:rFonts w:ascii="仿宋" w:hAnsi="仿宋" w:eastAsia="仿宋"/>
          <w:sz w:val="32"/>
          <w:szCs w:val="32"/>
        </w:rPr>
        <w:sectPr>
          <w:pgSz w:w="11907" w:h="16839"/>
          <w:pgMar w:top="1984" w:right="1304" w:bottom="1134" w:left="1304" w:header="851" w:footer="992" w:gutter="0"/>
          <w:cols w:space="425" w:num="1"/>
          <w:docGrid w:type="lines" w:linePitch="312" w:charSpace="0"/>
        </w:sectPr>
      </w:pPr>
    </w:p>
    <w:p>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pPr>
        <w:jc w:val="center"/>
        <w:outlineLvl w:val="1"/>
        <w:rPr>
          <w:rFonts w:hint="eastAsia" w:ascii="方正小标宋_GBK" w:hAnsi="等线" w:eastAsia="方正小标宋_GBK" w:cs="Times New Roman"/>
          <w:sz w:val="32"/>
        </w:rPr>
      </w:pPr>
    </w:p>
    <w:p>
      <w:pPr>
        <w:spacing w:line="360" w:lineRule="auto"/>
        <w:ind w:firstLine="640" w:firstLineChars="200"/>
        <w:rPr>
          <w:rFonts w:hint="eastAsia" w:ascii="仿宋" w:hAnsi="仿宋" w:eastAsia="仿宋"/>
          <w:sz w:val="32"/>
          <w:szCs w:val="32"/>
        </w:rPr>
      </w:pPr>
      <w:r>
        <w:rPr>
          <w:rFonts w:ascii="仿宋" w:hAnsi="仿宋" w:eastAsia="仿宋"/>
          <w:sz w:val="32"/>
          <w:szCs w:val="32"/>
        </w:rPr>
        <w:t>2021年，我</w:t>
      </w:r>
      <w:r>
        <w:rPr>
          <w:rFonts w:hint="eastAsia" w:ascii="仿宋" w:hAnsi="仿宋" w:eastAsia="仿宋"/>
          <w:sz w:val="32"/>
          <w:szCs w:val="32"/>
          <w:lang w:eastAsia="zh-CN"/>
        </w:rPr>
        <w:t>单位</w:t>
      </w:r>
      <w:r>
        <w:rPr>
          <w:rFonts w:ascii="仿宋" w:hAnsi="仿宋" w:eastAsia="仿宋"/>
          <w:sz w:val="32"/>
          <w:szCs w:val="32"/>
        </w:rPr>
        <w:t>无政府采购预算，空表列示。</w:t>
      </w:r>
    </w:p>
    <w:p>
      <w:pPr>
        <w:jc w:val="center"/>
        <w:outlineLvl w:val="1"/>
        <w:rPr>
          <w:rFonts w:hint="eastAsia" w:ascii="方正小标宋_GBK" w:hAnsi="等线" w:eastAsia="方正小标宋_GBK" w:cs="Times New Roman"/>
          <w:sz w:val="32"/>
        </w:rPr>
      </w:pPr>
    </w:p>
    <w:p>
      <w:pPr>
        <w:jc w:val="center"/>
        <w:outlineLvl w:val="1"/>
        <w:rPr>
          <w:rFonts w:ascii="Times New Roman" w:hAnsi="宋体" w:eastAsia="宋体" w:cs="Times New Roman"/>
          <w:sz w:val="32"/>
        </w:rPr>
      </w:pPr>
      <w:r>
        <w:rPr>
          <w:rFonts w:hint="eastAsia" w:ascii="方正小标宋_GBK" w:hAnsi="等线" w:eastAsia="方正小标宋_GBK" w:cs="Times New Roman"/>
          <w:sz w:val="32"/>
          <w:lang w:eastAsia="zh-CN"/>
        </w:rPr>
        <w:t>单位</w:t>
      </w:r>
      <w:r>
        <w:rPr>
          <w:rFonts w:ascii="方正小标宋_GBK" w:hAnsi="等线" w:eastAsia="方正小标宋_GBK" w:cs="Times New Roman"/>
          <w:sz w:val="32"/>
        </w:rPr>
        <w:t>政府采购预算</w:t>
      </w:r>
    </w:p>
    <w:tbl>
      <w:tblPr>
        <w:tblStyle w:val="5"/>
        <w:tblW w:w="155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4"/>
        <w:gridCol w:w="1134"/>
        <w:gridCol w:w="1531"/>
        <w:gridCol w:w="1531"/>
        <w:gridCol w:w="709"/>
        <w:gridCol w:w="907"/>
        <w:gridCol w:w="907"/>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8703" w:type="dxa"/>
            <w:gridSpan w:val="7"/>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hAnsi="等线" w:eastAsia="方正小标宋_GBK" w:cs="Times New Roman"/>
                <w:sz w:val="24"/>
              </w:rPr>
            </w:pPr>
            <w:r>
              <w:rPr>
                <w:rFonts w:hint="eastAsia" w:ascii="方正小标宋_GBK" w:hAnsi="等线" w:eastAsia="方正小标宋_GBK" w:cs="Times New Roman"/>
                <w:sz w:val="24"/>
              </w:rPr>
              <w:t>333保定市徐水区住房和城乡建设</w:t>
            </w:r>
            <w:r>
              <w:rPr>
                <w:rFonts w:ascii="方正小标宋_GBK" w:hAnsi="等线" w:eastAsia="方正小标宋_GBK" w:cs="Times New Roman"/>
                <w:sz w:val="24"/>
              </w:rPr>
              <w:t>局</w:t>
            </w:r>
          </w:p>
        </w:tc>
        <w:tc>
          <w:tcPr>
            <w:tcW w:w="6804"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等线" w:eastAsia="方正书宋_GBK" w:cs="Times New Roman"/>
                <w:sz w:val="24"/>
              </w:rPr>
            </w:pPr>
            <w:r>
              <w:rPr>
                <w:rFonts w:ascii="方正书宋_GBK" w:hAnsi="等线" w:eastAsia="方正书宋_GBK" w:cs="Times New Roman"/>
                <w:sz w:val="24"/>
              </w:rPr>
              <w:t>单位：</w:t>
            </w:r>
            <w:r>
              <w:rPr>
                <w:rFonts w:hint="eastAsia" w:ascii="方正书宋_GBK" w:hAnsi="等线" w:eastAsia="方正书宋_GBK" w:cs="Times New Roman"/>
                <w:sz w:val="24"/>
              </w:rPr>
              <w:t>万</w:t>
            </w:r>
            <w:r>
              <w:rPr>
                <w:rFonts w:ascii="方正书宋_GBK" w:hAnsi="等线" w:eastAsia="方正书宋_GBK" w:cs="Times New Roman"/>
                <w:sz w:val="24"/>
              </w:rPr>
              <w:t>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118" w:type="dxa"/>
            <w:gridSpan w:val="2"/>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政府采购项目来源</w:t>
            </w:r>
          </w:p>
        </w:tc>
        <w:tc>
          <w:tcPr>
            <w:tcW w:w="1531" w:type="dxa"/>
            <w:vMerge w:val="restart"/>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采购物品名称</w:t>
            </w:r>
          </w:p>
        </w:tc>
        <w:tc>
          <w:tcPr>
            <w:tcW w:w="1531" w:type="dxa"/>
            <w:vMerge w:val="restart"/>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政府采购目录序号</w:t>
            </w:r>
          </w:p>
        </w:tc>
        <w:tc>
          <w:tcPr>
            <w:tcW w:w="709" w:type="dxa"/>
            <w:vMerge w:val="restart"/>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计量  单位</w:t>
            </w:r>
          </w:p>
        </w:tc>
        <w:tc>
          <w:tcPr>
            <w:tcW w:w="907" w:type="dxa"/>
            <w:vMerge w:val="restart"/>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数量</w:t>
            </w:r>
          </w:p>
        </w:tc>
        <w:tc>
          <w:tcPr>
            <w:tcW w:w="907" w:type="dxa"/>
            <w:vMerge w:val="restart"/>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单价</w:t>
            </w:r>
          </w:p>
        </w:tc>
        <w:tc>
          <w:tcPr>
            <w:tcW w:w="6804" w:type="dxa"/>
            <w:gridSpan w:val="6"/>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政府采购金额（当年</w:t>
            </w:r>
            <w:r>
              <w:rPr>
                <w:rFonts w:hint="eastAsia" w:ascii="方正书宋_GBK" w:hAnsi="等线" w:eastAsia="方正书宋_GBK" w:cs="Times New Roman"/>
                <w:b/>
                <w:lang w:eastAsia="zh-CN"/>
              </w:rPr>
              <w:t>单位</w:t>
            </w:r>
            <w:r>
              <w:rPr>
                <w:rFonts w:ascii="方正书宋_GBK" w:hAnsi="等线" w:eastAsia="方正书宋_GBK" w:cs="Times New Roman"/>
                <w:b/>
              </w:rPr>
              <w:t>预算安排资金）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8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预算资金</w:t>
            </w:r>
          </w:p>
        </w:tc>
        <w:tc>
          <w:tcPr>
            <w:tcW w:w="1531" w:type="dxa"/>
            <w:vMerge w:val="continue"/>
            <w:shd w:val="clear" w:color="auto" w:fill="auto"/>
            <w:vAlign w:val="center"/>
          </w:tcPr>
          <w:p>
            <w:pPr>
              <w:spacing w:line="300" w:lineRule="exact"/>
              <w:jc w:val="left"/>
              <w:outlineLvl w:val="1"/>
              <w:rPr>
                <w:rFonts w:ascii="Times New Roman" w:hAnsi="等线" w:eastAsia="方正仿宋_GBK" w:cs="Times New Roman"/>
                <w:sz w:val="28"/>
              </w:rPr>
            </w:pPr>
          </w:p>
        </w:tc>
        <w:tc>
          <w:tcPr>
            <w:tcW w:w="1531" w:type="dxa"/>
            <w:vMerge w:val="continue"/>
            <w:shd w:val="clear" w:color="auto" w:fill="auto"/>
            <w:vAlign w:val="center"/>
          </w:tcPr>
          <w:p>
            <w:pPr>
              <w:spacing w:line="300" w:lineRule="exact"/>
              <w:jc w:val="left"/>
              <w:outlineLvl w:val="1"/>
              <w:rPr>
                <w:rFonts w:ascii="Times New Roman" w:hAnsi="等线" w:eastAsia="方正仿宋_GBK" w:cs="Times New Roman"/>
                <w:sz w:val="28"/>
              </w:rPr>
            </w:pPr>
          </w:p>
        </w:tc>
        <w:tc>
          <w:tcPr>
            <w:tcW w:w="709" w:type="dxa"/>
            <w:vMerge w:val="continue"/>
            <w:shd w:val="clear" w:color="auto" w:fill="auto"/>
            <w:vAlign w:val="center"/>
          </w:tcPr>
          <w:p>
            <w:pPr>
              <w:spacing w:line="300" w:lineRule="exact"/>
              <w:jc w:val="left"/>
              <w:outlineLvl w:val="1"/>
              <w:rPr>
                <w:rFonts w:ascii="Times New Roman" w:hAnsi="等线" w:eastAsia="方正仿宋_GBK" w:cs="Times New Roman"/>
                <w:sz w:val="28"/>
              </w:rPr>
            </w:pPr>
          </w:p>
        </w:tc>
        <w:tc>
          <w:tcPr>
            <w:tcW w:w="907" w:type="dxa"/>
            <w:vMerge w:val="continue"/>
            <w:shd w:val="clear" w:color="auto" w:fill="auto"/>
            <w:vAlign w:val="center"/>
          </w:tcPr>
          <w:p>
            <w:pPr>
              <w:spacing w:line="300" w:lineRule="exact"/>
              <w:jc w:val="left"/>
              <w:outlineLvl w:val="1"/>
              <w:rPr>
                <w:rFonts w:ascii="Times New Roman" w:hAnsi="等线" w:eastAsia="方正仿宋_GBK" w:cs="Times New Roman"/>
                <w:sz w:val="28"/>
              </w:rPr>
            </w:pPr>
          </w:p>
        </w:tc>
        <w:tc>
          <w:tcPr>
            <w:tcW w:w="907" w:type="dxa"/>
            <w:vMerge w:val="continue"/>
            <w:shd w:val="clear" w:color="auto" w:fill="auto"/>
            <w:vAlign w:val="center"/>
          </w:tcPr>
          <w:p>
            <w:pPr>
              <w:spacing w:line="300" w:lineRule="exact"/>
              <w:jc w:val="left"/>
              <w:outlineLvl w:val="1"/>
              <w:rPr>
                <w:rFonts w:ascii="Times New Roman" w:hAnsi="等线" w:eastAsia="方正仿宋_GBK" w:cs="Times New Roman"/>
                <w:sz w:val="28"/>
              </w:rPr>
            </w:pPr>
          </w:p>
        </w:tc>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合计</w:t>
            </w:r>
          </w:p>
        </w:tc>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一般公共预算拨款</w:t>
            </w:r>
          </w:p>
        </w:tc>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基金预算拨款</w:t>
            </w:r>
          </w:p>
        </w:tc>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国有资本经营预算拨款</w:t>
            </w:r>
          </w:p>
        </w:tc>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财政专户核拨</w:t>
            </w:r>
          </w:p>
        </w:tc>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单位资金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98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合  计</w:t>
            </w:r>
          </w:p>
        </w:tc>
        <w:tc>
          <w:tcPr>
            <w:tcW w:w="1134" w:type="dxa"/>
            <w:shd w:val="clear" w:color="auto" w:fill="auto"/>
            <w:vAlign w:val="center"/>
          </w:tcPr>
          <w:p>
            <w:pPr>
              <w:spacing w:line="300" w:lineRule="exact"/>
              <w:jc w:val="right"/>
              <w:rPr>
                <w:rFonts w:ascii="方正书宋_GBK" w:hAnsi="等线" w:eastAsia="方正书宋_GBK" w:cs="Times New Roman"/>
                <w:b/>
              </w:rPr>
            </w:pPr>
          </w:p>
        </w:tc>
        <w:tc>
          <w:tcPr>
            <w:tcW w:w="1531" w:type="dxa"/>
            <w:shd w:val="clear" w:color="auto" w:fill="auto"/>
            <w:vAlign w:val="center"/>
          </w:tcPr>
          <w:p>
            <w:pPr>
              <w:spacing w:line="300" w:lineRule="exact"/>
              <w:jc w:val="left"/>
              <w:rPr>
                <w:rFonts w:ascii="方正书宋_GBK" w:hAnsi="等线" w:eastAsia="方正书宋_GBK" w:cs="Times New Roman"/>
                <w:b/>
              </w:rPr>
            </w:pPr>
          </w:p>
        </w:tc>
        <w:tc>
          <w:tcPr>
            <w:tcW w:w="1531" w:type="dxa"/>
            <w:shd w:val="clear" w:color="auto" w:fill="auto"/>
            <w:vAlign w:val="center"/>
          </w:tcPr>
          <w:p>
            <w:pPr>
              <w:spacing w:line="300" w:lineRule="exact"/>
              <w:jc w:val="left"/>
              <w:rPr>
                <w:rFonts w:ascii="方正书宋_GBK" w:hAnsi="等线" w:eastAsia="方正书宋_GBK" w:cs="Times New Roman"/>
                <w:b/>
              </w:rPr>
            </w:pPr>
          </w:p>
        </w:tc>
        <w:tc>
          <w:tcPr>
            <w:tcW w:w="709" w:type="dxa"/>
            <w:shd w:val="clear" w:color="auto" w:fill="auto"/>
            <w:vAlign w:val="center"/>
          </w:tcPr>
          <w:p>
            <w:pPr>
              <w:spacing w:line="300" w:lineRule="exact"/>
              <w:jc w:val="center"/>
              <w:rPr>
                <w:rFonts w:ascii="方正书宋_GBK" w:hAnsi="等线" w:eastAsia="方正书宋_GBK" w:cs="Times New Roman"/>
                <w:b/>
              </w:rPr>
            </w:pPr>
          </w:p>
        </w:tc>
        <w:tc>
          <w:tcPr>
            <w:tcW w:w="907" w:type="dxa"/>
            <w:shd w:val="clear" w:color="auto" w:fill="auto"/>
            <w:vAlign w:val="center"/>
          </w:tcPr>
          <w:p>
            <w:pPr>
              <w:spacing w:line="300" w:lineRule="exact"/>
              <w:jc w:val="right"/>
              <w:rPr>
                <w:rFonts w:ascii="方正书宋_GBK" w:hAnsi="等线" w:eastAsia="方正书宋_GBK" w:cs="Times New Roman"/>
                <w:b/>
              </w:rPr>
            </w:pPr>
          </w:p>
        </w:tc>
        <w:tc>
          <w:tcPr>
            <w:tcW w:w="907" w:type="dxa"/>
            <w:shd w:val="clear" w:color="auto" w:fill="auto"/>
            <w:vAlign w:val="center"/>
          </w:tcPr>
          <w:p>
            <w:pPr>
              <w:spacing w:line="300" w:lineRule="exact"/>
              <w:jc w:val="right"/>
              <w:rPr>
                <w:rFonts w:ascii="方正书宋_GBK" w:hAnsi="等线" w:eastAsia="方正书宋_GBK" w:cs="Times New Roman"/>
                <w:b/>
              </w:rPr>
            </w:pPr>
          </w:p>
        </w:tc>
        <w:tc>
          <w:tcPr>
            <w:tcW w:w="1134" w:type="dxa"/>
            <w:shd w:val="clear" w:color="auto" w:fill="auto"/>
            <w:vAlign w:val="center"/>
          </w:tcPr>
          <w:p>
            <w:pPr>
              <w:spacing w:line="300" w:lineRule="exact"/>
              <w:jc w:val="right"/>
              <w:rPr>
                <w:rFonts w:ascii="方正书宋_GBK" w:hAnsi="等线" w:eastAsia="方正书宋_GBK" w:cs="Times New Roman"/>
                <w:b/>
              </w:rPr>
            </w:pPr>
          </w:p>
        </w:tc>
        <w:tc>
          <w:tcPr>
            <w:tcW w:w="1134" w:type="dxa"/>
            <w:shd w:val="clear" w:color="auto" w:fill="auto"/>
            <w:vAlign w:val="center"/>
          </w:tcPr>
          <w:p>
            <w:pPr>
              <w:spacing w:line="300" w:lineRule="exact"/>
              <w:jc w:val="right"/>
              <w:rPr>
                <w:rFonts w:ascii="方正书宋_GBK" w:hAnsi="等线" w:eastAsia="方正书宋_GBK" w:cs="Times New Roman"/>
                <w:b/>
              </w:rPr>
            </w:pPr>
          </w:p>
        </w:tc>
        <w:tc>
          <w:tcPr>
            <w:tcW w:w="1134" w:type="dxa"/>
            <w:shd w:val="clear" w:color="auto" w:fill="auto"/>
            <w:vAlign w:val="center"/>
          </w:tcPr>
          <w:p>
            <w:pPr>
              <w:spacing w:line="300" w:lineRule="exact"/>
              <w:jc w:val="right"/>
              <w:rPr>
                <w:rFonts w:ascii="方正书宋_GBK" w:hAnsi="等线" w:eastAsia="方正书宋_GBK" w:cs="Times New Roman"/>
                <w:b/>
              </w:rPr>
            </w:pPr>
          </w:p>
        </w:tc>
        <w:tc>
          <w:tcPr>
            <w:tcW w:w="1134" w:type="dxa"/>
            <w:shd w:val="clear" w:color="auto" w:fill="auto"/>
            <w:vAlign w:val="center"/>
          </w:tcPr>
          <w:p>
            <w:pPr>
              <w:spacing w:line="300" w:lineRule="exact"/>
              <w:jc w:val="right"/>
              <w:rPr>
                <w:rFonts w:ascii="方正书宋_GBK" w:hAnsi="等线" w:eastAsia="方正书宋_GBK" w:cs="Times New Roman"/>
                <w:b/>
              </w:rPr>
            </w:pPr>
          </w:p>
        </w:tc>
        <w:tc>
          <w:tcPr>
            <w:tcW w:w="1134" w:type="dxa"/>
            <w:shd w:val="clear" w:color="auto" w:fill="auto"/>
            <w:vAlign w:val="center"/>
          </w:tcPr>
          <w:p>
            <w:pPr>
              <w:spacing w:line="300" w:lineRule="exact"/>
              <w:jc w:val="right"/>
              <w:rPr>
                <w:rFonts w:ascii="方正书宋_GBK" w:hAnsi="等线" w:eastAsia="方正书宋_GBK" w:cs="Times New Roman"/>
                <w:b/>
              </w:rPr>
            </w:pPr>
          </w:p>
        </w:tc>
        <w:tc>
          <w:tcPr>
            <w:tcW w:w="1134" w:type="dxa"/>
            <w:shd w:val="clear" w:color="auto" w:fill="auto"/>
            <w:vAlign w:val="center"/>
          </w:tcPr>
          <w:p>
            <w:pPr>
              <w:spacing w:line="300" w:lineRule="exact"/>
              <w:jc w:val="right"/>
              <w:rPr>
                <w:rFonts w:ascii="方正书宋_GBK" w:hAnsi="等线" w:eastAsia="方正书宋_GBK" w:cs="Times New Roman"/>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hAnsi="等线" w:eastAsia="方正书宋_GBK" w:cs="Times New Roman"/>
                <w:b/>
              </w:rPr>
            </w:pPr>
          </w:p>
        </w:tc>
        <w:tc>
          <w:tcPr>
            <w:tcW w:w="1134" w:type="dxa"/>
            <w:shd w:val="clear" w:color="auto" w:fill="auto"/>
            <w:vAlign w:val="center"/>
          </w:tcPr>
          <w:p>
            <w:pPr>
              <w:spacing w:line="300" w:lineRule="exact"/>
              <w:jc w:val="right"/>
              <w:rPr>
                <w:rFonts w:ascii="方正书宋_GBK" w:hAnsi="等线" w:eastAsia="方正书宋_GBK" w:cs="Times New Roman"/>
                <w:b/>
              </w:rPr>
            </w:pPr>
          </w:p>
        </w:tc>
        <w:tc>
          <w:tcPr>
            <w:tcW w:w="1531" w:type="dxa"/>
            <w:shd w:val="clear" w:color="auto" w:fill="auto"/>
            <w:vAlign w:val="center"/>
          </w:tcPr>
          <w:p>
            <w:pPr>
              <w:spacing w:line="300" w:lineRule="exact"/>
              <w:jc w:val="left"/>
              <w:rPr>
                <w:rFonts w:ascii="方正书宋_GBK" w:hAnsi="等线" w:eastAsia="方正书宋_GBK" w:cs="Times New Roman"/>
                <w:b/>
              </w:rPr>
            </w:pPr>
          </w:p>
        </w:tc>
        <w:tc>
          <w:tcPr>
            <w:tcW w:w="1531" w:type="dxa"/>
            <w:shd w:val="clear" w:color="auto" w:fill="auto"/>
            <w:vAlign w:val="center"/>
          </w:tcPr>
          <w:p>
            <w:pPr>
              <w:spacing w:line="300" w:lineRule="exact"/>
              <w:jc w:val="left"/>
              <w:rPr>
                <w:rFonts w:ascii="方正书宋_GBK" w:hAnsi="等线" w:eastAsia="方正书宋_GBK" w:cs="Times New Roman"/>
                <w:b/>
              </w:rPr>
            </w:pPr>
          </w:p>
        </w:tc>
        <w:tc>
          <w:tcPr>
            <w:tcW w:w="709" w:type="dxa"/>
            <w:shd w:val="clear" w:color="auto" w:fill="auto"/>
            <w:vAlign w:val="center"/>
          </w:tcPr>
          <w:p>
            <w:pPr>
              <w:spacing w:line="300" w:lineRule="exact"/>
              <w:jc w:val="center"/>
              <w:rPr>
                <w:rFonts w:ascii="方正书宋_GBK" w:hAnsi="等线" w:eastAsia="方正书宋_GBK" w:cs="Times New Roman"/>
                <w:b/>
              </w:rPr>
            </w:pPr>
          </w:p>
        </w:tc>
        <w:tc>
          <w:tcPr>
            <w:tcW w:w="907" w:type="dxa"/>
            <w:shd w:val="clear" w:color="auto" w:fill="auto"/>
            <w:vAlign w:val="center"/>
          </w:tcPr>
          <w:p>
            <w:pPr>
              <w:spacing w:line="300" w:lineRule="exact"/>
              <w:jc w:val="right"/>
              <w:rPr>
                <w:rFonts w:ascii="方正书宋_GBK" w:hAnsi="等线" w:eastAsia="方正书宋_GBK" w:cs="Times New Roman"/>
                <w:b/>
              </w:rPr>
            </w:pPr>
          </w:p>
        </w:tc>
        <w:tc>
          <w:tcPr>
            <w:tcW w:w="907" w:type="dxa"/>
            <w:shd w:val="clear" w:color="auto" w:fill="auto"/>
            <w:vAlign w:val="center"/>
          </w:tcPr>
          <w:p>
            <w:pPr>
              <w:spacing w:line="300" w:lineRule="exact"/>
              <w:jc w:val="right"/>
              <w:rPr>
                <w:rFonts w:ascii="方正书宋_GBK" w:hAnsi="等线" w:eastAsia="方正书宋_GBK" w:cs="Times New Roman"/>
                <w:b/>
              </w:rPr>
            </w:pPr>
          </w:p>
        </w:tc>
        <w:tc>
          <w:tcPr>
            <w:tcW w:w="1134" w:type="dxa"/>
            <w:shd w:val="clear" w:color="auto" w:fill="auto"/>
            <w:vAlign w:val="center"/>
          </w:tcPr>
          <w:p>
            <w:pPr>
              <w:spacing w:line="300" w:lineRule="exact"/>
              <w:jc w:val="right"/>
              <w:rPr>
                <w:rFonts w:ascii="方正书宋_GBK" w:hAnsi="等线" w:eastAsia="方正书宋_GBK" w:cs="Times New Roman"/>
                <w:b/>
              </w:rPr>
            </w:pPr>
          </w:p>
        </w:tc>
        <w:tc>
          <w:tcPr>
            <w:tcW w:w="1134" w:type="dxa"/>
            <w:shd w:val="clear" w:color="auto" w:fill="auto"/>
            <w:vAlign w:val="center"/>
          </w:tcPr>
          <w:p>
            <w:pPr>
              <w:spacing w:line="300" w:lineRule="exact"/>
              <w:jc w:val="right"/>
              <w:rPr>
                <w:rFonts w:ascii="方正书宋_GBK" w:hAnsi="等线" w:eastAsia="方正书宋_GBK" w:cs="Times New Roman"/>
                <w:b/>
              </w:rPr>
            </w:pPr>
          </w:p>
        </w:tc>
        <w:tc>
          <w:tcPr>
            <w:tcW w:w="1134" w:type="dxa"/>
            <w:shd w:val="clear" w:color="auto" w:fill="auto"/>
            <w:vAlign w:val="center"/>
          </w:tcPr>
          <w:p>
            <w:pPr>
              <w:spacing w:line="300" w:lineRule="exact"/>
              <w:jc w:val="right"/>
              <w:rPr>
                <w:rFonts w:ascii="方正书宋_GBK" w:hAnsi="等线" w:eastAsia="方正书宋_GBK" w:cs="Times New Roman"/>
                <w:b/>
              </w:rPr>
            </w:pPr>
          </w:p>
        </w:tc>
        <w:tc>
          <w:tcPr>
            <w:tcW w:w="1134" w:type="dxa"/>
            <w:shd w:val="clear" w:color="auto" w:fill="auto"/>
            <w:vAlign w:val="center"/>
          </w:tcPr>
          <w:p>
            <w:pPr>
              <w:spacing w:line="300" w:lineRule="exact"/>
              <w:jc w:val="right"/>
              <w:rPr>
                <w:rFonts w:ascii="方正书宋_GBK" w:hAnsi="等线" w:eastAsia="方正书宋_GBK" w:cs="Times New Roman"/>
                <w:b/>
              </w:rPr>
            </w:pPr>
          </w:p>
        </w:tc>
        <w:tc>
          <w:tcPr>
            <w:tcW w:w="1134" w:type="dxa"/>
            <w:shd w:val="clear" w:color="auto" w:fill="auto"/>
            <w:vAlign w:val="center"/>
          </w:tcPr>
          <w:p>
            <w:pPr>
              <w:spacing w:line="300" w:lineRule="exact"/>
              <w:jc w:val="right"/>
              <w:rPr>
                <w:rFonts w:ascii="方正书宋_GBK" w:hAnsi="等线" w:eastAsia="方正书宋_GBK" w:cs="Times New Roman"/>
                <w:b/>
              </w:rPr>
            </w:pPr>
          </w:p>
        </w:tc>
        <w:tc>
          <w:tcPr>
            <w:tcW w:w="1134" w:type="dxa"/>
            <w:shd w:val="clear" w:color="auto" w:fill="auto"/>
            <w:vAlign w:val="center"/>
          </w:tcPr>
          <w:p>
            <w:pPr>
              <w:spacing w:line="300" w:lineRule="exact"/>
              <w:jc w:val="right"/>
              <w:rPr>
                <w:rFonts w:ascii="方正书宋_GBK" w:hAnsi="等线" w:eastAsia="方正书宋_GBK" w:cs="Times New Roman"/>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hAnsi="等线" w:eastAsia="方正书宋_GBK" w:cs="Times New Roman"/>
              </w:rPr>
            </w:pPr>
          </w:p>
        </w:tc>
        <w:tc>
          <w:tcPr>
            <w:tcW w:w="1134" w:type="dxa"/>
            <w:shd w:val="clear" w:color="auto" w:fill="auto"/>
            <w:vAlign w:val="center"/>
          </w:tcPr>
          <w:p>
            <w:pPr>
              <w:spacing w:line="300" w:lineRule="exact"/>
              <w:jc w:val="right"/>
              <w:rPr>
                <w:rFonts w:ascii="方正书宋_GBK" w:hAnsi="等线" w:eastAsia="方正书宋_GBK" w:cs="Times New Roman"/>
              </w:rPr>
            </w:pPr>
          </w:p>
        </w:tc>
        <w:tc>
          <w:tcPr>
            <w:tcW w:w="1531" w:type="dxa"/>
            <w:shd w:val="clear" w:color="auto" w:fill="auto"/>
            <w:vAlign w:val="center"/>
          </w:tcPr>
          <w:p>
            <w:pPr>
              <w:spacing w:line="300" w:lineRule="exact"/>
              <w:jc w:val="left"/>
              <w:rPr>
                <w:rFonts w:ascii="方正书宋_GBK" w:hAnsi="等线" w:eastAsia="方正书宋_GBK" w:cs="Times New Roman"/>
              </w:rPr>
            </w:pPr>
          </w:p>
        </w:tc>
        <w:tc>
          <w:tcPr>
            <w:tcW w:w="1531" w:type="dxa"/>
            <w:shd w:val="clear" w:color="auto" w:fill="auto"/>
            <w:vAlign w:val="center"/>
          </w:tcPr>
          <w:p>
            <w:pPr>
              <w:spacing w:line="300" w:lineRule="exact"/>
              <w:jc w:val="left"/>
              <w:rPr>
                <w:rFonts w:ascii="方正书宋_GBK" w:hAnsi="等线" w:eastAsia="方正书宋_GBK" w:cs="Times New Roman"/>
              </w:rPr>
            </w:pPr>
          </w:p>
        </w:tc>
        <w:tc>
          <w:tcPr>
            <w:tcW w:w="709" w:type="dxa"/>
            <w:shd w:val="clear" w:color="auto" w:fill="auto"/>
            <w:vAlign w:val="center"/>
          </w:tcPr>
          <w:p>
            <w:pPr>
              <w:spacing w:line="300" w:lineRule="exact"/>
              <w:jc w:val="center"/>
              <w:rPr>
                <w:rFonts w:ascii="方正书宋_GBK" w:hAnsi="等线" w:eastAsia="方正书宋_GBK" w:cs="Times New Roman"/>
              </w:rPr>
            </w:pPr>
          </w:p>
        </w:tc>
        <w:tc>
          <w:tcPr>
            <w:tcW w:w="907" w:type="dxa"/>
            <w:shd w:val="clear" w:color="auto" w:fill="auto"/>
            <w:vAlign w:val="center"/>
          </w:tcPr>
          <w:p>
            <w:pPr>
              <w:spacing w:line="300" w:lineRule="exact"/>
              <w:jc w:val="right"/>
              <w:rPr>
                <w:rFonts w:ascii="方正书宋_GBK" w:hAnsi="等线" w:eastAsia="方正书宋_GBK" w:cs="Times New Roman"/>
              </w:rPr>
            </w:pPr>
          </w:p>
        </w:tc>
        <w:tc>
          <w:tcPr>
            <w:tcW w:w="907" w:type="dxa"/>
            <w:shd w:val="clear" w:color="auto" w:fill="auto"/>
            <w:vAlign w:val="center"/>
          </w:tcPr>
          <w:p>
            <w:pPr>
              <w:spacing w:line="300" w:lineRule="exact"/>
              <w:jc w:val="right"/>
              <w:rPr>
                <w:rFonts w:ascii="方正书宋_GBK" w:hAnsi="等线" w:eastAsia="方正书宋_GBK" w:cs="Times New Roman"/>
              </w:rPr>
            </w:pPr>
          </w:p>
        </w:tc>
        <w:tc>
          <w:tcPr>
            <w:tcW w:w="1134" w:type="dxa"/>
            <w:shd w:val="clear" w:color="auto" w:fill="auto"/>
            <w:vAlign w:val="center"/>
          </w:tcPr>
          <w:p>
            <w:pPr>
              <w:spacing w:line="300" w:lineRule="exact"/>
              <w:jc w:val="right"/>
              <w:rPr>
                <w:rFonts w:ascii="方正书宋_GBK" w:hAnsi="等线" w:eastAsia="方正书宋_GBK" w:cs="Times New Roman"/>
              </w:rPr>
            </w:pPr>
          </w:p>
        </w:tc>
        <w:tc>
          <w:tcPr>
            <w:tcW w:w="1134" w:type="dxa"/>
            <w:shd w:val="clear" w:color="auto" w:fill="auto"/>
            <w:vAlign w:val="center"/>
          </w:tcPr>
          <w:p>
            <w:pPr>
              <w:spacing w:line="300" w:lineRule="exact"/>
              <w:jc w:val="right"/>
              <w:rPr>
                <w:rFonts w:ascii="方正书宋_GBK" w:hAnsi="等线" w:eastAsia="方正书宋_GBK" w:cs="Times New Roman"/>
              </w:rPr>
            </w:pPr>
          </w:p>
        </w:tc>
        <w:tc>
          <w:tcPr>
            <w:tcW w:w="1134" w:type="dxa"/>
            <w:shd w:val="clear" w:color="auto" w:fill="auto"/>
            <w:vAlign w:val="center"/>
          </w:tcPr>
          <w:p>
            <w:pPr>
              <w:spacing w:line="300" w:lineRule="exact"/>
              <w:jc w:val="right"/>
              <w:rPr>
                <w:rFonts w:ascii="方正书宋_GBK" w:hAnsi="等线" w:eastAsia="方正书宋_GBK" w:cs="Times New Roman"/>
              </w:rPr>
            </w:pPr>
          </w:p>
        </w:tc>
        <w:tc>
          <w:tcPr>
            <w:tcW w:w="1134" w:type="dxa"/>
            <w:shd w:val="clear" w:color="auto" w:fill="auto"/>
            <w:vAlign w:val="center"/>
          </w:tcPr>
          <w:p>
            <w:pPr>
              <w:spacing w:line="300" w:lineRule="exact"/>
              <w:jc w:val="right"/>
              <w:rPr>
                <w:rFonts w:ascii="方正书宋_GBK" w:hAnsi="等线" w:eastAsia="方正书宋_GBK" w:cs="Times New Roman"/>
              </w:rPr>
            </w:pPr>
          </w:p>
        </w:tc>
        <w:tc>
          <w:tcPr>
            <w:tcW w:w="1134" w:type="dxa"/>
            <w:shd w:val="clear" w:color="auto" w:fill="auto"/>
            <w:vAlign w:val="center"/>
          </w:tcPr>
          <w:p>
            <w:pPr>
              <w:spacing w:line="300" w:lineRule="exact"/>
              <w:jc w:val="right"/>
              <w:rPr>
                <w:rFonts w:ascii="方正书宋_GBK" w:hAnsi="等线" w:eastAsia="方正书宋_GBK" w:cs="Times New Roman"/>
              </w:rPr>
            </w:pPr>
          </w:p>
        </w:tc>
        <w:tc>
          <w:tcPr>
            <w:tcW w:w="1134" w:type="dxa"/>
            <w:shd w:val="clear" w:color="auto" w:fill="auto"/>
            <w:vAlign w:val="center"/>
          </w:tcPr>
          <w:p>
            <w:pPr>
              <w:spacing w:line="300" w:lineRule="exact"/>
              <w:jc w:val="right"/>
              <w:rPr>
                <w:rFonts w:ascii="方正书宋_GBK" w:hAnsi="等线"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hAnsi="等线" w:eastAsia="方正书宋_GBK" w:cs="Times New Roman"/>
              </w:rPr>
            </w:pPr>
          </w:p>
        </w:tc>
        <w:tc>
          <w:tcPr>
            <w:tcW w:w="1134" w:type="dxa"/>
            <w:shd w:val="clear" w:color="auto" w:fill="auto"/>
            <w:vAlign w:val="center"/>
          </w:tcPr>
          <w:p>
            <w:pPr>
              <w:spacing w:line="300" w:lineRule="exact"/>
              <w:jc w:val="right"/>
              <w:rPr>
                <w:rFonts w:ascii="方正书宋_GBK" w:hAnsi="等线" w:eastAsia="方正书宋_GBK" w:cs="Times New Roman"/>
              </w:rPr>
            </w:pPr>
          </w:p>
        </w:tc>
        <w:tc>
          <w:tcPr>
            <w:tcW w:w="1531" w:type="dxa"/>
            <w:shd w:val="clear" w:color="auto" w:fill="auto"/>
            <w:vAlign w:val="center"/>
          </w:tcPr>
          <w:p>
            <w:pPr>
              <w:spacing w:line="300" w:lineRule="exact"/>
              <w:jc w:val="left"/>
              <w:rPr>
                <w:rFonts w:ascii="方正书宋_GBK" w:hAnsi="等线" w:eastAsia="等线" w:cs="Times New Roman"/>
              </w:rPr>
            </w:pPr>
          </w:p>
        </w:tc>
        <w:tc>
          <w:tcPr>
            <w:tcW w:w="1531" w:type="dxa"/>
            <w:shd w:val="clear" w:color="auto" w:fill="auto"/>
            <w:vAlign w:val="center"/>
          </w:tcPr>
          <w:p>
            <w:pPr>
              <w:spacing w:line="300" w:lineRule="exact"/>
              <w:jc w:val="left"/>
              <w:rPr>
                <w:rFonts w:ascii="方正书宋_GBK" w:hAnsi="等线" w:eastAsia="方正书宋_GBK" w:cs="Times New Roman"/>
              </w:rPr>
            </w:pPr>
          </w:p>
        </w:tc>
        <w:tc>
          <w:tcPr>
            <w:tcW w:w="709" w:type="dxa"/>
            <w:shd w:val="clear" w:color="auto" w:fill="auto"/>
            <w:vAlign w:val="center"/>
          </w:tcPr>
          <w:p>
            <w:pPr>
              <w:spacing w:line="300" w:lineRule="exact"/>
              <w:jc w:val="center"/>
              <w:rPr>
                <w:rFonts w:ascii="方正书宋_GBK" w:hAnsi="等线" w:eastAsia="等线" w:cs="Times New Roman"/>
              </w:rPr>
            </w:pPr>
          </w:p>
        </w:tc>
        <w:tc>
          <w:tcPr>
            <w:tcW w:w="907" w:type="dxa"/>
            <w:shd w:val="clear" w:color="auto" w:fill="auto"/>
            <w:vAlign w:val="center"/>
          </w:tcPr>
          <w:p>
            <w:pPr>
              <w:spacing w:line="300" w:lineRule="exact"/>
              <w:jc w:val="right"/>
              <w:rPr>
                <w:rFonts w:ascii="方正书宋_GBK" w:hAnsi="等线" w:eastAsia="方正书宋_GBK" w:cs="Times New Roman"/>
              </w:rPr>
            </w:pPr>
          </w:p>
        </w:tc>
        <w:tc>
          <w:tcPr>
            <w:tcW w:w="907" w:type="dxa"/>
            <w:shd w:val="clear" w:color="auto" w:fill="auto"/>
            <w:vAlign w:val="center"/>
          </w:tcPr>
          <w:p>
            <w:pPr>
              <w:spacing w:line="300" w:lineRule="exact"/>
              <w:jc w:val="right"/>
              <w:rPr>
                <w:rFonts w:ascii="方正书宋_GBK" w:hAnsi="等线" w:eastAsia="方正书宋_GBK" w:cs="Times New Roman"/>
              </w:rPr>
            </w:pPr>
          </w:p>
        </w:tc>
        <w:tc>
          <w:tcPr>
            <w:tcW w:w="1134" w:type="dxa"/>
            <w:shd w:val="clear" w:color="auto" w:fill="auto"/>
            <w:vAlign w:val="center"/>
          </w:tcPr>
          <w:p>
            <w:pPr>
              <w:spacing w:line="300" w:lineRule="exact"/>
              <w:jc w:val="right"/>
              <w:rPr>
                <w:rFonts w:ascii="方正书宋_GBK" w:hAnsi="等线" w:eastAsia="方正书宋_GBK" w:cs="Times New Roman"/>
              </w:rPr>
            </w:pPr>
          </w:p>
        </w:tc>
        <w:tc>
          <w:tcPr>
            <w:tcW w:w="1134" w:type="dxa"/>
            <w:shd w:val="clear" w:color="auto" w:fill="auto"/>
            <w:vAlign w:val="center"/>
          </w:tcPr>
          <w:p>
            <w:pPr>
              <w:spacing w:line="300" w:lineRule="exact"/>
              <w:jc w:val="right"/>
              <w:rPr>
                <w:rFonts w:ascii="方正书宋_GBK" w:hAnsi="等线" w:eastAsia="方正书宋_GBK" w:cs="Times New Roman"/>
              </w:rPr>
            </w:pPr>
          </w:p>
        </w:tc>
        <w:tc>
          <w:tcPr>
            <w:tcW w:w="1134" w:type="dxa"/>
            <w:shd w:val="clear" w:color="auto" w:fill="auto"/>
            <w:vAlign w:val="center"/>
          </w:tcPr>
          <w:p>
            <w:pPr>
              <w:spacing w:line="300" w:lineRule="exact"/>
              <w:jc w:val="right"/>
              <w:rPr>
                <w:rFonts w:ascii="方正书宋_GBK" w:hAnsi="等线" w:eastAsia="方正书宋_GBK" w:cs="Times New Roman"/>
              </w:rPr>
            </w:pPr>
          </w:p>
        </w:tc>
        <w:tc>
          <w:tcPr>
            <w:tcW w:w="1134" w:type="dxa"/>
            <w:shd w:val="clear" w:color="auto" w:fill="auto"/>
            <w:vAlign w:val="center"/>
          </w:tcPr>
          <w:p>
            <w:pPr>
              <w:spacing w:line="300" w:lineRule="exact"/>
              <w:jc w:val="right"/>
              <w:rPr>
                <w:rFonts w:ascii="方正书宋_GBK" w:hAnsi="等线" w:eastAsia="方正书宋_GBK" w:cs="Times New Roman"/>
              </w:rPr>
            </w:pPr>
          </w:p>
        </w:tc>
        <w:tc>
          <w:tcPr>
            <w:tcW w:w="1134" w:type="dxa"/>
            <w:shd w:val="clear" w:color="auto" w:fill="auto"/>
            <w:vAlign w:val="center"/>
          </w:tcPr>
          <w:p>
            <w:pPr>
              <w:spacing w:line="300" w:lineRule="exact"/>
              <w:jc w:val="right"/>
              <w:rPr>
                <w:rFonts w:ascii="方正书宋_GBK" w:hAnsi="等线" w:eastAsia="方正书宋_GBK" w:cs="Times New Roman"/>
              </w:rPr>
            </w:pPr>
          </w:p>
        </w:tc>
        <w:tc>
          <w:tcPr>
            <w:tcW w:w="1134" w:type="dxa"/>
            <w:shd w:val="clear" w:color="auto" w:fill="auto"/>
            <w:vAlign w:val="center"/>
          </w:tcPr>
          <w:p>
            <w:pPr>
              <w:spacing w:line="300" w:lineRule="exact"/>
              <w:jc w:val="right"/>
              <w:rPr>
                <w:rFonts w:ascii="方正书宋_GBK" w:hAnsi="等线" w:eastAsia="方正书宋_GBK" w:cs="Times New Roman"/>
              </w:rPr>
            </w:pPr>
          </w:p>
        </w:tc>
      </w:tr>
    </w:tbl>
    <w:p>
      <w:pPr>
        <w:rPr>
          <w:rFonts w:ascii="等线" w:hAnsi="等线" w:eastAsia="等线" w:cs="Times New Roman"/>
        </w:rPr>
      </w:pPr>
    </w:p>
    <w:p>
      <w:pPr>
        <w:spacing w:line="360" w:lineRule="auto"/>
        <w:rPr>
          <w:rFonts w:ascii="仿宋" w:hAnsi="仿宋" w:eastAsia="仿宋"/>
          <w:sz w:val="32"/>
          <w:szCs w:val="32"/>
        </w:rPr>
        <w:sectPr>
          <w:footerReference r:id="rId3" w:type="default"/>
          <w:pgSz w:w="16838" w:h="11906" w:orient="landscape"/>
          <w:pgMar w:top="1797" w:right="1440" w:bottom="1797" w:left="1440" w:header="851" w:footer="992" w:gutter="0"/>
          <w:cols w:space="425" w:num="1"/>
          <w:docGrid w:type="linesAndChars" w:linePitch="312" w:charSpace="0"/>
        </w:sectPr>
      </w:pPr>
    </w:p>
    <w:p>
      <w:pPr>
        <w:spacing w:line="360" w:lineRule="auto"/>
        <w:rPr>
          <w:rFonts w:ascii="仿宋" w:hAnsi="仿宋" w:eastAsia="仿宋"/>
          <w:sz w:val="32"/>
          <w:szCs w:val="32"/>
        </w:rPr>
      </w:pPr>
    </w:p>
    <w:p>
      <w:pPr>
        <w:jc w:val="center"/>
        <w:outlineLvl w:val="0"/>
        <w:rPr>
          <w:rFonts w:ascii="方正小标宋_GBK" w:eastAsia="方正小标宋_GBK"/>
          <w:sz w:val="44"/>
        </w:rPr>
      </w:pPr>
      <w:r>
        <w:rPr>
          <w:rFonts w:hint="eastAsia" w:ascii="方正小标宋_GBK" w:eastAsia="方正小标宋_GBK"/>
          <w:sz w:val="44"/>
        </w:rPr>
        <w:t>第七部分：国有资产信息</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w:t>
      </w:r>
      <w:r>
        <w:rPr>
          <w:rFonts w:hint="eastAsia" w:ascii="仿宋" w:hAnsi="仿宋" w:eastAsia="仿宋"/>
          <w:sz w:val="32"/>
          <w:szCs w:val="32"/>
          <w:lang w:eastAsia="zh-CN"/>
        </w:rPr>
        <w:t>单位</w:t>
      </w:r>
      <w:r>
        <w:rPr>
          <w:rFonts w:hint="eastAsia" w:ascii="仿宋" w:hAnsi="仿宋" w:eastAsia="仿宋"/>
          <w:sz w:val="32"/>
          <w:szCs w:val="32"/>
        </w:rPr>
        <w:t>固定资产总金额为1460.51万元（详见下表）。</w:t>
      </w:r>
      <w:r>
        <w:rPr>
          <w:rFonts w:ascii="仿宋" w:hAnsi="仿宋" w:eastAsia="仿宋"/>
          <w:sz w:val="32"/>
          <w:szCs w:val="32"/>
        </w:rPr>
        <w:t xml:space="preserve"> </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eastAsia="zh-CN"/>
        </w:rPr>
        <w:t>单位</w:t>
      </w:r>
      <w:r>
        <w:rPr>
          <w:rFonts w:hint="eastAsia" w:ascii="仿宋" w:hAnsi="仿宋" w:eastAsia="仿宋"/>
          <w:sz w:val="32"/>
          <w:szCs w:val="32"/>
        </w:rPr>
        <w:t>本年度无国有资产购置计划，拟购置金额为</w:t>
      </w:r>
      <w:r>
        <w:rPr>
          <w:rFonts w:ascii="仿宋" w:hAnsi="仿宋" w:eastAsia="仿宋"/>
          <w:sz w:val="32"/>
          <w:szCs w:val="32"/>
        </w:rPr>
        <w:t>0。</w:t>
      </w:r>
    </w:p>
    <w:tbl>
      <w:tblPr>
        <w:tblStyle w:val="5"/>
        <w:tblW w:w="10084" w:type="dxa"/>
        <w:jc w:val="center"/>
        <w:tblLayout w:type="autofit"/>
        <w:tblCellMar>
          <w:top w:w="0" w:type="dxa"/>
          <w:left w:w="108" w:type="dxa"/>
          <w:bottom w:w="0" w:type="dxa"/>
          <w:right w:w="108" w:type="dxa"/>
        </w:tblCellMar>
      </w:tblPr>
      <w:tblGrid>
        <w:gridCol w:w="4788"/>
        <w:gridCol w:w="1035"/>
        <w:gridCol w:w="4261"/>
      </w:tblGrid>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pPr>
              <w:widowControl/>
              <w:jc w:val="center"/>
              <w:rPr>
                <w:rFonts w:ascii="宋体" w:hAnsi="宋体" w:cs="宋体"/>
                <w:kern w:val="0"/>
                <w:sz w:val="28"/>
                <w:szCs w:val="28"/>
              </w:rPr>
            </w:pPr>
            <w:r>
              <w:rPr>
                <w:rFonts w:hint="eastAsia" w:ascii="宋体" w:hAnsi="宋体"/>
                <w:sz w:val="32"/>
                <w:szCs w:val="32"/>
              </w:rPr>
              <w:t>固定资产占用情况表</w:t>
            </w:r>
          </w:p>
        </w:tc>
      </w:tr>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color w:val="FF0000"/>
                <w:kern w:val="0"/>
                <w:sz w:val="28"/>
                <w:szCs w:val="28"/>
              </w:rPr>
              <w:t>2020</w:t>
            </w:r>
            <w:r>
              <w:rPr>
                <w:rFonts w:hint="eastAsia" w:ascii="仿宋_GB2312" w:hAnsi="仿宋" w:eastAsia="仿宋_GB2312" w:cs="宋体"/>
                <w:bCs/>
                <w:color w:val="FF0000"/>
                <w:kern w:val="0"/>
                <w:sz w:val="28"/>
                <w:szCs w:val="28"/>
              </w:rPr>
              <w:t>年12月31日</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1460.51</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4144</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436.8</w:t>
            </w: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4144</w:t>
            </w: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436.8</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17.86</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1005.85</w:t>
            </w:r>
          </w:p>
        </w:tc>
      </w:tr>
    </w:tbl>
    <w:p>
      <w:pPr>
        <w:spacing w:line="360" w:lineRule="auto"/>
        <w:rPr>
          <w:rFonts w:ascii="黑体" w:hAnsi="黑体" w:eastAsia="黑体" w:cs="Times New Roman"/>
          <w:sz w:val="32"/>
          <w:szCs w:val="32"/>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第八部分：名词解释</w:t>
      </w:r>
    </w:p>
    <w:p>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w:t>
      </w:r>
      <w:r>
        <w:rPr>
          <w:rFonts w:hint="eastAsia" w:ascii="仿宋" w:hAnsi="仿宋" w:eastAsia="仿宋"/>
          <w:sz w:val="32"/>
          <w:szCs w:val="32"/>
          <w:lang w:eastAsia="zh-CN"/>
        </w:rPr>
        <w:t>单位</w:t>
      </w:r>
      <w:r>
        <w:rPr>
          <w:rFonts w:ascii="仿宋" w:hAnsi="仿宋" w:eastAsia="仿宋"/>
          <w:sz w:val="32"/>
          <w:szCs w:val="32"/>
        </w:rPr>
        <w:t>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eastAsia="zh-CN"/>
        </w:rPr>
        <w:t>单位</w:t>
      </w:r>
      <w:r>
        <w:rPr>
          <w:rFonts w:hint="eastAsia" w:ascii="仿宋" w:hAnsi="仿宋" w:eastAsia="仿宋"/>
          <w:sz w:val="32"/>
          <w:szCs w:val="32"/>
        </w:rPr>
        <w:t>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书宋_GBK">
    <w:altName w:val="Arial Unicode MS"/>
    <w:panose1 w:val="00000000000000000000"/>
    <w:charset w:val="86"/>
    <w:family w:val="script"/>
    <w:pitch w:val="default"/>
    <w:sig w:usb0="00000000" w:usb1="00000000" w:usb2="00000010" w:usb3="00000000" w:csb0="00040000" w:csb1="00000000"/>
  </w:font>
  <w:font w:name="方正仿宋_GBK">
    <w:altName w:val="宋体"/>
    <w:panose1 w:val="00000000000000000000"/>
    <w:charset w:val="86"/>
    <w:family w:val="roman"/>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986368"/>
      <w:docPartObj>
        <w:docPartGallery w:val="autotext"/>
      </w:docPartObj>
    </w:sdtPr>
    <w:sdtContent>
      <w:p>
        <w:pPr>
          <w:pStyle w:val="3"/>
          <w:jc w:val="center"/>
        </w:pPr>
        <w:r>
          <w:fldChar w:fldCharType="begin"/>
        </w:r>
        <w:r>
          <w:instrText xml:space="preserve">PAGE   \* MERGEFORMAT</w:instrText>
        </w:r>
        <w:r>
          <w:fldChar w:fldCharType="separate"/>
        </w:r>
        <w:r>
          <w:rPr>
            <w:lang w:val="zh-CN"/>
          </w:rPr>
          <w:t>20</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F1F"/>
    <w:rsid w:val="00013B8A"/>
    <w:rsid w:val="00044FBC"/>
    <w:rsid w:val="00055F1F"/>
    <w:rsid w:val="000577EF"/>
    <w:rsid w:val="00057F18"/>
    <w:rsid w:val="000A445D"/>
    <w:rsid w:val="000C178B"/>
    <w:rsid w:val="00131DEC"/>
    <w:rsid w:val="00136AB3"/>
    <w:rsid w:val="001462BD"/>
    <w:rsid w:val="00152380"/>
    <w:rsid w:val="001638BE"/>
    <w:rsid w:val="001714F3"/>
    <w:rsid w:val="00172C7A"/>
    <w:rsid w:val="00181777"/>
    <w:rsid w:val="001B4688"/>
    <w:rsid w:val="001B6235"/>
    <w:rsid w:val="001B7D96"/>
    <w:rsid w:val="001F4875"/>
    <w:rsid w:val="00212335"/>
    <w:rsid w:val="002918C6"/>
    <w:rsid w:val="00296524"/>
    <w:rsid w:val="002E01F6"/>
    <w:rsid w:val="002F1ACB"/>
    <w:rsid w:val="002F530F"/>
    <w:rsid w:val="00305E97"/>
    <w:rsid w:val="00310532"/>
    <w:rsid w:val="003262BF"/>
    <w:rsid w:val="0032782B"/>
    <w:rsid w:val="00340B3D"/>
    <w:rsid w:val="0034253A"/>
    <w:rsid w:val="0036385A"/>
    <w:rsid w:val="003669CF"/>
    <w:rsid w:val="00367A30"/>
    <w:rsid w:val="003A06D2"/>
    <w:rsid w:val="003A4557"/>
    <w:rsid w:val="003A6366"/>
    <w:rsid w:val="003C2317"/>
    <w:rsid w:val="003C442E"/>
    <w:rsid w:val="003D1092"/>
    <w:rsid w:val="003D37CD"/>
    <w:rsid w:val="003E5531"/>
    <w:rsid w:val="003E6AF3"/>
    <w:rsid w:val="003F582E"/>
    <w:rsid w:val="0040243C"/>
    <w:rsid w:val="00405877"/>
    <w:rsid w:val="00406BD1"/>
    <w:rsid w:val="00421DEE"/>
    <w:rsid w:val="00426C19"/>
    <w:rsid w:val="00450FD9"/>
    <w:rsid w:val="00453CE0"/>
    <w:rsid w:val="00470736"/>
    <w:rsid w:val="00470BBB"/>
    <w:rsid w:val="0048611E"/>
    <w:rsid w:val="004B6929"/>
    <w:rsid w:val="004E2F43"/>
    <w:rsid w:val="004E3572"/>
    <w:rsid w:val="004F3C52"/>
    <w:rsid w:val="00510A1E"/>
    <w:rsid w:val="005158E2"/>
    <w:rsid w:val="00524204"/>
    <w:rsid w:val="00550049"/>
    <w:rsid w:val="00553F7E"/>
    <w:rsid w:val="00570142"/>
    <w:rsid w:val="00586C35"/>
    <w:rsid w:val="005A1C20"/>
    <w:rsid w:val="005B1B6F"/>
    <w:rsid w:val="005B6CCB"/>
    <w:rsid w:val="005C54AA"/>
    <w:rsid w:val="005C7B89"/>
    <w:rsid w:val="005D45D2"/>
    <w:rsid w:val="0062788A"/>
    <w:rsid w:val="00632A4C"/>
    <w:rsid w:val="00641F8A"/>
    <w:rsid w:val="0066383B"/>
    <w:rsid w:val="00695595"/>
    <w:rsid w:val="006A6FA2"/>
    <w:rsid w:val="006B5117"/>
    <w:rsid w:val="006C62DF"/>
    <w:rsid w:val="006F5104"/>
    <w:rsid w:val="006F6549"/>
    <w:rsid w:val="00735B02"/>
    <w:rsid w:val="00753F76"/>
    <w:rsid w:val="007657C8"/>
    <w:rsid w:val="00767A77"/>
    <w:rsid w:val="00771E49"/>
    <w:rsid w:val="00782208"/>
    <w:rsid w:val="00791938"/>
    <w:rsid w:val="007A5999"/>
    <w:rsid w:val="007C7FD7"/>
    <w:rsid w:val="007F3746"/>
    <w:rsid w:val="008211E0"/>
    <w:rsid w:val="00833132"/>
    <w:rsid w:val="0086454E"/>
    <w:rsid w:val="008672EA"/>
    <w:rsid w:val="00891680"/>
    <w:rsid w:val="008A0099"/>
    <w:rsid w:val="008A0B5F"/>
    <w:rsid w:val="008B5402"/>
    <w:rsid w:val="008D11BC"/>
    <w:rsid w:val="0090527E"/>
    <w:rsid w:val="00905BB7"/>
    <w:rsid w:val="0090620C"/>
    <w:rsid w:val="00912DA4"/>
    <w:rsid w:val="009302B8"/>
    <w:rsid w:val="009305C6"/>
    <w:rsid w:val="009752AE"/>
    <w:rsid w:val="00982F3D"/>
    <w:rsid w:val="00983232"/>
    <w:rsid w:val="009A278A"/>
    <w:rsid w:val="009B6368"/>
    <w:rsid w:val="009F63C4"/>
    <w:rsid w:val="00A03D67"/>
    <w:rsid w:val="00A16957"/>
    <w:rsid w:val="00A6155C"/>
    <w:rsid w:val="00A8079E"/>
    <w:rsid w:val="00A90328"/>
    <w:rsid w:val="00A92D66"/>
    <w:rsid w:val="00AA4262"/>
    <w:rsid w:val="00AB5A90"/>
    <w:rsid w:val="00AB7449"/>
    <w:rsid w:val="00AE4AA5"/>
    <w:rsid w:val="00AE7FA9"/>
    <w:rsid w:val="00B147EB"/>
    <w:rsid w:val="00B22155"/>
    <w:rsid w:val="00B671B5"/>
    <w:rsid w:val="00B76AA9"/>
    <w:rsid w:val="00B80FAB"/>
    <w:rsid w:val="00B81C88"/>
    <w:rsid w:val="00BA5C83"/>
    <w:rsid w:val="00BC6A7D"/>
    <w:rsid w:val="00BD4829"/>
    <w:rsid w:val="00BD6002"/>
    <w:rsid w:val="00BD719F"/>
    <w:rsid w:val="00BF5442"/>
    <w:rsid w:val="00C177A5"/>
    <w:rsid w:val="00C35FEE"/>
    <w:rsid w:val="00C50535"/>
    <w:rsid w:val="00C6153C"/>
    <w:rsid w:val="00C906EF"/>
    <w:rsid w:val="00C96892"/>
    <w:rsid w:val="00CC7D74"/>
    <w:rsid w:val="00D02F97"/>
    <w:rsid w:val="00D340E7"/>
    <w:rsid w:val="00D45530"/>
    <w:rsid w:val="00D45A0E"/>
    <w:rsid w:val="00D45D23"/>
    <w:rsid w:val="00D723D1"/>
    <w:rsid w:val="00D80C60"/>
    <w:rsid w:val="00D8525F"/>
    <w:rsid w:val="00DA0C4D"/>
    <w:rsid w:val="00DA59B2"/>
    <w:rsid w:val="00DA5DA7"/>
    <w:rsid w:val="00DE3935"/>
    <w:rsid w:val="00DE6B32"/>
    <w:rsid w:val="00DF26B8"/>
    <w:rsid w:val="00E12C68"/>
    <w:rsid w:val="00E2325B"/>
    <w:rsid w:val="00E24075"/>
    <w:rsid w:val="00E270C9"/>
    <w:rsid w:val="00E33E13"/>
    <w:rsid w:val="00E35F38"/>
    <w:rsid w:val="00E46F27"/>
    <w:rsid w:val="00E509CC"/>
    <w:rsid w:val="00E56DC0"/>
    <w:rsid w:val="00E6357E"/>
    <w:rsid w:val="00E71A04"/>
    <w:rsid w:val="00E90DA6"/>
    <w:rsid w:val="00E96342"/>
    <w:rsid w:val="00EA2FEA"/>
    <w:rsid w:val="00EA56CB"/>
    <w:rsid w:val="00EA7853"/>
    <w:rsid w:val="00F000B1"/>
    <w:rsid w:val="00F012D3"/>
    <w:rsid w:val="00F044C3"/>
    <w:rsid w:val="00F10D04"/>
    <w:rsid w:val="00F169E3"/>
    <w:rsid w:val="00F35D4B"/>
    <w:rsid w:val="00F3746B"/>
    <w:rsid w:val="00F572CB"/>
    <w:rsid w:val="00F621AF"/>
    <w:rsid w:val="00F8024E"/>
    <w:rsid w:val="00F82447"/>
    <w:rsid w:val="00F868E5"/>
    <w:rsid w:val="00FB2F32"/>
    <w:rsid w:val="00FC3191"/>
    <w:rsid w:val="00FC78C7"/>
    <w:rsid w:val="00FE0F1F"/>
    <w:rsid w:val="00FF61F3"/>
    <w:rsid w:val="04E30A86"/>
    <w:rsid w:val="07174B07"/>
    <w:rsid w:val="07F76EA2"/>
    <w:rsid w:val="1F6E5590"/>
    <w:rsid w:val="216A2E55"/>
    <w:rsid w:val="2B8E3323"/>
    <w:rsid w:val="35C04E36"/>
    <w:rsid w:val="38D26CB3"/>
    <w:rsid w:val="3F7B1CF8"/>
    <w:rsid w:val="45676E98"/>
    <w:rsid w:val="5CFF682D"/>
    <w:rsid w:val="71AC1E32"/>
    <w:rsid w:val="762D0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0EDB87-5BEA-48E4-9393-2EB5439EC6EA}">
  <ds:schemaRefs/>
</ds:datastoreItem>
</file>

<file path=docProps/app.xml><?xml version="1.0" encoding="utf-8"?>
<Properties xmlns="http://schemas.openxmlformats.org/officeDocument/2006/extended-properties" xmlns:vt="http://schemas.openxmlformats.org/officeDocument/2006/docPropsVTypes">
  <Template>Normal</Template>
  <Pages>22</Pages>
  <Words>1611</Words>
  <Characters>9185</Characters>
  <Lines>76</Lines>
  <Paragraphs>21</Paragraphs>
  <TotalTime>12</TotalTime>
  <ScaleCrop>false</ScaleCrop>
  <LinksUpToDate>false</LinksUpToDate>
  <CharactersWithSpaces>10775</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dell</cp:lastModifiedBy>
  <cp:lastPrinted>2019-02-19T07:03:00Z</cp:lastPrinted>
  <dcterms:modified xsi:type="dcterms:W3CDTF">2025-05-12T02:33:27Z</dcterms:modified>
  <cp:revision>196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F18ED6CD46084E888D5C997780EB06DE</vt:lpwstr>
  </property>
</Properties>
</file>